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FC484" w14:textId="77777777" w:rsidR="003F196A" w:rsidRPr="00D339FC" w:rsidRDefault="003F196A" w:rsidP="003F196A">
      <w:pPr>
        <w:pStyle w:val="NormalWeb"/>
        <w:tabs>
          <w:tab w:val="left" w:pos="720"/>
        </w:tabs>
        <w:spacing w:before="0" w:beforeAutospacing="0" w:after="0" w:afterAutospacing="0"/>
        <w:ind w:left="547" w:hanging="547"/>
        <w:jc w:val="center"/>
        <w:outlineLvl w:val="0"/>
        <w:rPr>
          <w:b/>
          <w:iCs/>
          <w:color w:val="0C000F"/>
        </w:rPr>
      </w:pPr>
      <w:r w:rsidRPr="00D339FC">
        <w:rPr>
          <w:b/>
          <w:iCs/>
          <w:color w:val="0C000F"/>
        </w:rPr>
        <w:t>Responding to Regulatory Uncertainty:</w:t>
      </w:r>
    </w:p>
    <w:p w14:paraId="53B2AD08" w14:textId="1283C444" w:rsidR="003F196A" w:rsidRPr="00D339FC" w:rsidRDefault="00257A90" w:rsidP="00257A90">
      <w:pPr>
        <w:pStyle w:val="NormalWeb"/>
        <w:tabs>
          <w:tab w:val="left" w:pos="720"/>
        </w:tabs>
        <w:spacing w:before="0" w:beforeAutospacing="0" w:after="0" w:afterAutospacing="0"/>
        <w:ind w:left="547" w:hanging="547"/>
        <w:jc w:val="center"/>
        <w:outlineLvl w:val="0"/>
        <w:rPr>
          <w:b/>
          <w:iCs/>
          <w:color w:val="0C000F"/>
        </w:rPr>
      </w:pPr>
      <w:r w:rsidRPr="00D339FC">
        <w:rPr>
          <w:b/>
          <w:iCs/>
          <w:color w:val="0C000F"/>
        </w:rPr>
        <w:t xml:space="preserve">Government Agency </w:t>
      </w:r>
      <w:proofErr w:type="spellStart"/>
      <w:r w:rsidR="00E80588">
        <w:rPr>
          <w:b/>
          <w:iCs/>
          <w:color w:val="0C000F"/>
        </w:rPr>
        <w:t>Signalling</w:t>
      </w:r>
      <w:proofErr w:type="spellEnd"/>
      <w:r w:rsidRPr="00D339FC">
        <w:rPr>
          <w:b/>
          <w:iCs/>
          <w:color w:val="0C000F"/>
        </w:rPr>
        <w:t xml:space="preserve"> </w:t>
      </w:r>
      <w:r w:rsidR="003F196A" w:rsidRPr="00D339FC">
        <w:rPr>
          <w:b/>
          <w:iCs/>
          <w:color w:val="0C000F"/>
        </w:rPr>
        <w:t>and Greenhouse Gas Emissions</w:t>
      </w:r>
    </w:p>
    <w:p w14:paraId="08A4E4C6" w14:textId="77777777" w:rsidR="003F196A" w:rsidRPr="004D6690" w:rsidRDefault="003F196A" w:rsidP="003F196A">
      <w:pPr>
        <w:pStyle w:val="NormalWeb"/>
        <w:tabs>
          <w:tab w:val="left" w:pos="720"/>
        </w:tabs>
        <w:spacing w:before="0" w:beforeAutospacing="0" w:after="0" w:afterAutospacing="0" w:line="480" w:lineRule="auto"/>
        <w:ind w:left="540" w:hanging="540"/>
        <w:jc w:val="center"/>
        <w:rPr>
          <w:iCs/>
          <w:color w:val="0C000F"/>
        </w:rPr>
      </w:pPr>
    </w:p>
    <w:p w14:paraId="38E943BE" w14:textId="77777777" w:rsidR="003F196A" w:rsidRPr="004D6690" w:rsidRDefault="003F196A" w:rsidP="003F196A">
      <w:pPr>
        <w:pStyle w:val="NormalWeb"/>
        <w:tabs>
          <w:tab w:val="left" w:pos="720"/>
        </w:tabs>
        <w:spacing w:before="0" w:beforeAutospacing="0" w:after="0" w:afterAutospacing="0" w:line="480" w:lineRule="auto"/>
        <w:ind w:left="540" w:hanging="540"/>
        <w:jc w:val="center"/>
        <w:outlineLvl w:val="0"/>
        <w:rPr>
          <w:iCs/>
          <w:color w:val="0C000F"/>
        </w:rPr>
      </w:pPr>
      <w:r w:rsidRPr="004D6690">
        <w:rPr>
          <w:iCs/>
          <w:color w:val="0C000F"/>
        </w:rPr>
        <w:t>Abstract</w:t>
      </w:r>
    </w:p>
    <w:p w14:paraId="3BC195C9" w14:textId="62F33306" w:rsidR="004D6690" w:rsidRPr="00EC3CCD" w:rsidRDefault="004D6690" w:rsidP="003F196A">
      <w:pPr>
        <w:pStyle w:val="NormalWeb"/>
        <w:tabs>
          <w:tab w:val="left" w:pos="720"/>
        </w:tabs>
        <w:spacing w:before="0" w:beforeAutospacing="0" w:after="0" w:afterAutospacing="0"/>
      </w:pPr>
      <w:r w:rsidRPr="004D6690">
        <w:rPr>
          <w:iCs/>
          <w:color w:val="0C000F"/>
        </w:rPr>
        <w:t>Anticipating and mitigating the impact of regulatory changes are important tasks for firms</w:t>
      </w:r>
      <w:r w:rsidR="007C7A1F">
        <w:rPr>
          <w:iCs/>
          <w:color w:val="0C000F"/>
        </w:rPr>
        <w:t>;</w:t>
      </w:r>
      <w:r>
        <w:rPr>
          <w:iCs/>
          <w:color w:val="0C000F"/>
        </w:rPr>
        <w:t xml:space="preserve"> yet</w:t>
      </w:r>
      <w:r w:rsidR="007C7A1F">
        <w:rPr>
          <w:iCs/>
          <w:color w:val="0C000F"/>
        </w:rPr>
        <w:t>,</w:t>
      </w:r>
      <w:r>
        <w:rPr>
          <w:iCs/>
          <w:color w:val="0C000F"/>
        </w:rPr>
        <w:t xml:space="preserve"> t</w:t>
      </w:r>
      <w:r w:rsidRPr="004D6690">
        <w:rPr>
          <w:iCs/>
          <w:color w:val="0C000F"/>
        </w:rPr>
        <w:t xml:space="preserve">his </w:t>
      </w:r>
      <w:r w:rsidR="00410CC4">
        <w:rPr>
          <w:iCs/>
          <w:color w:val="0C000F"/>
        </w:rPr>
        <w:t>can be challenging</w:t>
      </w:r>
      <w:r>
        <w:rPr>
          <w:iCs/>
          <w:color w:val="0C000F"/>
        </w:rPr>
        <w:t xml:space="preserve"> </w:t>
      </w:r>
      <w:r w:rsidR="00410CC4">
        <w:rPr>
          <w:iCs/>
          <w:color w:val="0C000F"/>
        </w:rPr>
        <w:t>when firms face</w:t>
      </w:r>
      <w:r w:rsidRPr="004D6690">
        <w:rPr>
          <w:iCs/>
          <w:color w:val="0C000F"/>
        </w:rPr>
        <w:t xml:space="preserve"> constantly evolving </w:t>
      </w:r>
      <w:r w:rsidR="00FE468C">
        <w:rPr>
          <w:iCs/>
          <w:color w:val="0C000F"/>
        </w:rPr>
        <w:t xml:space="preserve">and ambiguous </w:t>
      </w:r>
      <w:r w:rsidRPr="004D6690">
        <w:rPr>
          <w:iCs/>
          <w:color w:val="0C000F"/>
        </w:rPr>
        <w:t>policies such as those regarding climate change</w:t>
      </w:r>
      <w:r w:rsidR="00410CC4">
        <w:rPr>
          <w:iCs/>
          <w:color w:val="0C000F"/>
        </w:rPr>
        <w:t xml:space="preserve"> and </w:t>
      </w:r>
      <w:r w:rsidR="007C7A1F">
        <w:rPr>
          <w:iCs/>
          <w:color w:val="0C000F"/>
        </w:rPr>
        <w:t xml:space="preserve">when </w:t>
      </w:r>
      <w:r w:rsidR="00410CC4">
        <w:rPr>
          <w:iCs/>
          <w:color w:val="0C000F"/>
        </w:rPr>
        <w:t>regulatory implementation is uncertain</w:t>
      </w:r>
      <w:r w:rsidRPr="004D6690">
        <w:rPr>
          <w:iCs/>
          <w:color w:val="0C000F"/>
        </w:rPr>
        <w:t>.</w:t>
      </w:r>
      <w:r w:rsidR="00410CC4" w:rsidRPr="00410CC4">
        <w:t xml:space="preserve"> </w:t>
      </w:r>
      <w:r w:rsidR="00410CC4" w:rsidRPr="00A412DD">
        <w:t xml:space="preserve">We approach this </w:t>
      </w:r>
      <w:r w:rsidR="00410CC4">
        <w:t>issue</w:t>
      </w:r>
      <w:r w:rsidR="00410CC4" w:rsidRPr="00A412DD">
        <w:t xml:space="preserve"> by bringing government agencies center stage</w:t>
      </w:r>
      <w:r w:rsidR="000E2F6F">
        <w:t xml:space="preserve"> and exploring the factors that lead agencies to signal their policy implementation intentions</w:t>
      </w:r>
      <w:r w:rsidR="006C12F6">
        <w:t xml:space="preserve"> </w:t>
      </w:r>
      <w:r w:rsidR="006C58D5">
        <w:t>as well as</w:t>
      </w:r>
      <w:r w:rsidR="006C12F6">
        <w:t xml:space="preserve"> firm reactions to such signals</w:t>
      </w:r>
      <w:r w:rsidR="003D72AE">
        <w:t xml:space="preserve"> in the context of electric power </w:t>
      </w:r>
      <w:r w:rsidR="007232F4">
        <w:t>generation</w:t>
      </w:r>
      <w:r w:rsidR="003D72AE">
        <w:t xml:space="preserve"> in the European Union</w:t>
      </w:r>
      <w:r w:rsidR="0058535B">
        <w:t xml:space="preserve"> from</w:t>
      </w:r>
      <w:r w:rsidR="003D72AE">
        <w:t xml:space="preserve"> 200</w:t>
      </w:r>
      <w:r w:rsidR="00F82334">
        <w:t>4</w:t>
      </w:r>
      <w:r w:rsidR="0058535B">
        <w:t xml:space="preserve"> to </w:t>
      </w:r>
      <w:r w:rsidR="00F82334">
        <w:t>2009</w:t>
      </w:r>
      <w:r w:rsidR="00410CC4" w:rsidRPr="00A412DD">
        <w:t xml:space="preserve">. </w:t>
      </w:r>
      <w:r w:rsidR="007232F4">
        <w:t>W</w:t>
      </w:r>
      <w:r w:rsidR="00C37D60" w:rsidRPr="00AE4B0D">
        <w:rPr>
          <w:rFonts w:eastAsia="Calibri"/>
        </w:rPr>
        <w:t xml:space="preserve">e </w:t>
      </w:r>
      <w:r w:rsidR="00211388">
        <w:rPr>
          <w:rFonts w:eastAsia="Calibri"/>
        </w:rPr>
        <w:t>propose</w:t>
      </w:r>
      <w:r w:rsidR="00C37D60" w:rsidRPr="00AE4B0D">
        <w:rPr>
          <w:rFonts w:eastAsia="Calibri"/>
        </w:rPr>
        <w:t xml:space="preserve"> that agencies</w:t>
      </w:r>
      <w:r w:rsidR="004922F6">
        <w:rPr>
          <w:rFonts w:eastAsia="Calibri"/>
        </w:rPr>
        <w:t>’</w:t>
      </w:r>
      <w:r w:rsidR="00C37D60" w:rsidRPr="00AE4B0D">
        <w:rPr>
          <w:rFonts w:eastAsia="Calibri"/>
        </w:rPr>
        <w:t xml:space="preserve"> concern over resources motivates them to signal implementation intentions </w:t>
      </w:r>
      <w:r w:rsidR="00211388">
        <w:rPr>
          <w:rFonts w:eastAsia="Calibri"/>
        </w:rPr>
        <w:t xml:space="preserve">to political principals who support the policy goals </w:t>
      </w:r>
      <w:r w:rsidR="00C37D60" w:rsidRPr="00AE4B0D">
        <w:rPr>
          <w:rFonts w:eastAsia="Calibri"/>
        </w:rPr>
        <w:t xml:space="preserve">in an effort to reduce uncertainty surrounding future budgets. </w:t>
      </w:r>
      <w:r w:rsidR="00131276">
        <w:t xml:space="preserve">We argue that firms </w:t>
      </w:r>
      <w:r w:rsidR="007A5DDD">
        <w:t xml:space="preserve">will </w:t>
      </w:r>
      <w:r w:rsidR="00D33A66">
        <w:t xml:space="preserve">respond to these signals by </w:t>
      </w:r>
      <w:r w:rsidR="00F338F1">
        <w:t xml:space="preserve">altering strategy and </w:t>
      </w:r>
      <w:r w:rsidR="0083188E">
        <w:t>reducing carbon emissions</w:t>
      </w:r>
      <w:r w:rsidR="00D33A66">
        <w:t xml:space="preserve">. </w:t>
      </w:r>
      <w:r w:rsidR="004A475F">
        <w:t xml:space="preserve">We further show that the effect of resource dependency on </w:t>
      </w:r>
      <w:r w:rsidR="004A475F" w:rsidRPr="00A412DD">
        <w:t xml:space="preserve">agency </w:t>
      </w:r>
      <w:proofErr w:type="spellStart"/>
      <w:r w:rsidR="006C58D5">
        <w:t>signalling</w:t>
      </w:r>
      <w:proofErr w:type="spellEnd"/>
      <w:r w:rsidR="004A475F" w:rsidRPr="00A412DD">
        <w:t xml:space="preserve"> is</w:t>
      </w:r>
      <w:r w:rsidR="004A475F">
        <w:t xml:space="preserve"> </w:t>
      </w:r>
      <w:r w:rsidR="004A475F" w:rsidRPr="0009508B">
        <w:t xml:space="preserve">moderated by pressures from local agency stakeholders and by the agency’s capacity to </w:t>
      </w:r>
      <w:r w:rsidR="006C58D5">
        <w:t>implement</w:t>
      </w:r>
      <w:r w:rsidR="006C58D5" w:rsidRPr="0009508B">
        <w:t xml:space="preserve"> </w:t>
      </w:r>
      <w:r w:rsidR="004A475F" w:rsidRPr="0009508B">
        <w:t xml:space="preserve">the </w:t>
      </w:r>
      <w:r w:rsidR="00E83886">
        <w:t>policy</w:t>
      </w:r>
      <w:r w:rsidR="004A475F">
        <w:t xml:space="preserve">. </w:t>
      </w:r>
    </w:p>
    <w:p w14:paraId="7A6FDDB1" w14:textId="77777777" w:rsidR="003F196A" w:rsidRPr="00A412DD" w:rsidRDefault="003F196A" w:rsidP="003F196A">
      <w:pPr>
        <w:pStyle w:val="NormalWeb"/>
        <w:tabs>
          <w:tab w:val="left" w:pos="720"/>
        </w:tabs>
        <w:spacing w:before="0" w:beforeAutospacing="0" w:after="0" w:afterAutospacing="0"/>
        <w:rPr>
          <w:iCs/>
          <w:color w:val="0C000F"/>
        </w:rPr>
      </w:pPr>
    </w:p>
    <w:p w14:paraId="3098C8D6" w14:textId="1CA89EE5" w:rsidR="003F196A" w:rsidRPr="00A412DD" w:rsidRDefault="003F196A" w:rsidP="003F196A">
      <w:pPr>
        <w:pStyle w:val="NormalWeb"/>
        <w:tabs>
          <w:tab w:val="left" w:pos="720"/>
        </w:tabs>
        <w:spacing w:before="0" w:beforeAutospacing="0" w:after="0" w:afterAutospacing="0"/>
        <w:outlineLvl w:val="0"/>
        <w:rPr>
          <w:iCs/>
          <w:color w:val="0C000F"/>
        </w:rPr>
      </w:pPr>
      <w:r w:rsidRPr="00A412DD">
        <w:rPr>
          <w:iCs/>
          <w:color w:val="0C000F"/>
        </w:rPr>
        <w:t xml:space="preserve">Keywords: Regulation, </w:t>
      </w:r>
      <w:r w:rsidR="00EC3CCD">
        <w:rPr>
          <w:iCs/>
          <w:color w:val="0C000F"/>
        </w:rPr>
        <w:t xml:space="preserve">uncertainty, resource </w:t>
      </w:r>
      <w:r w:rsidRPr="00A412DD">
        <w:rPr>
          <w:iCs/>
          <w:color w:val="0C000F"/>
        </w:rPr>
        <w:t>dependence, sustainability, climate change</w:t>
      </w:r>
    </w:p>
    <w:p w14:paraId="26EA8A7E" w14:textId="77777777" w:rsidR="003F196A" w:rsidRPr="00A412DD" w:rsidRDefault="003F196A" w:rsidP="00846372">
      <w:pPr>
        <w:pStyle w:val="NormalWeb"/>
        <w:tabs>
          <w:tab w:val="left" w:pos="720"/>
        </w:tabs>
        <w:spacing w:before="0" w:beforeAutospacing="0" w:after="0" w:afterAutospacing="0" w:line="480" w:lineRule="auto"/>
        <w:jc w:val="center"/>
        <w:outlineLvl w:val="0"/>
        <w:rPr>
          <w:b/>
          <w:iCs/>
          <w:color w:val="0C000F"/>
        </w:rPr>
      </w:pPr>
    </w:p>
    <w:p w14:paraId="2B770441" w14:textId="77777777" w:rsidR="001F5A30" w:rsidRDefault="001F5A30" w:rsidP="00846372">
      <w:pPr>
        <w:pStyle w:val="NormalWeb"/>
        <w:tabs>
          <w:tab w:val="left" w:pos="720"/>
        </w:tabs>
        <w:spacing w:before="0" w:beforeAutospacing="0" w:after="0" w:afterAutospacing="0" w:line="480" w:lineRule="auto"/>
        <w:jc w:val="center"/>
        <w:outlineLvl w:val="0"/>
        <w:rPr>
          <w:b/>
          <w:iCs/>
          <w:color w:val="0C000F"/>
        </w:rPr>
      </w:pPr>
    </w:p>
    <w:p w14:paraId="0FEB0B4E" w14:textId="77777777" w:rsidR="001F5A30" w:rsidRDefault="001F5A30" w:rsidP="00846372">
      <w:pPr>
        <w:pStyle w:val="NormalWeb"/>
        <w:tabs>
          <w:tab w:val="left" w:pos="720"/>
        </w:tabs>
        <w:spacing w:before="0" w:beforeAutospacing="0" w:after="0" w:afterAutospacing="0" w:line="480" w:lineRule="auto"/>
        <w:jc w:val="center"/>
        <w:outlineLvl w:val="0"/>
        <w:rPr>
          <w:b/>
          <w:iCs/>
          <w:color w:val="0C000F"/>
        </w:rPr>
      </w:pPr>
    </w:p>
    <w:p w14:paraId="4ECBA5A1" w14:textId="77777777" w:rsidR="003F196A" w:rsidRDefault="003F196A">
      <w:pPr>
        <w:rPr>
          <w:rFonts w:ascii="Times New Roman" w:eastAsia="Batang" w:hAnsi="Times New Roman" w:cs="Times New Roman"/>
          <w:b/>
          <w:iCs/>
          <w:color w:val="0C000F"/>
          <w:lang w:eastAsia="ko-KR"/>
        </w:rPr>
      </w:pPr>
      <w:r>
        <w:rPr>
          <w:b/>
          <w:iCs/>
          <w:color w:val="0C000F"/>
        </w:rPr>
        <w:br w:type="page"/>
      </w:r>
    </w:p>
    <w:p w14:paraId="55731BA8" w14:textId="506FE065" w:rsidR="00F3683A" w:rsidRPr="00F3683A" w:rsidRDefault="00F3683A" w:rsidP="00F3683A">
      <w:pPr>
        <w:jc w:val="center"/>
        <w:rPr>
          <w:rFonts w:ascii="Times New Roman" w:hAnsi="Times New Roman" w:cs="Times New Roman"/>
          <w:b/>
        </w:rPr>
      </w:pPr>
      <w:r w:rsidRPr="00F3683A">
        <w:rPr>
          <w:rFonts w:ascii="Times New Roman" w:hAnsi="Times New Roman" w:cs="Times New Roman"/>
          <w:b/>
        </w:rPr>
        <w:lastRenderedPageBreak/>
        <w:t>I</w:t>
      </w:r>
      <w:r>
        <w:rPr>
          <w:rFonts w:ascii="Times New Roman" w:hAnsi="Times New Roman" w:cs="Times New Roman"/>
          <w:b/>
        </w:rPr>
        <w:t>ntroduction</w:t>
      </w:r>
    </w:p>
    <w:p w14:paraId="3BF8CD8E" w14:textId="77777777" w:rsidR="00F3683A" w:rsidRPr="00F3683A" w:rsidRDefault="00F3683A" w:rsidP="00F3683A">
      <w:pPr>
        <w:rPr>
          <w:rFonts w:ascii="Times New Roman" w:hAnsi="Times New Roman" w:cs="Times New Roman"/>
        </w:rPr>
      </w:pPr>
    </w:p>
    <w:p w14:paraId="6288D4AE" w14:textId="25E806FF" w:rsidR="00AE4B0D" w:rsidRPr="00AE4B0D" w:rsidRDefault="00F3683A" w:rsidP="00AE4B0D">
      <w:pPr>
        <w:spacing w:line="480" w:lineRule="auto"/>
        <w:rPr>
          <w:rFonts w:ascii="Times New Roman" w:eastAsia="Calibri" w:hAnsi="Times New Roman" w:cs="Times New Roman"/>
        </w:rPr>
      </w:pPr>
      <w:r w:rsidRPr="00F3683A">
        <w:rPr>
          <w:rFonts w:ascii="Times New Roman" w:hAnsi="Times New Roman" w:cs="Times New Roman"/>
        </w:rPr>
        <w:tab/>
      </w:r>
      <w:r w:rsidR="00AE4B0D" w:rsidRPr="00AE4B0D">
        <w:rPr>
          <w:rFonts w:ascii="Times New Roman" w:eastAsia="Calibri" w:hAnsi="Times New Roman" w:cs="Times New Roman"/>
        </w:rPr>
        <w:t xml:space="preserve">Research on institutions and organizations has chronicled how government policy can significantly affect firms by facilitating access to resources (Sine and Lee, 2009; York, </w:t>
      </w:r>
      <w:proofErr w:type="spellStart"/>
      <w:r w:rsidR="00AE4B0D" w:rsidRPr="00AE4B0D">
        <w:rPr>
          <w:rFonts w:ascii="Times New Roman" w:eastAsia="Calibri" w:hAnsi="Times New Roman" w:cs="Times New Roman"/>
        </w:rPr>
        <w:t>Vedula</w:t>
      </w:r>
      <w:proofErr w:type="spellEnd"/>
      <w:r w:rsidR="00AE4B0D" w:rsidRPr="00AE4B0D">
        <w:rPr>
          <w:rFonts w:ascii="Times New Roman" w:eastAsia="Calibri" w:hAnsi="Times New Roman" w:cs="Times New Roman"/>
        </w:rPr>
        <w:t xml:space="preserve"> and Lenox, 2018; </w:t>
      </w:r>
      <w:proofErr w:type="spellStart"/>
      <w:r w:rsidR="00AE4B0D" w:rsidRPr="00AE4B0D">
        <w:rPr>
          <w:rFonts w:ascii="Times New Roman" w:eastAsia="Calibri" w:hAnsi="Times New Roman" w:cs="Times New Roman"/>
        </w:rPr>
        <w:t>Georgallis</w:t>
      </w:r>
      <w:proofErr w:type="spellEnd"/>
      <w:r w:rsidR="00AE4B0D" w:rsidRPr="00AE4B0D">
        <w:rPr>
          <w:rFonts w:ascii="Times New Roman" w:eastAsia="Calibri" w:hAnsi="Times New Roman" w:cs="Times New Roman"/>
        </w:rPr>
        <w:t xml:space="preserve">, Durand and Dowell, 2018), shaping market competition (Sine, </w:t>
      </w:r>
      <w:proofErr w:type="spellStart"/>
      <w:r w:rsidR="00AE4B0D" w:rsidRPr="00AE4B0D">
        <w:rPr>
          <w:rFonts w:ascii="Times New Roman" w:eastAsia="Calibri" w:hAnsi="Times New Roman" w:cs="Times New Roman"/>
        </w:rPr>
        <w:t>Haveman</w:t>
      </w:r>
      <w:proofErr w:type="spellEnd"/>
      <w:r w:rsidR="00AE4B0D" w:rsidRPr="00AE4B0D">
        <w:rPr>
          <w:rFonts w:ascii="Times New Roman" w:eastAsia="Calibri" w:hAnsi="Times New Roman" w:cs="Times New Roman"/>
        </w:rPr>
        <w:t xml:space="preserve"> and Tolbert, 2005), and enacting rules and standards that regulate organizational behavior (Lee, Hiatt, and Lounsbury, 2017; Hoffman, 1999). In turn, a large body of research particularly in the realm of environmental policy has focused on whether and when firms should take costly actions to comply with regulatory changes in order to maintain a competitive advantage (Hiatt, Grandy, and Lee, 2015; Maxwell, Lyon, and Hackett, 2000; Li and Zhou, 2017). This can be difficult, however, because the effect of government regulations on firms can be unpredictable: Some policies are strictly enforced while others are only symbolically implemented or sometimes ignored (</w:t>
      </w:r>
      <w:proofErr w:type="spellStart"/>
      <w:r w:rsidR="00AE4B0D" w:rsidRPr="00AE4B0D">
        <w:rPr>
          <w:rFonts w:ascii="Times New Roman" w:eastAsia="Calibri" w:hAnsi="Times New Roman" w:cs="Times New Roman"/>
        </w:rPr>
        <w:t>Shimshack</w:t>
      </w:r>
      <w:proofErr w:type="spellEnd"/>
      <w:r w:rsidR="00AE4B0D" w:rsidRPr="00AE4B0D">
        <w:rPr>
          <w:rFonts w:ascii="Times New Roman" w:eastAsia="Calibri" w:hAnsi="Times New Roman" w:cs="Times New Roman"/>
        </w:rPr>
        <w:t>, 2014; Edelman, 1992). Much of this confusion derives from our limited understanding of the conditions that influence how bureaucratic officials interpret and implement policy, leaving administrative agencies a ‘black box’ (Hiatt and Park, 2013</w:t>
      </w:r>
      <w:r w:rsidR="00C47768">
        <w:rPr>
          <w:rFonts w:ascii="Times New Roman" w:eastAsia="Calibri" w:hAnsi="Times New Roman" w:cs="Times New Roman"/>
        </w:rPr>
        <w:t>)</w:t>
      </w:r>
      <w:r w:rsidR="00AE4B0D" w:rsidRPr="00AE4B0D">
        <w:rPr>
          <w:rFonts w:ascii="Times New Roman" w:eastAsia="Calibri" w:hAnsi="Times New Roman" w:cs="Times New Roman"/>
        </w:rPr>
        <w:t xml:space="preserve">. </w:t>
      </w:r>
    </w:p>
    <w:p w14:paraId="365414F1" w14:textId="26F957F4" w:rsidR="00AE4B0D" w:rsidRPr="00AE4B0D" w:rsidRDefault="00AE4B0D" w:rsidP="00AE4B0D">
      <w:pPr>
        <w:spacing w:line="480" w:lineRule="auto"/>
        <w:rPr>
          <w:rFonts w:ascii="Times New Roman" w:eastAsia="Calibri" w:hAnsi="Times New Roman" w:cs="Times New Roman"/>
        </w:rPr>
      </w:pPr>
      <w:r w:rsidRPr="00AE4B0D">
        <w:rPr>
          <w:rFonts w:ascii="Times New Roman" w:eastAsia="Calibri" w:hAnsi="Times New Roman" w:cs="Times New Roman"/>
        </w:rPr>
        <w:tab/>
        <w:t xml:space="preserve">Recently, scholars have begun to tackle this issue with a few studies showing that government-agency decision making is responsive to threats to agency reputation and legitimacy (Carpenter, 2001), as well as to the amount of regulatory discretion granted to agency officials (Grandy and Hiatt, 2018). Yet, research in this area is far from complete, and we know very little about the intentions of regulators to strictly enforce policy on one hand or to delay, diverge, and disregard it on the other. This is particularly important for firms given that </w:t>
      </w:r>
      <w:r w:rsidRPr="00AE4B0D">
        <w:rPr>
          <w:rFonts w:ascii="Times New Roman" w:eastAsia="Calibri" w:hAnsi="Times New Roman" w:cs="Times New Roman"/>
          <w:iCs/>
          <w:color w:val="0C000F"/>
        </w:rPr>
        <w:t xml:space="preserve">regulations can fundamentally transform the competitive landscape and significantly impact future financial performance (Kolk &amp; </w:t>
      </w:r>
      <w:proofErr w:type="spellStart"/>
      <w:r w:rsidRPr="00AE4B0D">
        <w:rPr>
          <w:rFonts w:ascii="Times New Roman" w:eastAsia="Calibri" w:hAnsi="Times New Roman" w:cs="Times New Roman"/>
          <w:iCs/>
          <w:color w:val="0C000F"/>
        </w:rPr>
        <w:t>Pinske</w:t>
      </w:r>
      <w:proofErr w:type="spellEnd"/>
      <w:r w:rsidRPr="00AE4B0D">
        <w:rPr>
          <w:rFonts w:ascii="Times New Roman" w:eastAsia="Calibri" w:hAnsi="Times New Roman" w:cs="Times New Roman"/>
          <w:iCs/>
          <w:color w:val="0C000F"/>
        </w:rPr>
        <w:t xml:space="preserve">, 2005). Investments in compliance with expected regulatory </w:t>
      </w:r>
      <w:r w:rsidRPr="00AE4B0D">
        <w:rPr>
          <w:rFonts w:ascii="Times New Roman" w:eastAsia="Calibri" w:hAnsi="Times New Roman" w:cs="Times New Roman"/>
          <w:iCs/>
          <w:color w:val="0C000F"/>
        </w:rPr>
        <w:lastRenderedPageBreak/>
        <w:t>changes could establish a first-mover advantage in a market position that differentiates the firm based on commitment to noneconomic objectives such as environmental sustainability (Hoffman, 2005). Most importantly for firms in regulated industries, taking proactive actions helps firms build political resources and capabilities to influence the course of regulatory development in their favor, and build resources and capabilities to comply with regulatory changes (</w:t>
      </w:r>
      <w:r w:rsidRPr="00AE4B0D">
        <w:rPr>
          <w:rFonts w:ascii="Times New Roman" w:eastAsia="Calibri" w:hAnsi="Times New Roman" w:cs="Times New Roman"/>
          <w:iCs/>
          <w:color w:val="000000"/>
        </w:rPr>
        <w:t>Aragon-</w:t>
      </w:r>
      <w:r w:rsidRPr="00AE4B0D">
        <w:rPr>
          <w:rFonts w:ascii="Times New Roman" w:eastAsia="Times New Roman" w:hAnsi="Times New Roman" w:cs="Times New Roman"/>
          <w:color w:val="000000"/>
        </w:rPr>
        <w:t>Correa &amp; Sharma, 2003</w:t>
      </w:r>
      <w:r w:rsidRPr="00AE4B0D">
        <w:rPr>
          <w:rFonts w:ascii="Times New Roman" w:eastAsia="Calibri" w:hAnsi="Times New Roman" w:cs="Times New Roman"/>
          <w:iCs/>
          <w:color w:val="0C000F"/>
        </w:rPr>
        <w:t xml:space="preserve">). In contrast, regulatory uncertainty reduces investment as firms take a wait-and-see approach. </w:t>
      </w:r>
    </w:p>
    <w:p w14:paraId="52B43372" w14:textId="68E07C16" w:rsidR="00AE4B0D" w:rsidRPr="00AE4B0D" w:rsidRDefault="00AE4B0D" w:rsidP="00AE4B0D">
      <w:pPr>
        <w:spacing w:line="480" w:lineRule="auto"/>
        <w:ind w:firstLine="720"/>
        <w:rPr>
          <w:rFonts w:ascii="Times New Roman" w:eastAsia="Calibri" w:hAnsi="Times New Roman" w:cs="Times New Roman"/>
        </w:rPr>
      </w:pPr>
      <w:r w:rsidRPr="00AE4B0D">
        <w:rPr>
          <w:rFonts w:ascii="Times New Roman" w:eastAsia="Calibri" w:hAnsi="Times New Roman" w:cs="Times New Roman"/>
        </w:rPr>
        <w:t xml:space="preserve">We seek to address this limitation by bringing the administrative state center stage and exploring the factors that lead a regulatory agency to signal the degree to which it plans to </w:t>
      </w:r>
      <w:r w:rsidR="005E3504">
        <w:rPr>
          <w:rFonts w:ascii="Times New Roman" w:eastAsia="Calibri" w:hAnsi="Times New Roman" w:cs="Times New Roman"/>
        </w:rPr>
        <w:t>execute</w:t>
      </w:r>
      <w:r w:rsidRPr="00AE4B0D">
        <w:rPr>
          <w:rFonts w:ascii="Times New Roman" w:eastAsia="Calibri" w:hAnsi="Times New Roman" w:cs="Times New Roman"/>
        </w:rPr>
        <w:t xml:space="preserve"> a new policy. We suggest that agencies concern over their resources motivates them to signal implementation intentions in an effort to reduce uncertainty surrounding future budgets. Specifically, we argue that the more agencies </w:t>
      </w:r>
      <w:r w:rsidR="008B742A">
        <w:rPr>
          <w:rFonts w:ascii="Times New Roman" w:eastAsia="Calibri" w:hAnsi="Times New Roman" w:cs="Times New Roman"/>
        </w:rPr>
        <w:t>believe that their budgets are at risk by</w:t>
      </w:r>
      <w:r w:rsidRPr="00AE4B0D">
        <w:rPr>
          <w:rFonts w:ascii="Times New Roman" w:eastAsia="Calibri" w:hAnsi="Times New Roman" w:cs="Times New Roman"/>
        </w:rPr>
        <w:t xml:space="preserve"> </w:t>
      </w:r>
      <w:r w:rsidR="009B00E9">
        <w:rPr>
          <w:rFonts w:ascii="Times New Roman" w:eastAsia="Calibri" w:hAnsi="Times New Roman" w:cs="Times New Roman"/>
        </w:rPr>
        <w:t>political principals</w:t>
      </w:r>
      <w:r w:rsidRPr="00AE4B0D">
        <w:rPr>
          <w:rFonts w:ascii="Times New Roman" w:eastAsia="Calibri" w:hAnsi="Times New Roman" w:cs="Times New Roman"/>
        </w:rPr>
        <w:t xml:space="preserve"> that favor the policy, the more they are likely to publicly signal their intentions to enforce the policy</w:t>
      </w:r>
      <w:r w:rsidR="00EB30C2">
        <w:rPr>
          <w:rFonts w:ascii="Times New Roman" w:eastAsia="Calibri" w:hAnsi="Times New Roman" w:cs="Times New Roman"/>
        </w:rPr>
        <w:t xml:space="preserve"> in an effort to appease the principals and reduce the risk</w:t>
      </w:r>
      <w:r w:rsidRPr="00AE4B0D">
        <w:rPr>
          <w:rFonts w:ascii="Times New Roman" w:eastAsia="Calibri" w:hAnsi="Times New Roman" w:cs="Times New Roman"/>
        </w:rPr>
        <w:t xml:space="preserve">, and that this effect is moderated by pressures from local </w:t>
      </w:r>
      <w:r w:rsidR="005F02C9">
        <w:rPr>
          <w:rFonts w:ascii="Times New Roman" w:eastAsia="Calibri" w:hAnsi="Times New Roman" w:cs="Times New Roman"/>
        </w:rPr>
        <w:t>civil society groups that monitor the agency</w:t>
      </w:r>
      <w:r w:rsidRPr="00AE4B0D">
        <w:rPr>
          <w:rFonts w:ascii="Times New Roman" w:eastAsia="Calibri" w:hAnsi="Times New Roman" w:cs="Times New Roman"/>
        </w:rPr>
        <w:t xml:space="preserve"> and by the agency’s capacity to </w:t>
      </w:r>
      <w:r w:rsidR="00A33AD6">
        <w:rPr>
          <w:rFonts w:ascii="Times New Roman" w:eastAsia="Calibri" w:hAnsi="Times New Roman" w:cs="Times New Roman"/>
        </w:rPr>
        <w:t>implement</w:t>
      </w:r>
      <w:r w:rsidRPr="00AE4B0D">
        <w:rPr>
          <w:rFonts w:ascii="Times New Roman" w:eastAsia="Calibri" w:hAnsi="Times New Roman" w:cs="Times New Roman"/>
        </w:rPr>
        <w:t xml:space="preserve"> the new law (</w:t>
      </w:r>
      <w:proofErr w:type="spellStart"/>
      <w:r w:rsidRPr="00AE4B0D">
        <w:rPr>
          <w:rFonts w:ascii="Times New Roman" w:eastAsia="Calibri" w:hAnsi="Times New Roman" w:cs="Times New Roman"/>
        </w:rPr>
        <w:t>Skocpol</w:t>
      </w:r>
      <w:proofErr w:type="spellEnd"/>
      <w:r w:rsidRPr="00AE4B0D">
        <w:rPr>
          <w:rFonts w:ascii="Times New Roman" w:eastAsia="Calibri" w:hAnsi="Times New Roman" w:cs="Times New Roman"/>
        </w:rPr>
        <w:t xml:space="preserve"> and </w:t>
      </w:r>
      <w:proofErr w:type="spellStart"/>
      <w:r w:rsidRPr="00AE4B0D">
        <w:rPr>
          <w:rFonts w:ascii="Times New Roman" w:eastAsia="Calibri" w:hAnsi="Times New Roman" w:cs="Times New Roman"/>
        </w:rPr>
        <w:t>Finegold</w:t>
      </w:r>
      <w:proofErr w:type="spellEnd"/>
      <w:r w:rsidRPr="00AE4B0D">
        <w:rPr>
          <w:rFonts w:ascii="Times New Roman" w:eastAsia="Calibri" w:hAnsi="Times New Roman" w:cs="Times New Roman"/>
        </w:rPr>
        <w:t xml:space="preserve">, 1982). In turn, we propose that firms will interpret these intentions as signals of future enforcement and will alter their investments and strategy in accordance </w:t>
      </w:r>
      <w:r w:rsidR="00495D4F">
        <w:rPr>
          <w:rFonts w:ascii="Times New Roman" w:eastAsia="Calibri" w:hAnsi="Times New Roman" w:cs="Times New Roman"/>
        </w:rPr>
        <w:t>with</w:t>
      </w:r>
      <w:r w:rsidR="00495D4F" w:rsidRPr="00AE4B0D">
        <w:rPr>
          <w:rFonts w:ascii="Times New Roman" w:eastAsia="Calibri" w:hAnsi="Times New Roman" w:cs="Times New Roman"/>
        </w:rPr>
        <w:t xml:space="preserve"> </w:t>
      </w:r>
      <w:r w:rsidRPr="00AE4B0D">
        <w:rPr>
          <w:rFonts w:ascii="Times New Roman" w:eastAsia="Calibri" w:hAnsi="Times New Roman" w:cs="Times New Roman"/>
        </w:rPr>
        <w:t xml:space="preserve">the new policy. </w:t>
      </w:r>
    </w:p>
    <w:p w14:paraId="66268AB5" w14:textId="77777777" w:rsidR="00AE4B0D" w:rsidRPr="00AE4B0D" w:rsidRDefault="00AE4B0D" w:rsidP="00AE4B0D">
      <w:pPr>
        <w:spacing w:line="480" w:lineRule="auto"/>
        <w:ind w:firstLine="720"/>
        <w:rPr>
          <w:rFonts w:ascii="Times New Roman" w:eastAsia="Calibri" w:hAnsi="Times New Roman" w:cs="Times New Roman"/>
        </w:rPr>
      </w:pPr>
      <w:r w:rsidRPr="00AE4B0D">
        <w:rPr>
          <w:rFonts w:ascii="Times New Roman" w:eastAsia="Calibri" w:hAnsi="Times New Roman" w:cs="Times New Roman"/>
        </w:rPr>
        <w:t xml:space="preserve">We test these hypotheses using financial and emissions information for electric power generation firms in the European Union (EU) during the early stages of EU climate change regulation. This context is appropriate to test our theory about firms’ strategic response to regulatory uncertainty for three reasons. First, during our sample period, firms in the EU faced great uncertainty in the enforcement of environmental regulations. The resolution at the EU level </w:t>
      </w:r>
      <w:r w:rsidRPr="00AE4B0D">
        <w:rPr>
          <w:rFonts w:ascii="Times New Roman" w:eastAsia="Calibri" w:hAnsi="Times New Roman" w:cs="Times New Roman"/>
        </w:rPr>
        <w:lastRenderedPageBreak/>
        <w:t>for strict control over greenhouse gas (GHG) emissions was compromised by a high level of ambiguity within each member country in terms of the timing and enforcement of actual emissions caps. Second, EU member countries differed significantly in their dependence on EU funding, which was often contingent upon the countries’ commitment to implement the EU’s policies and goals, including environmental policies. Finally, our detailed information about firms’ energy sources, financial resources, and competitive environment allows us to study firms’ heterogeneous responses to regulatory uncertainty.</w:t>
      </w:r>
    </w:p>
    <w:p w14:paraId="6FA429FA" w14:textId="0CA43484" w:rsidR="00AE4B0D" w:rsidRPr="007F3C48" w:rsidRDefault="00AE4B0D" w:rsidP="008E5EF8">
      <w:pPr>
        <w:spacing w:line="480" w:lineRule="auto"/>
        <w:ind w:firstLine="720"/>
        <w:rPr>
          <w:rFonts w:ascii="Times New Roman" w:eastAsia="Calibri" w:hAnsi="Times New Roman" w:cs="Times New Roman"/>
          <w:iCs/>
          <w:color w:val="0C000F"/>
        </w:rPr>
      </w:pPr>
      <w:r w:rsidRPr="00AE4B0D">
        <w:rPr>
          <w:rFonts w:ascii="Times New Roman" w:eastAsia="Calibri" w:hAnsi="Times New Roman" w:cs="Times New Roman"/>
        </w:rPr>
        <w:t>This paper contributes to several strands of literature. First</w:t>
      </w:r>
      <w:r w:rsidRPr="00AE4B0D">
        <w:rPr>
          <w:rFonts w:ascii="Times New Roman" w:eastAsia="Calibri" w:hAnsi="Times New Roman" w:cs="Times New Roman"/>
          <w:iCs/>
          <w:color w:val="0C000F"/>
        </w:rPr>
        <w:t>, it extends the literature on firm response to regulatory uncertainty</w:t>
      </w:r>
      <w:r w:rsidR="00FE6BD0">
        <w:rPr>
          <w:rFonts w:ascii="Times New Roman" w:eastAsia="Calibri" w:hAnsi="Times New Roman" w:cs="Times New Roman"/>
          <w:iCs/>
          <w:color w:val="0C000F"/>
        </w:rPr>
        <w:t xml:space="preserve"> by showing how firms </w:t>
      </w:r>
      <w:r w:rsidR="008E5EF8">
        <w:rPr>
          <w:rFonts w:ascii="Times New Roman" w:eastAsia="Calibri" w:hAnsi="Times New Roman" w:cs="Times New Roman"/>
          <w:iCs/>
          <w:color w:val="0C000F"/>
        </w:rPr>
        <w:t xml:space="preserve">respond to new policies by looking to regulatory agencies’ signals of enforcement intent. </w:t>
      </w:r>
      <w:r w:rsidRPr="00AE4B0D">
        <w:rPr>
          <w:rFonts w:ascii="Times New Roman" w:eastAsia="Calibri" w:hAnsi="Times New Roman" w:cs="Times New Roman"/>
          <w:iCs/>
          <w:color w:val="0C000F"/>
        </w:rPr>
        <w:t>Second, policy makers have</w:t>
      </w:r>
      <w:r w:rsidRPr="00AE4B0D">
        <w:rPr>
          <w:rFonts w:ascii="Times New Roman" w:eastAsia="Calibri" w:hAnsi="Times New Roman" w:cs="Times New Roman"/>
        </w:rPr>
        <w:t xml:space="preserve"> called for international collaboration to address global environmental issues </w:t>
      </w:r>
      <w:r w:rsidRPr="00AE4B0D">
        <w:rPr>
          <w:rFonts w:ascii="Times New Roman" w:eastAsia="Calibri" w:hAnsi="Times New Roman" w:cs="Times New Roman"/>
          <w:noProof/>
        </w:rPr>
        <w:t xml:space="preserve">(Keller and Levinson 2002; </w:t>
      </w:r>
      <w:proofErr w:type="spellStart"/>
      <w:r w:rsidRPr="00AE4B0D">
        <w:rPr>
          <w:rFonts w:ascii="Times New Roman" w:eastAsia="Calibri" w:hAnsi="Times New Roman" w:cs="Times New Roman"/>
        </w:rPr>
        <w:t>Doh</w:t>
      </w:r>
      <w:proofErr w:type="spellEnd"/>
      <w:r w:rsidRPr="00AE4B0D">
        <w:rPr>
          <w:rFonts w:ascii="Times New Roman" w:eastAsia="Calibri" w:hAnsi="Times New Roman" w:cs="Times New Roman"/>
        </w:rPr>
        <w:t xml:space="preserve"> et al. 2018), yet how these collaborations may in practice translate to firms’ environmental strategies has been less explored. By relating firms’ </w:t>
      </w:r>
      <w:r w:rsidRPr="00AE4B0D">
        <w:rPr>
          <w:rFonts w:ascii="Times New Roman" w:eastAsia="Calibri" w:hAnsi="Times New Roman" w:cs="Times New Roman"/>
          <w:iCs/>
          <w:color w:val="0C000F"/>
        </w:rPr>
        <w:t xml:space="preserve">environmental strategies to their country’s political and economic coalitions, we complement recent efforts to place firms’ environmental strategies in a global setting </w:t>
      </w:r>
      <w:r w:rsidRPr="00AE4B0D">
        <w:rPr>
          <w:rFonts w:ascii="Times New Roman" w:eastAsia="Calibri" w:hAnsi="Times New Roman" w:cs="Times New Roman"/>
          <w:iCs/>
          <w:noProof/>
          <w:color w:val="0C000F"/>
        </w:rPr>
        <w:t>(Ioannou and Serafeim 2012; Li and Zhou 2017)</w:t>
      </w:r>
      <w:r w:rsidRPr="00AE4B0D">
        <w:rPr>
          <w:rFonts w:ascii="Times New Roman" w:eastAsia="Calibri" w:hAnsi="Times New Roman" w:cs="Times New Roman"/>
          <w:iCs/>
          <w:color w:val="0C000F"/>
        </w:rPr>
        <w:t>.</w:t>
      </w:r>
    </w:p>
    <w:p w14:paraId="07EB4F10" w14:textId="77777777" w:rsidR="00AE4B0D" w:rsidRPr="00AE4B0D" w:rsidRDefault="00AE4B0D" w:rsidP="00AE4B0D">
      <w:pPr>
        <w:spacing w:line="480" w:lineRule="auto"/>
        <w:jc w:val="center"/>
        <w:rPr>
          <w:rFonts w:ascii="Times New Roman" w:eastAsia="Calibri" w:hAnsi="Times New Roman" w:cs="Times New Roman"/>
          <w:b/>
        </w:rPr>
      </w:pPr>
      <w:r w:rsidRPr="00AE4B0D">
        <w:rPr>
          <w:rFonts w:ascii="Times New Roman" w:eastAsia="Calibri" w:hAnsi="Times New Roman" w:cs="Times New Roman"/>
          <w:b/>
        </w:rPr>
        <w:t xml:space="preserve">THEORY </w:t>
      </w:r>
      <w:r w:rsidRPr="00AE4B0D">
        <w:rPr>
          <w:rFonts w:ascii="Times New Roman" w:eastAsia="Calibri" w:hAnsi="Times New Roman" w:cs="Times New Roman"/>
          <w:b/>
        </w:rPr>
        <w:tab/>
      </w:r>
    </w:p>
    <w:p w14:paraId="6944DA5F" w14:textId="77777777" w:rsidR="00AE4B0D" w:rsidRPr="00AE4B0D" w:rsidRDefault="00AE4B0D" w:rsidP="00AE4B0D">
      <w:pPr>
        <w:spacing w:line="480" w:lineRule="auto"/>
        <w:rPr>
          <w:rFonts w:ascii="Times New Roman" w:eastAsia="Calibri" w:hAnsi="Times New Roman" w:cs="Times New Roman"/>
          <w:b/>
        </w:rPr>
      </w:pPr>
      <w:r w:rsidRPr="00AE4B0D">
        <w:rPr>
          <w:rFonts w:ascii="Times New Roman" w:eastAsia="Calibri" w:hAnsi="Times New Roman" w:cs="Times New Roman"/>
          <w:b/>
        </w:rPr>
        <w:t>Government Agency Signaling</w:t>
      </w:r>
    </w:p>
    <w:p w14:paraId="117A6C3F" w14:textId="77777777" w:rsidR="00AE4B0D" w:rsidRPr="00AE4B0D" w:rsidRDefault="00AE4B0D" w:rsidP="00AE4B0D">
      <w:pPr>
        <w:spacing w:line="480" w:lineRule="auto"/>
        <w:ind w:firstLine="720"/>
        <w:rPr>
          <w:rFonts w:ascii="Times New Roman" w:eastAsia="Calibri" w:hAnsi="Times New Roman" w:cs="Times New Roman"/>
        </w:rPr>
      </w:pPr>
      <w:r w:rsidRPr="00AE4B0D">
        <w:rPr>
          <w:rFonts w:ascii="Times New Roman" w:eastAsia="Calibri" w:hAnsi="Times New Roman" w:cs="Times New Roman"/>
        </w:rPr>
        <w:t>Regulatory uncertainty is a major challenge for business. Regulatory delays are prevalent (</w:t>
      </w:r>
      <w:proofErr w:type="spellStart"/>
      <w:r w:rsidRPr="00AE4B0D">
        <w:rPr>
          <w:rFonts w:ascii="Times New Roman" w:eastAsia="Calibri" w:hAnsi="Times New Roman" w:cs="Times New Roman"/>
        </w:rPr>
        <w:t>Lavertu</w:t>
      </w:r>
      <w:proofErr w:type="spellEnd"/>
      <w:r w:rsidRPr="00AE4B0D">
        <w:rPr>
          <w:rFonts w:ascii="Times New Roman" w:eastAsia="Calibri" w:hAnsi="Times New Roman" w:cs="Times New Roman"/>
        </w:rPr>
        <w:t xml:space="preserve"> &amp; </w:t>
      </w:r>
      <w:proofErr w:type="spellStart"/>
      <w:r w:rsidRPr="00AE4B0D">
        <w:rPr>
          <w:rFonts w:ascii="Times New Roman" w:eastAsia="Calibri" w:hAnsi="Times New Roman" w:cs="Times New Roman"/>
        </w:rPr>
        <w:t>Yackee</w:t>
      </w:r>
      <w:proofErr w:type="spellEnd"/>
      <w:r w:rsidRPr="00AE4B0D">
        <w:rPr>
          <w:rFonts w:ascii="Times New Roman" w:eastAsia="Calibri" w:hAnsi="Times New Roman" w:cs="Times New Roman"/>
        </w:rPr>
        <w:t xml:space="preserve">, 2014), and regulators’ stance on an issue may evolve over time, resulting in </w:t>
      </w:r>
      <w:r w:rsidRPr="00AE4B0D">
        <w:rPr>
          <w:rFonts w:ascii="Times New Roman" w:eastAsia="Calibri" w:hAnsi="Times New Roman" w:cs="Times New Roman"/>
          <w:iCs/>
          <w:color w:val="0C000F"/>
        </w:rPr>
        <w:t>changes in regulatory directions (</w:t>
      </w:r>
      <w:r w:rsidRPr="00AE4B0D">
        <w:rPr>
          <w:rFonts w:ascii="Times New Roman" w:eastAsia="Calibri" w:hAnsi="Times New Roman" w:cs="Times New Roman"/>
        </w:rPr>
        <w:t xml:space="preserve">Marcus &amp; Kaufman, 1986; </w:t>
      </w:r>
      <w:r w:rsidRPr="00AE4B0D">
        <w:rPr>
          <w:rFonts w:ascii="Times New Roman" w:eastAsia="Calibri" w:hAnsi="Times New Roman" w:cs="Times New Roman"/>
          <w:noProof/>
        </w:rPr>
        <w:t>Fabrizio 2013)</w:t>
      </w:r>
      <w:r w:rsidRPr="00AE4B0D">
        <w:rPr>
          <w:rFonts w:ascii="Times New Roman" w:eastAsia="Calibri" w:hAnsi="Times New Roman" w:cs="Times New Roman"/>
        </w:rPr>
        <w:t xml:space="preserve">. Even with set regulations, there can be wide variation in interpretation, application, and enforcement (Marcus, 1981; </w:t>
      </w:r>
      <w:proofErr w:type="spellStart"/>
      <w:r w:rsidRPr="00AE4B0D">
        <w:rPr>
          <w:rFonts w:ascii="Times New Roman" w:eastAsia="Calibri" w:hAnsi="Times New Roman" w:cs="Times New Roman"/>
        </w:rPr>
        <w:t>Skocpol</w:t>
      </w:r>
      <w:proofErr w:type="spellEnd"/>
      <w:r w:rsidRPr="00AE4B0D">
        <w:rPr>
          <w:rFonts w:ascii="Times New Roman" w:eastAsia="Calibri" w:hAnsi="Times New Roman" w:cs="Times New Roman"/>
        </w:rPr>
        <w:t xml:space="preserve">, 1985). One of the reasons it is difficult for firms to forecast </w:t>
      </w:r>
      <w:r w:rsidRPr="00AE4B0D">
        <w:rPr>
          <w:rFonts w:ascii="Times New Roman" w:eastAsia="Calibri" w:hAnsi="Times New Roman" w:cs="Times New Roman"/>
          <w:iCs/>
          <w:color w:val="0C000F"/>
        </w:rPr>
        <w:t xml:space="preserve">the likelihood of actual regulatory implementation is because of the principal-agent relationship between elected </w:t>
      </w:r>
      <w:r w:rsidRPr="00AE4B0D">
        <w:rPr>
          <w:rFonts w:ascii="Times New Roman" w:eastAsia="Calibri" w:hAnsi="Times New Roman" w:cs="Times New Roman"/>
          <w:iCs/>
          <w:color w:val="0C000F"/>
        </w:rPr>
        <w:lastRenderedPageBreak/>
        <w:t xml:space="preserve">officials and regulatory officials (Sabatier and </w:t>
      </w:r>
      <w:proofErr w:type="spellStart"/>
      <w:r w:rsidRPr="00AE4B0D">
        <w:rPr>
          <w:rFonts w:ascii="Times New Roman" w:eastAsia="Calibri" w:hAnsi="Times New Roman" w:cs="Times New Roman"/>
          <w:iCs/>
          <w:color w:val="0C000F"/>
        </w:rPr>
        <w:t>Mazmanian</w:t>
      </w:r>
      <w:proofErr w:type="spellEnd"/>
      <w:r w:rsidRPr="00AE4B0D">
        <w:rPr>
          <w:rFonts w:ascii="Times New Roman" w:eastAsia="Calibri" w:hAnsi="Times New Roman" w:cs="Times New Roman"/>
          <w:iCs/>
          <w:color w:val="0C000F"/>
        </w:rPr>
        <w:t xml:space="preserve">, 1980; Edelman, 1992; Kiser, 1999). </w:t>
      </w:r>
      <w:r w:rsidRPr="00AE4B0D">
        <w:rPr>
          <w:rFonts w:ascii="Times New Roman" w:eastAsia="Calibri" w:hAnsi="Times New Roman" w:cs="Times New Roman"/>
        </w:rPr>
        <w:t xml:space="preserve">Regulatory agencies, as agents of elected officials who write public policies, are generally staffed with technical experts who possess more complete information about the subject matter of policies than the elected officials who write them (Huber and </w:t>
      </w:r>
      <w:proofErr w:type="spellStart"/>
      <w:r w:rsidRPr="00AE4B0D">
        <w:rPr>
          <w:rFonts w:ascii="Times New Roman" w:eastAsia="Calibri" w:hAnsi="Times New Roman" w:cs="Times New Roman"/>
        </w:rPr>
        <w:t>Shipan</w:t>
      </w:r>
      <w:proofErr w:type="spellEnd"/>
      <w:r w:rsidRPr="00AE4B0D">
        <w:rPr>
          <w:rFonts w:ascii="Times New Roman" w:eastAsia="Calibri" w:hAnsi="Times New Roman" w:cs="Times New Roman"/>
        </w:rPr>
        <w:t>, 2002). Because writing detailed public policy takes time and effort away from campaign activities and other responsibilities, elected officials tend to write policies with vague goals and broad mandates and delegate decisions about implementation to regulatory agencies so that they may be implemented in a more appropriate and effective manner (</w:t>
      </w:r>
      <w:proofErr w:type="spellStart"/>
      <w:r w:rsidRPr="00AE4B0D">
        <w:rPr>
          <w:rFonts w:ascii="Times New Roman" w:eastAsia="Calibri" w:hAnsi="Times New Roman" w:cs="Times New Roman"/>
        </w:rPr>
        <w:t>Skocpol</w:t>
      </w:r>
      <w:proofErr w:type="spellEnd"/>
      <w:r w:rsidRPr="00AE4B0D">
        <w:rPr>
          <w:rFonts w:ascii="Times New Roman" w:eastAsia="Calibri" w:hAnsi="Times New Roman" w:cs="Times New Roman"/>
        </w:rPr>
        <w:t xml:space="preserve"> and </w:t>
      </w:r>
      <w:proofErr w:type="spellStart"/>
      <w:r w:rsidRPr="00AE4B0D">
        <w:rPr>
          <w:rFonts w:ascii="Times New Roman" w:eastAsia="Calibri" w:hAnsi="Times New Roman" w:cs="Times New Roman"/>
        </w:rPr>
        <w:t>Finegold</w:t>
      </w:r>
      <w:proofErr w:type="spellEnd"/>
      <w:r w:rsidRPr="00AE4B0D">
        <w:rPr>
          <w:rFonts w:ascii="Times New Roman" w:eastAsia="Calibri" w:hAnsi="Times New Roman" w:cs="Times New Roman"/>
        </w:rPr>
        <w:t xml:space="preserve">, 1982). </w:t>
      </w:r>
    </w:p>
    <w:p w14:paraId="2097586C" w14:textId="77777777" w:rsidR="00AE4B0D" w:rsidRPr="00AE4B0D" w:rsidRDefault="00AE4B0D" w:rsidP="00AE4B0D">
      <w:pPr>
        <w:spacing w:line="480" w:lineRule="auto"/>
        <w:ind w:firstLine="720"/>
        <w:rPr>
          <w:rFonts w:ascii="Times New Roman" w:eastAsia="Calibri" w:hAnsi="Times New Roman" w:cs="Times New Roman"/>
        </w:rPr>
      </w:pPr>
      <w:r w:rsidRPr="00AE4B0D">
        <w:rPr>
          <w:rFonts w:ascii="Times New Roman" w:eastAsia="Calibri" w:hAnsi="Times New Roman" w:cs="Times New Roman"/>
        </w:rPr>
        <w:t>At the same time, it difficult for elected officials to effectively monitor their agents, especially when they have been granted significant discretion (</w:t>
      </w:r>
      <w:proofErr w:type="spellStart"/>
      <w:r w:rsidRPr="00AE4B0D">
        <w:rPr>
          <w:rFonts w:ascii="Times New Roman" w:eastAsia="Calibri" w:hAnsi="Times New Roman" w:cs="Times New Roman"/>
        </w:rPr>
        <w:t>Weingast</w:t>
      </w:r>
      <w:proofErr w:type="spellEnd"/>
      <w:r w:rsidRPr="00AE4B0D">
        <w:rPr>
          <w:rFonts w:ascii="Times New Roman" w:eastAsia="Calibri" w:hAnsi="Times New Roman" w:cs="Times New Roman"/>
        </w:rPr>
        <w:t>, 1984). This can allow for variation in policy enforcement, leading some agencies to strictly implement policy, and others to loosely enforce it or ignore it altogether. Because of the problems that politicians have in controlling bureaucracies, it is critical that firms look for signals from agencies themselves as to their intentions in implementing policy. Yet, management research has yet to investigate whether and when the administrative state will signal its intent to enforce newly passed and sometimes complex policies.</w:t>
      </w:r>
    </w:p>
    <w:p w14:paraId="6927EF2A" w14:textId="77777777" w:rsidR="00AE4B0D" w:rsidRPr="00AE4B0D" w:rsidRDefault="00AE4B0D" w:rsidP="00AE4B0D">
      <w:pPr>
        <w:spacing w:line="480" w:lineRule="auto"/>
        <w:ind w:firstLine="720"/>
        <w:rPr>
          <w:rFonts w:ascii="Times New Roman" w:eastAsia="Calibri" w:hAnsi="Times New Roman" w:cs="Times New Roman"/>
        </w:rPr>
      </w:pPr>
      <w:r w:rsidRPr="00AE4B0D">
        <w:rPr>
          <w:rFonts w:ascii="Times New Roman" w:eastAsia="Calibri" w:hAnsi="Times New Roman" w:cs="Times New Roman"/>
        </w:rPr>
        <w:t>We seek to address this limitation by bringing the administrative state center stage and exploring the factors that lead a regulatory agency to signal the degree to which it plans to prioritize implementation of a new policy. In order to understand whether administrative agencies will signal future intent, it is necessary to understand their preferences and incentives. Research in political science and public administration assert that bureaucrats generally seek to maximize the budget of the agency they control (</w:t>
      </w:r>
      <w:proofErr w:type="spellStart"/>
      <w:r w:rsidRPr="00AE4B0D">
        <w:rPr>
          <w:rFonts w:ascii="Times New Roman" w:eastAsia="Calibri" w:hAnsi="Times New Roman" w:cs="Times New Roman"/>
        </w:rPr>
        <w:t>Niskanen</w:t>
      </w:r>
      <w:proofErr w:type="spellEnd"/>
      <w:r w:rsidRPr="00AE4B0D">
        <w:rPr>
          <w:rFonts w:ascii="Times New Roman" w:eastAsia="Calibri" w:hAnsi="Times New Roman" w:cs="Times New Roman"/>
        </w:rPr>
        <w:t xml:space="preserve">, 1971). Any possibility of future budget adjustments may motivate agency employees to action to forestall resource curtailment </w:t>
      </w:r>
      <w:r w:rsidRPr="00AE4B0D">
        <w:rPr>
          <w:rFonts w:ascii="Times New Roman" w:eastAsia="Calibri" w:hAnsi="Times New Roman" w:cs="Times New Roman"/>
        </w:rPr>
        <w:lastRenderedPageBreak/>
        <w:t>(Carpenter, 2001; Hiatt &amp; Park, 2013). For instance, if elected officials pass a new policy but are displeased with what they believe is the agency’s efforts to implement the new policy, they may seek to cut that agency’s budgets the next year (</w:t>
      </w:r>
      <w:proofErr w:type="spellStart"/>
      <w:r w:rsidRPr="00AE4B0D">
        <w:rPr>
          <w:rFonts w:ascii="Times New Roman" w:eastAsia="Calibri" w:hAnsi="Times New Roman" w:cs="Times New Roman"/>
        </w:rPr>
        <w:t>Skocpol</w:t>
      </w:r>
      <w:proofErr w:type="spellEnd"/>
      <w:r w:rsidRPr="00AE4B0D">
        <w:rPr>
          <w:rFonts w:ascii="Times New Roman" w:eastAsia="Calibri" w:hAnsi="Times New Roman" w:cs="Times New Roman"/>
        </w:rPr>
        <w:t xml:space="preserve"> and </w:t>
      </w:r>
      <w:proofErr w:type="spellStart"/>
      <w:r w:rsidRPr="00AE4B0D">
        <w:rPr>
          <w:rFonts w:ascii="Times New Roman" w:eastAsia="Calibri" w:hAnsi="Times New Roman" w:cs="Times New Roman"/>
        </w:rPr>
        <w:t>Finegold</w:t>
      </w:r>
      <w:proofErr w:type="spellEnd"/>
      <w:r w:rsidRPr="00AE4B0D">
        <w:rPr>
          <w:rFonts w:ascii="Times New Roman" w:eastAsia="Calibri" w:hAnsi="Times New Roman" w:cs="Times New Roman"/>
        </w:rPr>
        <w:t xml:space="preserve">, 1982). Naturally, state agency officials as rational actors will want to signal their efforts to implement policy in order to appease the principals that control the budgetary purse strings. The risk of budgetary cuts as a monitoring action has its roots in early scholarship by Max Weber who argued that the more dependent the agents (bureaucrats) were on the principals (elected officials), the more they would comply with the principals’ wishes and goals (Weber, 1922/1968). Since Weber, political sociologists and economists have found empirical support of Weber’s arguments (Kiser and Tong, 1992). For example, in a study of bureaucrats in the Dutch East Indies, Adams (1996) showed that bureaucrats that were more financially accountable to Dutch political leaders were more likely to implement policy in line with their goals. </w:t>
      </w:r>
    </w:p>
    <w:p w14:paraId="3C0F067C" w14:textId="451234B4" w:rsidR="00AE4B0D" w:rsidRPr="00AE4B0D" w:rsidRDefault="00AE4B0D" w:rsidP="00AE4B0D">
      <w:pPr>
        <w:spacing w:line="480" w:lineRule="auto"/>
        <w:ind w:firstLine="720"/>
        <w:rPr>
          <w:rFonts w:ascii="Times New Roman" w:eastAsia="Calibri" w:hAnsi="Times New Roman" w:cs="Times New Roman"/>
        </w:rPr>
      </w:pPr>
      <w:r w:rsidRPr="00AE4B0D">
        <w:rPr>
          <w:rFonts w:ascii="Times New Roman" w:eastAsia="Calibri" w:hAnsi="Times New Roman" w:cs="Times New Roman"/>
        </w:rPr>
        <w:t>Expounding on these findings, we suggest that bureaucrats</w:t>
      </w:r>
      <w:r w:rsidR="00151D24">
        <w:rPr>
          <w:rFonts w:ascii="Times New Roman" w:eastAsia="Calibri" w:hAnsi="Times New Roman" w:cs="Times New Roman"/>
        </w:rPr>
        <w:t>’</w:t>
      </w:r>
      <w:r w:rsidRPr="00AE4B0D">
        <w:rPr>
          <w:rFonts w:ascii="Times New Roman" w:eastAsia="Calibri" w:hAnsi="Times New Roman" w:cs="Times New Roman"/>
        </w:rPr>
        <w:t xml:space="preserve"> resource dependence upon principals is likely to also elicit public signals </w:t>
      </w:r>
      <w:r w:rsidR="00ED317C">
        <w:rPr>
          <w:rFonts w:ascii="Times New Roman" w:eastAsia="Calibri" w:hAnsi="Times New Roman" w:cs="Times New Roman"/>
        </w:rPr>
        <w:t xml:space="preserve">in the form of official statements </w:t>
      </w:r>
      <w:r w:rsidR="00110B8B">
        <w:rPr>
          <w:rFonts w:ascii="Times New Roman" w:eastAsia="Calibri" w:hAnsi="Times New Roman" w:cs="Times New Roman"/>
        </w:rPr>
        <w:t>that demonstrate alignment</w:t>
      </w:r>
      <w:r w:rsidRPr="00AE4B0D">
        <w:rPr>
          <w:rFonts w:ascii="Times New Roman" w:eastAsia="Calibri" w:hAnsi="Times New Roman" w:cs="Times New Roman"/>
        </w:rPr>
        <w:t xml:space="preserve"> with the </w:t>
      </w:r>
      <w:r w:rsidR="00CC036A">
        <w:rPr>
          <w:rFonts w:ascii="Times New Roman" w:eastAsia="Calibri" w:hAnsi="Times New Roman" w:cs="Times New Roman"/>
        </w:rPr>
        <w:t>policy</w:t>
      </w:r>
      <w:r w:rsidRPr="00AE4B0D">
        <w:rPr>
          <w:rFonts w:ascii="Times New Roman" w:eastAsia="Calibri" w:hAnsi="Times New Roman" w:cs="Times New Roman"/>
        </w:rPr>
        <w:t xml:space="preserve"> goals. Specifically, we argue that if administrative agency officers feel that their future budgets could be imperiled if they do not carry out the principals’ wishes, that they will publicly signal an intent to implement policies even if the details of the policies have yet to be composed and the deadline for implementation is far into the future. By publicly indicating their intentions to implement policy, they can signal to their political principals their compliance and thereby reduce the risk that their future budgets might be affected. Thus, we argue:</w:t>
      </w:r>
    </w:p>
    <w:p w14:paraId="27788FED" w14:textId="77777777" w:rsidR="00AE4B0D" w:rsidRPr="00AE4B0D" w:rsidRDefault="00AE4B0D" w:rsidP="00AE4B0D">
      <w:pPr>
        <w:ind w:left="720"/>
        <w:rPr>
          <w:rFonts w:ascii="Times New Roman" w:eastAsia="Calibri" w:hAnsi="Times New Roman" w:cs="Times New Roman"/>
          <w:i/>
          <w:iCs/>
          <w:color w:val="0C000F"/>
        </w:rPr>
      </w:pPr>
      <w:r w:rsidRPr="00AE4B0D">
        <w:rPr>
          <w:rFonts w:ascii="Times New Roman" w:eastAsia="Calibri" w:hAnsi="Times New Roman" w:cs="Times New Roman"/>
          <w:i/>
          <w:iCs/>
          <w:color w:val="0C000F"/>
        </w:rPr>
        <w:t xml:space="preserve">Hypothesis 1: The greater the risk of future budgetary constraints, the greater state agencies will signal future intent of policy implementation through public statements.   </w:t>
      </w:r>
    </w:p>
    <w:p w14:paraId="57363882" w14:textId="77777777" w:rsidR="00AE4B0D" w:rsidRPr="00AE4B0D" w:rsidRDefault="00AE4B0D" w:rsidP="00AE4B0D">
      <w:pPr>
        <w:spacing w:line="480" w:lineRule="auto"/>
        <w:rPr>
          <w:rFonts w:ascii="Times New Roman" w:eastAsia="Calibri" w:hAnsi="Times New Roman" w:cs="Times New Roman"/>
          <w:iCs/>
          <w:color w:val="0C000F"/>
        </w:rPr>
      </w:pPr>
    </w:p>
    <w:p w14:paraId="5622C305" w14:textId="77777777" w:rsidR="00AE4B0D" w:rsidRPr="00AE4B0D" w:rsidRDefault="00AE4B0D" w:rsidP="00AE4B0D">
      <w:pPr>
        <w:spacing w:line="480" w:lineRule="auto"/>
        <w:rPr>
          <w:rFonts w:ascii="Times New Roman" w:eastAsia="Calibri" w:hAnsi="Times New Roman" w:cs="Times New Roman"/>
          <w:iCs/>
          <w:color w:val="0C000F"/>
        </w:rPr>
      </w:pPr>
      <w:r w:rsidRPr="00AE4B0D">
        <w:rPr>
          <w:rFonts w:ascii="Times New Roman" w:eastAsia="Calibri" w:hAnsi="Times New Roman" w:cs="Times New Roman"/>
          <w:b/>
          <w:iCs/>
          <w:color w:val="0C000F"/>
        </w:rPr>
        <w:lastRenderedPageBreak/>
        <w:t>Contingencies of Government Agency Signals of Intent to Implement Policy</w:t>
      </w:r>
    </w:p>
    <w:p w14:paraId="0EA070F5" w14:textId="667CA458" w:rsidR="00AE4B0D" w:rsidRPr="00AE4B0D" w:rsidRDefault="00AE4B0D" w:rsidP="00AE4B0D">
      <w:pPr>
        <w:spacing w:line="480" w:lineRule="auto"/>
        <w:rPr>
          <w:rFonts w:ascii="Times New Roman" w:eastAsia="Calibri" w:hAnsi="Times New Roman" w:cs="Times New Roman"/>
          <w:iCs/>
          <w:color w:val="0C000F"/>
        </w:rPr>
      </w:pPr>
      <w:r w:rsidRPr="00AE4B0D">
        <w:rPr>
          <w:rFonts w:ascii="Times New Roman" w:eastAsia="Calibri" w:hAnsi="Times New Roman" w:cs="Times New Roman"/>
          <w:b/>
          <w:iCs/>
          <w:color w:val="0C000F"/>
        </w:rPr>
        <w:tab/>
      </w:r>
      <w:r w:rsidRPr="00AE4B0D">
        <w:rPr>
          <w:rFonts w:ascii="Times New Roman" w:eastAsia="Calibri" w:hAnsi="Times New Roman" w:cs="Times New Roman"/>
          <w:iCs/>
          <w:color w:val="0C000F"/>
        </w:rPr>
        <w:t>The hypothesized mechanism of government agency signaling their intent to implement policy highlights the preference of agency officials to maximize their budgets and to take actions to prevent future reduction in budgets. This section further strengthen</w:t>
      </w:r>
      <w:r w:rsidR="00A83C69">
        <w:rPr>
          <w:rFonts w:ascii="Times New Roman" w:eastAsia="Calibri" w:hAnsi="Times New Roman" w:cs="Times New Roman"/>
          <w:iCs/>
          <w:color w:val="0C000F"/>
        </w:rPr>
        <w:t>s</w:t>
      </w:r>
      <w:r w:rsidRPr="00AE4B0D">
        <w:rPr>
          <w:rFonts w:ascii="Times New Roman" w:eastAsia="Calibri" w:hAnsi="Times New Roman" w:cs="Times New Roman"/>
          <w:iCs/>
          <w:color w:val="0C000F"/>
        </w:rPr>
        <w:t xml:space="preserve"> our argument by examining the contingent nature of these signals. We propose that the main effects will become stronger when agencies face greater monitoring of their actions by third-party civil society groups that can inform the agents’ political principals of their actions. Moreover, we believe that the agency’s intent to signal policy implementation will also be affected by its capacity to enforce the policy. </w:t>
      </w:r>
    </w:p>
    <w:p w14:paraId="3C1A2E30" w14:textId="77777777" w:rsidR="00AE4B0D" w:rsidRPr="00AE4B0D" w:rsidRDefault="00AE4B0D" w:rsidP="00AE4B0D">
      <w:pPr>
        <w:spacing w:line="480" w:lineRule="auto"/>
        <w:ind w:firstLine="720"/>
        <w:rPr>
          <w:rFonts w:ascii="Times New Roman" w:eastAsia="Calibri" w:hAnsi="Times New Roman" w:cs="Times New Roman"/>
          <w:iCs/>
          <w:color w:val="0C000F"/>
        </w:rPr>
      </w:pPr>
      <w:r w:rsidRPr="00AE4B0D">
        <w:rPr>
          <w:rFonts w:ascii="Times New Roman" w:eastAsia="Calibri" w:hAnsi="Times New Roman" w:cs="Times New Roman"/>
          <w:b/>
          <w:iCs/>
          <w:color w:val="0C000F"/>
        </w:rPr>
        <w:t xml:space="preserve">Civil Society Pressure. </w:t>
      </w:r>
      <w:r w:rsidRPr="00AE4B0D">
        <w:rPr>
          <w:rFonts w:ascii="Times New Roman" w:eastAsia="Calibri" w:hAnsi="Times New Roman" w:cs="Times New Roman"/>
          <w:iCs/>
          <w:color w:val="0C000F"/>
        </w:rPr>
        <w:t xml:space="preserve"> Because it is often difficult for political principals to monitor their agents, they often rely on indirect monitoring by ‘civil society’ such as concerned citizens and, churches, associations, and social movement organizations (Kiser, 1999). Civil society groups are motivated to monitor state agency actions and draw attention to their actions because they are affected by their implementation (Freeman, 2000). A number of studies have shown that these third-party groups can affect implementation outcomes (Rose-Ackerman, 1978; Hiatt &amp; Park, 2013). For instance, </w:t>
      </w:r>
      <w:proofErr w:type="spellStart"/>
      <w:r w:rsidRPr="00AE4B0D">
        <w:rPr>
          <w:rFonts w:ascii="Times New Roman" w:eastAsia="Calibri" w:hAnsi="Times New Roman" w:cs="Times New Roman"/>
          <w:iCs/>
          <w:color w:val="0C000F"/>
        </w:rPr>
        <w:t>Klitgaard</w:t>
      </w:r>
      <w:proofErr w:type="spellEnd"/>
      <w:r w:rsidRPr="00AE4B0D">
        <w:rPr>
          <w:rFonts w:ascii="Times New Roman" w:eastAsia="Calibri" w:hAnsi="Times New Roman" w:cs="Times New Roman"/>
          <w:iCs/>
          <w:color w:val="0C000F"/>
        </w:rPr>
        <w:t xml:space="preserve"> (1988) argued that taxpayer associations, which have an incentive to assure that tax money is effectively spent, are a vital source of information to political principals regarding whether government agencies are fulfilling policy mandates and are effectively using the appropriated funds.  </w:t>
      </w:r>
    </w:p>
    <w:p w14:paraId="536AB058" w14:textId="77777777" w:rsidR="00AE4B0D" w:rsidRPr="00AE4B0D" w:rsidRDefault="00AE4B0D" w:rsidP="00AE4B0D">
      <w:pPr>
        <w:spacing w:line="480" w:lineRule="auto"/>
        <w:ind w:firstLine="720"/>
        <w:rPr>
          <w:rFonts w:ascii="Times New Roman" w:eastAsia="Calibri" w:hAnsi="Times New Roman" w:cs="Times New Roman"/>
          <w:iCs/>
          <w:color w:val="0C000F"/>
        </w:rPr>
      </w:pPr>
      <w:r w:rsidRPr="00AE4B0D">
        <w:rPr>
          <w:rFonts w:ascii="Times New Roman" w:eastAsia="Calibri" w:hAnsi="Times New Roman" w:cs="Times New Roman"/>
          <w:iCs/>
          <w:color w:val="0C000F"/>
        </w:rPr>
        <w:t xml:space="preserve">We argue that a greater number of civil society groups that seek strict implementation of newly passed policy will have a positive moderating impact on the agency’s signaling of intent. As the number of concerned civil society groups increase, so will the amount of monitoring of the agency and scrutiny that will be placed on the government agency. If an agency faces future </w:t>
      </w:r>
      <w:r w:rsidRPr="00AE4B0D">
        <w:rPr>
          <w:rFonts w:ascii="Times New Roman" w:eastAsia="Calibri" w:hAnsi="Times New Roman" w:cs="Times New Roman"/>
          <w:iCs/>
          <w:color w:val="0C000F"/>
        </w:rPr>
        <w:lastRenderedPageBreak/>
        <w:t>budgetary risk, its signals of implementation intent (or lack thereof) are likely to be picked up more easily by the civil society groups and communicated to its political principals. Consequently, we argue that agency officials facing risk to future budgets will have a greater incentive to signal their intentions to implement policy.</w:t>
      </w:r>
    </w:p>
    <w:p w14:paraId="3EFBEFB1" w14:textId="77777777" w:rsidR="00AE4B0D" w:rsidRPr="00AE4B0D" w:rsidRDefault="00AE4B0D" w:rsidP="00AE4B0D">
      <w:pPr>
        <w:ind w:left="720"/>
        <w:rPr>
          <w:rFonts w:ascii="Times New Roman" w:eastAsia="Calibri" w:hAnsi="Times New Roman" w:cs="Times New Roman"/>
          <w:i/>
          <w:iCs/>
          <w:color w:val="0C000F"/>
        </w:rPr>
      </w:pPr>
      <w:r w:rsidRPr="00AE4B0D">
        <w:rPr>
          <w:rFonts w:ascii="Times New Roman" w:eastAsia="Calibri" w:hAnsi="Times New Roman" w:cs="Times New Roman"/>
          <w:i/>
          <w:iCs/>
          <w:color w:val="0C000F"/>
        </w:rPr>
        <w:t>Hypothesis 2: A government agency’s signals of implementation intent will be positively moderated by agency stakeholders that support the new policy.</w:t>
      </w:r>
    </w:p>
    <w:p w14:paraId="62273D54" w14:textId="77777777" w:rsidR="00AE4B0D" w:rsidRPr="00AE4B0D" w:rsidRDefault="00AE4B0D" w:rsidP="00AE4B0D">
      <w:pPr>
        <w:spacing w:line="480" w:lineRule="auto"/>
        <w:rPr>
          <w:rFonts w:ascii="Times New Roman" w:eastAsia="Calibri" w:hAnsi="Times New Roman" w:cs="Times New Roman"/>
          <w:iCs/>
          <w:color w:val="0C000F"/>
        </w:rPr>
      </w:pPr>
    </w:p>
    <w:p w14:paraId="1668AC2A" w14:textId="56B9C4B2" w:rsidR="00AE4B0D" w:rsidRPr="00AE4B0D" w:rsidRDefault="00AE4B0D" w:rsidP="00AE4B0D">
      <w:pPr>
        <w:spacing w:line="480" w:lineRule="auto"/>
        <w:ind w:firstLine="720"/>
        <w:rPr>
          <w:rFonts w:ascii="Times New Roman" w:eastAsia="Calibri" w:hAnsi="Times New Roman" w:cs="Times New Roman"/>
          <w:iCs/>
          <w:color w:val="0C000F"/>
        </w:rPr>
      </w:pPr>
      <w:r w:rsidRPr="00AE4B0D">
        <w:rPr>
          <w:rFonts w:ascii="Times New Roman" w:eastAsia="Calibri" w:hAnsi="Times New Roman" w:cs="Times New Roman"/>
          <w:b/>
          <w:iCs/>
          <w:color w:val="0C000F"/>
        </w:rPr>
        <w:t xml:space="preserve">State Capacity. </w:t>
      </w:r>
      <w:r w:rsidRPr="00AE4B0D">
        <w:rPr>
          <w:rFonts w:ascii="Times New Roman" w:eastAsia="Calibri" w:hAnsi="Times New Roman" w:cs="Times New Roman"/>
          <w:iCs/>
          <w:color w:val="0C000F"/>
        </w:rPr>
        <w:t>At the same time, agencies efforts to signal their intentions to implement future policy may also be moderated by their capacity to implement the policy. One of the key factors that can affect implementation of policy is its administrative or state capacity (</w:t>
      </w:r>
      <w:proofErr w:type="spellStart"/>
      <w:r w:rsidRPr="00AE4B0D">
        <w:rPr>
          <w:rFonts w:ascii="Times New Roman" w:eastAsia="Calibri" w:hAnsi="Times New Roman" w:cs="Times New Roman"/>
          <w:iCs/>
          <w:color w:val="0C000F"/>
        </w:rPr>
        <w:t>Skocpol</w:t>
      </w:r>
      <w:proofErr w:type="spellEnd"/>
      <w:r w:rsidRPr="00AE4B0D">
        <w:rPr>
          <w:rFonts w:ascii="Times New Roman" w:eastAsia="Calibri" w:hAnsi="Times New Roman" w:cs="Times New Roman"/>
          <w:iCs/>
          <w:color w:val="0C000F"/>
        </w:rPr>
        <w:t>, 1985). Capacity is defined as the ability of government agencies to effectively evaluate and implement official goals and policy created by elected officials (Guillen &amp; Capron, 2016). It includes pursuing new opportunities, innovating when policy implementation fails, evaluating alternatives, and responding to new needs or past policy failures. According to the political science literature, capacity requires having skilled agency officials furnished with adequate staffing and resources (</w:t>
      </w:r>
      <w:proofErr w:type="spellStart"/>
      <w:r w:rsidRPr="00AE4B0D">
        <w:rPr>
          <w:rFonts w:ascii="Times New Roman" w:eastAsia="Calibri" w:hAnsi="Times New Roman" w:cs="Times New Roman"/>
          <w:iCs/>
          <w:color w:val="0C000F"/>
        </w:rPr>
        <w:t>Skocpol</w:t>
      </w:r>
      <w:proofErr w:type="spellEnd"/>
      <w:r w:rsidRPr="00AE4B0D">
        <w:rPr>
          <w:rFonts w:ascii="Times New Roman" w:eastAsia="Calibri" w:hAnsi="Times New Roman" w:cs="Times New Roman"/>
          <w:iCs/>
          <w:color w:val="0C000F"/>
        </w:rPr>
        <w:t xml:space="preserve">, 1979). Capacity also requires collaborative linkages with the dominant players in civil society (e.g. social movement organizations, professional associations, academic institutions) in order to gain the information, resources and stakeholder support to effectively implement policy (Tilly, 1990). </w:t>
      </w:r>
    </w:p>
    <w:p w14:paraId="48A18945" w14:textId="77777777" w:rsidR="00AE4B0D" w:rsidRPr="00AE4B0D" w:rsidRDefault="00AE4B0D" w:rsidP="00AE4B0D">
      <w:pPr>
        <w:spacing w:line="480" w:lineRule="auto"/>
        <w:ind w:firstLine="720"/>
        <w:rPr>
          <w:rFonts w:ascii="Times New Roman" w:eastAsia="Calibri" w:hAnsi="Times New Roman" w:cs="Times New Roman"/>
          <w:iCs/>
          <w:color w:val="0C000F"/>
        </w:rPr>
      </w:pPr>
      <w:r w:rsidRPr="00AE4B0D">
        <w:rPr>
          <w:rFonts w:ascii="Times New Roman" w:eastAsia="Calibri" w:hAnsi="Times New Roman" w:cs="Times New Roman"/>
          <w:iCs/>
          <w:color w:val="0C000F"/>
        </w:rPr>
        <w:t>If a government agency has skills, resources, and technologies to implement a new policy, it will likely be more willing to signal its future intent to enforce new policy under risk of budgetary pressures. On the other hand, if an agency does not have the required capabilities, it may be reluctant to signal its intent until it can assemble the necessary knowledge, technologies, and personnel needed to execute the policy (</w:t>
      </w:r>
      <w:proofErr w:type="spellStart"/>
      <w:r w:rsidRPr="00AE4B0D">
        <w:rPr>
          <w:rFonts w:ascii="Times New Roman" w:eastAsia="Calibri" w:hAnsi="Times New Roman" w:cs="Times New Roman"/>
          <w:iCs/>
          <w:color w:val="0C000F"/>
        </w:rPr>
        <w:t>Skocpol</w:t>
      </w:r>
      <w:proofErr w:type="spellEnd"/>
      <w:r w:rsidRPr="00AE4B0D">
        <w:rPr>
          <w:rFonts w:ascii="Times New Roman" w:eastAsia="Calibri" w:hAnsi="Times New Roman" w:cs="Times New Roman"/>
          <w:iCs/>
          <w:color w:val="0C000F"/>
        </w:rPr>
        <w:t xml:space="preserve"> and </w:t>
      </w:r>
      <w:proofErr w:type="spellStart"/>
      <w:r w:rsidRPr="00AE4B0D">
        <w:rPr>
          <w:rFonts w:ascii="Times New Roman" w:eastAsia="Calibri" w:hAnsi="Times New Roman" w:cs="Times New Roman"/>
          <w:iCs/>
          <w:color w:val="0C000F"/>
        </w:rPr>
        <w:t>Finegold</w:t>
      </w:r>
      <w:proofErr w:type="spellEnd"/>
      <w:r w:rsidRPr="00AE4B0D">
        <w:rPr>
          <w:rFonts w:ascii="Times New Roman" w:eastAsia="Calibri" w:hAnsi="Times New Roman" w:cs="Times New Roman"/>
          <w:iCs/>
          <w:color w:val="0C000F"/>
        </w:rPr>
        <w:t xml:space="preserve">, 1982). Depending on the </w:t>
      </w:r>
      <w:r w:rsidRPr="00AE4B0D">
        <w:rPr>
          <w:rFonts w:ascii="Times New Roman" w:eastAsia="Calibri" w:hAnsi="Times New Roman" w:cs="Times New Roman"/>
          <w:iCs/>
          <w:color w:val="0C000F"/>
        </w:rPr>
        <w:lastRenderedPageBreak/>
        <w:t xml:space="preserve">abilities of the agency, this could take some time, thereby delaying the promulgation of its intent. Consequently, we argue: </w:t>
      </w:r>
    </w:p>
    <w:p w14:paraId="781BF6E0" w14:textId="77777777" w:rsidR="00AE4B0D" w:rsidRPr="00AE4B0D" w:rsidRDefault="00AE4B0D" w:rsidP="00AE4B0D">
      <w:pPr>
        <w:ind w:left="720"/>
        <w:rPr>
          <w:rFonts w:ascii="Times New Roman" w:eastAsia="Calibri" w:hAnsi="Times New Roman" w:cs="Times New Roman"/>
          <w:i/>
          <w:iCs/>
          <w:color w:val="0C000F"/>
        </w:rPr>
      </w:pPr>
      <w:r w:rsidRPr="00AE4B0D">
        <w:rPr>
          <w:rFonts w:ascii="Times New Roman" w:eastAsia="Calibri" w:hAnsi="Times New Roman" w:cs="Times New Roman"/>
          <w:i/>
          <w:iCs/>
          <w:color w:val="0C000F"/>
        </w:rPr>
        <w:t xml:space="preserve">Hypothesis 3: Government agency’s signals of implementation intent will be (negatively) moderated by its (lack of) capacity to enforce the new policy </w:t>
      </w:r>
    </w:p>
    <w:p w14:paraId="63DAF545" w14:textId="77777777" w:rsidR="00AE4B0D" w:rsidRPr="00AE4B0D" w:rsidRDefault="00AE4B0D" w:rsidP="00AE4B0D">
      <w:pPr>
        <w:spacing w:line="480" w:lineRule="auto"/>
        <w:rPr>
          <w:rFonts w:ascii="Times New Roman" w:eastAsia="Calibri" w:hAnsi="Times New Roman" w:cs="Times New Roman"/>
          <w:b/>
        </w:rPr>
      </w:pPr>
    </w:p>
    <w:p w14:paraId="620048AF" w14:textId="77777777" w:rsidR="00AE4B0D" w:rsidRPr="00AE4B0D" w:rsidRDefault="00AE4B0D" w:rsidP="00AE4B0D">
      <w:pPr>
        <w:spacing w:line="480" w:lineRule="auto"/>
        <w:rPr>
          <w:rFonts w:ascii="Times New Roman" w:eastAsia="Calibri" w:hAnsi="Times New Roman" w:cs="Times New Roman"/>
          <w:b/>
        </w:rPr>
      </w:pPr>
      <w:r w:rsidRPr="00AE4B0D">
        <w:rPr>
          <w:rFonts w:ascii="Times New Roman" w:eastAsia="Calibri" w:hAnsi="Times New Roman" w:cs="Times New Roman"/>
          <w:b/>
        </w:rPr>
        <w:t xml:space="preserve">Firm Strategic Response to Agency Signals </w:t>
      </w:r>
    </w:p>
    <w:p w14:paraId="3FF13BA3" w14:textId="1267EC3F" w:rsidR="00AE4B0D" w:rsidRPr="00AE4B0D" w:rsidRDefault="00AE4B0D" w:rsidP="00AE4B0D">
      <w:pPr>
        <w:spacing w:line="480" w:lineRule="auto"/>
        <w:rPr>
          <w:rFonts w:ascii="Times New Roman" w:eastAsia="Calibri" w:hAnsi="Times New Roman" w:cs="Times New Roman"/>
          <w:iCs/>
          <w:color w:val="0C000F"/>
        </w:rPr>
      </w:pPr>
      <w:r w:rsidRPr="00AE4B0D">
        <w:rPr>
          <w:rFonts w:ascii="Times New Roman" w:eastAsia="Calibri" w:hAnsi="Times New Roman" w:cs="Times New Roman"/>
        </w:rPr>
        <w:tab/>
        <w:t xml:space="preserve"> </w:t>
      </w:r>
      <w:r w:rsidRPr="00AE4B0D">
        <w:rPr>
          <w:rFonts w:ascii="Times New Roman" w:eastAsia="Calibri" w:hAnsi="Times New Roman" w:cs="Times New Roman"/>
          <w:iCs/>
          <w:color w:val="0C000F"/>
        </w:rPr>
        <w:t xml:space="preserve">Regulations changes, including changes in environmental regulations, can fundamentally transform the competitive landscape and significantly impact firms’ future financial performance (Hoffman, 2005; Kolk &amp; </w:t>
      </w:r>
      <w:proofErr w:type="spellStart"/>
      <w:r w:rsidRPr="00AE4B0D">
        <w:rPr>
          <w:rFonts w:ascii="Times New Roman" w:eastAsia="Calibri" w:hAnsi="Times New Roman" w:cs="Times New Roman"/>
          <w:iCs/>
          <w:color w:val="0C000F"/>
        </w:rPr>
        <w:t>Pinske</w:t>
      </w:r>
      <w:proofErr w:type="spellEnd"/>
      <w:r w:rsidRPr="00AE4B0D">
        <w:rPr>
          <w:rFonts w:ascii="Times New Roman" w:eastAsia="Calibri" w:hAnsi="Times New Roman" w:cs="Times New Roman"/>
          <w:iCs/>
          <w:color w:val="0C000F"/>
        </w:rPr>
        <w:t xml:space="preserve">, 2005). Therefore, any uncertainty in government agency’s implementation of a regulation change provides room for firms’ competitive strategy. Firms that make timely changes to comply with an expected more stringent environmental regulation can establish a competitive advantage (Hoffman, 2005). First, preemptive social and environmental initiatives can strengthen a differentiation position by signaling attractive social/environmental attributes of the firm and its products to consumers </w:t>
      </w:r>
      <w:r w:rsidRPr="00AE4B0D">
        <w:rPr>
          <w:rFonts w:ascii="Times New Roman" w:eastAsia="Calibri" w:hAnsi="Times New Roman" w:cs="Times New Roman"/>
          <w:iCs/>
          <w:noProof/>
          <w:color w:val="0C000F"/>
        </w:rPr>
        <w:t>(Sen and Bhattacharya 2001)</w:t>
      </w:r>
      <w:r w:rsidRPr="00AE4B0D">
        <w:rPr>
          <w:rFonts w:ascii="Times New Roman" w:eastAsia="Calibri" w:hAnsi="Times New Roman" w:cs="Times New Roman"/>
          <w:iCs/>
          <w:color w:val="0C000F"/>
        </w:rPr>
        <w:t xml:space="preserve">, investors </w:t>
      </w:r>
      <w:r w:rsidRPr="00AE4B0D">
        <w:rPr>
          <w:rFonts w:ascii="Times New Roman" w:eastAsia="Calibri" w:hAnsi="Times New Roman" w:cs="Times New Roman"/>
          <w:iCs/>
          <w:noProof/>
          <w:color w:val="0C000F"/>
        </w:rPr>
        <w:t>(Becchetti et al. 2012)</w:t>
      </w:r>
      <w:r w:rsidRPr="00AE4B0D">
        <w:rPr>
          <w:rFonts w:ascii="Times New Roman" w:eastAsia="Calibri" w:hAnsi="Times New Roman" w:cs="Times New Roman"/>
          <w:iCs/>
          <w:color w:val="0C000F"/>
        </w:rPr>
        <w:t xml:space="preserve">, and even employees </w:t>
      </w:r>
      <w:r w:rsidRPr="00AE4B0D">
        <w:rPr>
          <w:rFonts w:ascii="Times New Roman" w:eastAsia="Calibri" w:hAnsi="Times New Roman" w:cs="Times New Roman"/>
          <w:iCs/>
          <w:noProof/>
          <w:color w:val="0C000F"/>
        </w:rPr>
        <w:t>(Prendergast 2007)</w:t>
      </w:r>
      <w:r w:rsidRPr="00AE4B0D">
        <w:rPr>
          <w:rFonts w:ascii="Times New Roman" w:eastAsia="Calibri" w:hAnsi="Times New Roman" w:cs="Times New Roman"/>
          <w:iCs/>
          <w:color w:val="0C000F"/>
        </w:rPr>
        <w:t>. Second, firms that preemptively adjust their inputs, processes, products, or services (Hart, 1995) according to the anticipated regulatory change can strengthen their position in the new regulatory environment (Delmas, Russo, &amp; Montes-Sancho, 2007). Finally, for firms in heavily regulated industries, taking proactive actions allows them to influence the regulatory development processes</w:t>
      </w:r>
      <w:r w:rsidRPr="00AE4B0D">
        <w:rPr>
          <w:rFonts w:ascii="Times New Roman" w:eastAsia="Calibri" w:hAnsi="Times New Roman" w:cs="Times New Roman"/>
          <w:iCs/>
          <w:color w:val="0C000F"/>
          <w:vertAlign w:val="superscript"/>
        </w:rPr>
        <w:footnoteReference w:id="1"/>
      </w:r>
      <w:r w:rsidRPr="00AE4B0D">
        <w:rPr>
          <w:rFonts w:ascii="Times New Roman" w:eastAsia="Calibri" w:hAnsi="Times New Roman" w:cs="Times New Roman"/>
          <w:iCs/>
          <w:color w:val="0C000F"/>
        </w:rPr>
        <w:t xml:space="preserve"> (Puller, 2006; Hoffman, 2005) and enforcement processes (Maxwell and Decker, 2006; Innes and Sam, 2008; Gray and </w:t>
      </w:r>
      <w:proofErr w:type="spellStart"/>
      <w:r w:rsidRPr="00AE4B0D">
        <w:rPr>
          <w:rFonts w:ascii="Times New Roman" w:eastAsia="Calibri" w:hAnsi="Times New Roman" w:cs="Times New Roman"/>
          <w:iCs/>
          <w:color w:val="0C000F"/>
        </w:rPr>
        <w:t>Shimshack</w:t>
      </w:r>
      <w:proofErr w:type="spellEnd"/>
      <w:r w:rsidRPr="00AE4B0D">
        <w:rPr>
          <w:rFonts w:ascii="Times New Roman" w:eastAsia="Calibri" w:hAnsi="Times New Roman" w:cs="Times New Roman"/>
          <w:iCs/>
          <w:color w:val="0C000F"/>
        </w:rPr>
        <w:t xml:space="preserve">, 2010), preempt more stringent regulations (Maxwell, Lyon, &amp; Hackett, </w:t>
      </w:r>
      <w:r w:rsidRPr="00AE4B0D">
        <w:rPr>
          <w:rFonts w:ascii="Times New Roman" w:eastAsia="Calibri" w:hAnsi="Times New Roman" w:cs="Times New Roman"/>
          <w:iCs/>
          <w:color w:val="0C000F"/>
        </w:rPr>
        <w:lastRenderedPageBreak/>
        <w:t xml:space="preserve">2000; Delmas and Montes-Sancho, 2010; Short and </w:t>
      </w:r>
      <w:proofErr w:type="spellStart"/>
      <w:r w:rsidRPr="00AE4B0D">
        <w:rPr>
          <w:rFonts w:ascii="Times New Roman" w:eastAsia="Calibri" w:hAnsi="Times New Roman" w:cs="Times New Roman"/>
          <w:iCs/>
          <w:color w:val="0C000F"/>
        </w:rPr>
        <w:t>Toffel</w:t>
      </w:r>
      <w:proofErr w:type="spellEnd"/>
      <w:r w:rsidRPr="00AE4B0D">
        <w:rPr>
          <w:rFonts w:ascii="Times New Roman" w:eastAsia="Calibri" w:hAnsi="Times New Roman" w:cs="Times New Roman"/>
          <w:iCs/>
          <w:color w:val="0C000F"/>
        </w:rPr>
        <w:t>, 2010), and build resources and capabilities to comply with future regulatory changes (</w:t>
      </w:r>
      <w:r w:rsidRPr="00AE4B0D">
        <w:rPr>
          <w:rFonts w:ascii="Times New Roman" w:eastAsia="Calibri" w:hAnsi="Times New Roman" w:cs="Times New Roman"/>
          <w:iCs/>
          <w:color w:val="000000"/>
        </w:rPr>
        <w:t>Aragon-</w:t>
      </w:r>
      <w:r w:rsidRPr="00AE4B0D">
        <w:rPr>
          <w:rFonts w:ascii="Times New Roman" w:eastAsia="Times New Roman" w:hAnsi="Times New Roman" w:cs="Times New Roman"/>
          <w:color w:val="000000"/>
        </w:rPr>
        <w:t>Correa &amp; Sharma, 2003</w:t>
      </w:r>
      <w:r w:rsidRPr="00AE4B0D">
        <w:rPr>
          <w:rFonts w:ascii="Times New Roman" w:eastAsia="Calibri" w:hAnsi="Times New Roman" w:cs="Times New Roman"/>
          <w:iCs/>
          <w:color w:val="0C000F"/>
        </w:rPr>
        <w:t xml:space="preserve">).  </w:t>
      </w:r>
    </w:p>
    <w:p w14:paraId="2489C2CB" w14:textId="77777777" w:rsidR="00AE4B0D" w:rsidRPr="00AE4B0D" w:rsidRDefault="00AE4B0D" w:rsidP="00AE4B0D">
      <w:pPr>
        <w:spacing w:line="480" w:lineRule="auto"/>
        <w:ind w:firstLine="720"/>
        <w:rPr>
          <w:rFonts w:ascii="Times New Roman" w:eastAsia="Calibri" w:hAnsi="Times New Roman" w:cs="Times New Roman"/>
        </w:rPr>
      </w:pPr>
      <w:r w:rsidRPr="00AE4B0D">
        <w:rPr>
          <w:rFonts w:ascii="Times New Roman" w:eastAsia="Calibri" w:hAnsi="Times New Roman" w:cs="Times New Roman"/>
          <w:iCs/>
          <w:color w:val="0C000F"/>
        </w:rPr>
        <w:t xml:space="preserve">Consistent with these arguments, we argue that </w:t>
      </w:r>
      <w:r w:rsidRPr="00AE4B0D">
        <w:rPr>
          <w:rFonts w:ascii="Times New Roman" w:eastAsia="Calibri" w:hAnsi="Times New Roman" w:cs="Times New Roman"/>
        </w:rPr>
        <w:t>firms will take cues from government agencies to forecast the likelihood of actual implementation of a regulatory change, and they will respond accordingly to establish a first-mover advantage against their competitors. Anticipating a stricter regulation in their home country as government agencies promulgate signals of enforcement intent, firms are more likely to respond by reducing GHG emissions. We therefore predict the following:</w:t>
      </w:r>
    </w:p>
    <w:p w14:paraId="4ECDC33B" w14:textId="784D04E4" w:rsidR="00A43178" w:rsidRPr="00AE4B0D" w:rsidRDefault="00AE4B0D" w:rsidP="00A43178">
      <w:pPr>
        <w:ind w:left="720"/>
        <w:rPr>
          <w:rFonts w:ascii="Times New Roman" w:eastAsia="Calibri" w:hAnsi="Times New Roman" w:cs="Times New Roman"/>
        </w:rPr>
      </w:pPr>
      <w:r w:rsidRPr="00AE4B0D">
        <w:rPr>
          <w:rFonts w:ascii="Times New Roman" w:eastAsia="Calibri" w:hAnsi="Times New Roman" w:cs="Times New Roman"/>
          <w:i/>
        </w:rPr>
        <w:t xml:space="preserve">Hypothesis 4: As agencies signal greater future intent of policy enforcement, firms will </w:t>
      </w:r>
      <w:r w:rsidR="00A43178" w:rsidRPr="00AE4B0D">
        <w:rPr>
          <w:rFonts w:ascii="Times New Roman" w:eastAsia="Calibri" w:hAnsi="Times New Roman" w:cs="Times New Roman"/>
          <w:i/>
        </w:rPr>
        <w:t>alter their investments and strategy in accordance to the new policy</w:t>
      </w:r>
      <w:r w:rsidR="00A43178" w:rsidRPr="00AE4B0D">
        <w:rPr>
          <w:rFonts w:ascii="Times New Roman" w:eastAsia="Calibri" w:hAnsi="Times New Roman" w:cs="Times New Roman"/>
        </w:rPr>
        <w:t xml:space="preserve">. </w:t>
      </w:r>
    </w:p>
    <w:p w14:paraId="3949CC29" w14:textId="77B1F31E" w:rsidR="00F3683A" w:rsidRPr="00F3683A" w:rsidRDefault="00F3683A" w:rsidP="00EE081B">
      <w:pPr>
        <w:spacing w:line="480" w:lineRule="auto"/>
        <w:rPr>
          <w:rFonts w:ascii="Times New Roman" w:hAnsi="Times New Roman" w:cs="Times New Roman"/>
        </w:rPr>
      </w:pPr>
    </w:p>
    <w:p w14:paraId="36D49BD6" w14:textId="3A9AF3D6" w:rsidR="00F3683A" w:rsidRDefault="00F3683A" w:rsidP="00FB257B">
      <w:pPr>
        <w:spacing w:line="480" w:lineRule="auto"/>
        <w:rPr>
          <w:rFonts w:ascii="Times New Roman" w:eastAsia="Batang" w:hAnsi="Times New Roman" w:cs="Times New Roman"/>
          <w:b/>
          <w:iCs/>
          <w:color w:val="0C000F"/>
          <w:lang w:eastAsia="ko-KR"/>
        </w:rPr>
      </w:pPr>
      <w:r w:rsidRPr="00F3683A">
        <w:rPr>
          <w:rFonts w:ascii="Times New Roman" w:hAnsi="Times New Roman" w:cs="Times New Roman"/>
        </w:rPr>
        <w:t xml:space="preserve"> </w:t>
      </w:r>
    </w:p>
    <w:p w14:paraId="7A5C26D4" w14:textId="6C774666" w:rsidR="0013029E" w:rsidRPr="000A65D3" w:rsidRDefault="0013029E" w:rsidP="00846372">
      <w:pPr>
        <w:pStyle w:val="NormalWeb"/>
        <w:tabs>
          <w:tab w:val="left" w:pos="720"/>
        </w:tabs>
        <w:spacing w:before="0" w:beforeAutospacing="0" w:after="0" w:afterAutospacing="0" w:line="480" w:lineRule="auto"/>
        <w:jc w:val="center"/>
        <w:outlineLvl w:val="0"/>
        <w:rPr>
          <w:b/>
          <w:iCs/>
          <w:color w:val="0C000F"/>
        </w:rPr>
      </w:pPr>
      <w:r w:rsidRPr="000A65D3">
        <w:rPr>
          <w:b/>
          <w:iCs/>
          <w:color w:val="0C000F"/>
        </w:rPr>
        <w:t>Empirical Context</w:t>
      </w:r>
    </w:p>
    <w:p w14:paraId="3C4A87FB" w14:textId="70CCA467" w:rsidR="0013029E" w:rsidRPr="000A65D3" w:rsidRDefault="0013029E" w:rsidP="00846372">
      <w:pPr>
        <w:pStyle w:val="NormalWeb"/>
        <w:spacing w:before="0" w:beforeAutospacing="0" w:after="0" w:afterAutospacing="0" w:line="480" w:lineRule="auto"/>
      </w:pPr>
      <w:r w:rsidRPr="000A65D3">
        <w:rPr>
          <w:iCs/>
          <w:color w:val="0C000F"/>
        </w:rPr>
        <w:t xml:space="preserve">We test our hypotheses using financial and emissions </w:t>
      </w:r>
      <w:r w:rsidR="001038CC">
        <w:rPr>
          <w:iCs/>
          <w:color w:val="0C000F"/>
        </w:rPr>
        <w:t xml:space="preserve">data </w:t>
      </w:r>
      <w:r w:rsidRPr="000A65D3">
        <w:rPr>
          <w:iCs/>
          <w:color w:val="0C000F"/>
        </w:rPr>
        <w:t>about electric power</w:t>
      </w:r>
      <w:r w:rsidRPr="000A65D3">
        <w:rPr>
          <w:iCs/>
        </w:rPr>
        <w:t xml:space="preserve"> generation firms in the EU</w:t>
      </w:r>
      <w:r w:rsidRPr="000A65D3">
        <w:rPr>
          <w:iCs/>
          <w:color w:val="0C000F"/>
        </w:rPr>
        <w:t>.</w:t>
      </w:r>
      <w:r w:rsidRPr="000A65D3">
        <w:rPr>
          <w:iCs/>
        </w:rPr>
        <w:t xml:space="preserve"> </w:t>
      </w:r>
      <w:r w:rsidRPr="000A65D3">
        <w:rPr>
          <w:iCs/>
          <w:color w:val="0C000F"/>
        </w:rPr>
        <w:t xml:space="preserve">This context has several unique features that suit our study. First, during our sample period, firms in the EU faced great uncertainty regarding </w:t>
      </w:r>
      <w:r w:rsidR="00EF53AA">
        <w:rPr>
          <w:iCs/>
          <w:color w:val="0C000F"/>
        </w:rPr>
        <w:t>environmental regulations</w:t>
      </w:r>
      <w:r w:rsidRPr="000A65D3">
        <w:rPr>
          <w:iCs/>
          <w:color w:val="0C000F"/>
        </w:rPr>
        <w:t xml:space="preserve">. On the one hand, there were continuous discussions about strict control </w:t>
      </w:r>
      <w:r w:rsidR="00534E63">
        <w:rPr>
          <w:iCs/>
          <w:color w:val="0C000F"/>
        </w:rPr>
        <w:t>of</w:t>
      </w:r>
      <w:r w:rsidRPr="000A65D3">
        <w:rPr>
          <w:iCs/>
          <w:color w:val="0C000F"/>
        </w:rPr>
        <w:t xml:space="preserve"> GHG emissions at the EU level </w:t>
      </w:r>
      <w:r w:rsidR="00534E63">
        <w:rPr>
          <w:iCs/>
          <w:color w:val="0C000F"/>
        </w:rPr>
        <w:t xml:space="preserve">over time </w:t>
      </w:r>
      <w:r w:rsidRPr="000A65D3">
        <w:rPr>
          <w:iCs/>
          <w:color w:val="0C000F"/>
        </w:rPr>
        <w:t xml:space="preserve">and high expectations for EU member countries to follow a common set of emission standards, both of which suggested that regulations would be stringent.  </w:t>
      </w:r>
      <w:r w:rsidRPr="000A65D3">
        <w:rPr>
          <w:rFonts w:eastAsia="Times New Roman"/>
          <w:color w:val="222222"/>
          <w:shd w:val="clear" w:color="auto" w:fill="FFFFFF"/>
        </w:rPr>
        <w:t xml:space="preserve">For example, Croatia, which joined </w:t>
      </w:r>
      <w:r w:rsidR="007C7A1F">
        <w:rPr>
          <w:rFonts w:eastAsia="Times New Roman"/>
          <w:color w:val="222222"/>
          <w:shd w:val="clear" w:color="auto" w:fill="FFFFFF"/>
        </w:rPr>
        <w:t xml:space="preserve">the </w:t>
      </w:r>
      <w:r w:rsidRPr="000A65D3">
        <w:rPr>
          <w:rFonts w:eastAsia="Times New Roman"/>
          <w:color w:val="222222"/>
          <w:shd w:val="clear" w:color="auto" w:fill="FFFFFF"/>
        </w:rPr>
        <w:t xml:space="preserve">EU in 2013, had environmental conditions </w:t>
      </w:r>
      <w:r w:rsidR="007C7A1F">
        <w:rPr>
          <w:rFonts w:eastAsia="Times New Roman"/>
          <w:color w:val="222222"/>
          <w:shd w:val="clear" w:color="auto" w:fill="FFFFFF"/>
        </w:rPr>
        <w:t xml:space="preserve">included </w:t>
      </w:r>
      <w:r w:rsidRPr="000A65D3">
        <w:rPr>
          <w:rFonts w:eastAsia="Times New Roman"/>
          <w:color w:val="222222"/>
          <w:shd w:val="clear" w:color="auto" w:fill="FFFFFF"/>
        </w:rPr>
        <w:t>in its negotiation documents. </w:t>
      </w:r>
    </w:p>
    <w:p w14:paraId="150214D9" w14:textId="77777777" w:rsidR="00846372" w:rsidRDefault="00846372" w:rsidP="00846372">
      <w:pPr>
        <w:ind w:left="720"/>
        <w:textAlignment w:val="top"/>
        <w:rPr>
          <w:rFonts w:ascii="Times New Roman" w:hAnsi="Times New Roman" w:cs="Times New Roman"/>
          <w:color w:val="222222"/>
        </w:rPr>
      </w:pPr>
    </w:p>
    <w:p w14:paraId="0C9B501E" w14:textId="5D86D92B" w:rsidR="0013029E" w:rsidRDefault="0013029E" w:rsidP="00846372">
      <w:pPr>
        <w:ind w:left="720"/>
        <w:textAlignment w:val="top"/>
        <w:rPr>
          <w:rFonts w:ascii="Times New Roman" w:hAnsi="Times New Roman" w:cs="Times New Roman"/>
          <w:color w:val="0C000F"/>
          <w:lang w:val="en"/>
        </w:rPr>
      </w:pPr>
      <w:r w:rsidRPr="000A65D3">
        <w:rPr>
          <w:rFonts w:ascii="Times New Roman" w:hAnsi="Times New Roman" w:cs="Times New Roman"/>
          <w:color w:val="222222"/>
        </w:rPr>
        <w:t>The EU encourages Croatia to ensure that environmental protection requirements are integrated into the definition and implementation of other sectoral policies and that sustainable development is promoted. The EU also points out that all new investments should comply with the environmental acquis….</w:t>
      </w:r>
      <w:r w:rsidRPr="000A65D3">
        <w:rPr>
          <w:rFonts w:ascii="Times New Roman" w:hAnsi="Times New Roman" w:cs="Times New Roman"/>
          <w:color w:val="222222"/>
          <w:lang w:val="en"/>
        </w:rPr>
        <w:t xml:space="preserve"> As regards the climate change, the EU takes note of efforts made by Croatia to align its legislation with the acquis in this field, </w:t>
      </w:r>
      <w:r w:rsidRPr="000A65D3">
        <w:rPr>
          <w:rFonts w:ascii="Times New Roman" w:hAnsi="Times New Roman" w:cs="Times New Roman"/>
          <w:color w:val="222222"/>
          <w:lang w:val="en"/>
        </w:rPr>
        <w:lastRenderedPageBreak/>
        <w:t>including ratification of the Kyoto Protocol. The EU takes note that the National Strategy with an Action Plan for the implementation of the UN Framework Convention on Climate Change and the Kyoto Protocol has been prepared. The EU also takes note of Croatia’s plans to complete transposition of the remaining parts of the acquis in this sector in 2008, including Directive 2003/87/EC, and the planned adoption of a National Allowance Allocation Pla</w:t>
      </w:r>
      <w:r w:rsidR="00A15122">
        <w:rPr>
          <w:rFonts w:ascii="Times New Roman" w:hAnsi="Times New Roman" w:cs="Times New Roman"/>
          <w:color w:val="222222"/>
          <w:lang w:val="en"/>
        </w:rPr>
        <w:t>n and legislation on registries</w:t>
      </w:r>
      <w:r w:rsidRPr="000A65D3">
        <w:rPr>
          <w:rFonts w:ascii="Times New Roman" w:hAnsi="Times New Roman" w:cs="Times New Roman"/>
          <w:color w:val="222222"/>
          <w:lang w:val="en"/>
        </w:rPr>
        <w:t>.</w:t>
      </w:r>
      <w:r w:rsidRPr="000A65D3">
        <w:rPr>
          <w:rStyle w:val="FootnoteReference"/>
          <w:rFonts w:ascii="Times New Roman" w:hAnsi="Times New Roman" w:cs="Times New Roman"/>
          <w:color w:val="222222"/>
          <w:lang w:val="en"/>
        </w:rPr>
        <w:footnoteReference w:id="2"/>
      </w:r>
      <w:r w:rsidRPr="000A65D3">
        <w:rPr>
          <w:rFonts w:ascii="Times New Roman" w:hAnsi="Times New Roman" w:cs="Times New Roman"/>
          <w:color w:val="0C000F"/>
          <w:lang w:val="en"/>
        </w:rPr>
        <w:t> </w:t>
      </w:r>
    </w:p>
    <w:p w14:paraId="351580FC" w14:textId="77777777" w:rsidR="00846372" w:rsidRDefault="00846372" w:rsidP="00846372">
      <w:pPr>
        <w:ind w:left="720"/>
        <w:textAlignment w:val="top"/>
        <w:rPr>
          <w:rFonts w:ascii="Times New Roman" w:hAnsi="Times New Roman" w:cs="Times New Roman"/>
          <w:color w:val="222222"/>
          <w:lang w:val="en"/>
        </w:rPr>
      </w:pPr>
    </w:p>
    <w:p w14:paraId="194632BF" w14:textId="77777777" w:rsidR="00846372" w:rsidRPr="00846372" w:rsidRDefault="00846372" w:rsidP="00846372">
      <w:pPr>
        <w:ind w:left="720"/>
        <w:textAlignment w:val="top"/>
        <w:rPr>
          <w:rFonts w:ascii="Times New Roman" w:hAnsi="Times New Roman" w:cs="Times New Roman"/>
          <w:color w:val="222222"/>
          <w:lang w:val="en"/>
        </w:rPr>
      </w:pPr>
    </w:p>
    <w:p w14:paraId="60F96C64" w14:textId="35038DCF" w:rsidR="00DE4871" w:rsidRDefault="0013029E" w:rsidP="00DE4871">
      <w:pPr>
        <w:spacing w:line="480" w:lineRule="auto"/>
        <w:ind w:firstLine="720"/>
        <w:rPr>
          <w:rFonts w:ascii="Times New Roman" w:hAnsi="Times New Roman" w:cs="Times New Roman"/>
          <w:iCs/>
          <w:color w:val="0C000F"/>
        </w:rPr>
      </w:pPr>
      <w:r w:rsidRPr="007C7F2A">
        <w:rPr>
          <w:rFonts w:ascii="Times New Roman" w:hAnsi="Times New Roman" w:cs="Times New Roman"/>
        </w:rPr>
        <w:t xml:space="preserve">On the other hand, </w:t>
      </w:r>
      <w:r w:rsidR="00DE4871">
        <w:rPr>
          <w:rFonts w:ascii="Times New Roman" w:hAnsi="Times New Roman" w:cs="Times New Roman"/>
        </w:rPr>
        <w:t>EU climate change policy</w:t>
      </w:r>
      <w:r w:rsidR="00A15122" w:rsidRPr="007C7F2A">
        <w:rPr>
          <w:rFonts w:ascii="Times New Roman" w:hAnsi="Times New Roman" w:cs="Times New Roman"/>
        </w:rPr>
        <w:t xml:space="preserve"> was based on </w:t>
      </w:r>
      <w:r w:rsidR="00DE4871">
        <w:rPr>
          <w:rFonts w:ascii="Times New Roman" w:hAnsi="Times New Roman" w:cs="Times New Roman"/>
        </w:rPr>
        <w:t xml:space="preserve">a </w:t>
      </w:r>
      <w:r w:rsidR="00A15122" w:rsidRPr="007C7F2A">
        <w:rPr>
          <w:rFonts w:ascii="Times New Roman" w:hAnsi="Times New Roman" w:cs="Times New Roman"/>
        </w:rPr>
        <w:t>direc</w:t>
      </w:r>
      <w:r w:rsidR="001038CC" w:rsidRPr="007C7F2A">
        <w:rPr>
          <w:rFonts w:ascii="Times New Roman" w:hAnsi="Times New Roman" w:cs="Times New Roman"/>
        </w:rPr>
        <w:t>ti</w:t>
      </w:r>
      <w:r w:rsidR="00A15122" w:rsidRPr="007C7F2A">
        <w:rPr>
          <w:rFonts w:ascii="Times New Roman" w:hAnsi="Times New Roman" w:cs="Times New Roman"/>
        </w:rPr>
        <w:t>ve</w:t>
      </w:r>
      <w:r w:rsidR="00497436">
        <w:rPr>
          <w:rFonts w:ascii="Times New Roman" w:hAnsi="Times New Roman" w:cs="Times New Roman"/>
        </w:rPr>
        <w:t xml:space="preserve">, </w:t>
      </w:r>
      <w:r w:rsidR="00AD0004" w:rsidRPr="007C7F2A">
        <w:rPr>
          <w:rFonts w:ascii="Times New Roman" w:hAnsi="Times New Roman" w:cs="Times New Roman"/>
        </w:rPr>
        <w:t>2003/87/EC</w:t>
      </w:r>
      <w:r w:rsidR="001038CC" w:rsidRPr="007C7F2A">
        <w:rPr>
          <w:rFonts w:ascii="Times New Roman" w:hAnsi="Times New Roman" w:cs="Times New Roman"/>
        </w:rPr>
        <w:t xml:space="preserve">, not </w:t>
      </w:r>
      <w:r w:rsidR="00DE4871">
        <w:rPr>
          <w:rFonts w:ascii="Times New Roman" w:hAnsi="Times New Roman" w:cs="Times New Roman"/>
        </w:rPr>
        <w:t xml:space="preserve">a </w:t>
      </w:r>
      <w:r w:rsidR="001038CC" w:rsidRPr="007C7F2A">
        <w:rPr>
          <w:rFonts w:ascii="Times New Roman" w:hAnsi="Times New Roman" w:cs="Times New Roman"/>
        </w:rPr>
        <w:t xml:space="preserve">regulation. </w:t>
      </w:r>
      <w:r w:rsidR="00781766" w:rsidRPr="007C7F2A">
        <w:rPr>
          <w:rFonts w:ascii="Times New Roman" w:hAnsi="Times New Roman" w:cs="Times New Roman"/>
          <w:lang w:val="en"/>
        </w:rPr>
        <w:t xml:space="preserve">In EU law, </w:t>
      </w:r>
      <w:r w:rsidR="00781766" w:rsidRPr="007C7F2A">
        <w:rPr>
          <w:rFonts w:ascii="Times New Roman" w:hAnsi="Times New Roman" w:cs="Times New Roman"/>
        </w:rPr>
        <w:t>a</w:t>
      </w:r>
      <w:r w:rsidR="001038CC" w:rsidRPr="007C7F2A">
        <w:rPr>
          <w:rFonts w:ascii="Times New Roman" w:hAnsi="Times New Roman" w:cs="Times New Roman"/>
        </w:rPr>
        <w:t xml:space="preserve"> directive is different from a regulation.</w:t>
      </w:r>
      <w:r w:rsidR="007C7F2A" w:rsidRPr="007C7F2A">
        <w:rPr>
          <w:rStyle w:val="FootnoteReference"/>
          <w:rFonts w:ascii="Times New Roman" w:hAnsi="Times New Roman" w:cs="Times New Roman"/>
        </w:rPr>
        <w:footnoteReference w:id="3"/>
      </w:r>
      <w:r w:rsidR="001038CC" w:rsidRPr="007C7F2A">
        <w:rPr>
          <w:rFonts w:ascii="Times New Roman" w:hAnsi="Times New Roman" w:cs="Times New Roman"/>
        </w:rPr>
        <w:t xml:space="preserve"> </w:t>
      </w:r>
      <w:r w:rsidR="00DE4871">
        <w:rPr>
          <w:rFonts w:ascii="Times New Roman" w:hAnsi="Times New Roman" w:cs="Times New Roman"/>
        </w:rPr>
        <w:t xml:space="preserve">Unlike a regulation, which </w:t>
      </w:r>
      <w:r w:rsidR="00DE4871" w:rsidRPr="007C7F2A">
        <w:rPr>
          <w:rFonts w:ascii="Times New Roman" w:hAnsi="Times New Roman" w:cs="Times New Roman"/>
        </w:rPr>
        <w:t>is a binding legislative act that must be applied in its entirety across the EU</w:t>
      </w:r>
      <w:r w:rsidR="00DE4871">
        <w:rPr>
          <w:rFonts w:ascii="Times New Roman" w:hAnsi="Times New Roman" w:cs="Times New Roman"/>
        </w:rPr>
        <w:t>, a</w:t>
      </w:r>
      <w:r w:rsidR="00DE4871" w:rsidRPr="007C7F2A">
        <w:rPr>
          <w:rFonts w:ascii="Times New Roman" w:hAnsi="Times New Roman" w:cs="Times New Roman"/>
        </w:rPr>
        <w:t xml:space="preserve"> </w:t>
      </w:r>
      <w:r w:rsidR="00DE4871" w:rsidRPr="007C7F2A">
        <w:rPr>
          <w:rStyle w:val="il"/>
          <w:rFonts w:ascii="Times New Roman" w:hAnsi="Times New Roman" w:cs="Times New Roman"/>
        </w:rPr>
        <w:t>directive</w:t>
      </w:r>
      <w:r w:rsidR="00DE4871" w:rsidRPr="007C7F2A">
        <w:rPr>
          <w:rFonts w:ascii="Times New Roman" w:hAnsi="Times New Roman" w:cs="Times New Roman"/>
        </w:rPr>
        <w:t xml:space="preserve"> is a legislative act that sets out a goal that all EU countries must achieve</w:t>
      </w:r>
      <w:r w:rsidR="00DE4871">
        <w:rPr>
          <w:rFonts w:ascii="Times New Roman" w:hAnsi="Times New Roman" w:cs="Times New Roman"/>
        </w:rPr>
        <w:t xml:space="preserve">, but </w:t>
      </w:r>
      <w:r w:rsidR="00DE4871" w:rsidRPr="007C7F2A">
        <w:rPr>
          <w:rFonts w:ascii="Times New Roman" w:hAnsi="Times New Roman" w:cs="Times New Roman"/>
        </w:rPr>
        <w:t>it is up to the individual countries to devise their own laws on how to reach these goals.</w:t>
      </w:r>
      <w:r w:rsidR="00DE4871">
        <w:rPr>
          <w:rFonts w:ascii="Times New Roman" w:hAnsi="Times New Roman" w:cs="Times New Roman"/>
        </w:rPr>
        <w:t xml:space="preserve"> Thus</w:t>
      </w:r>
      <w:r w:rsidR="00DE4871" w:rsidRPr="007C7F2A">
        <w:rPr>
          <w:rFonts w:ascii="Times New Roman" w:hAnsi="Times New Roman" w:cs="Times New Roman"/>
        </w:rPr>
        <w:t xml:space="preserve">, any directives </w:t>
      </w:r>
      <w:r w:rsidR="00DE4871" w:rsidRPr="007C7F2A">
        <w:rPr>
          <w:rFonts w:ascii="Times New Roman" w:hAnsi="Times New Roman" w:cs="Times New Roman"/>
          <w:lang w:val="en"/>
        </w:rPr>
        <w:t xml:space="preserve">have to be transposed into national legal </w:t>
      </w:r>
      <w:r w:rsidR="00136F78">
        <w:rPr>
          <w:rFonts w:ascii="Times New Roman" w:hAnsi="Times New Roman" w:cs="Times New Roman"/>
          <w:lang w:val="en"/>
        </w:rPr>
        <w:t>legislation</w:t>
      </w:r>
      <w:r w:rsidR="00DE4871" w:rsidRPr="007C7F2A">
        <w:rPr>
          <w:rFonts w:ascii="Times New Roman" w:hAnsi="Times New Roman" w:cs="Times New Roman"/>
          <w:lang w:val="en"/>
        </w:rPr>
        <w:t>.</w:t>
      </w:r>
      <w:r w:rsidR="00DE4871">
        <w:rPr>
          <w:rFonts w:ascii="Times New Roman" w:hAnsi="Times New Roman" w:cs="Times New Roman"/>
          <w:lang w:val="en"/>
        </w:rPr>
        <w:t xml:space="preserve"> </w:t>
      </w:r>
      <w:r w:rsidR="00DE4871" w:rsidRPr="007C7F2A">
        <w:rPr>
          <w:rFonts w:ascii="Times New Roman" w:hAnsi="Times New Roman" w:cs="Times New Roman"/>
          <w:lang w:val="en"/>
        </w:rPr>
        <w:t>Transposition</w:t>
      </w:r>
      <w:r w:rsidR="00DE4871" w:rsidRPr="007C7F2A">
        <w:rPr>
          <w:rFonts w:ascii="Times New Roman" w:hAnsi="Times New Roman" w:cs="Times New Roman"/>
        </w:rPr>
        <w:t> is a process by which the EU Member States give force to an EU</w:t>
      </w:r>
      <w:r w:rsidR="00DE4871" w:rsidRPr="007C7F2A">
        <w:rPr>
          <w:rStyle w:val="apple-converted-space"/>
          <w:rFonts w:ascii="Times New Roman" w:hAnsi="Times New Roman" w:cs="Times New Roman"/>
        </w:rPr>
        <w:t> </w:t>
      </w:r>
      <w:r w:rsidR="00DE4871" w:rsidRPr="007C7F2A">
        <w:rPr>
          <w:rStyle w:val="il"/>
          <w:rFonts w:ascii="Times New Roman" w:hAnsi="Times New Roman" w:cs="Times New Roman"/>
        </w:rPr>
        <w:t>directive</w:t>
      </w:r>
      <w:r w:rsidR="00DE4871" w:rsidRPr="007C7F2A">
        <w:rPr>
          <w:rFonts w:ascii="Times New Roman" w:hAnsi="Times New Roman" w:cs="Times New Roman"/>
        </w:rPr>
        <w:t>. In order to implement the EU ETS</w:t>
      </w:r>
      <w:r w:rsidR="00DE4871" w:rsidRPr="007C7F2A">
        <w:rPr>
          <w:rStyle w:val="apple-converted-space"/>
          <w:rFonts w:ascii="Times New Roman" w:hAnsi="Times New Roman" w:cs="Times New Roman"/>
        </w:rPr>
        <w:t> </w:t>
      </w:r>
      <w:r w:rsidR="00DE4871" w:rsidRPr="007C7F2A">
        <w:rPr>
          <w:rStyle w:val="il"/>
          <w:rFonts w:ascii="Times New Roman" w:hAnsi="Times New Roman" w:cs="Times New Roman"/>
        </w:rPr>
        <w:t>Directive</w:t>
      </w:r>
      <w:r w:rsidR="00DE4871" w:rsidRPr="007C7F2A">
        <w:rPr>
          <w:rStyle w:val="apple-converted-space"/>
          <w:rFonts w:ascii="Times New Roman" w:hAnsi="Times New Roman" w:cs="Times New Roman"/>
        </w:rPr>
        <w:t> </w:t>
      </w:r>
      <w:r w:rsidR="00DE4871" w:rsidRPr="007C7F2A">
        <w:rPr>
          <w:rFonts w:ascii="Times New Roman" w:hAnsi="Times New Roman" w:cs="Times New Roman"/>
        </w:rPr>
        <w:t xml:space="preserve">(2003/87/EC) that governs GHG emissions, the </w:t>
      </w:r>
      <w:r w:rsidR="003F548F">
        <w:rPr>
          <w:rFonts w:ascii="Times New Roman" w:hAnsi="Times New Roman" w:cs="Times New Roman"/>
        </w:rPr>
        <w:t>member countries</w:t>
      </w:r>
      <w:r w:rsidR="00DE4871" w:rsidRPr="007C7F2A">
        <w:rPr>
          <w:rFonts w:ascii="Times New Roman" w:hAnsi="Times New Roman" w:cs="Times New Roman"/>
        </w:rPr>
        <w:t xml:space="preserve"> had to </w:t>
      </w:r>
      <w:r w:rsidR="00136F78">
        <w:rPr>
          <w:rFonts w:ascii="Times New Roman" w:hAnsi="Times New Roman" w:cs="Times New Roman"/>
        </w:rPr>
        <w:t>adopt</w:t>
      </w:r>
      <w:r w:rsidR="00DE4871" w:rsidRPr="007C7F2A">
        <w:rPr>
          <w:rFonts w:ascii="Times New Roman" w:hAnsi="Times New Roman" w:cs="Times New Roman"/>
        </w:rPr>
        <w:t xml:space="preserve"> relevant national legislation</w:t>
      </w:r>
      <w:r w:rsidR="00136F78">
        <w:rPr>
          <w:rFonts w:ascii="Times New Roman" w:hAnsi="Times New Roman" w:cs="Times New Roman"/>
        </w:rPr>
        <w:t xml:space="preserve"> and implementation measures</w:t>
      </w:r>
      <w:r w:rsidR="00DE4871" w:rsidRPr="007C7F2A">
        <w:rPr>
          <w:rFonts w:ascii="Times New Roman" w:hAnsi="Times New Roman" w:cs="Times New Roman"/>
        </w:rPr>
        <w:t>. This means the EU ETS</w:t>
      </w:r>
      <w:r w:rsidR="00DE4871" w:rsidRPr="007C7F2A">
        <w:rPr>
          <w:rStyle w:val="apple-converted-space"/>
          <w:rFonts w:ascii="Times New Roman" w:hAnsi="Times New Roman" w:cs="Times New Roman"/>
        </w:rPr>
        <w:t> </w:t>
      </w:r>
      <w:r w:rsidR="00DE4871" w:rsidRPr="007C7F2A">
        <w:rPr>
          <w:rStyle w:val="il"/>
          <w:rFonts w:ascii="Times New Roman" w:hAnsi="Times New Roman" w:cs="Times New Roman"/>
        </w:rPr>
        <w:t>directive</w:t>
      </w:r>
      <w:r w:rsidR="00DE4871" w:rsidRPr="007C7F2A">
        <w:rPr>
          <w:rStyle w:val="apple-converted-space"/>
          <w:rFonts w:ascii="Times New Roman" w:hAnsi="Times New Roman" w:cs="Times New Roman"/>
        </w:rPr>
        <w:t> </w:t>
      </w:r>
      <w:r w:rsidR="000A38CF">
        <w:rPr>
          <w:rFonts w:ascii="Times New Roman" w:hAnsi="Times New Roman" w:cs="Times New Roman"/>
        </w:rPr>
        <w:t>gave</w:t>
      </w:r>
      <w:r w:rsidR="00DE4871" w:rsidRPr="007C7F2A">
        <w:rPr>
          <w:rFonts w:ascii="Times New Roman" w:hAnsi="Times New Roman" w:cs="Times New Roman"/>
        </w:rPr>
        <w:t xml:space="preserve"> the Member States and their regulatory agencies the general responsibility to ensure its implementation. </w:t>
      </w:r>
      <w:r w:rsidR="000A38CF">
        <w:rPr>
          <w:rFonts w:ascii="Times New Roman" w:hAnsi="Times New Roman" w:cs="Times New Roman"/>
        </w:rPr>
        <w:t>Accordingly, t</w:t>
      </w:r>
      <w:r w:rsidR="00DE4871" w:rsidRPr="000A65D3">
        <w:rPr>
          <w:rFonts w:ascii="Times New Roman" w:hAnsi="Times New Roman" w:cs="Times New Roman"/>
          <w:iCs/>
          <w:color w:val="0C000F"/>
        </w:rPr>
        <w:t>here was considerable uncertainty as to how t</w:t>
      </w:r>
      <w:r w:rsidR="000A38CF">
        <w:rPr>
          <w:rFonts w:ascii="Times New Roman" w:hAnsi="Times New Roman" w:cs="Times New Roman"/>
          <w:iCs/>
          <w:color w:val="0C000F"/>
        </w:rPr>
        <w:t>he EU climate change policy</w:t>
      </w:r>
      <w:r w:rsidR="00DE4871" w:rsidRPr="000A65D3">
        <w:rPr>
          <w:rFonts w:ascii="Times New Roman" w:hAnsi="Times New Roman" w:cs="Times New Roman"/>
          <w:iCs/>
          <w:color w:val="0C000F"/>
        </w:rPr>
        <w:t xml:space="preserve"> would be implemented in each country</w:t>
      </w:r>
      <w:r w:rsidR="000A38CF">
        <w:rPr>
          <w:rFonts w:ascii="Times New Roman" w:hAnsi="Times New Roman" w:cs="Times New Roman"/>
          <w:iCs/>
          <w:color w:val="0C000F"/>
        </w:rPr>
        <w:t>, although the EU was adamant about limiting GHG emissions over time</w:t>
      </w:r>
      <w:r w:rsidR="00DE4871" w:rsidRPr="000A65D3">
        <w:rPr>
          <w:rFonts w:ascii="Times New Roman" w:hAnsi="Times New Roman" w:cs="Times New Roman"/>
          <w:iCs/>
          <w:color w:val="0C000F"/>
        </w:rPr>
        <w:t>.</w:t>
      </w:r>
      <w:r w:rsidR="00DE4871" w:rsidRPr="000A65D3">
        <w:rPr>
          <w:rStyle w:val="FootnoteReference"/>
          <w:rFonts w:ascii="Times New Roman" w:hAnsi="Times New Roman" w:cs="Times New Roman"/>
          <w:iCs/>
          <w:color w:val="0C000F"/>
        </w:rPr>
        <w:footnoteReference w:id="4"/>
      </w:r>
      <w:r w:rsidR="00DE4871">
        <w:rPr>
          <w:rFonts w:ascii="Times New Roman" w:hAnsi="Times New Roman" w:cs="Times New Roman"/>
          <w:iCs/>
          <w:color w:val="0C000F"/>
        </w:rPr>
        <w:t xml:space="preserve"> </w:t>
      </w:r>
    </w:p>
    <w:p w14:paraId="79FB5458" w14:textId="3A6BF1EC" w:rsidR="009D699B" w:rsidRPr="009D699B" w:rsidRDefault="009D699B" w:rsidP="009D699B">
      <w:pPr>
        <w:spacing w:line="480" w:lineRule="auto"/>
        <w:ind w:firstLine="720"/>
        <w:rPr>
          <w:rFonts w:ascii="Times New Roman" w:hAnsi="Times New Roman" w:cs="Times New Roman"/>
          <w:iCs/>
          <w:color w:val="0C000F"/>
        </w:rPr>
      </w:pPr>
      <w:r w:rsidRPr="009D699B">
        <w:rPr>
          <w:rFonts w:ascii="Times New Roman" w:hAnsi="Times New Roman" w:cs="Times New Roman"/>
          <w:iCs/>
          <w:color w:val="0C000F"/>
        </w:rPr>
        <w:t xml:space="preserve">Second, </w:t>
      </w:r>
      <w:r w:rsidRPr="009D699B">
        <w:rPr>
          <w:rFonts w:ascii="Times New Roman" w:hAnsi="Times New Roman" w:cs="Times New Roman"/>
        </w:rPr>
        <w:t xml:space="preserve">another unique feature of the EU context is that the EU member countries differ significantly in their </w:t>
      </w:r>
      <w:r w:rsidRPr="009D699B">
        <w:rPr>
          <w:rFonts w:ascii="Times New Roman" w:hAnsi="Times New Roman" w:cs="Times New Roman"/>
          <w:iCs/>
          <w:color w:val="0C000F"/>
        </w:rPr>
        <w:t xml:space="preserve">financial dependence </w:t>
      </w:r>
      <w:r w:rsidRPr="009D699B">
        <w:rPr>
          <w:rFonts w:ascii="Times New Roman" w:hAnsi="Times New Roman" w:cs="Times New Roman"/>
        </w:rPr>
        <w:t>on the EU, including funding support from the EU</w:t>
      </w:r>
      <w:r w:rsidR="003F548F">
        <w:rPr>
          <w:rFonts w:ascii="Times New Roman" w:hAnsi="Times New Roman" w:cs="Times New Roman"/>
        </w:rPr>
        <w:t xml:space="preserve"> </w:t>
      </w:r>
      <w:r w:rsidR="003F548F" w:rsidRPr="009D699B">
        <w:rPr>
          <w:rFonts w:ascii="Times New Roman" w:hAnsi="Times New Roman" w:cs="Times New Roman"/>
        </w:rPr>
        <w:t xml:space="preserve">(De La Fuente </w:t>
      </w:r>
      <w:r w:rsidR="003F548F" w:rsidRPr="009D699B">
        <w:rPr>
          <w:rFonts w:ascii="Times New Roman" w:eastAsiaTheme="minorEastAsia" w:hAnsi="Times New Roman" w:cs="Times New Roman"/>
          <w:bCs/>
        </w:rPr>
        <w:t xml:space="preserve">&amp; </w:t>
      </w:r>
      <w:proofErr w:type="spellStart"/>
      <w:r w:rsidR="003F548F" w:rsidRPr="009D699B">
        <w:rPr>
          <w:rFonts w:ascii="Times New Roman" w:eastAsiaTheme="minorEastAsia" w:hAnsi="Times New Roman" w:cs="Times New Roman"/>
          <w:bCs/>
        </w:rPr>
        <w:t>Doménech</w:t>
      </w:r>
      <w:proofErr w:type="spellEnd"/>
      <w:r w:rsidR="003F548F" w:rsidRPr="009D699B">
        <w:rPr>
          <w:rFonts w:ascii="Times New Roman" w:eastAsiaTheme="minorEastAsia" w:hAnsi="Times New Roman" w:cs="Times New Roman"/>
          <w:bCs/>
        </w:rPr>
        <w:t>, 2001</w:t>
      </w:r>
      <w:r w:rsidR="003F548F" w:rsidRPr="009D699B">
        <w:rPr>
          <w:rFonts w:ascii="Times New Roman" w:eastAsiaTheme="minorEastAsia" w:hAnsi="Times New Roman" w:cs="Times New Roman"/>
        </w:rPr>
        <w:t>)</w:t>
      </w:r>
      <w:r w:rsidRPr="009D699B">
        <w:rPr>
          <w:rFonts w:ascii="Times New Roman" w:hAnsi="Times New Roman" w:cs="Times New Roman"/>
        </w:rPr>
        <w:t>. All member countries contribute to and receive funding from the EU, but some countries contribute more than they receive, and other</w:t>
      </w:r>
      <w:r w:rsidR="003F548F">
        <w:rPr>
          <w:rFonts w:ascii="Times New Roman" w:hAnsi="Times New Roman" w:cs="Times New Roman"/>
        </w:rPr>
        <w:t>s</w:t>
      </w:r>
      <w:r w:rsidRPr="009D699B">
        <w:rPr>
          <w:rFonts w:ascii="Times New Roman" w:hAnsi="Times New Roman" w:cs="Times New Roman"/>
        </w:rPr>
        <w:t xml:space="preserve"> receive more than they contribute. Also, the extent of how much the countries contribute versus receive varies. EU </w:t>
      </w:r>
      <w:r w:rsidRPr="009D699B">
        <w:rPr>
          <w:rFonts w:ascii="Times New Roman" w:hAnsi="Times New Roman" w:cs="Times New Roman"/>
        </w:rPr>
        <w:lastRenderedPageBreak/>
        <w:t>funds generally help member countries align their domestic policies with the EU’s policies and goals, and these funds can be withdrawn or curtailed if member countries fail to honor their commitments.</w:t>
      </w:r>
      <w:r w:rsidRPr="009D699B">
        <w:rPr>
          <w:rStyle w:val="FootnoteReference"/>
          <w:rFonts w:ascii="Times New Roman" w:hAnsi="Times New Roman" w:cs="Times New Roman"/>
        </w:rPr>
        <w:footnoteReference w:id="5"/>
      </w:r>
      <w:r w:rsidRPr="009D699B">
        <w:rPr>
          <w:rFonts w:ascii="Times New Roman" w:hAnsi="Times New Roman" w:cs="Times New Roman"/>
        </w:rPr>
        <w:t xml:space="preserve"> The European Court of Auditors recommends that EU funds be conditional on results</w:t>
      </w:r>
      <w:r w:rsidRPr="009D699B">
        <w:rPr>
          <w:rStyle w:val="FootnoteReference"/>
          <w:rFonts w:ascii="Times New Roman" w:hAnsi="Times New Roman" w:cs="Times New Roman"/>
        </w:rPr>
        <w:footnoteReference w:id="6"/>
      </w:r>
      <w:r w:rsidRPr="009D699B">
        <w:rPr>
          <w:rFonts w:ascii="Times New Roman" w:hAnsi="Times New Roman" w:cs="Times New Roman"/>
        </w:rPr>
        <w:t xml:space="preserve"> and penalizes member countries if they do not follow EU rules.</w:t>
      </w:r>
      <w:r w:rsidRPr="009D699B">
        <w:rPr>
          <w:rStyle w:val="FootnoteReference"/>
          <w:rFonts w:ascii="Times New Roman" w:hAnsi="Times New Roman" w:cs="Times New Roman"/>
        </w:rPr>
        <w:footnoteReference w:id="7"/>
      </w:r>
      <w:r w:rsidRPr="009D699B">
        <w:rPr>
          <w:rFonts w:ascii="Times New Roman" w:hAnsi="Times New Roman" w:cs="Times New Roman"/>
        </w:rPr>
        <w:t xml:space="preserve"> Indeed, only expenditure in accordance with the EU legal framework is financed by EU funds, and financial corrections and recoveries (e.g., interruptions and suspension of payments) are made by the EU Commission if EU funds are not used in alignment with the Commission</w:t>
      </w:r>
      <w:r w:rsidRPr="009D699B">
        <w:rPr>
          <w:rFonts w:ascii="Times New Roman" w:eastAsia="Helvetica" w:hAnsi="Times New Roman" w:cs="Times New Roman"/>
        </w:rPr>
        <w:t>’</w:t>
      </w:r>
      <w:r w:rsidRPr="009D699B">
        <w:rPr>
          <w:rFonts w:ascii="Times New Roman" w:hAnsi="Times New Roman" w:cs="Times New Roman"/>
        </w:rPr>
        <w:t xml:space="preserve">s </w:t>
      </w:r>
      <w:r w:rsidRPr="009D699B">
        <w:rPr>
          <w:rFonts w:ascii="Times New Roman" w:eastAsia="Helvetica" w:hAnsi="Times New Roman" w:cs="Times New Roman"/>
        </w:rPr>
        <w:t>“</w:t>
      </w:r>
      <w:r w:rsidRPr="009D699B">
        <w:rPr>
          <w:rFonts w:ascii="Times New Roman" w:hAnsi="Times New Roman" w:cs="Times New Roman"/>
        </w:rPr>
        <w:t>budget focused on results strategy.</w:t>
      </w:r>
      <w:r w:rsidRPr="009D699B">
        <w:rPr>
          <w:rFonts w:ascii="Times New Roman" w:eastAsia="Helvetica" w:hAnsi="Times New Roman" w:cs="Times New Roman"/>
        </w:rPr>
        <w:t>”</w:t>
      </w:r>
      <w:r w:rsidRPr="009D699B">
        <w:rPr>
          <w:rStyle w:val="FootnoteReference"/>
          <w:rFonts w:ascii="Times New Roman" w:eastAsia="Helvetica" w:hAnsi="Times New Roman" w:cs="Times New Roman"/>
        </w:rPr>
        <w:footnoteReference w:id="8"/>
      </w:r>
      <w:r w:rsidRPr="009D699B">
        <w:rPr>
          <w:rFonts w:ascii="Times New Roman" w:hAnsi="Times New Roman" w:cs="Times New Roman"/>
        </w:rPr>
        <w:t xml:space="preserve"> This ensures that EU funds are protected from expenditure in breach of law. For example, in 2014, financial corrections in the amount of 918 million EU in total were made in the area of sustainable growth and natural resources with regard to EU funds to its member states.</w:t>
      </w:r>
      <w:r w:rsidRPr="009D699B">
        <w:rPr>
          <w:rStyle w:val="FootnoteReference"/>
          <w:rFonts w:ascii="Times New Roman" w:hAnsi="Times New Roman" w:cs="Times New Roman"/>
        </w:rPr>
        <w:footnoteReference w:id="9"/>
      </w:r>
      <w:r w:rsidRPr="009D699B">
        <w:rPr>
          <w:rFonts w:ascii="Times New Roman" w:hAnsi="Times New Roman" w:cs="Times New Roman"/>
        </w:rPr>
        <w:t xml:space="preserve"> Therefore, by exploiting heterogeneity in </w:t>
      </w:r>
      <w:r w:rsidR="001078DA">
        <w:rPr>
          <w:rFonts w:ascii="Times New Roman" w:hAnsi="Times New Roman" w:cs="Times New Roman"/>
        </w:rPr>
        <w:t xml:space="preserve">resource dependencies as </w:t>
      </w:r>
      <w:r w:rsidR="002A6FEF">
        <w:rPr>
          <w:rFonts w:ascii="Times New Roman" w:hAnsi="Times New Roman" w:cs="Times New Roman"/>
        </w:rPr>
        <w:t xml:space="preserve">represented </w:t>
      </w:r>
      <w:r w:rsidR="001078DA">
        <w:rPr>
          <w:rFonts w:ascii="Times New Roman" w:hAnsi="Times New Roman" w:cs="Times New Roman"/>
        </w:rPr>
        <w:t>by EU funding</w:t>
      </w:r>
      <w:r w:rsidRPr="009D699B">
        <w:rPr>
          <w:rFonts w:ascii="Times New Roman" w:hAnsi="Times New Roman" w:cs="Times New Roman"/>
        </w:rPr>
        <w:t xml:space="preserve">, we can gauge the likelihood of </w:t>
      </w:r>
      <w:r w:rsidR="00AC37C5">
        <w:rPr>
          <w:rFonts w:ascii="Times New Roman" w:hAnsi="Times New Roman" w:cs="Times New Roman"/>
        </w:rPr>
        <w:t>government</w:t>
      </w:r>
      <w:r w:rsidR="00370F08">
        <w:rPr>
          <w:rFonts w:ascii="Times New Roman" w:hAnsi="Times New Roman" w:cs="Times New Roman"/>
        </w:rPr>
        <w:t xml:space="preserve"> agencies</w:t>
      </w:r>
      <w:r w:rsidR="00AC37C5">
        <w:rPr>
          <w:rFonts w:ascii="Times New Roman" w:hAnsi="Times New Roman" w:cs="Times New Roman"/>
        </w:rPr>
        <w:t xml:space="preserve"> in EU </w:t>
      </w:r>
      <w:r w:rsidR="002C104B">
        <w:rPr>
          <w:rFonts w:ascii="Times New Roman" w:hAnsi="Times New Roman" w:cs="Times New Roman"/>
        </w:rPr>
        <w:t>member countries</w:t>
      </w:r>
      <w:r w:rsidRPr="009D699B">
        <w:rPr>
          <w:rFonts w:ascii="Times New Roman" w:hAnsi="Times New Roman" w:cs="Times New Roman"/>
        </w:rPr>
        <w:t xml:space="preserve"> implementing </w:t>
      </w:r>
      <w:r w:rsidR="002C104B">
        <w:rPr>
          <w:rFonts w:ascii="Times New Roman" w:hAnsi="Times New Roman" w:cs="Times New Roman"/>
        </w:rPr>
        <w:t>and enforcing EU</w:t>
      </w:r>
      <w:r w:rsidRPr="009D699B">
        <w:rPr>
          <w:rFonts w:ascii="Times New Roman" w:hAnsi="Times New Roman" w:cs="Times New Roman"/>
        </w:rPr>
        <w:t xml:space="preserve"> </w:t>
      </w:r>
      <w:r w:rsidR="002C104B">
        <w:rPr>
          <w:rFonts w:ascii="Times New Roman" w:hAnsi="Times New Roman" w:cs="Times New Roman"/>
        </w:rPr>
        <w:t>environmental policy</w:t>
      </w:r>
      <w:r w:rsidRPr="009D699B">
        <w:rPr>
          <w:rFonts w:ascii="Times New Roman" w:hAnsi="Times New Roman" w:cs="Times New Roman"/>
        </w:rPr>
        <w:t xml:space="preserve"> and </w:t>
      </w:r>
      <w:r w:rsidR="00832F7F">
        <w:rPr>
          <w:rFonts w:ascii="Times New Roman" w:hAnsi="Times New Roman" w:cs="Times New Roman"/>
        </w:rPr>
        <w:t xml:space="preserve">further </w:t>
      </w:r>
      <w:r w:rsidRPr="009D699B">
        <w:rPr>
          <w:rFonts w:ascii="Times New Roman" w:hAnsi="Times New Roman" w:cs="Times New Roman"/>
        </w:rPr>
        <w:t>study how firms respond to such regulatory signals.</w:t>
      </w:r>
      <w:r w:rsidRPr="009D699B">
        <w:rPr>
          <w:rFonts w:ascii="Times New Roman" w:hAnsi="Times New Roman" w:cs="Times New Roman"/>
          <w:iCs/>
          <w:color w:val="0C000F"/>
        </w:rPr>
        <w:t xml:space="preserve"> </w:t>
      </w:r>
    </w:p>
    <w:p w14:paraId="785EF552" w14:textId="7F7BAFBB" w:rsidR="00AC37C5" w:rsidRPr="000A65D3" w:rsidRDefault="00AC37C5" w:rsidP="00AC37C5">
      <w:pPr>
        <w:pStyle w:val="NormalWeb"/>
        <w:tabs>
          <w:tab w:val="left" w:pos="720"/>
        </w:tabs>
        <w:spacing w:before="0" w:beforeAutospacing="0" w:after="0" w:afterAutospacing="0" w:line="480" w:lineRule="auto"/>
      </w:pPr>
      <w:r>
        <w:tab/>
        <w:t>Lastly</w:t>
      </w:r>
      <w:r w:rsidRPr="000A65D3">
        <w:t>, by the time of our sample period, the European electricity markets had shifted away from a quasi-monopolistic structure to one that was increasingly competitive.</w:t>
      </w:r>
      <w:r w:rsidRPr="000A65D3">
        <w:rPr>
          <w:vertAlign w:val="superscript"/>
        </w:rPr>
        <w:footnoteReference w:id="10"/>
      </w:r>
      <w:r w:rsidRPr="000A65D3">
        <w:t xml:space="preserve"> The vertical value chain had been increasingly disintegrated into generation, transmission, and distribution. The transmission grids were open to all generators, with priority given to renewable energy suppliers. The electric</w:t>
      </w:r>
      <w:r w:rsidR="003B6745">
        <w:t>ity</w:t>
      </w:r>
      <w:r w:rsidRPr="000A65D3">
        <w:t xml:space="preserve"> generators were subject to both price competition and consumer </w:t>
      </w:r>
      <w:r w:rsidRPr="000A65D3">
        <w:lastRenderedPageBreak/>
        <w:t xml:space="preserve">choice. They bid based on operating cost for the right to dispatch electricity to the transmission grid. The lower a generator’s cost and hence its bid price, the higher its profit would be, because the market price was determined by the bid of the highest-cost generator serving the load. At the same time, customers had some freedom in choosing (and switching) their electricity suppliers. </w:t>
      </w:r>
      <w:r w:rsidR="00AF7071">
        <w:t>For example, r</w:t>
      </w:r>
      <w:r w:rsidRPr="000A65D3">
        <w:t xml:space="preserve">etail customers (e.g., residential, commercial, and industrial customers) were usually provided with detailed information about alternative electricity generation companies—including their energy mix and the environmental quality of supply—that they could choose from and switch to through their distribution companies. These were standard practices to ensure market competition in the electricity market (Kim, 2013). In making their choices, consumers could consider firm characteristics such as reputation and energy source in addition to </w:t>
      </w:r>
      <w:r w:rsidR="000B610C">
        <w:t>price</w:t>
      </w:r>
      <w:r w:rsidRPr="000A65D3">
        <w:t xml:space="preserve">. For example, customers might choose to purchase electricity from firms that were known to be more environmentally friendly </w:t>
      </w:r>
      <w:r w:rsidRPr="000A65D3">
        <w:fldChar w:fldCharType="begin"/>
      </w:r>
      <w:r w:rsidRPr="000A65D3">
        <w:instrText xml:space="preserve"> ADDIN EN.CITE &lt;EndNote&gt;&lt;Cite&gt;&lt;Author&gt;Delmas&lt;/Author&gt;&lt;Year&gt;2007&lt;/Year&gt;&lt;RecNum&gt;4548&lt;/RecNum&gt;&lt;DisplayText&gt;(Delmas, Russo, &amp;amp; Montes-Sancho, 2007)&lt;/DisplayText&gt;&lt;record&gt;&lt;rec-number&gt;4548&lt;/rec-number&gt;&lt;foreign-keys&gt;&lt;key app="EN" db-id="drza2r996s5xafet0zkvrvtc0ar9sdvwsf2v" timestamp="0"&gt;4548&lt;/key&gt;&lt;/foreign-keys&gt;&lt;ref-type name="Journal Article"&gt;17&lt;/ref-type&gt;&lt;contributors&gt;&lt;authors&gt;&lt;author&gt;Delmas, Magali&lt;/author&gt;&lt;author&gt;Russo, Michael V.&lt;/author&gt;&lt;author&gt;Montes-Sancho, Maria J.&lt;/author&gt;&lt;/authors&gt;&lt;/contributors&gt;&lt;titles&gt;&lt;title&gt;Deregulation and environmental differentiation in the electric utility industry&lt;/title&gt;&lt;secondary-title&gt;Strategic Management Journal&lt;/secondary-title&gt;&lt;/titles&gt;&lt;periodical&gt;&lt;full-title&gt;Strategic Management Journal&lt;/full-title&gt;&lt;/periodical&gt;&lt;pages&gt;189-209&lt;/pages&gt;&lt;volume&gt;28&lt;/volume&gt;&lt;number&gt;2&lt;/number&gt;&lt;keywords&gt;&lt;keyword&gt;MANAGEMENT&lt;/keyword&gt;&lt;keyword&gt;PUBLIC utilities&lt;/keyword&gt;&lt;keyword&gt;ELECTRIC utilities&lt;/keyword&gt;&lt;keyword&gt;ELECTRIC power distribution&lt;/keyword&gt;&lt;keyword&gt;DEREGULATION&lt;/keyword&gt;&lt;keyword&gt;REGULATED industries&lt;/keyword&gt;&lt;keyword&gt;CORPORATE environmentalism&lt;/keyword&gt;&lt;keyword&gt;STRATEGIC planning&lt;/keyword&gt;&lt;keyword&gt;ENVIRONMENTALISM&lt;/keyword&gt;&lt;keyword&gt;electric utility&lt;/keyword&gt;&lt;keyword&gt;environmental differentiation&lt;/keyword&gt;&lt;keyword&gt;productive efficieny&lt;/keyword&gt;&lt;keyword&gt;renewable energy&lt;/keyword&gt;&lt;/keywords&gt;&lt;dates&gt;&lt;year&gt;2007&lt;/year&gt;&lt;/dates&gt;&lt;publisher&gt;John Wiley &amp;amp; Sons, Inc. / Business&lt;/publisher&gt;&lt;isbn&gt;01432095&lt;/isbn&gt;&lt;label&gt; CES&lt;/label&gt;&lt;urls&gt;&lt;related-urls&gt;&lt;url&gt;http://search.ebscohost.com/login.aspx?direct=true&amp;amp;db=bth&amp;amp;AN=23527666&amp;amp;loginpage=Login.asp&amp;amp;site=ehost-live&lt;/url&gt;&lt;/related-urls&gt;&lt;/urls&gt;&lt;/record&gt;&lt;/Cite&gt;&lt;/EndNote&gt;</w:instrText>
      </w:r>
      <w:r w:rsidRPr="000A65D3">
        <w:fldChar w:fldCharType="separate"/>
      </w:r>
      <w:r w:rsidRPr="000A65D3">
        <w:rPr>
          <w:noProof/>
        </w:rPr>
        <w:t>(Delmas, Russo, &amp; Montes-Sancho, 2007)</w:t>
      </w:r>
      <w:r w:rsidRPr="000A65D3">
        <w:fldChar w:fldCharType="end"/>
      </w:r>
      <w:r w:rsidRPr="000A65D3">
        <w:t xml:space="preserve">. </w:t>
      </w:r>
      <w:r w:rsidR="003975C2">
        <w:t xml:space="preserve">Thus, firms have incentives to move </w:t>
      </w:r>
      <w:r w:rsidR="003B6745">
        <w:t>ahead</w:t>
      </w:r>
      <w:r w:rsidR="00501DCE">
        <w:t xml:space="preserve"> </w:t>
      </w:r>
      <w:r w:rsidR="003975C2">
        <w:t xml:space="preserve">with </w:t>
      </w:r>
      <w:r w:rsidR="00501DCE">
        <w:t>expected more stringent environmental regulations.</w:t>
      </w:r>
    </w:p>
    <w:p w14:paraId="45C903A5" w14:textId="77777777" w:rsidR="009D699B" w:rsidRDefault="009D699B" w:rsidP="0013029E">
      <w:pPr>
        <w:spacing w:line="480" w:lineRule="auto"/>
        <w:ind w:firstLine="720"/>
        <w:rPr>
          <w:rFonts w:ascii="Times New Roman" w:hAnsi="Times New Roman" w:cs="Times New Roman"/>
          <w:iCs/>
          <w:color w:val="0C000F"/>
        </w:rPr>
      </w:pPr>
    </w:p>
    <w:p w14:paraId="03984611" w14:textId="77777777" w:rsidR="0013029E" w:rsidRPr="00563F19" w:rsidRDefault="0013029E" w:rsidP="0013029E">
      <w:pPr>
        <w:pStyle w:val="NormalWeb"/>
        <w:tabs>
          <w:tab w:val="left" w:pos="720"/>
        </w:tabs>
        <w:spacing w:before="0" w:beforeAutospacing="0" w:after="0" w:afterAutospacing="0" w:line="480" w:lineRule="auto"/>
        <w:jc w:val="center"/>
        <w:outlineLvl w:val="0"/>
        <w:rPr>
          <w:b/>
          <w:iCs/>
          <w:color w:val="0C000F"/>
        </w:rPr>
      </w:pPr>
      <w:r w:rsidRPr="00563F19">
        <w:rPr>
          <w:b/>
          <w:iCs/>
          <w:color w:val="0C000F"/>
        </w:rPr>
        <w:t>Data and Method</w:t>
      </w:r>
    </w:p>
    <w:p w14:paraId="03C4B35A" w14:textId="77777777" w:rsidR="0013029E" w:rsidRPr="00563F19" w:rsidRDefault="0013029E" w:rsidP="0013029E">
      <w:pPr>
        <w:pStyle w:val="NormalWeb"/>
        <w:tabs>
          <w:tab w:val="left" w:pos="720"/>
        </w:tabs>
        <w:spacing w:before="0" w:beforeAutospacing="0" w:after="0" w:afterAutospacing="0" w:line="480" w:lineRule="auto"/>
        <w:outlineLvl w:val="0"/>
        <w:rPr>
          <w:b/>
          <w:iCs/>
          <w:color w:val="0C000F"/>
        </w:rPr>
      </w:pPr>
      <w:r w:rsidRPr="00563F19">
        <w:rPr>
          <w:b/>
          <w:iCs/>
          <w:color w:val="0C000F"/>
        </w:rPr>
        <w:t>Data and variable definitions</w:t>
      </w:r>
    </w:p>
    <w:p w14:paraId="428A1A97" w14:textId="07E4F435" w:rsidR="007D092E" w:rsidRDefault="007D092E" w:rsidP="007D092E">
      <w:pPr>
        <w:spacing w:line="480" w:lineRule="auto"/>
        <w:rPr>
          <w:rFonts w:ascii="Times New Roman" w:hAnsi="Times New Roman" w:cs="Times New Roman"/>
        </w:rPr>
      </w:pPr>
      <w:r>
        <w:rPr>
          <w:rFonts w:ascii="Times New Roman" w:hAnsi="Times New Roman" w:cs="Times New Roman"/>
        </w:rPr>
        <w:t xml:space="preserve">In our empirical estimation, we proceed in two steps. </w:t>
      </w:r>
      <w:r w:rsidR="00E53C38">
        <w:rPr>
          <w:rFonts w:ascii="Times New Roman" w:hAnsi="Times New Roman" w:cs="Times New Roman"/>
        </w:rPr>
        <w:t>We first predict</w:t>
      </w:r>
      <w:r w:rsidR="00426BD2">
        <w:rPr>
          <w:rFonts w:ascii="Times New Roman" w:hAnsi="Times New Roman" w:cs="Times New Roman"/>
        </w:rPr>
        <w:t xml:space="preserve"> </w:t>
      </w:r>
      <w:r w:rsidR="00CC0CAE">
        <w:rPr>
          <w:rFonts w:ascii="Times New Roman" w:hAnsi="Times New Roman" w:cs="Times New Roman"/>
        </w:rPr>
        <w:t xml:space="preserve">the number of legal measures </w:t>
      </w:r>
      <w:r w:rsidR="00EC6A82">
        <w:rPr>
          <w:rFonts w:ascii="Times New Roman" w:hAnsi="Times New Roman" w:cs="Times New Roman"/>
        </w:rPr>
        <w:t>government</w:t>
      </w:r>
      <w:r w:rsidR="00663AB9">
        <w:rPr>
          <w:rFonts w:ascii="Times New Roman" w:hAnsi="Times New Roman" w:cs="Times New Roman"/>
        </w:rPr>
        <w:t xml:space="preserve"> agencies </w:t>
      </w:r>
      <w:r w:rsidR="003B6745">
        <w:rPr>
          <w:rFonts w:ascii="Times New Roman" w:hAnsi="Times New Roman" w:cs="Times New Roman"/>
        </w:rPr>
        <w:t>took</w:t>
      </w:r>
      <w:r w:rsidR="00CC0CAE">
        <w:rPr>
          <w:rFonts w:ascii="Times New Roman" w:hAnsi="Times New Roman" w:cs="Times New Roman"/>
        </w:rPr>
        <w:t xml:space="preserve"> to transpose and implement the EU climate change directive (2003/87/EC)</w:t>
      </w:r>
      <w:r w:rsidR="00663AB9">
        <w:rPr>
          <w:rFonts w:ascii="Times New Roman" w:hAnsi="Times New Roman" w:cs="Times New Roman"/>
        </w:rPr>
        <w:t xml:space="preserve"> in each EU Member State</w:t>
      </w:r>
      <w:r w:rsidR="00E53C38">
        <w:rPr>
          <w:rFonts w:ascii="Times New Roman" w:hAnsi="Times New Roman" w:cs="Times New Roman"/>
        </w:rPr>
        <w:t xml:space="preserve"> as a func</w:t>
      </w:r>
      <w:r w:rsidR="00F138F7">
        <w:rPr>
          <w:rFonts w:ascii="Times New Roman" w:hAnsi="Times New Roman" w:cs="Times New Roman"/>
        </w:rPr>
        <w:t xml:space="preserve">tion of the country’s </w:t>
      </w:r>
      <w:r w:rsidR="00A01F76">
        <w:rPr>
          <w:rFonts w:ascii="Times New Roman" w:hAnsi="Times New Roman" w:cs="Times New Roman"/>
        </w:rPr>
        <w:t xml:space="preserve">resource </w:t>
      </w:r>
      <w:r w:rsidR="00F138F7">
        <w:rPr>
          <w:rFonts w:ascii="Times New Roman" w:hAnsi="Times New Roman" w:cs="Times New Roman"/>
        </w:rPr>
        <w:t>dependency</w:t>
      </w:r>
      <w:r w:rsidR="00E53C38">
        <w:rPr>
          <w:rFonts w:ascii="Times New Roman" w:hAnsi="Times New Roman" w:cs="Times New Roman"/>
        </w:rPr>
        <w:t xml:space="preserve"> on the EU at the country level.</w:t>
      </w:r>
      <w:r w:rsidR="00832F7F">
        <w:rPr>
          <w:rStyle w:val="FootnoteReference"/>
          <w:rFonts w:ascii="Times New Roman" w:hAnsi="Times New Roman" w:cs="Times New Roman"/>
        </w:rPr>
        <w:footnoteReference w:id="11"/>
      </w:r>
      <w:r w:rsidR="00E53C38">
        <w:rPr>
          <w:rFonts w:ascii="Times New Roman" w:hAnsi="Times New Roman" w:cs="Times New Roman"/>
        </w:rPr>
        <w:t xml:space="preserve"> We then </w:t>
      </w:r>
      <w:r w:rsidR="0070653F">
        <w:rPr>
          <w:rFonts w:ascii="Times New Roman" w:hAnsi="Times New Roman" w:cs="Times New Roman"/>
        </w:rPr>
        <w:t>turn to</w:t>
      </w:r>
      <w:r w:rsidR="00E53C38">
        <w:rPr>
          <w:rFonts w:ascii="Times New Roman" w:hAnsi="Times New Roman" w:cs="Times New Roman"/>
        </w:rPr>
        <w:t xml:space="preserve"> </w:t>
      </w:r>
      <w:r w:rsidR="00E53C38" w:rsidRPr="00835F11">
        <w:rPr>
          <w:rFonts w:ascii="Times New Roman" w:hAnsi="Times New Roman" w:cs="Times New Roman"/>
        </w:rPr>
        <w:t>whether and how firms respond</w:t>
      </w:r>
      <w:r w:rsidR="00835F11">
        <w:rPr>
          <w:rFonts w:ascii="Times New Roman" w:hAnsi="Times New Roman" w:cs="Times New Roman"/>
        </w:rPr>
        <w:t>ed</w:t>
      </w:r>
      <w:r w:rsidR="00E53C38" w:rsidRPr="00835F11">
        <w:rPr>
          <w:rFonts w:ascii="Times New Roman" w:hAnsi="Times New Roman" w:cs="Times New Roman"/>
        </w:rPr>
        <w:t xml:space="preserve"> to</w:t>
      </w:r>
      <w:r w:rsidR="00E53C38">
        <w:rPr>
          <w:rFonts w:ascii="Times New Roman" w:hAnsi="Times New Roman" w:cs="Times New Roman"/>
        </w:rPr>
        <w:t xml:space="preserve"> such public signals </w:t>
      </w:r>
      <w:r w:rsidR="0070653F">
        <w:rPr>
          <w:rFonts w:ascii="Times New Roman" w:hAnsi="Times New Roman" w:cs="Times New Roman"/>
        </w:rPr>
        <w:t xml:space="preserve">set forth by </w:t>
      </w:r>
      <w:r w:rsidR="00EC6A82">
        <w:rPr>
          <w:rFonts w:ascii="Times New Roman" w:hAnsi="Times New Roman" w:cs="Times New Roman"/>
        </w:rPr>
        <w:t>government</w:t>
      </w:r>
      <w:r w:rsidR="0070653F">
        <w:rPr>
          <w:rFonts w:ascii="Times New Roman" w:hAnsi="Times New Roman" w:cs="Times New Roman"/>
        </w:rPr>
        <w:t xml:space="preserve"> agencies in the </w:t>
      </w:r>
      <w:r w:rsidR="00F138F7">
        <w:rPr>
          <w:rFonts w:ascii="Times New Roman" w:hAnsi="Times New Roman" w:cs="Times New Roman"/>
        </w:rPr>
        <w:t xml:space="preserve">EU </w:t>
      </w:r>
      <w:r w:rsidR="0070653F">
        <w:rPr>
          <w:rFonts w:ascii="Times New Roman" w:hAnsi="Times New Roman" w:cs="Times New Roman"/>
        </w:rPr>
        <w:t xml:space="preserve">member countries by examining </w:t>
      </w:r>
      <w:r w:rsidR="00E53C38">
        <w:rPr>
          <w:rFonts w:ascii="Times New Roman" w:hAnsi="Times New Roman" w:cs="Times New Roman"/>
        </w:rPr>
        <w:t xml:space="preserve">changes in </w:t>
      </w:r>
      <w:r w:rsidR="003C1CF6">
        <w:rPr>
          <w:rFonts w:ascii="Times New Roman" w:hAnsi="Times New Roman" w:cs="Times New Roman"/>
        </w:rPr>
        <w:t>GHG</w:t>
      </w:r>
      <w:r w:rsidR="00E53C38">
        <w:rPr>
          <w:rFonts w:ascii="Times New Roman" w:hAnsi="Times New Roman" w:cs="Times New Roman"/>
        </w:rPr>
        <w:t xml:space="preserve"> emissions at the firm level.</w:t>
      </w:r>
      <w:r>
        <w:rPr>
          <w:rFonts w:ascii="Times New Roman" w:hAnsi="Times New Roman" w:cs="Times New Roman"/>
        </w:rPr>
        <w:t xml:space="preserve"> </w:t>
      </w:r>
    </w:p>
    <w:p w14:paraId="524BF6EB" w14:textId="0854768A" w:rsidR="007D092E" w:rsidRDefault="007D092E" w:rsidP="007D092E">
      <w:pPr>
        <w:spacing w:line="480" w:lineRule="auto"/>
        <w:ind w:firstLine="720"/>
        <w:rPr>
          <w:rFonts w:ascii="Times New Roman" w:hAnsi="Times New Roman" w:cs="Times New Roman"/>
        </w:rPr>
      </w:pPr>
      <w:r>
        <w:rPr>
          <w:rFonts w:ascii="Times New Roman" w:hAnsi="Times New Roman" w:cs="Times New Roman"/>
        </w:rPr>
        <w:lastRenderedPageBreak/>
        <w:t>For the first analysis, we use country-level data collected from</w:t>
      </w:r>
      <w:r w:rsidRPr="00563F19">
        <w:rPr>
          <w:rFonts w:ascii="Times New Roman" w:hAnsi="Times New Roman" w:cs="Times New Roman"/>
        </w:rPr>
        <w:t xml:space="preserve"> the World Bank’s World Development and Governance Indicators, Environmental Sustainability Index, International Union for Conservation Nature, and the European Commission’s EU-ETS and EU funds data.</w:t>
      </w:r>
      <w:r>
        <w:rPr>
          <w:rFonts w:ascii="Times New Roman" w:hAnsi="Times New Roman" w:cs="Times New Roman"/>
        </w:rPr>
        <w:t xml:space="preserve"> </w:t>
      </w:r>
    </w:p>
    <w:p w14:paraId="277ECB08" w14:textId="2FE91D3D" w:rsidR="000644DC" w:rsidRDefault="007D092E" w:rsidP="000644DC">
      <w:pPr>
        <w:spacing w:line="480" w:lineRule="auto"/>
        <w:rPr>
          <w:rFonts w:ascii="Times New Roman" w:hAnsi="Times New Roman" w:cs="Times New Roman"/>
        </w:rPr>
      </w:pPr>
      <w:r>
        <w:rPr>
          <w:rFonts w:ascii="Times New Roman" w:hAnsi="Times New Roman" w:cs="Times New Roman"/>
        </w:rPr>
        <w:t>For the second analysis, we complement the country</w:t>
      </w:r>
      <w:r w:rsidRPr="00563F19">
        <w:rPr>
          <w:rFonts w:ascii="Times New Roman" w:hAnsi="Times New Roman" w:cs="Times New Roman"/>
        </w:rPr>
        <w:t xml:space="preserve">-level data with </w:t>
      </w:r>
      <w:r>
        <w:rPr>
          <w:rFonts w:ascii="Times New Roman" w:hAnsi="Times New Roman" w:cs="Times New Roman"/>
        </w:rPr>
        <w:t>firm</w:t>
      </w:r>
      <w:r w:rsidRPr="00563F19">
        <w:rPr>
          <w:rFonts w:ascii="Times New Roman" w:hAnsi="Times New Roman" w:cs="Times New Roman"/>
        </w:rPr>
        <w:t>-level data</w:t>
      </w:r>
      <w:r>
        <w:rPr>
          <w:rFonts w:ascii="Times New Roman" w:hAnsi="Times New Roman" w:cs="Times New Roman"/>
        </w:rPr>
        <w:t xml:space="preserve">. </w:t>
      </w:r>
      <w:r w:rsidRPr="00563F19">
        <w:rPr>
          <w:rFonts w:ascii="Times New Roman" w:hAnsi="Times New Roman" w:cs="Times New Roman"/>
        </w:rPr>
        <w:t>We obtain</w:t>
      </w:r>
      <w:r w:rsidR="00663AB9">
        <w:rPr>
          <w:rFonts w:ascii="Times New Roman" w:hAnsi="Times New Roman" w:cs="Times New Roman"/>
        </w:rPr>
        <w:t>ed</w:t>
      </w:r>
      <w:r w:rsidRPr="00563F19">
        <w:rPr>
          <w:rFonts w:ascii="Times New Roman" w:hAnsi="Times New Roman" w:cs="Times New Roman"/>
        </w:rPr>
        <w:t xml:space="preserve"> </w:t>
      </w:r>
      <w:r w:rsidR="000644DC" w:rsidRPr="00563F19">
        <w:rPr>
          <w:rFonts w:ascii="Times New Roman" w:hAnsi="Times New Roman" w:cs="Times New Roman"/>
        </w:rPr>
        <w:t xml:space="preserve">GHG </w:t>
      </w:r>
      <w:r w:rsidRPr="00563F19">
        <w:rPr>
          <w:rFonts w:ascii="Times New Roman" w:hAnsi="Times New Roman" w:cs="Times New Roman"/>
        </w:rPr>
        <w:t>emissions</w:t>
      </w:r>
      <w:r w:rsidRPr="00563F19" w:rsidDel="00433899">
        <w:rPr>
          <w:rFonts w:ascii="Times New Roman" w:hAnsi="Times New Roman" w:cs="Times New Roman"/>
        </w:rPr>
        <w:t xml:space="preserve"> </w:t>
      </w:r>
      <w:r w:rsidRPr="00563F19">
        <w:rPr>
          <w:rFonts w:ascii="Times New Roman" w:hAnsi="Times New Roman" w:cs="Times New Roman"/>
        </w:rPr>
        <w:t>data for firms that generate electric power in the EU for the years 2004 and 2009 from the Center for Global De</w:t>
      </w:r>
      <w:r w:rsidR="00552823">
        <w:rPr>
          <w:rFonts w:ascii="Times New Roman" w:hAnsi="Times New Roman" w:cs="Times New Roman"/>
        </w:rPr>
        <w:t>velopment in Washington, DC. This</w:t>
      </w:r>
      <w:r w:rsidRPr="00563F19">
        <w:rPr>
          <w:rFonts w:ascii="Times New Roman" w:hAnsi="Times New Roman" w:cs="Times New Roman"/>
        </w:rPr>
        <w:t xml:space="preserve"> dataset includes firm-level GHG emissions</w:t>
      </w:r>
      <w:r w:rsidR="00663AB9">
        <w:rPr>
          <w:rFonts w:ascii="Times New Roman" w:hAnsi="Times New Roman" w:cs="Times New Roman"/>
        </w:rPr>
        <w:t xml:space="preserve">, </w:t>
      </w:r>
      <w:r w:rsidRPr="00563F19">
        <w:rPr>
          <w:rFonts w:ascii="Times New Roman" w:hAnsi="Times New Roman" w:cs="Times New Roman"/>
        </w:rPr>
        <w:t>specifically, carbon dioxide (CO</w:t>
      </w:r>
      <w:r w:rsidRPr="00563F19">
        <w:rPr>
          <w:rFonts w:ascii="Times New Roman" w:hAnsi="Times New Roman" w:cs="Times New Roman"/>
          <w:vertAlign w:val="subscript"/>
        </w:rPr>
        <w:t>2</w:t>
      </w:r>
      <w:r w:rsidR="000644DC">
        <w:rPr>
          <w:rFonts w:ascii="Times New Roman" w:hAnsi="Times New Roman" w:cs="Times New Roman"/>
        </w:rPr>
        <w:t>) emissions</w:t>
      </w:r>
      <w:r w:rsidRPr="00563F19">
        <w:rPr>
          <w:rFonts w:ascii="Times New Roman" w:hAnsi="Times New Roman" w:cs="Times New Roman"/>
        </w:rPr>
        <w:t>, energy generation, and share of fossil fuels. CO</w:t>
      </w:r>
      <w:r w:rsidRPr="00563F19">
        <w:rPr>
          <w:rFonts w:ascii="Times New Roman" w:hAnsi="Times New Roman" w:cs="Times New Roman"/>
          <w:vertAlign w:val="subscript"/>
        </w:rPr>
        <w:t>2</w:t>
      </w:r>
      <w:r w:rsidRPr="00563F19">
        <w:rPr>
          <w:rFonts w:ascii="Times New Roman" w:hAnsi="Times New Roman" w:cs="Times New Roman"/>
        </w:rPr>
        <w:t xml:space="preserve"> makes up the vast majority of GHG emissions from the electric power industry. Firm-level financial</w:t>
      </w:r>
      <w:r>
        <w:rPr>
          <w:rFonts w:ascii="Times New Roman" w:hAnsi="Times New Roman" w:cs="Times New Roman"/>
        </w:rPr>
        <w:t>s</w:t>
      </w:r>
      <w:r w:rsidR="000644DC">
        <w:rPr>
          <w:rFonts w:ascii="Times New Roman" w:hAnsi="Times New Roman" w:cs="Times New Roman"/>
        </w:rPr>
        <w:t xml:space="preserve"> were</w:t>
      </w:r>
      <w:r w:rsidRPr="00563F19">
        <w:rPr>
          <w:rFonts w:ascii="Times New Roman" w:hAnsi="Times New Roman" w:cs="Times New Roman"/>
        </w:rPr>
        <w:t xml:space="preserve"> collected from Orbis, a global company database produced by Bureau van Dijk. </w:t>
      </w:r>
    </w:p>
    <w:p w14:paraId="0EF59FB0" w14:textId="439587DA" w:rsidR="0013029E" w:rsidRDefault="000644DC" w:rsidP="00706228">
      <w:pPr>
        <w:spacing w:line="480" w:lineRule="auto"/>
        <w:ind w:firstLine="720"/>
        <w:rPr>
          <w:rFonts w:ascii="Times New Roman" w:hAnsi="Times New Roman" w:cs="Times New Roman"/>
        </w:rPr>
      </w:pPr>
      <w:r>
        <w:rPr>
          <w:rFonts w:ascii="Times New Roman" w:hAnsi="Times New Roman" w:cs="Times New Roman"/>
        </w:rPr>
        <w:t>Matching different datasets led to 422</w:t>
      </w:r>
      <w:r w:rsidRPr="00563F19">
        <w:rPr>
          <w:rFonts w:ascii="Times New Roman" w:hAnsi="Times New Roman" w:cs="Times New Roman"/>
        </w:rPr>
        <w:t xml:space="preserve"> </w:t>
      </w:r>
      <w:r>
        <w:rPr>
          <w:rFonts w:ascii="Times New Roman" w:hAnsi="Times New Roman" w:cs="Times New Roman"/>
        </w:rPr>
        <w:t xml:space="preserve">firm-level </w:t>
      </w:r>
      <w:r w:rsidRPr="00563F19">
        <w:rPr>
          <w:rFonts w:ascii="Times New Roman" w:hAnsi="Times New Roman" w:cs="Times New Roman"/>
        </w:rPr>
        <w:t>observations</w:t>
      </w:r>
      <w:r>
        <w:rPr>
          <w:rFonts w:ascii="Times New Roman" w:hAnsi="Times New Roman" w:cs="Times New Roman"/>
        </w:rPr>
        <w:t xml:space="preserve"> </w:t>
      </w:r>
      <w:r w:rsidRPr="00563F19">
        <w:rPr>
          <w:rFonts w:ascii="Times New Roman" w:hAnsi="Times New Roman" w:cs="Times New Roman"/>
        </w:rPr>
        <w:t>for the years 2004 and 2009.</w:t>
      </w:r>
      <w:r>
        <w:rPr>
          <w:rFonts w:ascii="Times New Roman" w:hAnsi="Times New Roman" w:cs="Times New Roman"/>
        </w:rPr>
        <w:t xml:space="preserve"> We use changes in </w:t>
      </w:r>
      <w:r w:rsidRPr="00563F19">
        <w:rPr>
          <w:rFonts w:ascii="Times New Roman" w:hAnsi="Times New Roman" w:cs="Times New Roman"/>
        </w:rPr>
        <w:t>CO</w:t>
      </w:r>
      <w:r w:rsidRPr="00563F19">
        <w:rPr>
          <w:rFonts w:ascii="Times New Roman" w:hAnsi="Times New Roman" w:cs="Times New Roman"/>
          <w:vertAlign w:val="subscript"/>
        </w:rPr>
        <w:t>2</w:t>
      </w:r>
      <w:r>
        <w:rPr>
          <w:rFonts w:ascii="Times New Roman" w:hAnsi="Times New Roman" w:cs="Times New Roman"/>
        </w:rPr>
        <w:t xml:space="preserve"> emissions between 2004 and 2009 as our firm-level dependent variable. To align </w:t>
      </w:r>
      <w:r w:rsidR="00552823">
        <w:rPr>
          <w:rFonts w:ascii="Times New Roman" w:hAnsi="Times New Roman" w:cs="Times New Roman"/>
        </w:rPr>
        <w:t>our country</w:t>
      </w:r>
      <w:r w:rsidR="003B6745">
        <w:rPr>
          <w:rFonts w:ascii="Times New Roman" w:hAnsi="Times New Roman" w:cs="Times New Roman"/>
        </w:rPr>
        <w:t>-</w:t>
      </w:r>
      <w:r w:rsidR="00552823">
        <w:rPr>
          <w:rFonts w:ascii="Times New Roman" w:hAnsi="Times New Roman" w:cs="Times New Roman"/>
        </w:rPr>
        <w:t xml:space="preserve">level analysis with this </w:t>
      </w:r>
      <w:r>
        <w:rPr>
          <w:rFonts w:ascii="Times New Roman" w:hAnsi="Times New Roman" w:cs="Times New Roman"/>
        </w:rPr>
        <w:t>time period</w:t>
      </w:r>
      <w:r w:rsidR="00552823">
        <w:rPr>
          <w:rFonts w:ascii="Times New Roman" w:hAnsi="Times New Roman" w:cs="Times New Roman"/>
        </w:rPr>
        <w:t xml:space="preserve"> while avoiding endogeneity issues</w:t>
      </w:r>
      <w:r>
        <w:rPr>
          <w:rFonts w:ascii="Times New Roman" w:hAnsi="Times New Roman" w:cs="Times New Roman"/>
        </w:rPr>
        <w:t>, we conduct our country</w:t>
      </w:r>
      <w:r w:rsidR="003B6745">
        <w:rPr>
          <w:rFonts w:ascii="Times New Roman" w:hAnsi="Times New Roman" w:cs="Times New Roman"/>
        </w:rPr>
        <w:t>-</w:t>
      </w:r>
      <w:r>
        <w:rPr>
          <w:rFonts w:ascii="Times New Roman" w:hAnsi="Times New Roman" w:cs="Times New Roman"/>
        </w:rPr>
        <w:t xml:space="preserve">level </w:t>
      </w:r>
      <w:r w:rsidR="00552823">
        <w:rPr>
          <w:rFonts w:ascii="Times New Roman" w:hAnsi="Times New Roman" w:cs="Times New Roman"/>
        </w:rPr>
        <w:t>analysis using</w:t>
      </w:r>
      <w:r>
        <w:rPr>
          <w:rFonts w:ascii="Times New Roman" w:hAnsi="Times New Roman" w:cs="Times New Roman"/>
        </w:rPr>
        <w:t xml:space="preserve"> the </w:t>
      </w:r>
      <w:r w:rsidRPr="000E02F3">
        <w:rPr>
          <w:rFonts w:ascii="Times New Roman" w:hAnsi="Times New Roman" w:cs="Times New Roman"/>
        </w:rPr>
        <w:t xml:space="preserve">number of </w:t>
      </w:r>
      <w:r>
        <w:rPr>
          <w:rFonts w:ascii="Times New Roman" w:hAnsi="Times New Roman" w:cs="Times New Roman"/>
        </w:rPr>
        <w:t xml:space="preserve">legal </w:t>
      </w:r>
      <w:r w:rsidRPr="000E02F3">
        <w:rPr>
          <w:rFonts w:ascii="Times New Roman" w:hAnsi="Times New Roman" w:cs="Times New Roman"/>
        </w:rPr>
        <w:t xml:space="preserve">measures </w:t>
      </w:r>
      <w:r w:rsidR="00F37E18">
        <w:rPr>
          <w:rFonts w:ascii="Times New Roman" w:hAnsi="Times New Roman" w:cs="Times New Roman"/>
        </w:rPr>
        <w:t>government</w:t>
      </w:r>
      <w:r>
        <w:rPr>
          <w:rFonts w:ascii="Times New Roman" w:hAnsi="Times New Roman" w:cs="Times New Roman"/>
        </w:rPr>
        <w:t xml:space="preserve"> agencies in </w:t>
      </w:r>
      <w:r w:rsidR="00552823">
        <w:rPr>
          <w:rFonts w:ascii="Times New Roman" w:hAnsi="Times New Roman" w:cs="Times New Roman"/>
        </w:rPr>
        <w:t xml:space="preserve">each EU </w:t>
      </w:r>
      <w:r w:rsidR="00F37E18">
        <w:rPr>
          <w:rFonts w:ascii="Times New Roman" w:hAnsi="Times New Roman" w:cs="Times New Roman"/>
        </w:rPr>
        <w:t>member countr</w:t>
      </w:r>
      <w:r w:rsidR="003B6745">
        <w:rPr>
          <w:rFonts w:ascii="Times New Roman" w:hAnsi="Times New Roman" w:cs="Times New Roman"/>
        </w:rPr>
        <w:t>y</w:t>
      </w:r>
      <w:r w:rsidR="00552823">
        <w:rPr>
          <w:rFonts w:ascii="Times New Roman" w:hAnsi="Times New Roman" w:cs="Times New Roman"/>
        </w:rPr>
        <w:t xml:space="preserve"> </w:t>
      </w:r>
      <w:r w:rsidRPr="000E02F3">
        <w:rPr>
          <w:rFonts w:ascii="Times New Roman" w:hAnsi="Times New Roman" w:cs="Times New Roman"/>
        </w:rPr>
        <w:t>ad</w:t>
      </w:r>
      <w:r w:rsidR="00981AEA">
        <w:rPr>
          <w:rFonts w:ascii="Times New Roman" w:hAnsi="Times New Roman" w:cs="Times New Roman"/>
        </w:rPr>
        <w:t xml:space="preserve">opted to implement the EU </w:t>
      </w:r>
      <w:r w:rsidR="00F37E18">
        <w:rPr>
          <w:rFonts w:ascii="Times New Roman" w:hAnsi="Times New Roman" w:cs="Times New Roman"/>
        </w:rPr>
        <w:t>environmental policy</w:t>
      </w:r>
      <w:r w:rsidRPr="000E02F3">
        <w:rPr>
          <w:rFonts w:ascii="Times New Roman" w:hAnsi="Times New Roman" w:cs="Times New Roman"/>
        </w:rPr>
        <w:t xml:space="preserve"> to </w:t>
      </w:r>
      <w:r w:rsidR="00706228">
        <w:rPr>
          <w:rFonts w:ascii="Times New Roman" w:hAnsi="Times New Roman" w:cs="Times New Roman"/>
        </w:rPr>
        <w:t xml:space="preserve">reduce </w:t>
      </w:r>
      <w:r w:rsidR="00981AEA">
        <w:rPr>
          <w:rFonts w:ascii="Times New Roman" w:hAnsi="Times New Roman" w:cs="Times New Roman"/>
        </w:rPr>
        <w:t>GHG</w:t>
      </w:r>
      <w:r w:rsidR="00706228">
        <w:rPr>
          <w:rFonts w:ascii="Times New Roman" w:hAnsi="Times New Roman" w:cs="Times New Roman"/>
        </w:rPr>
        <w:t xml:space="preserve"> emissions between 2004 and 2008.</w:t>
      </w:r>
      <w:r w:rsidR="00706228">
        <w:rPr>
          <w:rStyle w:val="FootnoteReference"/>
          <w:rFonts w:ascii="Times New Roman" w:hAnsi="Times New Roman" w:cs="Times New Roman"/>
        </w:rPr>
        <w:footnoteReference w:id="12"/>
      </w:r>
      <w:r w:rsidR="00706228">
        <w:rPr>
          <w:rFonts w:ascii="Times New Roman" w:hAnsi="Times New Roman" w:cs="Times New Roman"/>
        </w:rPr>
        <w:t xml:space="preserve"> </w:t>
      </w:r>
      <w:r w:rsidR="00563F19" w:rsidRPr="00563F19">
        <w:rPr>
          <w:rFonts w:ascii="Times New Roman" w:hAnsi="Times New Roman" w:cs="Times New Roman"/>
        </w:rPr>
        <w:t xml:space="preserve">Below </w:t>
      </w:r>
      <w:r w:rsidR="00563F19">
        <w:rPr>
          <w:rFonts w:ascii="Times New Roman" w:hAnsi="Times New Roman" w:cs="Times New Roman"/>
        </w:rPr>
        <w:t xml:space="preserve">we explain our variables and empirical approach. </w:t>
      </w:r>
    </w:p>
    <w:p w14:paraId="2F2310E9" w14:textId="77777777" w:rsidR="007D092E" w:rsidRDefault="007D092E" w:rsidP="00563F19">
      <w:pPr>
        <w:spacing w:line="480" w:lineRule="auto"/>
        <w:rPr>
          <w:rFonts w:ascii="Times New Roman" w:hAnsi="Times New Roman" w:cs="Times New Roman"/>
          <w:b/>
        </w:rPr>
      </w:pPr>
    </w:p>
    <w:p w14:paraId="2625EF67" w14:textId="5600EBB9" w:rsidR="000310D9" w:rsidRPr="000310D9" w:rsidRDefault="000310D9" w:rsidP="00563F19">
      <w:pPr>
        <w:spacing w:line="480" w:lineRule="auto"/>
        <w:rPr>
          <w:rFonts w:ascii="Times New Roman" w:hAnsi="Times New Roman" w:cs="Times New Roman"/>
          <w:b/>
        </w:rPr>
      </w:pPr>
      <w:r w:rsidRPr="000310D9">
        <w:rPr>
          <w:rFonts w:ascii="Times New Roman" w:hAnsi="Times New Roman" w:cs="Times New Roman"/>
          <w:b/>
        </w:rPr>
        <w:t>Dependent variable</w:t>
      </w:r>
      <w:r w:rsidR="00C83830">
        <w:rPr>
          <w:rFonts w:ascii="Times New Roman" w:hAnsi="Times New Roman" w:cs="Times New Roman"/>
          <w:b/>
        </w:rPr>
        <w:t>s</w:t>
      </w:r>
    </w:p>
    <w:p w14:paraId="322BEAD1" w14:textId="7745FD45" w:rsidR="001E07B9" w:rsidRPr="002A336F" w:rsidRDefault="001E07B9" w:rsidP="001E07B9">
      <w:pPr>
        <w:spacing w:line="480" w:lineRule="auto"/>
        <w:ind w:firstLine="720"/>
        <w:rPr>
          <w:rFonts w:ascii="Times New Roman" w:hAnsi="Times New Roman" w:cs="Times New Roman"/>
        </w:rPr>
      </w:pPr>
      <w:r w:rsidRPr="00A01061">
        <w:rPr>
          <w:rFonts w:ascii="Times New Roman" w:hAnsi="Times New Roman" w:cs="Times New Roman"/>
          <w:i/>
        </w:rPr>
        <w:t>National transposition.</w:t>
      </w:r>
      <w:r w:rsidRPr="00A01061">
        <w:rPr>
          <w:rFonts w:ascii="Times New Roman" w:hAnsi="Times New Roman" w:cs="Times New Roman"/>
        </w:rPr>
        <w:t xml:space="preserve"> This </w:t>
      </w:r>
      <w:r w:rsidRPr="000E02F3">
        <w:rPr>
          <w:rFonts w:ascii="Times New Roman" w:hAnsi="Times New Roman" w:cs="Times New Roman"/>
        </w:rPr>
        <w:t xml:space="preserve">variable </w:t>
      </w:r>
      <w:r>
        <w:rPr>
          <w:rFonts w:ascii="Times New Roman" w:hAnsi="Times New Roman" w:cs="Times New Roman"/>
        </w:rPr>
        <w:t xml:space="preserve">refers to the </w:t>
      </w:r>
      <w:r w:rsidRPr="000E02F3">
        <w:rPr>
          <w:rFonts w:ascii="Times New Roman" w:hAnsi="Times New Roman" w:cs="Times New Roman"/>
        </w:rPr>
        <w:t xml:space="preserve">number of </w:t>
      </w:r>
      <w:r>
        <w:rPr>
          <w:rFonts w:ascii="Times New Roman" w:hAnsi="Times New Roman" w:cs="Times New Roman"/>
        </w:rPr>
        <w:t xml:space="preserve">legal </w:t>
      </w:r>
      <w:r w:rsidRPr="000E02F3">
        <w:rPr>
          <w:rFonts w:ascii="Times New Roman" w:hAnsi="Times New Roman" w:cs="Times New Roman"/>
        </w:rPr>
        <w:t xml:space="preserve">measures </w:t>
      </w:r>
      <w:r w:rsidR="00EE3E15">
        <w:rPr>
          <w:rFonts w:ascii="Times New Roman" w:hAnsi="Times New Roman" w:cs="Times New Roman"/>
        </w:rPr>
        <w:t>government</w:t>
      </w:r>
      <w:r>
        <w:rPr>
          <w:rFonts w:ascii="Times New Roman" w:hAnsi="Times New Roman" w:cs="Times New Roman"/>
        </w:rPr>
        <w:t xml:space="preserve"> agencies in EU </w:t>
      </w:r>
      <w:r w:rsidR="00067E7B">
        <w:rPr>
          <w:rFonts w:ascii="Times New Roman" w:hAnsi="Times New Roman" w:cs="Times New Roman"/>
        </w:rPr>
        <w:t>member countries</w:t>
      </w:r>
      <w:r>
        <w:rPr>
          <w:rFonts w:ascii="Times New Roman" w:hAnsi="Times New Roman" w:cs="Times New Roman"/>
        </w:rPr>
        <w:t xml:space="preserve"> </w:t>
      </w:r>
      <w:r w:rsidRPr="000E02F3">
        <w:rPr>
          <w:rFonts w:ascii="Times New Roman" w:hAnsi="Times New Roman" w:cs="Times New Roman"/>
        </w:rPr>
        <w:t xml:space="preserve">adopted to implement the EU directive to reduce </w:t>
      </w:r>
      <w:r w:rsidR="00067E7B">
        <w:rPr>
          <w:rFonts w:ascii="Times New Roman" w:hAnsi="Times New Roman" w:cs="Times New Roman"/>
        </w:rPr>
        <w:t xml:space="preserve">GHG </w:t>
      </w:r>
      <w:r w:rsidRPr="000E02F3">
        <w:rPr>
          <w:rFonts w:ascii="Times New Roman" w:hAnsi="Times New Roman" w:cs="Times New Roman"/>
        </w:rPr>
        <w:lastRenderedPageBreak/>
        <w:t xml:space="preserve">emissions. </w:t>
      </w:r>
      <w:r>
        <w:rPr>
          <w:rFonts w:ascii="Times New Roman" w:hAnsi="Times New Roman" w:cs="Times New Roman"/>
        </w:rPr>
        <w:t xml:space="preserve">As explained in the empirical context section, the </w:t>
      </w:r>
      <w:r w:rsidRPr="000E02F3">
        <w:rPr>
          <w:rFonts w:ascii="Times New Roman" w:hAnsi="Times New Roman" w:cs="Times New Roman"/>
        </w:rPr>
        <w:t xml:space="preserve">EU’s effort to reduce </w:t>
      </w:r>
      <w:r>
        <w:rPr>
          <w:rFonts w:ascii="Times New Roman" w:hAnsi="Times New Roman" w:cs="Times New Roman"/>
        </w:rPr>
        <w:t>GHG</w:t>
      </w:r>
      <w:r w:rsidRPr="000E02F3">
        <w:rPr>
          <w:rFonts w:ascii="Times New Roman" w:hAnsi="Times New Roman" w:cs="Times New Roman"/>
        </w:rPr>
        <w:t xml:space="preserve"> emissions is </w:t>
      </w:r>
      <w:r w:rsidR="00835F11">
        <w:rPr>
          <w:rFonts w:ascii="Times New Roman" w:hAnsi="Times New Roman" w:cs="Times New Roman"/>
        </w:rPr>
        <w:t xml:space="preserve">made </w:t>
      </w:r>
      <w:r>
        <w:rPr>
          <w:rFonts w:ascii="Times New Roman" w:hAnsi="Times New Roman" w:cs="Times New Roman"/>
        </w:rPr>
        <w:t xml:space="preserve">through its EU ETS directive, </w:t>
      </w:r>
      <w:r w:rsidRPr="000E02F3">
        <w:rPr>
          <w:rFonts w:ascii="Times New Roman" w:hAnsi="Times New Roman" w:cs="Times New Roman"/>
          <w:color w:val="222222"/>
        </w:rPr>
        <w:t>2003/87/EC</w:t>
      </w:r>
      <w:r>
        <w:rPr>
          <w:rFonts w:ascii="Times New Roman" w:hAnsi="Times New Roman" w:cs="Times New Roman"/>
          <w:color w:val="222222"/>
        </w:rPr>
        <w:t xml:space="preserve">. Because </w:t>
      </w:r>
      <w:r>
        <w:rPr>
          <w:rFonts w:ascii="Times New Roman" w:hAnsi="Times New Roman" w:cs="Times New Roman"/>
          <w:color w:val="222222"/>
          <w:lang w:val="en"/>
        </w:rPr>
        <w:t>any directives</w:t>
      </w:r>
      <w:r w:rsidRPr="000E02F3">
        <w:rPr>
          <w:rFonts w:ascii="Times New Roman" w:hAnsi="Times New Roman" w:cs="Times New Roman"/>
          <w:color w:val="222222"/>
          <w:lang w:val="en"/>
        </w:rPr>
        <w:t xml:space="preserve"> have to be transposed into national</w:t>
      </w:r>
      <w:r>
        <w:rPr>
          <w:rFonts w:ascii="Times New Roman" w:hAnsi="Times New Roman" w:cs="Times New Roman"/>
          <w:color w:val="222222"/>
          <w:lang w:val="en"/>
        </w:rPr>
        <w:t xml:space="preserve"> legislation and appropriate implementa</w:t>
      </w:r>
      <w:r w:rsidR="006F1B6E">
        <w:rPr>
          <w:rFonts w:ascii="Times New Roman" w:hAnsi="Times New Roman" w:cs="Times New Roman"/>
          <w:color w:val="222222"/>
          <w:lang w:val="en"/>
        </w:rPr>
        <w:t>t</w:t>
      </w:r>
      <w:r>
        <w:rPr>
          <w:rFonts w:ascii="Times New Roman" w:hAnsi="Times New Roman" w:cs="Times New Roman"/>
          <w:color w:val="222222"/>
          <w:lang w:val="en"/>
        </w:rPr>
        <w:t xml:space="preserve">ion measures need to be adoped, we make use of the </w:t>
      </w:r>
      <w:r w:rsidRPr="000E02F3">
        <w:rPr>
          <w:rFonts w:ascii="Times New Roman" w:hAnsi="Times New Roman" w:cs="Times New Roman"/>
        </w:rPr>
        <w:t xml:space="preserve">number of legal measures </w:t>
      </w:r>
      <w:r w:rsidR="00EE3E15">
        <w:rPr>
          <w:rFonts w:ascii="Times New Roman" w:hAnsi="Times New Roman" w:cs="Times New Roman"/>
        </w:rPr>
        <w:t>government</w:t>
      </w:r>
      <w:r>
        <w:rPr>
          <w:rFonts w:ascii="Times New Roman" w:hAnsi="Times New Roman" w:cs="Times New Roman"/>
        </w:rPr>
        <w:t xml:space="preserve"> agencies </w:t>
      </w:r>
      <w:r w:rsidRPr="000E02F3">
        <w:rPr>
          <w:rFonts w:ascii="Times New Roman" w:hAnsi="Times New Roman" w:cs="Times New Roman"/>
        </w:rPr>
        <w:t xml:space="preserve">adopted to implement </w:t>
      </w:r>
      <w:r>
        <w:rPr>
          <w:rFonts w:ascii="Times New Roman" w:hAnsi="Times New Roman" w:cs="Times New Roman"/>
        </w:rPr>
        <w:t>t</w:t>
      </w:r>
      <w:r w:rsidRPr="000E02F3">
        <w:rPr>
          <w:rFonts w:ascii="Times New Roman" w:hAnsi="Times New Roman" w:cs="Times New Roman"/>
          <w:color w:val="222222"/>
        </w:rPr>
        <w:t xml:space="preserve">he EU ETS </w:t>
      </w:r>
      <w:r w:rsidR="00835F11">
        <w:rPr>
          <w:rFonts w:ascii="Times New Roman" w:hAnsi="Times New Roman" w:cs="Times New Roman"/>
          <w:color w:val="222222"/>
        </w:rPr>
        <w:t>d</w:t>
      </w:r>
      <w:r w:rsidRPr="000E02F3">
        <w:rPr>
          <w:rFonts w:ascii="Times New Roman" w:hAnsi="Times New Roman" w:cs="Times New Roman"/>
          <w:color w:val="222222"/>
        </w:rPr>
        <w:t>irective (2003/87/EC)</w:t>
      </w:r>
      <w:r w:rsidR="00530BCE">
        <w:rPr>
          <w:rFonts w:ascii="Times New Roman" w:hAnsi="Times New Roman" w:cs="Times New Roman"/>
          <w:color w:val="222222"/>
        </w:rPr>
        <w:t xml:space="preserve"> </w:t>
      </w:r>
      <w:r w:rsidR="00530BCE" w:rsidRPr="000E02F3">
        <w:rPr>
          <w:rFonts w:ascii="Times New Roman" w:hAnsi="Times New Roman" w:cs="Times New Roman"/>
          <w:color w:val="222222"/>
        </w:rPr>
        <w:t xml:space="preserve">between </w:t>
      </w:r>
      <w:r w:rsidR="00530BCE" w:rsidRPr="002A336F">
        <w:rPr>
          <w:rFonts w:ascii="Times New Roman" w:hAnsi="Times New Roman" w:cs="Times New Roman"/>
          <w:color w:val="222222"/>
        </w:rPr>
        <w:t>2004 and 2008</w:t>
      </w:r>
      <w:r w:rsidRPr="002A336F">
        <w:rPr>
          <w:rFonts w:ascii="Times New Roman" w:hAnsi="Times New Roman" w:cs="Times New Roman"/>
          <w:color w:val="222222"/>
        </w:rPr>
        <w:t xml:space="preserve">. </w:t>
      </w:r>
      <w:r w:rsidR="002A336F" w:rsidRPr="002A336F">
        <w:rPr>
          <w:rFonts w:ascii="Times New Roman" w:hAnsi="Times New Roman" w:cs="Times New Roman"/>
        </w:rPr>
        <w:t>We focus on the number of national implementing measures because the timing of transpositions of the directive was essentially the same across the EU member countries.</w:t>
      </w:r>
      <w:r w:rsidR="00480497">
        <w:rPr>
          <w:rFonts w:ascii="Times New Roman" w:hAnsi="Times New Roman" w:cs="Times New Roman"/>
        </w:rPr>
        <w:t xml:space="preserve"> </w:t>
      </w:r>
      <w:r w:rsidR="00835F11">
        <w:rPr>
          <w:rFonts w:ascii="Times New Roman" w:hAnsi="Times New Roman" w:cs="Times New Roman"/>
          <w:color w:val="222222"/>
        </w:rPr>
        <w:t>This data</w:t>
      </w:r>
      <w:r w:rsidRPr="002A336F">
        <w:rPr>
          <w:rFonts w:ascii="Times New Roman" w:hAnsi="Times New Roman" w:cs="Times New Roman"/>
          <w:color w:val="222222"/>
        </w:rPr>
        <w:t xml:space="preserve"> is </w:t>
      </w:r>
      <w:r w:rsidRPr="002A336F">
        <w:rPr>
          <w:rFonts w:ascii="Times New Roman" w:hAnsi="Times New Roman" w:cs="Times New Roman"/>
        </w:rPr>
        <w:t xml:space="preserve">collected from the EUR-Lex national transposition website. </w:t>
      </w:r>
    </w:p>
    <w:p w14:paraId="391D5202" w14:textId="0F75B84C" w:rsidR="001E07B9" w:rsidRDefault="00844502" w:rsidP="00C83830">
      <w:pPr>
        <w:pStyle w:val="NormalWeb"/>
        <w:tabs>
          <w:tab w:val="left" w:pos="720"/>
        </w:tabs>
        <w:spacing w:before="0" w:beforeAutospacing="0" w:after="0" w:afterAutospacing="0" w:line="480" w:lineRule="auto"/>
        <w:rPr>
          <w:b/>
          <w:iCs/>
          <w:color w:val="0C000F"/>
        </w:rPr>
      </w:pPr>
      <w:r w:rsidRPr="00B41EFE">
        <w:rPr>
          <w:b/>
          <w:iCs/>
          <w:color w:val="0C000F"/>
        </w:rPr>
        <w:tab/>
      </w:r>
    </w:p>
    <w:p w14:paraId="7AE7EA19" w14:textId="56F746E0" w:rsidR="00844502" w:rsidRPr="00C83830" w:rsidRDefault="002A4EF9" w:rsidP="00C83830">
      <w:pPr>
        <w:pStyle w:val="NormalWeb"/>
        <w:tabs>
          <w:tab w:val="left" w:pos="720"/>
        </w:tabs>
        <w:spacing w:before="0" w:beforeAutospacing="0" w:after="0" w:afterAutospacing="0" w:line="480" w:lineRule="auto"/>
      </w:pPr>
      <w:r>
        <w:rPr>
          <w:i/>
          <w:iCs/>
          <w:color w:val="0C000F"/>
        </w:rPr>
        <w:tab/>
      </w:r>
      <w:r w:rsidR="00844502" w:rsidRPr="00B41EFE">
        <w:rPr>
          <w:i/>
          <w:iCs/>
          <w:color w:val="0C000F"/>
        </w:rPr>
        <w:t>Changes in</w:t>
      </w:r>
      <w:r w:rsidR="00844502" w:rsidRPr="00B41EFE">
        <w:rPr>
          <w:b/>
          <w:i/>
          <w:iCs/>
          <w:color w:val="0C000F"/>
        </w:rPr>
        <w:t xml:space="preserve"> </w:t>
      </w:r>
      <w:r w:rsidR="00835F11">
        <w:rPr>
          <w:i/>
          <w:iCs/>
          <w:color w:val="0C000F"/>
        </w:rPr>
        <w:t>c</w:t>
      </w:r>
      <w:r w:rsidR="009A3131">
        <w:rPr>
          <w:i/>
          <w:iCs/>
          <w:color w:val="0C000F"/>
        </w:rPr>
        <w:t>arbon</w:t>
      </w:r>
      <w:r w:rsidR="00844502" w:rsidRPr="00B41EFE">
        <w:rPr>
          <w:i/>
          <w:iCs/>
          <w:color w:val="0C000F"/>
        </w:rPr>
        <w:t xml:space="preserve"> </w:t>
      </w:r>
      <w:r w:rsidR="00835F11">
        <w:rPr>
          <w:i/>
          <w:iCs/>
          <w:color w:val="0C000F"/>
        </w:rPr>
        <w:t>e</w:t>
      </w:r>
      <w:r w:rsidR="00844502" w:rsidRPr="00B41EFE">
        <w:rPr>
          <w:i/>
          <w:iCs/>
          <w:color w:val="0C000F"/>
        </w:rPr>
        <w:t xml:space="preserve">missions at the </w:t>
      </w:r>
      <w:r w:rsidR="00835F11">
        <w:rPr>
          <w:i/>
          <w:iCs/>
          <w:color w:val="0C000F"/>
        </w:rPr>
        <w:t>f</w:t>
      </w:r>
      <w:r w:rsidR="00844502" w:rsidRPr="00B41EFE">
        <w:rPr>
          <w:i/>
          <w:iCs/>
          <w:color w:val="0C000F"/>
        </w:rPr>
        <w:t xml:space="preserve">irm </w:t>
      </w:r>
      <w:r w:rsidR="00835F11">
        <w:rPr>
          <w:i/>
          <w:iCs/>
          <w:color w:val="0C000F"/>
        </w:rPr>
        <w:t>l</w:t>
      </w:r>
      <w:r w:rsidR="00844502" w:rsidRPr="00B41EFE">
        <w:rPr>
          <w:i/>
          <w:iCs/>
          <w:color w:val="0C000F"/>
        </w:rPr>
        <w:t>evel</w:t>
      </w:r>
      <w:r w:rsidR="00C83830">
        <w:rPr>
          <w:i/>
          <w:iCs/>
          <w:color w:val="0C000F"/>
        </w:rPr>
        <w:t xml:space="preserve">. </w:t>
      </w:r>
      <w:r w:rsidR="00A01061">
        <w:rPr>
          <w:iCs/>
          <w:color w:val="0C000F"/>
        </w:rPr>
        <w:t>T</w:t>
      </w:r>
      <w:r w:rsidR="000F7358" w:rsidRPr="00B41EFE">
        <w:rPr>
          <w:iCs/>
          <w:color w:val="0C000F"/>
        </w:rPr>
        <w:t xml:space="preserve">his variable </w:t>
      </w:r>
      <w:r w:rsidR="00906F85">
        <w:rPr>
          <w:iCs/>
          <w:color w:val="0C000F"/>
        </w:rPr>
        <w:t xml:space="preserve">refers to </w:t>
      </w:r>
      <w:r w:rsidR="000F7358" w:rsidRPr="00B41EFE">
        <w:rPr>
          <w:iCs/>
          <w:color w:val="0C000F"/>
        </w:rPr>
        <w:t xml:space="preserve">changes in </w:t>
      </w:r>
      <w:r w:rsidR="00170F25">
        <w:rPr>
          <w:iCs/>
          <w:color w:val="0C000F"/>
        </w:rPr>
        <w:t>carbon dioxide (</w:t>
      </w:r>
      <w:r w:rsidR="000F7358" w:rsidRPr="00B41EFE">
        <w:t>CO</w:t>
      </w:r>
      <w:r w:rsidR="000F7358" w:rsidRPr="00B41EFE">
        <w:rPr>
          <w:vertAlign w:val="subscript"/>
        </w:rPr>
        <w:t>2</w:t>
      </w:r>
      <w:r w:rsidR="00170F25">
        <w:t xml:space="preserve">) </w:t>
      </w:r>
      <w:r w:rsidR="000F7358" w:rsidRPr="00B41EFE">
        <w:t xml:space="preserve">emissions in tons between 2004 and 2009. </w:t>
      </w:r>
      <w:r w:rsidR="00170F25">
        <w:t xml:space="preserve">Because this variable is measured as </w:t>
      </w:r>
      <w:r w:rsidR="00170F25" w:rsidRPr="00B41EFE">
        <w:t>CO</w:t>
      </w:r>
      <w:r w:rsidR="00170F25" w:rsidRPr="00B41EFE">
        <w:rPr>
          <w:vertAlign w:val="subscript"/>
        </w:rPr>
        <w:t>2</w:t>
      </w:r>
      <w:r w:rsidR="00170F25">
        <w:rPr>
          <w:vertAlign w:val="subscript"/>
        </w:rPr>
        <w:t xml:space="preserve"> </w:t>
      </w:r>
      <w:r w:rsidR="00170F25">
        <w:t xml:space="preserve">emissions in 2009 minus </w:t>
      </w:r>
      <w:r w:rsidR="00170F25" w:rsidRPr="00B41EFE">
        <w:t>CO</w:t>
      </w:r>
      <w:r w:rsidR="00170F25" w:rsidRPr="00B41EFE">
        <w:rPr>
          <w:vertAlign w:val="subscript"/>
        </w:rPr>
        <w:t>2</w:t>
      </w:r>
      <w:r w:rsidR="00170F25">
        <w:rPr>
          <w:vertAlign w:val="subscript"/>
        </w:rPr>
        <w:t xml:space="preserve"> </w:t>
      </w:r>
      <w:r w:rsidR="00170F25">
        <w:t xml:space="preserve">emissions in 2004, a </w:t>
      </w:r>
      <w:r w:rsidR="00B41EFE">
        <w:t xml:space="preserve">positive number indicates </w:t>
      </w:r>
      <w:r w:rsidR="00063167" w:rsidRPr="00B41EFE">
        <w:t>CO</w:t>
      </w:r>
      <w:r w:rsidR="00063167" w:rsidRPr="00B41EFE">
        <w:rPr>
          <w:vertAlign w:val="subscript"/>
        </w:rPr>
        <w:t>2</w:t>
      </w:r>
      <w:r w:rsidR="00063167" w:rsidRPr="00B41EFE">
        <w:t xml:space="preserve"> emissions</w:t>
      </w:r>
      <w:r w:rsidR="00063167">
        <w:t xml:space="preserve"> increased during 2004 and 2009, and a negative number indicates </w:t>
      </w:r>
      <w:r w:rsidR="00063167" w:rsidRPr="00B41EFE">
        <w:t>CO</w:t>
      </w:r>
      <w:r w:rsidR="00063167" w:rsidRPr="00B41EFE">
        <w:rPr>
          <w:vertAlign w:val="subscript"/>
        </w:rPr>
        <w:t>2</w:t>
      </w:r>
      <w:r w:rsidR="00063167" w:rsidRPr="00B41EFE">
        <w:t xml:space="preserve"> emissions</w:t>
      </w:r>
      <w:r w:rsidR="00063167">
        <w:t xml:space="preserve"> decreased during 2004 and 2009. </w:t>
      </w:r>
    </w:p>
    <w:p w14:paraId="05525310" w14:textId="77777777" w:rsidR="00135FF8" w:rsidRDefault="00135FF8" w:rsidP="00C83830">
      <w:pPr>
        <w:spacing w:line="480" w:lineRule="auto"/>
        <w:rPr>
          <w:rFonts w:ascii="Times New Roman" w:hAnsi="Times New Roman" w:cs="Times New Roman"/>
        </w:rPr>
      </w:pPr>
    </w:p>
    <w:p w14:paraId="1008DEFD" w14:textId="6895C2EB" w:rsidR="00135FF8" w:rsidRPr="00EC6C1F" w:rsidRDefault="00C83830" w:rsidP="00844502">
      <w:pPr>
        <w:spacing w:line="480" w:lineRule="auto"/>
        <w:rPr>
          <w:rFonts w:ascii="Times New Roman" w:hAnsi="Times New Roman" w:cs="Times New Roman"/>
        </w:rPr>
      </w:pPr>
      <w:r w:rsidRPr="00EC6C1F">
        <w:rPr>
          <w:rFonts w:ascii="Times New Roman" w:hAnsi="Times New Roman" w:cs="Times New Roman"/>
          <w:b/>
        </w:rPr>
        <w:t>Independent variables</w:t>
      </w:r>
    </w:p>
    <w:p w14:paraId="7DE43514" w14:textId="62E8E8DE" w:rsidR="0013029E" w:rsidRPr="00C24FE1" w:rsidRDefault="0013029E" w:rsidP="0013029E">
      <w:pPr>
        <w:pStyle w:val="NormalWeb"/>
        <w:tabs>
          <w:tab w:val="left" w:pos="720"/>
        </w:tabs>
        <w:spacing w:before="0" w:beforeAutospacing="0" w:after="0" w:afterAutospacing="0" w:line="480" w:lineRule="auto"/>
      </w:pPr>
      <w:r w:rsidRPr="00EC6C1F">
        <w:tab/>
      </w:r>
      <w:r w:rsidRPr="00EC6C1F">
        <w:rPr>
          <w:i/>
        </w:rPr>
        <w:t>Dependence</w:t>
      </w:r>
      <w:r w:rsidR="00C83830" w:rsidRPr="00EC6C1F">
        <w:rPr>
          <w:i/>
        </w:rPr>
        <w:t xml:space="preserve">. </w:t>
      </w:r>
      <w:r w:rsidR="00616C0D" w:rsidRPr="00EC6C1F">
        <w:t xml:space="preserve">This variable broadly </w:t>
      </w:r>
      <w:r w:rsidR="00CB796A" w:rsidRPr="00EC6C1F">
        <w:t>captures</w:t>
      </w:r>
      <w:r w:rsidR="00C92410">
        <w:t xml:space="preserve"> resource dependency</w:t>
      </w:r>
      <w:r w:rsidR="00616C0D" w:rsidRPr="00EC6C1F">
        <w:t xml:space="preserve"> of </w:t>
      </w:r>
      <w:r w:rsidR="00CB796A" w:rsidRPr="00EC6C1F">
        <w:t>a</w:t>
      </w:r>
      <w:r w:rsidR="00210469" w:rsidRPr="00EC6C1F">
        <w:t>n EU</w:t>
      </w:r>
      <w:r w:rsidR="00616C0D" w:rsidRPr="00EC6C1F">
        <w:t xml:space="preserve"> member country on the EU. </w:t>
      </w:r>
      <w:r w:rsidR="00CB796A" w:rsidRPr="00EC6C1F">
        <w:t xml:space="preserve">The EU </w:t>
      </w:r>
      <w:r w:rsidR="00075237">
        <w:t>member countries</w:t>
      </w:r>
      <w:r w:rsidR="00CB796A" w:rsidRPr="00EC6C1F">
        <w:t xml:space="preserve"> both receive and contribute to EU funding. </w:t>
      </w:r>
      <w:r w:rsidR="00CB796A" w:rsidRPr="00EC6C1F">
        <w:rPr>
          <w:i/>
        </w:rPr>
        <w:t>Dependence</w:t>
      </w:r>
      <w:r w:rsidR="00CB796A" w:rsidRPr="00EC6C1F">
        <w:t xml:space="preserve"> </w:t>
      </w:r>
      <w:r w:rsidRPr="00EC6C1F">
        <w:rPr>
          <w:color w:val="000000"/>
        </w:rPr>
        <w:t>is measured using the annual amount of n</w:t>
      </w:r>
      <w:r w:rsidRPr="00EC6C1F">
        <w:t>et funding received from the EU</w:t>
      </w:r>
      <w:r w:rsidR="00DB1692">
        <w:t xml:space="preserve"> in 2004</w:t>
      </w:r>
      <w:r w:rsidRPr="00EC6C1F">
        <w:t xml:space="preserve">. </w:t>
      </w:r>
      <w:r w:rsidR="008C0641">
        <w:t>A</w:t>
      </w:r>
      <w:r w:rsidR="00C24FE1">
        <w:t xml:space="preserve"> positive value</w:t>
      </w:r>
      <w:r w:rsidR="00C24FE1" w:rsidRPr="00EC6C1F">
        <w:t xml:space="preserve"> indicate</w:t>
      </w:r>
      <w:r w:rsidR="00C24FE1">
        <w:t>s</w:t>
      </w:r>
      <w:r w:rsidR="00C24FE1" w:rsidRPr="00EC6C1F">
        <w:t xml:space="preserve"> that the amount received from the EU is </w:t>
      </w:r>
      <w:r w:rsidR="00C24FE1">
        <w:t>greater</w:t>
      </w:r>
      <w:r w:rsidR="00C24FE1" w:rsidRPr="00EC6C1F">
        <w:t xml:space="preserve"> than t</w:t>
      </w:r>
      <w:r w:rsidR="00C24FE1">
        <w:t xml:space="preserve">he amount contributed to the EU, and a </w:t>
      </w:r>
      <w:r w:rsidR="00CB796A" w:rsidRPr="00EC6C1F">
        <w:t>n</w:t>
      </w:r>
      <w:r w:rsidR="00C24FE1">
        <w:t>egative value</w:t>
      </w:r>
      <w:r w:rsidRPr="00EC6C1F">
        <w:t xml:space="preserve"> indicate</w:t>
      </w:r>
      <w:r w:rsidR="00C24FE1">
        <w:t>s</w:t>
      </w:r>
      <w:r w:rsidRPr="00EC6C1F">
        <w:t xml:space="preserve"> that the amount received from the EU is less than the amount contributed to the EU. </w:t>
      </w:r>
      <w:r w:rsidRPr="00EC6C1F">
        <w:rPr>
          <w:color w:val="000000"/>
        </w:rPr>
        <w:t xml:space="preserve">Net funding is measured in </w:t>
      </w:r>
      <w:r w:rsidR="00AA3B06">
        <w:rPr>
          <w:color w:val="000000"/>
        </w:rPr>
        <w:t>billions</w:t>
      </w:r>
      <w:r w:rsidRPr="00EC6C1F">
        <w:rPr>
          <w:color w:val="000000"/>
        </w:rPr>
        <w:t xml:space="preserve"> of euros. </w:t>
      </w:r>
    </w:p>
    <w:p w14:paraId="6149C353" w14:textId="6766F336" w:rsidR="00F02281" w:rsidRPr="00331081" w:rsidRDefault="00210469" w:rsidP="0013029E">
      <w:pPr>
        <w:pStyle w:val="NormalWeb"/>
        <w:tabs>
          <w:tab w:val="left" w:pos="720"/>
        </w:tabs>
        <w:spacing w:before="0" w:beforeAutospacing="0" w:after="0" w:afterAutospacing="0" w:line="480" w:lineRule="auto"/>
        <w:rPr>
          <w:iCs/>
          <w:color w:val="0C000F"/>
        </w:rPr>
      </w:pPr>
      <w:r w:rsidRPr="00EC6C1F">
        <w:rPr>
          <w:color w:val="000000"/>
        </w:rPr>
        <w:lastRenderedPageBreak/>
        <w:tab/>
      </w:r>
      <w:r w:rsidR="001825F2" w:rsidRPr="00EC6C1F">
        <w:rPr>
          <w:i/>
        </w:rPr>
        <w:t>Dependence</w:t>
      </w:r>
      <w:r w:rsidR="001825F2">
        <w:rPr>
          <w:i/>
        </w:rPr>
        <w:t>*</w:t>
      </w:r>
      <w:r w:rsidR="000A3139" w:rsidRPr="00EC6C1F">
        <w:rPr>
          <w:i/>
          <w:color w:val="000000"/>
        </w:rPr>
        <w:t>Environmental</w:t>
      </w:r>
      <w:r w:rsidR="000A3139" w:rsidRPr="000A3139">
        <w:rPr>
          <w:i/>
          <w:color w:val="000000"/>
        </w:rPr>
        <w:t xml:space="preserve"> </w:t>
      </w:r>
      <w:r w:rsidRPr="00014883">
        <w:rPr>
          <w:i/>
          <w:color w:val="000000"/>
        </w:rPr>
        <w:t xml:space="preserve">NGO pressure. </w:t>
      </w:r>
      <w:r w:rsidR="00FB1B8B">
        <w:rPr>
          <w:color w:val="000000"/>
        </w:rPr>
        <w:t xml:space="preserve">Our H2 proposes that </w:t>
      </w:r>
      <w:r w:rsidR="00835F11">
        <w:rPr>
          <w:color w:val="000000"/>
        </w:rPr>
        <w:t xml:space="preserve">a </w:t>
      </w:r>
      <w:r w:rsidR="00FB1B8B">
        <w:rPr>
          <w:iCs/>
          <w:color w:val="0C000F"/>
        </w:rPr>
        <w:t>g</w:t>
      </w:r>
      <w:r w:rsidR="00082857" w:rsidRPr="00FB1B8B">
        <w:rPr>
          <w:iCs/>
          <w:color w:val="0C000F"/>
        </w:rPr>
        <w:t>overnment agency’s signals of implementation intent will be positive</w:t>
      </w:r>
      <w:r w:rsidR="006D35D9">
        <w:rPr>
          <w:iCs/>
          <w:color w:val="0C000F"/>
        </w:rPr>
        <w:t>ly</w:t>
      </w:r>
      <w:r w:rsidR="00082857" w:rsidRPr="00FB1B8B">
        <w:rPr>
          <w:iCs/>
          <w:color w:val="0C000F"/>
        </w:rPr>
        <w:t xml:space="preserve"> moderated by agency stakeholders that support the new policy.</w:t>
      </w:r>
      <w:r w:rsidR="006D35D9">
        <w:rPr>
          <w:iCs/>
          <w:color w:val="0C000F"/>
        </w:rPr>
        <w:t xml:space="preserve"> We </w:t>
      </w:r>
      <w:r w:rsidR="00331081">
        <w:rPr>
          <w:iCs/>
          <w:color w:val="0C000F"/>
        </w:rPr>
        <w:t>proxy</w:t>
      </w:r>
      <w:r w:rsidR="006D35D9">
        <w:rPr>
          <w:iCs/>
          <w:color w:val="0C000F"/>
        </w:rPr>
        <w:t xml:space="preserve"> </w:t>
      </w:r>
      <w:r w:rsidR="00382DBB" w:rsidRPr="00FB1B8B">
        <w:rPr>
          <w:iCs/>
          <w:color w:val="0C000F"/>
        </w:rPr>
        <w:t xml:space="preserve">agency stakeholders that support the </w:t>
      </w:r>
      <w:r w:rsidR="00382DBB">
        <w:rPr>
          <w:iCs/>
          <w:color w:val="0C000F"/>
        </w:rPr>
        <w:t>new climate change</w:t>
      </w:r>
      <w:r w:rsidR="00382DBB" w:rsidRPr="00FB1B8B">
        <w:rPr>
          <w:iCs/>
          <w:color w:val="0C000F"/>
        </w:rPr>
        <w:t xml:space="preserve"> policy</w:t>
      </w:r>
      <w:r w:rsidR="00382DBB">
        <w:rPr>
          <w:iCs/>
          <w:color w:val="0C000F"/>
        </w:rPr>
        <w:t xml:space="preserve"> by environmental NGO pressures. </w:t>
      </w:r>
      <w:r w:rsidR="00331081">
        <w:rPr>
          <w:iCs/>
          <w:color w:val="0C000F"/>
        </w:rPr>
        <w:t>More specifically, w</w:t>
      </w:r>
      <w:r w:rsidR="00382DBB">
        <w:rPr>
          <w:iCs/>
          <w:color w:val="0C000F"/>
        </w:rPr>
        <w:t xml:space="preserve">e </w:t>
      </w:r>
      <w:r w:rsidR="00331081">
        <w:rPr>
          <w:iCs/>
          <w:color w:val="0C000F"/>
        </w:rPr>
        <w:t>measure</w:t>
      </w:r>
      <w:r w:rsidR="00382DBB">
        <w:rPr>
          <w:iCs/>
          <w:color w:val="0C000F"/>
        </w:rPr>
        <w:t xml:space="preserve"> environmental NGO pressures</w:t>
      </w:r>
      <w:r w:rsidR="00331081">
        <w:rPr>
          <w:iCs/>
          <w:color w:val="0C000F"/>
        </w:rPr>
        <w:t xml:space="preserve"> </w:t>
      </w:r>
      <w:r w:rsidR="00014883">
        <w:rPr>
          <w:color w:val="000000"/>
        </w:rPr>
        <w:t xml:space="preserve">by the presence of </w:t>
      </w:r>
      <w:r w:rsidR="00014883" w:rsidRPr="00371093">
        <w:rPr>
          <w:color w:val="000000"/>
        </w:rPr>
        <w:t>International Union for Conservation of Nature (IUCN) member organiza</w:t>
      </w:r>
      <w:r w:rsidR="00014883">
        <w:rPr>
          <w:color w:val="000000"/>
        </w:rPr>
        <w:t>tions in each country</w:t>
      </w:r>
      <w:r w:rsidR="00835F11">
        <w:rPr>
          <w:color w:val="000000"/>
        </w:rPr>
        <w:t>,</w:t>
      </w:r>
      <w:r w:rsidR="008C0641">
        <w:rPr>
          <w:color w:val="000000"/>
        </w:rPr>
        <w:t xml:space="preserve"> obtained from </w:t>
      </w:r>
      <w:r w:rsidR="008C0641">
        <w:rPr>
          <w:iCs/>
          <w:color w:val="0C000F"/>
        </w:rPr>
        <w:t xml:space="preserve">the 2005 </w:t>
      </w:r>
      <w:r w:rsidR="008C0641" w:rsidRPr="00646829">
        <w:rPr>
          <w:rFonts w:eastAsia="Times New Roman"/>
          <w:color w:val="000000"/>
        </w:rPr>
        <w:t>Env</w:t>
      </w:r>
      <w:r w:rsidR="008C0641">
        <w:rPr>
          <w:rFonts w:eastAsia="Times New Roman"/>
          <w:color w:val="000000"/>
        </w:rPr>
        <w:t>ironmental Sustainability Index (ESI)</w:t>
      </w:r>
      <w:r w:rsidR="008C0641">
        <w:rPr>
          <w:color w:val="000000"/>
        </w:rPr>
        <w:t xml:space="preserve"> as this is the closest year available to 2004. </w:t>
      </w:r>
      <w:r w:rsidR="000A3139" w:rsidRPr="00371093">
        <w:rPr>
          <w:color w:val="000000"/>
        </w:rPr>
        <w:t>IUCN is an international environmental organization with more than 1,000 member organizations, including the most significant international environmental NGOs, such as Conservation International, the National Geograph</w:t>
      </w:r>
      <w:r w:rsidR="000A3139">
        <w:rPr>
          <w:color w:val="000000"/>
        </w:rPr>
        <w:t xml:space="preserve">ic Society, and the Sierra Club (Marquis, </w:t>
      </w:r>
      <w:proofErr w:type="spellStart"/>
      <w:r w:rsidR="000A3139">
        <w:rPr>
          <w:color w:val="000000"/>
        </w:rPr>
        <w:t>Toffel</w:t>
      </w:r>
      <w:proofErr w:type="spellEnd"/>
      <w:r w:rsidR="000A3139">
        <w:rPr>
          <w:color w:val="000000"/>
        </w:rPr>
        <w:t xml:space="preserve">, </w:t>
      </w:r>
      <w:r w:rsidR="00835F11">
        <w:rPr>
          <w:color w:val="000000"/>
        </w:rPr>
        <w:t>&amp;</w:t>
      </w:r>
      <w:r w:rsidR="00076991">
        <w:rPr>
          <w:color w:val="000000"/>
        </w:rPr>
        <w:t xml:space="preserve"> </w:t>
      </w:r>
      <w:r w:rsidR="000A3139">
        <w:rPr>
          <w:color w:val="000000"/>
        </w:rPr>
        <w:t>Zhou, 2016). Following prior work, we use the densit</w:t>
      </w:r>
      <w:r w:rsidR="00382DBB">
        <w:rPr>
          <w:color w:val="000000"/>
        </w:rPr>
        <w:t xml:space="preserve">y of IUCN member organizations </w:t>
      </w:r>
      <w:r w:rsidR="000A3139">
        <w:rPr>
          <w:color w:val="000000"/>
        </w:rPr>
        <w:t>i.e., IUCN member organiza</w:t>
      </w:r>
      <w:r w:rsidR="005973D9">
        <w:rPr>
          <w:color w:val="000000"/>
        </w:rPr>
        <w:t xml:space="preserve">tions per million population. We interact this variable with </w:t>
      </w:r>
      <w:r w:rsidR="005973D9" w:rsidRPr="005973D9">
        <w:rPr>
          <w:i/>
          <w:color w:val="000000"/>
        </w:rPr>
        <w:t>Dependence</w:t>
      </w:r>
      <w:r w:rsidR="005973D9">
        <w:rPr>
          <w:color w:val="000000"/>
        </w:rPr>
        <w:t xml:space="preserve"> to test H2.</w:t>
      </w:r>
    </w:p>
    <w:p w14:paraId="48D4CB32" w14:textId="106D3C1F" w:rsidR="00D450D9" w:rsidRDefault="002B1C8B" w:rsidP="001549E9">
      <w:pPr>
        <w:pStyle w:val="NormalWeb"/>
        <w:tabs>
          <w:tab w:val="left" w:pos="720"/>
        </w:tabs>
        <w:spacing w:before="0" w:beforeAutospacing="0" w:after="0" w:afterAutospacing="0" w:line="480" w:lineRule="auto"/>
        <w:rPr>
          <w:color w:val="000000"/>
        </w:rPr>
      </w:pPr>
      <w:r w:rsidRPr="00BB1435">
        <w:rPr>
          <w:color w:val="000000"/>
        </w:rPr>
        <w:tab/>
      </w:r>
      <w:r w:rsidR="001825F2" w:rsidRPr="00BB1435">
        <w:rPr>
          <w:i/>
        </w:rPr>
        <w:t>Dependence*</w:t>
      </w:r>
      <w:r w:rsidRPr="00490E65">
        <w:rPr>
          <w:i/>
          <w:color w:val="000000"/>
        </w:rPr>
        <w:t xml:space="preserve">Environmental stress. </w:t>
      </w:r>
      <w:r w:rsidR="00490E65" w:rsidRPr="00490E65">
        <w:rPr>
          <w:color w:val="000000"/>
        </w:rPr>
        <w:t>Our H</w:t>
      </w:r>
      <w:r w:rsidR="00EC6A82">
        <w:rPr>
          <w:color w:val="000000"/>
        </w:rPr>
        <w:t>3 proposes</w:t>
      </w:r>
      <w:r w:rsidR="00490E65" w:rsidRPr="00490E65">
        <w:rPr>
          <w:color w:val="000000"/>
        </w:rPr>
        <w:t xml:space="preserve"> that</w:t>
      </w:r>
      <w:r w:rsidR="00490E65">
        <w:rPr>
          <w:color w:val="000000"/>
        </w:rPr>
        <w:t xml:space="preserve"> </w:t>
      </w:r>
      <w:r w:rsidR="00835F11">
        <w:rPr>
          <w:color w:val="000000"/>
        </w:rPr>
        <w:t xml:space="preserve">a </w:t>
      </w:r>
      <w:r w:rsidR="00490E65">
        <w:rPr>
          <w:color w:val="000000"/>
        </w:rPr>
        <w:t>g</w:t>
      </w:r>
      <w:r w:rsidR="00490E65" w:rsidRPr="00490E65">
        <w:rPr>
          <w:iCs/>
          <w:color w:val="0C000F"/>
        </w:rPr>
        <w:t>overnment agency’s signals of implementation intent will be moderated by its capacity to enforce the new policy</w:t>
      </w:r>
      <w:r w:rsidR="00490E65">
        <w:rPr>
          <w:iCs/>
          <w:color w:val="0C000F"/>
        </w:rPr>
        <w:t xml:space="preserve">. We </w:t>
      </w:r>
      <w:r w:rsidR="00EE3E15">
        <w:rPr>
          <w:iCs/>
          <w:color w:val="0C000F"/>
        </w:rPr>
        <w:t xml:space="preserve">capture </w:t>
      </w:r>
      <w:r w:rsidR="00835F11">
        <w:rPr>
          <w:iCs/>
          <w:color w:val="0C000F"/>
        </w:rPr>
        <w:t xml:space="preserve">a </w:t>
      </w:r>
      <w:r w:rsidR="00EE3E15">
        <w:rPr>
          <w:color w:val="000000"/>
        </w:rPr>
        <w:t>g</w:t>
      </w:r>
      <w:r w:rsidR="00EE3E15" w:rsidRPr="00490E65">
        <w:rPr>
          <w:iCs/>
          <w:color w:val="0C000F"/>
        </w:rPr>
        <w:t>overnment agency’s</w:t>
      </w:r>
      <w:r w:rsidR="00EE3E15">
        <w:rPr>
          <w:iCs/>
          <w:color w:val="0C000F"/>
        </w:rPr>
        <w:t xml:space="preserve"> </w:t>
      </w:r>
      <w:r w:rsidR="00EE3E15" w:rsidRPr="00490E65">
        <w:rPr>
          <w:iCs/>
          <w:color w:val="0C000F"/>
        </w:rPr>
        <w:t>capacity to enforce the new policy</w:t>
      </w:r>
      <w:r w:rsidR="00EE3E15">
        <w:rPr>
          <w:iCs/>
          <w:color w:val="0C000F"/>
        </w:rPr>
        <w:t xml:space="preserve"> with the </w:t>
      </w:r>
      <w:r w:rsidR="008C0641">
        <w:rPr>
          <w:iCs/>
          <w:color w:val="0C000F"/>
        </w:rPr>
        <w:t xml:space="preserve">2005 </w:t>
      </w:r>
      <w:r w:rsidR="00EE3E15" w:rsidRPr="00646829">
        <w:rPr>
          <w:rFonts w:eastAsia="Times New Roman"/>
          <w:color w:val="000000"/>
        </w:rPr>
        <w:t>Env</w:t>
      </w:r>
      <w:r w:rsidR="00EE3E15">
        <w:rPr>
          <w:rFonts w:eastAsia="Times New Roman"/>
          <w:color w:val="000000"/>
        </w:rPr>
        <w:t xml:space="preserve">ironmental Sustainability Index (ESI)’s environmental stress </w:t>
      </w:r>
      <w:r w:rsidR="00EE3E15" w:rsidRPr="001549E9">
        <w:rPr>
          <w:rFonts w:eastAsia="Times New Roman"/>
          <w:color w:val="000000"/>
        </w:rPr>
        <w:t>variable</w:t>
      </w:r>
      <w:r w:rsidR="001549E9" w:rsidRPr="001549E9">
        <w:rPr>
          <w:rFonts w:eastAsia="Times New Roman"/>
          <w:color w:val="000000"/>
        </w:rPr>
        <w:t xml:space="preserve"> </w:t>
      </w:r>
      <w:r w:rsidR="001549E9" w:rsidRPr="001549E9">
        <w:rPr>
          <w:color w:val="000000"/>
        </w:rPr>
        <w:t xml:space="preserve">(Marquis, </w:t>
      </w:r>
      <w:proofErr w:type="spellStart"/>
      <w:r w:rsidR="001549E9" w:rsidRPr="001549E9">
        <w:rPr>
          <w:color w:val="000000"/>
        </w:rPr>
        <w:t>Toffel</w:t>
      </w:r>
      <w:proofErr w:type="spellEnd"/>
      <w:r w:rsidR="001549E9" w:rsidRPr="001549E9">
        <w:rPr>
          <w:color w:val="000000"/>
        </w:rPr>
        <w:t xml:space="preserve">, </w:t>
      </w:r>
      <w:r w:rsidR="00835F11">
        <w:rPr>
          <w:color w:val="000000"/>
        </w:rPr>
        <w:t>&amp;</w:t>
      </w:r>
      <w:r w:rsidR="001549E9" w:rsidRPr="001549E9">
        <w:rPr>
          <w:color w:val="000000"/>
        </w:rPr>
        <w:t xml:space="preserve"> Zhou, 2016)</w:t>
      </w:r>
      <w:r w:rsidR="00EE3E15" w:rsidRPr="001549E9">
        <w:rPr>
          <w:rFonts w:eastAsia="Times New Roman"/>
          <w:color w:val="000000"/>
        </w:rPr>
        <w:t xml:space="preserve">. </w:t>
      </w:r>
      <w:r w:rsidR="00835F11">
        <w:rPr>
          <w:rFonts w:eastAsia="Times New Roman"/>
          <w:color w:val="000000"/>
        </w:rPr>
        <w:t>This</w:t>
      </w:r>
      <w:r w:rsidR="00EE3E15" w:rsidRPr="001549E9">
        <w:rPr>
          <w:rFonts w:eastAsia="Times New Roman"/>
          <w:color w:val="000000"/>
        </w:rPr>
        <w:t xml:space="preserve"> is a composite indicator </w:t>
      </w:r>
      <w:r w:rsidR="00EE3E15" w:rsidRPr="001549E9">
        <w:rPr>
          <w:color w:val="000000"/>
        </w:rPr>
        <w:t>t</w:t>
      </w:r>
      <w:r w:rsidR="001549E9" w:rsidRPr="001549E9">
        <w:rPr>
          <w:rFonts w:eastAsia="Times New Roman"/>
          <w:color w:val="000000"/>
        </w:rPr>
        <w:t>hat</w:t>
      </w:r>
      <w:r w:rsidR="00EE3E15" w:rsidRPr="001549E9">
        <w:rPr>
          <w:rFonts w:eastAsia="Times New Roman"/>
          <w:color w:val="000000"/>
        </w:rPr>
        <w:t xml:space="preserve"> measure</w:t>
      </w:r>
      <w:r w:rsidR="001549E9" w:rsidRPr="001549E9">
        <w:rPr>
          <w:rFonts w:eastAsia="Times New Roman"/>
          <w:color w:val="000000"/>
        </w:rPr>
        <w:t>s</w:t>
      </w:r>
      <w:r w:rsidR="00EE3E15" w:rsidRPr="001549E9">
        <w:rPr>
          <w:rFonts w:eastAsia="Times New Roman"/>
          <w:color w:val="000000"/>
        </w:rPr>
        <w:t xml:space="preserve"> the extent to which various</w:t>
      </w:r>
      <w:r w:rsidR="00835F11">
        <w:rPr>
          <w:rFonts w:eastAsia="Times New Roman"/>
          <w:color w:val="000000"/>
        </w:rPr>
        <w:t xml:space="preserve"> sources of</w:t>
      </w:r>
      <w:r w:rsidR="00EE3E15" w:rsidRPr="001549E9">
        <w:rPr>
          <w:rFonts w:eastAsia="Times New Roman"/>
          <w:color w:val="000000"/>
        </w:rPr>
        <w:t xml:space="preserve"> pollution and resource consumption</w:t>
      </w:r>
      <w:r w:rsidR="00835F11">
        <w:rPr>
          <w:rFonts w:eastAsia="Times New Roman"/>
          <w:color w:val="000000"/>
        </w:rPr>
        <w:t>,</w:t>
      </w:r>
      <w:r w:rsidR="00EE3E15" w:rsidRPr="001549E9">
        <w:rPr>
          <w:rFonts w:eastAsia="Times New Roman"/>
          <w:color w:val="000000"/>
        </w:rPr>
        <w:t xml:space="preserve"> such as </w:t>
      </w:r>
      <w:proofErr w:type="spellStart"/>
      <w:r w:rsidR="00EE3E15" w:rsidRPr="001549E9">
        <w:rPr>
          <w:rFonts w:eastAsia="Times New Roman"/>
          <w:color w:val="000000"/>
        </w:rPr>
        <w:t>SO</w:t>
      </w:r>
      <w:r w:rsidR="00EE3E15" w:rsidRPr="001549E9">
        <w:rPr>
          <w:rFonts w:eastAsia="Times New Roman"/>
          <w:color w:val="000000"/>
          <w:vertAlign w:val="subscript"/>
        </w:rPr>
        <w:t>x</w:t>
      </w:r>
      <w:proofErr w:type="spellEnd"/>
      <w:r w:rsidR="001549E9" w:rsidRPr="001549E9">
        <w:rPr>
          <w:rFonts w:eastAsia="Times New Roman"/>
          <w:color w:val="000000"/>
        </w:rPr>
        <w:t xml:space="preserve"> emissions</w:t>
      </w:r>
      <w:r w:rsidR="00EE3E15" w:rsidRPr="001549E9">
        <w:rPr>
          <w:rFonts w:eastAsia="Times New Roman"/>
          <w:color w:val="000000"/>
        </w:rPr>
        <w:t>, NO</w:t>
      </w:r>
      <w:r w:rsidR="00EE3E15" w:rsidRPr="001549E9">
        <w:rPr>
          <w:rFonts w:eastAsia="Times New Roman"/>
          <w:color w:val="000000"/>
          <w:vertAlign w:val="subscript"/>
        </w:rPr>
        <w:t>x</w:t>
      </w:r>
      <w:r w:rsidR="001549E9" w:rsidRPr="001549E9">
        <w:rPr>
          <w:rFonts w:eastAsia="Times New Roman"/>
          <w:color w:val="000000"/>
        </w:rPr>
        <w:t xml:space="preserve"> emissions, fertilizer usage</w:t>
      </w:r>
      <w:r w:rsidR="00EE3E15" w:rsidRPr="001549E9">
        <w:rPr>
          <w:rFonts w:eastAsia="Times New Roman"/>
          <w:color w:val="000000"/>
        </w:rPr>
        <w:t xml:space="preserve">, and </w:t>
      </w:r>
      <w:r w:rsidR="001549E9" w:rsidRPr="001549E9">
        <w:rPr>
          <w:rFonts w:eastAsia="Times New Roman"/>
          <w:color w:val="000000"/>
        </w:rPr>
        <w:t xml:space="preserve">auto </w:t>
      </w:r>
      <w:r w:rsidR="00EE3E15" w:rsidRPr="001549E9">
        <w:rPr>
          <w:rFonts w:eastAsia="Times New Roman"/>
          <w:color w:val="000000"/>
        </w:rPr>
        <w:t xml:space="preserve">vehicle usage, are stressing a country’s environmental systems. </w:t>
      </w:r>
      <w:r w:rsidR="001549E9">
        <w:rPr>
          <w:rFonts w:eastAsia="Times New Roman"/>
          <w:color w:val="000000"/>
        </w:rPr>
        <w:t xml:space="preserve">A higher value indicates poor </w:t>
      </w:r>
      <w:r w:rsidR="001549E9" w:rsidRPr="00490E65">
        <w:rPr>
          <w:rFonts w:eastAsia="Times New Roman"/>
          <w:color w:val="000000"/>
        </w:rPr>
        <w:t>environmental quality</w:t>
      </w:r>
      <w:r w:rsidR="001549E9">
        <w:rPr>
          <w:rFonts w:eastAsia="Times New Roman"/>
          <w:color w:val="000000"/>
        </w:rPr>
        <w:t xml:space="preserve">. </w:t>
      </w:r>
      <w:r w:rsidR="001549E9">
        <w:rPr>
          <w:color w:val="000000"/>
        </w:rPr>
        <w:t xml:space="preserve">We interact this variable with </w:t>
      </w:r>
      <w:r w:rsidR="001549E9" w:rsidRPr="005973D9">
        <w:rPr>
          <w:i/>
          <w:color w:val="000000"/>
        </w:rPr>
        <w:t>Dependence</w:t>
      </w:r>
      <w:r w:rsidR="001549E9">
        <w:rPr>
          <w:color w:val="000000"/>
        </w:rPr>
        <w:t xml:space="preserve"> to test H3.</w:t>
      </w:r>
    </w:p>
    <w:p w14:paraId="12254ECB" w14:textId="77777777" w:rsidR="001549E9" w:rsidRPr="001549E9" w:rsidRDefault="001549E9" w:rsidP="001549E9">
      <w:pPr>
        <w:pStyle w:val="NormalWeb"/>
        <w:tabs>
          <w:tab w:val="left" w:pos="720"/>
        </w:tabs>
        <w:spacing w:before="0" w:beforeAutospacing="0" w:after="0" w:afterAutospacing="0" w:line="480" w:lineRule="auto"/>
        <w:rPr>
          <w:iCs/>
          <w:color w:val="0C000F"/>
        </w:rPr>
      </w:pPr>
    </w:p>
    <w:p w14:paraId="669AB916" w14:textId="2BA5F4DB" w:rsidR="0046795D" w:rsidRPr="00220D92" w:rsidRDefault="0046795D" w:rsidP="0046795D">
      <w:pPr>
        <w:spacing w:line="480" w:lineRule="auto"/>
        <w:rPr>
          <w:rFonts w:ascii="Times New Roman" w:hAnsi="Times New Roman" w:cs="Times New Roman"/>
        </w:rPr>
      </w:pPr>
      <w:r w:rsidRPr="00220D92">
        <w:rPr>
          <w:rFonts w:ascii="Times New Roman" w:hAnsi="Times New Roman" w:cs="Times New Roman"/>
          <w:b/>
        </w:rPr>
        <w:t>Control variables</w:t>
      </w:r>
    </w:p>
    <w:p w14:paraId="65DA7F69" w14:textId="66ACEABC" w:rsidR="00BB1425" w:rsidRDefault="009C5951" w:rsidP="004061F1">
      <w:pPr>
        <w:spacing w:line="480" w:lineRule="auto"/>
        <w:ind w:firstLine="720"/>
        <w:rPr>
          <w:rFonts w:ascii="Times New Roman" w:hAnsi="Times New Roman" w:cs="Times New Roman"/>
        </w:rPr>
      </w:pPr>
      <w:r>
        <w:rPr>
          <w:rFonts w:ascii="Times New Roman" w:hAnsi="Times New Roman" w:cs="Times New Roman"/>
        </w:rPr>
        <w:lastRenderedPageBreak/>
        <w:t>In the first analysis</w:t>
      </w:r>
      <w:r w:rsidR="00CC1720">
        <w:rPr>
          <w:rFonts w:ascii="Times New Roman" w:hAnsi="Times New Roman" w:cs="Times New Roman"/>
        </w:rPr>
        <w:t>,</w:t>
      </w:r>
      <w:r w:rsidR="00255867">
        <w:rPr>
          <w:rFonts w:ascii="Times New Roman" w:hAnsi="Times New Roman" w:cs="Times New Roman"/>
        </w:rPr>
        <w:t xml:space="preserve"> where we </w:t>
      </w:r>
      <w:r w:rsidR="00093812">
        <w:rPr>
          <w:rFonts w:ascii="Times New Roman" w:hAnsi="Times New Roman" w:cs="Times New Roman"/>
        </w:rPr>
        <w:t>predict national transpositions</w:t>
      </w:r>
      <w:r>
        <w:rPr>
          <w:rFonts w:ascii="Times New Roman" w:hAnsi="Times New Roman" w:cs="Times New Roman"/>
        </w:rPr>
        <w:t>, w</w:t>
      </w:r>
      <w:r w:rsidR="00A01061">
        <w:rPr>
          <w:rFonts w:ascii="Times New Roman" w:hAnsi="Times New Roman" w:cs="Times New Roman"/>
        </w:rPr>
        <w:t xml:space="preserve">e </w:t>
      </w:r>
      <w:r w:rsidR="006C1DBD">
        <w:rPr>
          <w:rFonts w:ascii="Times New Roman" w:hAnsi="Times New Roman" w:cs="Times New Roman"/>
        </w:rPr>
        <w:t>include</w:t>
      </w:r>
      <w:r w:rsidR="00A01061">
        <w:rPr>
          <w:rFonts w:ascii="Times New Roman" w:hAnsi="Times New Roman" w:cs="Times New Roman"/>
        </w:rPr>
        <w:t xml:space="preserve"> several </w:t>
      </w:r>
      <w:r w:rsidR="00A01061" w:rsidRPr="00220D92">
        <w:rPr>
          <w:rFonts w:ascii="Times New Roman" w:hAnsi="Times New Roman" w:cs="Times New Roman"/>
        </w:rPr>
        <w:t>factors that could influence</w:t>
      </w:r>
      <w:r w:rsidR="000446AB">
        <w:rPr>
          <w:rFonts w:ascii="Times New Roman" w:hAnsi="Times New Roman" w:cs="Times New Roman"/>
        </w:rPr>
        <w:t xml:space="preserve"> the </w:t>
      </w:r>
      <w:r w:rsidR="000446AB" w:rsidRPr="000E02F3">
        <w:rPr>
          <w:rFonts w:ascii="Times New Roman" w:hAnsi="Times New Roman" w:cs="Times New Roman"/>
        </w:rPr>
        <w:t xml:space="preserve">number of </w:t>
      </w:r>
      <w:r w:rsidR="000446AB">
        <w:rPr>
          <w:rFonts w:ascii="Times New Roman" w:hAnsi="Times New Roman" w:cs="Times New Roman"/>
        </w:rPr>
        <w:t xml:space="preserve">legal </w:t>
      </w:r>
      <w:r w:rsidR="000446AB" w:rsidRPr="000E02F3">
        <w:rPr>
          <w:rFonts w:ascii="Times New Roman" w:hAnsi="Times New Roman" w:cs="Times New Roman"/>
        </w:rPr>
        <w:t xml:space="preserve">measures </w:t>
      </w:r>
      <w:r w:rsidR="000446AB">
        <w:rPr>
          <w:rFonts w:ascii="Times New Roman" w:hAnsi="Times New Roman" w:cs="Times New Roman"/>
        </w:rPr>
        <w:t xml:space="preserve">government agencies </w:t>
      </w:r>
      <w:r w:rsidR="000446AB" w:rsidRPr="000E02F3">
        <w:rPr>
          <w:rFonts w:ascii="Times New Roman" w:hAnsi="Times New Roman" w:cs="Times New Roman"/>
        </w:rPr>
        <w:t xml:space="preserve">adopted to implement the EU directive to reduce </w:t>
      </w:r>
      <w:r w:rsidR="000446AB">
        <w:rPr>
          <w:rFonts w:ascii="Times New Roman" w:hAnsi="Times New Roman" w:cs="Times New Roman"/>
        </w:rPr>
        <w:t xml:space="preserve">GHG emissions </w:t>
      </w:r>
      <w:r w:rsidR="00093812">
        <w:rPr>
          <w:rFonts w:ascii="Times New Roman" w:hAnsi="Times New Roman" w:cs="Times New Roman"/>
        </w:rPr>
        <w:t xml:space="preserve">in addition to </w:t>
      </w:r>
      <w:r w:rsidR="00093812" w:rsidRPr="00093812">
        <w:rPr>
          <w:rFonts w:ascii="Times New Roman" w:hAnsi="Times New Roman" w:cs="Times New Roman"/>
          <w:i/>
        </w:rPr>
        <w:t xml:space="preserve">Dependence </w:t>
      </w:r>
      <w:r w:rsidR="00093812">
        <w:rPr>
          <w:rFonts w:ascii="Times New Roman" w:hAnsi="Times New Roman" w:cs="Times New Roman"/>
        </w:rPr>
        <w:t xml:space="preserve">measured by </w:t>
      </w:r>
      <w:r w:rsidR="0058597B">
        <w:rPr>
          <w:rFonts w:ascii="Times New Roman" w:hAnsi="Times New Roman" w:cs="Times New Roman"/>
        </w:rPr>
        <w:t xml:space="preserve">net </w:t>
      </w:r>
      <w:r w:rsidR="00093812">
        <w:rPr>
          <w:rFonts w:ascii="Times New Roman" w:hAnsi="Times New Roman" w:cs="Times New Roman"/>
        </w:rPr>
        <w:t>EU funding</w:t>
      </w:r>
      <w:r w:rsidR="00A01061" w:rsidRPr="00220D92">
        <w:rPr>
          <w:rFonts w:ascii="Times New Roman" w:hAnsi="Times New Roman" w:cs="Times New Roman"/>
        </w:rPr>
        <w:t>. </w:t>
      </w:r>
      <w:r w:rsidR="0015304C">
        <w:rPr>
          <w:rFonts w:ascii="Times New Roman" w:hAnsi="Times New Roman" w:cs="Times New Roman"/>
        </w:rPr>
        <w:t xml:space="preserve">All </w:t>
      </w:r>
      <w:r w:rsidR="008C0641">
        <w:rPr>
          <w:rFonts w:ascii="Times New Roman" w:hAnsi="Times New Roman" w:cs="Times New Roman"/>
        </w:rPr>
        <w:t>variables are measured in 2004 values except the emissions cap variable</w:t>
      </w:r>
      <w:r w:rsidR="00835F11">
        <w:rPr>
          <w:rFonts w:ascii="Times New Roman" w:hAnsi="Times New Roman" w:cs="Times New Roman"/>
        </w:rPr>
        <w:t>,</w:t>
      </w:r>
      <w:r w:rsidR="008C0641">
        <w:rPr>
          <w:rFonts w:ascii="Times New Roman" w:hAnsi="Times New Roman" w:cs="Times New Roman"/>
        </w:rPr>
        <w:t xml:space="preserve"> as explained below.</w:t>
      </w:r>
    </w:p>
    <w:p w14:paraId="095EC0AF" w14:textId="49A82809" w:rsidR="001526C7" w:rsidRDefault="004061F1" w:rsidP="004061F1">
      <w:pPr>
        <w:spacing w:line="480" w:lineRule="auto"/>
        <w:ind w:firstLine="720"/>
        <w:rPr>
          <w:rFonts w:ascii="Times New Roman" w:hAnsi="Times New Roman"/>
        </w:rPr>
      </w:pPr>
      <w:r>
        <w:rPr>
          <w:rFonts w:ascii="Times New Roman" w:hAnsi="Times New Roman" w:cs="Times New Roman"/>
        </w:rPr>
        <w:t>First, s</w:t>
      </w:r>
      <w:r w:rsidRPr="004061F1">
        <w:rPr>
          <w:rFonts w:ascii="Times New Roman" w:hAnsi="Times New Roman" w:cs="Times New Roman"/>
          <w:shd w:val="clear" w:color="auto" w:fill="FFFFFF"/>
        </w:rPr>
        <w:t xml:space="preserve">ince EU funding is earmarked for different purposes, </w:t>
      </w:r>
      <w:r w:rsidR="006C1DBD">
        <w:rPr>
          <w:rFonts w:ascii="Times New Roman" w:hAnsi="Times New Roman" w:cs="Times New Roman"/>
          <w:shd w:val="clear" w:color="auto" w:fill="FFFFFF"/>
        </w:rPr>
        <w:t>we control</w:t>
      </w:r>
      <w:r w:rsidRPr="004061F1">
        <w:rPr>
          <w:rFonts w:ascii="Times New Roman" w:hAnsi="Times New Roman" w:cs="Times New Roman"/>
          <w:shd w:val="clear" w:color="auto" w:fill="FFFFFF"/>
        </w:rPr>
        <w:t xml:space="preserve"> for EU support for sustainable growth. </w:t>
      </w:r>
      <w:r w:rsidR="00322A11">
        <w:rPr>
          <w:rFonts w:ascii="Times New Roman" w:hAnsi="Times New Roman" w:cs="Times New Roman"/>
        </w:rPr>
        <w:t xml:space="preserve">During the time period studied, the </w:t>
      </w:r>
      <w:r w:rsidR="00271FA1">
        <w:rPr>
          <w:rFonts w:ascii="Times New Roman" w:hAnsi="Times New Roman" w:cs="Times New Roman"/>
        </w:rPr>
        <w:t xml:space="preserve">amount of EU </w:t>
      </w:r>
      <w:r>
        <w:rPr>
          <w:rFonts w:ascii="Times New Roman" w:hAnsi="Times New Roman" w:cs="Times New Roman"/>
        </w:rPr>
        <w:t>funding for member countries</w:t>
      </w:r>
      <w:r w:rsidR="00271FA1">
        <w:rPr>
          <w:rFonts w:ascii="Times New Roman" w:hAnsi="Times New Roman" w:cs="Times New Roman"/>
        </w:rPr>
        <w:t xml:space="preserve"> was categorized into six </w:t>
      </w:r>
      <w:r w:rsidR="00322A11">
        <w:rPr>
          <w:rFonts w:ascii="Times New Roman" w:hAnsi="Times New Roman"/>
        </w:rPr>
        <w:t>areas</w:t>
      </w:r>
      <w:r w:rsidR="00146236">
        <w:rPr>
          <w:rFonts w:ascii="Times New Roman" w:hAnsi="Times New Roman"/>
        </w:rPr>
        <w:t>: sustainable growth,</w:t>
      </w:r>
      <w:r w:rsidR="00AC56BB">
        <w:rPr>
          <w:rFonts w:ascii="Times New Roman" w:hAnsi="Times New Roman"/>
        </w:rPr>
        <w:t xml:space="preserve"> </w:t>
      </w:r>
      <w:r w:rsidR="00322A11">
        <w:rPr>
          <w:rFonts w:ascii="Times New Roman" w:hAnsi="Times New Roman"/>
        </w:rPr>
        <w:t>preservation and manag</w:t>
      </w:r>
      <w:r w:rsidR="00AC56BB">
        <w:rPr>
          <w:rFonts w:ascii="Times New Roman" w:hAnsi="Times New Roman"/>
        </w:rPr>
        <w:t>ement of natural resources</w:t>
      </w:r>
      <w:r w:rsidR="00146236">
        <w:rPr>
          <w:rFonts w:ascii="Times New Roman" w:hAnsi="Times New Roman"/>
        </w:rPr>
        <w:t>,</w:t>
      </w:r>
      <w:r w:rsidR="00AC56BB">
        <w:rPr>
          <w:rFonts w:ascii="Times New Roman" w:hAnsi="Times New Roman"/>
        </w:rPr>
        <w:t xml:space="preserve"> </w:t>
      </w:r>
      <w:r w:rsidR="00322A11">
        <w:rPr>
          <w:rFonts w:ascii="Times New Roman" w:hAnsi="Times New Roman"/>
        </w:rPr>
        <w:t xml:space="preserve">citizenship, freedom </w:t>
      </w:r>
      <w:r w:rsidR="00AC56BB">
        <w:rPr>
          <w:rFonts w:ascii="Times New Roman" w:hAnsi="Times New Roman"/>
        </w:rPr>
        <w:t xml:space="preserve">and justice, EU as a global partner, </w:t>
      </w:r>
      <w:r w:rsidR="006C1DBD">
        <w:rPr>
          <w:rFonts w:ascii="Times New Roman" w:hAnsi="Times New Roman"/>
        </w:rPr>
        <w:t>a</w:t>
      </w:r>
      <w:r w:rsidR="00AC56BB">
        <w:rPr>
          <w:rFonts w:ascii="Times New Roman" w:hAnsi="Times New Roman"/>
        </w:rPr>
        <w:t xml:space="preserve">dministration, and </w:t>
      </w:r>
      <w:r w:rsidR="006C1DBD">
        <w:rPr>
          <w:rFonts w:ascii="Times New Roman" w:hAnsi="Times New Roman"/>
        </w:rPr>
        <w:t>c</w:t>
      </w:r>
      <w:r w:rsidR="00322A11">
        <w:rPr>
          <w:rFonts w:ascii="Times New Roman" w:hAnsi="Times New Roman"/>
        </w:rPr>
        <w:t>ompensations.</w:t>
      </w:r>
      <w:r w:rsidR="00AC56BB">
        <w:rPr>
          <w:rFonts w:ascii="Times New Roman" w:hAnsi="Times New Roman"/>
        </w:rPr>
        <w:t xml:space="preserve"> </w:t>
      </w:r>
      <w:r w:rsidR="00045285">
        <w:rPr>
          <w:rFonts w:ascii="Times New Roman" w:hAnsi="Times New Roman"/>
        </w:rPr>
        <w:t xml:space="preserve">The sustainable growth category </w:t>
      </w:r>
      <w:r w:rsidR="006C1DBD">
        <w:rPr>
          <w:rFonts w:ascii="Times New Roman" w:hAnsi="Times New Roman"/>
        </w:rPr>
        <w:t>refers to</w:t>
      </w:r>
      <w:r w:rsidR="00045285">
        <w:rPr>
          <w:rFonts w:ascii="Times New Roman" w:hAnsi="Times New Roman"/>
        </w:rPr>
        <w:t xml:space="preserve"> the amount of </w:t>
      </w:r>
      <w:r w:rsidR="00146236">
        <w:rPr>
          <w:rFonts w:ascii="Times New Roman" w:hAnsi="Times New Roman"/>
        </w:rPr>
        <w:t xml:space="preserve">EU </w:t>
      </w:r>
      <w:r w:rsidR="00BA3F55">
        <w:rPr>
          <w:rFonts w:ascii="Times New Roman" w:hAnsi="Times New Roman"/>
        </w:rPr>
        <w:t>support</w:t>
      </w:r>
      <w:r w:rsidR="00146236">
        <w:rPr>
          <w:rFonts w:ascii="Times New Roman" w:hAnsi="Times New Roman"/>
        </w:rPr>
        <w:t xml:space="preserve"> </w:t>
      </w:r>
      <w:r w:rsidR="00045285">
        <w:rPr>
          <w:rFonts w:ascii="Times New Roman" w:hAnsi="Times New Roman"/>
        </w:rPr>
        <w:t xml:space="preserve">related to </w:t>
      </w:r>
      <w:r w:rsidR="00146236">
        <w:rPr>
          <w:rFonts w:ascii="Times New Roman" w:hAnsi="Times New Roman"/>
        </w:rPr>
        <w:t>the country’s sustainable growth</w:t>
      </w:r>
      <w:r w:rsidR="00045285">
        <w:rPr>
          <w:rFonts w:ascii="Times New Roman" w:hAnsi="Times New Roman"/>
        </w:rPr>
        <w:t xml:space="preserve">, including </w:t>
      </w:r>
      <w:r w:rsidR="00146236" w:rsidRPr="001C2536">
        <w:rPr>
          <w:rFonts w:ascii="Times New Roman" w:hAnsi="Times New Roman"/>
        </w:rPr>
        <w:t>research and innovation</w:t>
      </w:r>
      <w:r w:rsidR="00146236">
        <w:rPr>
          <w:rFonts w:ascii="Times New Roman" w:hAnsi="Times New Roman"/>
        </w:rPr>
        <w:t>,</w:t>
      </w:r>
      <w:r w:rsidR="00146236" w:rsidRPr="001C2536">
        <w:rPr>
          <w:rFonts w:ascii="Times New Roman" w:hAnsi="Times New Roman"/>
        </w:rPr>
        <w:t xml:space="preserve"> education and training</w:t>
      </w:r>
      <w:r w:rsidR="00AD3223">
        <w:rPr>
          <w:rFonts w:ascii="Times New Roman" w:hAnsi="Times New Roman"/>
        </w:rPr>
        <w:t xml:space="preserve">, </w:t>
      </w:r>
      <w:r w:rsidR="00AD3223" w:rsidRPr="001C2536">
        <w:rPr>
          <w:rFonts w:ascii="Times New Roman" w:hAnsi="Times New Roman"/>
        </w:rPr>
        <w:t>development of enterprises</w:t>
      </w:r>
      <w:r w:rsidR="00AD3223">
        <w:rPr>
          <w:rFonts w:ascii="Times New Roman" w:hAnsi="Times New Roman"/>
        </w:rPr>
        <w:t>,</w:t>
      </w:r>
      <w:r w:rsidR="00AD3223" w:rsidRPr="001C2536">
        <w:rPr>
          <w:rFonts w:ascii="Times New Roman" w:hAnsi="Times New Roman"/>
        </w:rPr>
        <w:t xml:space="preserve"> etc. </w:t>
      </w:r>
      <w:r w:rsidR="00AD3223">
        <w:rPr>
          <w:rFonts w:ascii="Times New Roman" w:hAnsi="Times New Roman"/>
        </w:rPr>
        <w:t>It also c</w:t>
      </w:r>
      <w:r w:rsidR="00AD3223" w:rsidRPr="001C2536">
        <w:rPr>
          <w:rFonts w:ascii="Times New Roman" w:hAnsi="Times New Roman"/>
        </w:rPr>
        <w:t>overs regional policy which aims at helping the least developed EU countries and regions to catch up with th</w:t>
      </w:r>
      <w:r w:rsidR="00AD3223">
        <w:rPr>
          <w:rFonts w:ascii="Times New Roman" w:hAnsi="Times New Roman"/>
        </w:rPr>
        <w:t>e</w:t>
      </w:r>
      <w:r w:rsidR="00AD3223" w:rsidRPr="001C2536">
        <w:rPr>
          <w:rFonts w:ascii="Times New Roman" w:hAnsi="Times New Roman"/>
        </w:rPr>
        <w:t xml:space="preserve"> rest, strengthening all regions' competitiveness and developing inter-regional cooperation.</w:t>
      </w:r>
      <w:r w:rsidR="00AD3223">
        <w:rPr>
          <w:rFonts w:ascii="Times New Roman" w:hAnsi="Times New Roman"/>
        </w:rPr>
        <w:t xml:space="preserve"> </w:t>
      </w:r>
      <w:r w:rsidR="00386568">
        <w:rPr>
          <w:rFonts w:ascii="Times New Roman" w:hAnsi="Times New Roman"/>
        </w:rPr>
        <w:t>Accordingly</w:t>
      </w:r>
      <w:r w:rsidR="00AD3223">
        <w:rPr>
          <w:rFonts w:ascii="Times New Roman" w:hAnsi="Times New Roman"/>
        </w:rPr>
        <w:t xml:space="preserve">, EU </w:t>
      </w:r>
      <w:r w:rsidR="00BA3F55">
        <w:rPr>
          <w:rFonts w:ascii="Times New Roman" w:hAnsi="Times New Roman"/>
        </w:rPr>
        <w:t>support for</w:t>
      </w:r>
      <w:r w:rsidR="00386568">
        <w:rPr>
          <w:rFonts w:ascii="Times New Roman" w:hAnsi="Times New Roman"/>
        </w:rPr>
        <w:t xml:space="preserve"> </w:t>
      </w:r>
      <w:r w:rsidR="00AD3223">
        <w:rPr>
          <w:rFonts w:ascii="Times New Roman" w:hAnsi="Times New Roman"/>
        </w:rPr>
        <w:t xml:space="preserve">sustainable growth may influence </w:t>
      </w:r>
      <w:r w:rsidR="00386568">
        <w:rPr>
          <w:rFonts w:ascii="Times New Roman" w:hAnsi="Times New Roman"/>
        </w:rPr>
        <w:t>national transpositions</w:t>
      </w:r>
      <w:r w:rsidR="001526C7">
        <w:rPr>
          <w:rFonts w:ascii="Times New Roman" w:hAnsi="Times New Roman"/>
        </w:rPr>
        <w:t xml:space="preserve"> at the country level</w:t>
      </w:r>
      <w:r w:rsidR="00386568">
        <w:rPr>
          <w:rFonts w:ascii="Times New Roman" w:hAnsi="Times New Roman"/>
        </w:rPr>
        <w:t xml:space="preserve"> and </w:t>
      </w:r>
      <w:r w:rsidR="002150C4">
        <w:rPr>
          <w:rFonts w:ascii="Times New Roman" w:hAnsi="Times New Roman"/>
        </w:rPr>
        <w:t>GHG</w:t>
      </w:r>
      <w:r w:rsidR="00386568">
        <w:rPr>
          <w:rFonts w:ascii="Times New Roman" w:hAnsi="Times New Roman"/>
        </w:rPr>
        <w:t xml:space="preserve"> reductions at the firm level. Thus, we control for EU support for sustain</w:t>
      </w:r>
      <w:r w:rsidR="00D6569A">
        <w:rPr>
          <w:rFonts w:ascii="Times New Roman" w:hAnsi="Times New Roman"/>
        </w:rPr>
        <w:t xml:space="preserve">able growth in our regressions. </w:t>
      </w:r>
      <w:r w:rsidR="001526C7">
        <w:rPr>
          <w:rFonts w:ascii="Times New Roman" w:hAnsi="Times New Roman"/>
        </w:rPr>
        <w:t xml:space="preserve">In regressions not reported in the paper, we additionally control for EU </w:t>
      </w:r>
      <w:r w:rsidR="008C24D7">
        <w:rPr>
          <w:rFonts w:ascii="Times New Roman" w:hAnsi="Times New Roman"/>
        </w:rPr>
        <w:t xml:space="preserve">support for </w:t>
      </w:r>
      <w:r w:rsidR="001526C7">
        <w:rPr>
          <w:rFonts w:ascii="Times New Roman" w:hAnsi="Times New Roman"/>
        </w:rPr>
        <w:t>preservation and management of natural resources, which addresses</w:t>
      </w:r>
      <w:r w:rsidR="001526C7" w:rsidRPr="001C2536">
        <w:rPr>
          <w:rFonts w:ascii="Times New Roman" w:hAnsi="Times New Roman"/>
        </w:rPr>
        <w:t xml:space="preserve"> </w:t>
      </w:r>
      <w:r w:rsidR="001526C7" w:rsidRPr="00302E19">
        <w:rPr>
          <w:rFonts w:ascii="Times New Roman" w:hAnsi="Times New Roman"/>
        </w:rPr>
        <w:t>agricultural policy, rural development and environmental measures.</w:t>
      </w:r>
      <w:r w:rsidR="001526C7">
        <w:rPr>
          <w:rFonts w:ascii="Times New Roman" w:hAnsi="Times New Roman"/>
        </w:rPr>
        <w:t xml:space="preserve"> The r</w:t>
      </w:r>
      <w:r w:rsidR="00D6569A">
        <w:rPr>
          <w:rFonts w:ascii="Times New Roman" w:hAnsi="Times New Roman"/>
        </w:rPr>
        <w:t>egression r</w:t>
      </w:r>
      <w:r w:rsidR="00386568">
        <w:rPr>
          <w:rFonts w:ascii="Times New Roman" w:hAnsi="Times New Roman"/>
        </w:rPr>
        <w:t xml:space="preserve">esults are </w:t>
      </w:r>
      <w:r w:rsidR="00D6569A">
        <w:rPr>
          <w:rFonts w:ascii="Times New Roman" w:hAnsi="Times New Roman"/>
        </w:rPr>
        <w:t xml:space="preserve">very </w:t>
      </w:r>
      <w:r w:rsidR="00386568">
        <w:rPr>
          <w:rFonts w:ascii="Times New Roman" w:hAnsi="Times New Roman"/>
        </w:rPr>
        <w:t>similar</w:t>
      </w:r>
      <w:r w:rsidR="001526C7">
        <w:rPr>
          <w:rFonts w:ascii="Times New Roman" w:hAnsi="Times New Roman"/>
        </w:rPr>
        <w:t>.</w:t>
      </w:r>
    </w:p>
    <w:p w14:paraId="50A39A7E" w14:textId="5314B2A4" w:rsidR="008C0641" w:rsidRDefault="00D82773" w:rsidP="007B4D88">
      <w:pPr>
        <w:spacing w:line="480" w:lineRule="auto"/>
        <w:ind w:firstLine="720"/>
        <w:rPr>
          <w:rFonts w:ascii="Times New Roman" w:hAnsi="Times New Roman" w:cs="Times New Roman"/>
        </w:rPr>
      </w:pPr>
      <w:r w:rsidRPr="00703686">
        <w:rPr>
          <w:rFonts w:ascii="Times New Roman" w:hAnsi="Times New Roman" w:cs="Times New Roman"/>
        </w:rPr>
        <w:t xml:space="preserve">Second, </w:t>
      </w:r>
      <w:r w:rsidR="00584C95" w:rsidRPr="00220D92">
        <w:rPr>
          <w:rFonts w:ascii="Times New Roman" w:hAnsi="Times New Roman" w:cs="Times New Roman"/>
        </w:rPr>
        <w:t>stringency of a country’s environmental regulations</w:t>
      </w:r>
      <w:r w:rsidR="00584C95">
        <w:rPr>
          <w:rFonts w:ascii="Times New Roman" w:hAnsi="Times New Roman" w:cs="Times New Roman"/>
        </w:rPr>
        <w:t xml:space="preserve"> could </w:t>
      </w:r>
      <w:r w:rsidR="0014522F" w:rsidRPr="00703686">
        <w:rPr>
          <w:rFonts w:ascii="Times New Roman" w:eastAsia="Times New Roman" w:hAnsi="Times New Roman" w:cs="Times New Roman"/>
          <w:color w:val="222222"/>
          <w:shd w:val="clear" w:color="auto" w:fill="FFFFFF"/>
        </w:rPr>
        <w:t xml:space="preserve">influence the extent </w:t>
      </w:r>
      <w:r w:rsidR="00574440">
        <w:rPr>
          <w:rFonts w:ascii="Times New Roman" w:eastAsia="Times New Roman" w:hAnsi="Times New Roman" w:cs="Times New Roman"/>
          <w:color w:val="222222"/>
          <w:shd w:val="clear" w:color="auto" w:fill="FFFFFF"/>
        </w:rPr>
        <w:t>to which government agencies adopt legal</w:t>
      </w:r>
      <w:r w:rsidR="00C92410">
        <w:rPr>
          <w:rFonts w:ascii="Times New Roman" w:eastAsia="Times New Roman" w:hAnsi="Times New Roman" w:cs="Times New Roman"/>
          <w:color w:val="222222"/>
          <w:shd w:val="clear" w:color="auto" w:fill="FFFFFF"/>
        </w:rPr>
        <w:t xml:space="preserve"> measures</w:t>
      </w:r>
      <w:r w:rsidR="00574440">
        <w:rPr>
          <w:rFonts w:ascii="Times New Roman" w:eastAsia="Times New Roman" w:hAnsi="Times New Roman" w:cs="Times New Roman"/>
          <w:color w:val="222222"/>
          <w:shd w:val="clear" w:color="auto" w:fill="FFFFFF"/>
        </w:rPr>
        <w:t xml:space="preserve"> to implement the EU climate change directive. </w:t>
      </w:r>
      <w:r w:rsidR="0092572F">
        <w:rPr>
          <w:rFonts w:ascii="Times New Roman" w:eastAsia="Times New Roman" w:hAnsi="Times New Roman" w:cs="Times New Roman"/>
          <w:color w:val="222222"/>
          <w:shd w:val="clear" w:color="auto" w:fill="FFFFFF"/>
        </w:rPr>
        <w:t>To capture context-specific stringency, w</w:t>
      </w:r>
      <w:r w:rsidR="0014522F" w:rsidRPr="00220D92">
        <w:rPr>
          <w:rFonts w:ascii="Times New Roman" w:hAnsi="Times New Roman" w:cs="Times New Roman"/>
        </w:rPr>
        <w:t>e make use of the EU-ETS emissions trading caps imposed at the national level during the period of our study.</w:t>
      </w:r>
      <w:r w:rsidR="0092572F" w:rsidRPr="0092572F">
        <w:rPr>
          <w:rFonts w:ascii="Times New Roman" w:hAnsi="Times New Roman" w:cs="Times New Roman"/>
        </w:rPr>
        <w:t xml:space="preserve"> </w:t>
      </w:r>
      <w:r w:rsidR="003D3B42" w:rsidRPr="00220D92">
        <w:rPr>
          <w:rFonts w:ascii="Times New Roman" w:hAnsi="Times New Roman" w:cs="Times New Roman"/>
        </w:rPr>
        <w:t>We normalize a nati</w:t>
      </w:r>
      <w:r w:rsidR="003D3B42">
        <w:rPr>
          <w:rFonts w:ascii="Times New Roman" w:hAnsi="Times New Roman" w:cs="Times New Roman"/>
        </w:rPr>
        <w:t xml:space="preserve">on’s emissions </w:t>
      </w:r>
      <w:r w:rsidR="003D3B42">
        <w:rPr>
          <w:rFonts w:ascii="Times New Roman" w:hAnsi="Times New Roman" w:cs="Times New Roman"/>
        </w:rPr>
        <w:lastRenderedPageBreak/>
        <w:t>cap by its GDP. We use the EU ETS Phase I caps</w:t>
      </w:r>
      <w:r w:rsidR="008C0641">
        <w:rPr>
          <w:rFonts w:ascii="Times New Roman" w:hAnsi="Times New Roman" w:cs="Times New Roman"/>
        </w:rPr>
        <w:t xml:space="preserve"> (2005-2007)</w:t>
      </w:r>
      <w:r w:rsidR="003D3B42">
        <w:rPr>
          <w:rFonts w:ascii="Times New Roman" w:hAnsi="Times New Roman" w:cs="Times New Roman"/>
        </w:rPr>
        <w:t>, Phase II caps</w:t>
      </w:r>
      <w:r w:rsidR="008C0641">
        <w:rPr>
          <w:rFonts w:ascii="Times New Roman" w:hAnsi="Times New Roman" w:cs="Times New Roman"/>
        </w:rPr>
        <w:t xml:space="preserve"> (2008-2013)</w:t>
      </w:r>
      <w:r w:rsidR="003D3B42">
        <w:rPr>
          <w:rFonts w:ascii="Times New Roman" w:hAnsi="Times New Roman" w:cs="Times New Roman"/>
        </w:rPr>
        <w:t xml:space="preserve">, </w:t>
      </w:r>
      <w:r w:rsidR="004707E6">
        <w:rPr>
          <w:rFonts w:ascii="Times New Roman" w:hAnsi="Times New Roman" w:cs="Times New Roman"/>
        </w:rPr>
        <w:t>and their</w:t>
      </w:r>
      <w:r w:rsidR="003D3B42">
        <w:rPr>
          <w:rFonts w:ascii="Times New Roman" w:hAnsi="Times New Roman" w:cs="Times New Roman"/>
        </w:rPr>
        <w:t xml:space="preserve"> average</w:t>
      </w:r>
      <w:r w:rsidR="004707E6">
        <w:rPr>
          <w:rFonts w:ascii="Times New Roman" w:hAnsi="Times New Roman" w:cs="Times New Roman"/>
        </w:rPr>
        <w:t xml:space="preserve"> in turn</w:t>
      </w:r>
      <w:r w:rsidR="003D3B42">
        <w:rPr>
          <w:rFonts w:ascii="Times New Roman" w:hAnsi="Times New Roman" w:cs="Times New Roman"/>
        </w:rPr>
        <w:t xml:space="preserve">, and the </w:t>
      </w:r>
      <w:r w:rsidR="008C0641">
        <w:rPr>
          <w:rFonts w:ascii="Times New Roman" w:hAnsi="Times New Roman" w:cs="Times New Roman"/>
        </w:rPr>
        <w:t xml:space="preserve">regression </w:t>
      </w:r>
      <w:r w:rsidR="003D3B42">
        <w:rPr>
          <w:rFonts w:ascii="Times New Roman" w:hAnsi="Times New Roman" w:cs="Times New Roman"/>
        </w:rPr>
        <w:t>results are</w:t>
      </w:r>
      <w:r w:rsidR="000320D4">
        <w:rPr>
          <w:rFonts w:ascii="Times New Roman" w:hAnsi="Times New Roman" w:cs="Times New Roman"/>
        </w:rPr>
        <w:t xml:space="preserve"> very</w:t>
      </w:r>
      <w:r w:rsidR="003D3B42">
        <w:rPr>
          <w:rFonts w:ascii="Times New Roman" w:hAnsi="Times New Roman" w:cs="Times New Roman"/>
        </w:rPr>
        <w:t xml:space="preserve"> similar. We report </w:t>
      </w:r>
      <w:r w:rsidR="008C0641">
        <w:rPr>
          <w:rFonts w:ascii="Times New Roman" w:hAnsi="Times New Roman" w:cs="Times New Roman"/>
        </w:rPr>
        <w:t xml:space="preserve">the </w:t>
      </w:r>
      <w:r w:rsidR="003D3B42">
        <w:rPr>
          <w:rFonts w:ascii="Times New Roman" w:hAnsi="Times New Roman" w:cs="Times New Roman"/>
        </w:rPr>
        <w:t xml:space="preserve">results using the EU ETS Phase I caps. </w:t>
      </w:r>
    </w:p>
    <w:p w14:paraId="6268919D" w14:textId="21753A7F" w:rsidR="006D6BBE" w:rsidRPr="003D3B42" w:rsidRDefault="003C3D3C" w:rsidP="007B4D88">
      <w:pPr>
        <w:spacing w:line="480" w:lineRule="auto"/>
        <w:ind w:firstLine="720"/>
        <w:rPr>
          <w:rFonts w:ascii="Times New Roman" w:hAnsi="Times New Roman" w:cs="Times New Roman"/>
        </w:rPr>
      </w:pPr>
      <w:r>
        <w:rPr>
          <w:rFonts w:ascii="Times New Roman" w:hAnsi="Times New Roman" w:cs="Times New Roman"/>
        </w:rPr>
        <w:t>Third,</w:t>
      </w:r>
      <w:r w:rsidR="00C04F1B">
        <w:rPr>
          <w:rFonts w:ascii="Times New Roman" w:hAnsi="Times New Roman" w:cs="Times New Roman"/>
        </w:rPr>
        <w:t xml:space="preserve"> we control for</w:t>
      </w:r>
      <w:r>
        <w:rPr>
          <w:rFonts w:ascii="Times New Roman" w:hAnsi="Times New Roman" w:cs="Times New Roman"/>
        </w:rPr>
        <w:t xml:space="preserve"> </w:t>
      </w:r>
      <w:r w:rsidR="00C04F1B">
        <w:rPr>
          <w:rFonts w:ascii="Times New Roman" w:hAnsi="Times New Roman" w:cs="Times New Roman"/>
        </w:rPr>
        <w:t>t</w:t>
      </w:r>
      <w:r w:rsidR="00C04F1B" w:rsidRPr="00220D92">
        <w:rPr>
          <w:rFonts w:ascii="Times New Roman" w:hAnsi="Times New Roman" w:cs="Times New Roman"/>
        </w:rPr>
        <w:t xml:space="preserve">he number of international environmental agreements the country signed up for </w:t>
      </w:r>
      <w:r w:rsidR="00C04F1B">
        <w:rPr>
          <w:rFonts w:ascii="Times New Roman" w:hAnsi="Times New Roman" w:cs="Times New Roman"/>
        </w:rPr>
        <w:t xml:space="preserve">since such commitments </w:t>
      </w:r>
      <w:r w:rsidR="00C04F1B" w:rsidRPr="00220D92">
        <w:rPr>
          <w:rFonts w:ascii="Times New Roman" w:hAnsi="Times New Roman" w:cs="Times New Roman"/>
        </w:rPr>
        <w:t xml:space="preserve">could influence </w:t>
      </w:r>
      <w:r w:rsidR="007B4D88">
        <w:rPr>
          <w:rFonts w:ascii="Times New Roman" w:hAnsi="Times New Roman" w:cs="Times New Roman"/>
        </w:rPr>
        <w:t xml:space="preserve">the number of legal measures government agencies take to implement the EU climate change policy. </w:t>
      </w:r>
      <w:r w:rsidR="006D6BBE">
        <w:rPr>
          <w:rFonts w:ascii="Times New Roman" w:hAnsi="Times New Roman" w:cs="Times New Roman"/>
        </w:rPr>
        <w:t>Fourth, p</w:t>
      </w:r>
      <w:r w:rsidR="00C04F1B" w:rsidRPr="00220D92">
        <w:rPr>
          <w:rFonts w:ascii="Times New Roman" w:hAnsi="Times New Roman" w:cs="Times New Roman"/>
        </w:rPr>
        <w:t xml:space="preserve">opulation growth could influence national transpositions since population growth could affect energy generation and carbon emissions. </w:t>
      </w:r>
      <w:r w:rsidR="006D6BBE">
        <w:rPr>
          <w:rFonts w:ascii="Times New Roman" w:hAnsi="Times New Roman" w:cs="Times New Roman"/>
        </w:rPr>
        <w:t xml:space="preserve">Also, we control for </w:t>
      </w:r>
      <w:r w:rsidR="00C04F1B" w:rsidRPr="00220D92">
        <w:rPr>
          <w:rFonts w:ascii="Times New Roman" w:hAnsi="Times New Roman" w:cs="Times New Roman"/>
        </w:rPr>
        <w:t>GDP per capita and export to EU member countries</w:t>
      </w:r>
      <w:r w:rsidR="006D6BBE">
        <w:rPr>
          <w:rFonts w:ascii="Times New Roman" w:hAnsi="Times New Roman" w:cs="Times New Roman"/>
        </w:rPr>
        <w:t xml:space="preserve"> since </w:t>
      </w:r>
      <w:r w:rsidR="006E11E9">
        <w:rPr>
          <w:rFonts w:ascii="Times New Roman" w:hAnsi="Times New Roman" w:cs="Times New Roman"/>
        </w:rPr>
        <w:t xml:space="preserve">the level of development and </w:t>
      </w:r>
      <w:r w:rsidR="006D6BBE">
        <w:rPr>
          <w:rFonts w:ascii="Times New Roman" w:hAnsi="Times New Roman" w:cs="Times New Roman"/>
        </w:rPr>
        <w:t>EU-</w:t>
      </w:r>
      <w:r w:rsidR="006D6BBE" w:rsidRPr="006E11E9">
        <w:rPr>
          <w:rFonts w:ascii="Times New Roman" w:hAnsi="Times New Roman" w:cs="Times New Roman"/>
        </w:rPr>
        <w:t xml:space="preserve">specific trade could affect </w:t>
      </w:r>
      <w:r w:rsidR="007B4D88">
        <w:rPr>
          <w:rFonts w:ascii="Times New Roman" w:hAnsi="Times New Roman" w:cs="Times New Roman"/>
        </w:rPr>
        <w:t>decisions of government agencies</w:t>
      </w:r>
      <w:r w:rsidR="00B47942">
        <w:rPr>
          <w:rFonts w:ascii="Times New Roman" w:hAnsi="Times New Roman" w:cs="Times New Roman"/>
        </w:rPr>
        <w:t xml:space="preserve"> regarding the transpositions of the EU climate change policy</w:t>
      </w:r>
      <w:r w:rsidR="00C04F1B" w:rsidRPr="006E11E9">
        <w:rPr>
          <w:rFonts w:ascii="Times New Roman" w:hAnsi="Times New Roman" w:cs="Times New Roman"/>
        </w:rPr>
        <w:t xml:space="preserve">. </w:t>
      </w:r>
      <w:r w:rsidR="006D6BBE" w:rsidRPr="006E11E9">
        <w:rPr>
          <w:rFonts w:ascii="Times New Roman" w:hAnsi="Times New Roman" w:cs="Times New Roman"/>
        </w:rPr>
        <w:t xml:space="preserve">In addition, we control for </w:t>
      </w:r>
      <w:r w:rsidR="00F53248" w:rsidRPr="006E11E9">
        <w:rPr>
          <w:rFonts w:ascii="Times New Roman" w:hAnsi="Times New Roman" w:cs="Times New Roman"/>
        </w:rPr>
        <w:t xml:space="preserve">democracy index as </w:t>
      </w:r>
      <w:r w:rsidR="00430AAE" w:rsidRPr="006E11E9">
        <w:rPr>
          <w:rFonts w:ascii="Times New Roman" w:hAnsi="Times New Roman" w:cs="Times New Roman"/>
        </w:rPr>
        <w:t xml:space="preserve">political regime could influence </w:t>
      </w:r>
      <w:r w:rsidR="00501A91">
        <w:rPr>
          <w:rFonts w:ascii="Times New Roman" w:hAnsi="Times New Roman" w:cs="Times New Roman"/>
        </w:rPr>
        <w:t>government agency decisions</w:t>
      </w:r>
      <w:r w:rsidR="00430AAE" w:rsidRPr="006E11E9">
        <w:rPr>
          <w:rFonts w:ascii="Times New Roman" w:hAnsi="Times New Roman" w:cs="Times New Roman"/>
        </w:rPr>
        <w:t xml:space="preserve">. </w:t>
      </w:r>
    </w:p>
    <w:p w14:paraId="359B3E40" w14:textId="3B275C3C" w:rsidR="006E11E9" w:rsidRPr="006E11E9" w:rsidRDefault="00255867" w:rsidP="00501A91">
      <w:pPr>
        <w:spacing w:line="480" w:lineRule="auto"/>
        <w:ind w:firstLine="720"/>
        <w:rPr>
          <w:rFonts w:ascii="Times New Roman" w:hAnsi="Times New Roman" w:cs="Times New Roman"/>
        </w:rPr>
      </w:pPr>
      <w:r>
        <w:rPr>
          <w:rFonts w:ascii="Times New Roman" w:hAnsi="Times New Roman" w:cs="Times New Roman"/>
        </w:rPr>
        <w:t>In the second analysis</w:t>
      </w:r>
      <w:r w:rsidR="00CC1720">
        <w:rPr>
          <w:rFonts w:ascii="Times New Roman" w:hAnsi="Times New Roman" w:cs="Times New Roman"/>
        </w:rPr>
        <w:t>,</w:t>
      </w:r>
      <w:r>
        <w:rPr>
          <w:rFonts w:ascii="Times New Roman" w:hAnsi="Times New Roman" w:cs="Times New Roman"/>
        </w:rPr>
        <w:t xml:space="preserve"> </w:t>
      </w:r>
      <w:r w:rsidR="00093812">
        <w:rPr>
          <w:rFonts w:ascii="Times New Roman" w:hAnsi="Times New Roman" w:cs="Times New Roman"/>
        </w:rPr>
        <w:t xml:space="preserve">where we predict </w:t>
      </w:r>
      <w:r w:rsidR="00DE7A7A" w:rsidRPr="006E11E9">
        <w:rPr>
          <w:rFonts w:ascii="Times New Roman" w:hAnsi="Times New Roman" w:cs="Times New Roman"/>
        </w:rPr>
        <w:t>GHG</w:t>
      </w:r>
      <w:r w:rsidR="00093812">
        <w:rPr>
          <w:rFonts w:ascii="Times New Roman" w:hAnsi="Times New Roman" w:cs="Times New Roman"/>
        </w:rPr>
        <w:t xml:space="preserve"> emissions at the firm level, w</w:t>
      </w:r>
      <w:r w:rsidR="006E11E9" w:rsidRPr="006E11E9">
        <w:rPr>
          <w:rFonts w:ascii="Times New Roman" w:hAnsi="Times New Roman" w:cs="Times New Roman"/>
        </w:rPr>
        <w:t xml:space="preserve">e include a few firm-level control variables that might affect GHG emissions. </w:t>
      </w:r>
      <w:r w:rsidR="0015304C">
        <w:rPr>
          <w:rFonts w:ascii="Times New Roman" w:hAnsi="Times New Roman" w:cs="Times New Roman"/>
        </w:rPr>
        <w:t>All variables are measured in 2004 values.</w:t>
      </w:r>
      <w:r w:rsidR="0015304C" w:rsidRPr="006E11E9">
        <w:rPr>
          <w:rFonts w:ascii="Times New Roman" w:hAnsi="Times New Roman" w:cs="Times New Roman"/>
        </w:rPr>
        <w:t xml:space="preserve"> </w:t>
      </w:r>
      <w:r w:rsidR="006E11E9" w:rsidRPr="006E11E9">
        <w:rPr>
          <w:rFonts w:ascii="Times New Roman" w:hAnsi="Times New Roman" w:cs="Times New Roman"/>
        </w:rPr>
        <w:t xml:space="preserve">We use the amount of energy generated as a proxy for firm size. We also control for the share of fossil fuel use. Energy generation from fossil fuel sources such as coal, oil, and natural gas emits GHG, whereas energy generation from other sources such as nuclear or renewable energy does not discharge GHG emissions. </w:t>
      </w:r>
      <w:r w:rsidR="00DE7A7A" w:rsidRPr="00DE7A7A">
        <w:rPr>
          <w:rFonts w:ascii="Times New Roman" w:hAnsi="Times New Roman" w:cs="Times New Roman"/>
        </w:rPr>
        <w:t xml:space="preserve">Financial </w:t>
      </w:r>
      <w:r w:rsidR="00DE7A7A">
        <w:rPr>
          <w:rFonts w:ascii="Times New Roman" w:hAnsi="Times New Roman" w:cs="Times New Roman"/>
        </w:rPr>
        <w:t>performance is measured as ROA and f</w:t>
      </w:r>
      <w:r w:rsidR="00DE7A7A" w:rsidRPr="00DE7A7A">
        <w:rPr>
          <w:rFonts w:ascii="Times New Roman" w:hAnsi="Times New Roman" w:cs="Times New Roman"/>
        </w:rPr>
        <w:t xml:space="preserve">inancial </w:t>
      </w:r>
      <w:r w:rsidR="00DE7A7A">
        <w:rPr>
          <w:rFonts w:ascii="Times New Roman" w:hAnsi="Times New Roman" w:cs="Times New Roman"/>
        </w:rPr>
        <w:t>r</w:t>
      </w:r>
      <w:r w:rsidR="00DE7A7A" w:rsidRPr="00DE7A7A">
        <w:rPr>
          <w:rFonts w:ascii="Times New Roman" w:hAnsi="Times New Roman" w:cs="Times New Roman"/>
        </w:rPr>
        <w:t>esources</w:t>
      </w:r>
      <w:r w:rsidR="00DE7A7A" w:rsidRPr="006E11E9">
        <w:rPr>
          <w:rFonts w:ascii="Times New Roman" w:hAnsi="Times New Roman" w:cs="Times New Roman"/>
        </w:rPr>
        <w:t xml:space="preserve"> is measured</w:t>
      </w:r>
      <w:r w:rsidR="00DE7A7A">
        <w:rPr>
          <w:rFonts w:ascii="Times New Roman" w:hAnsi="Times New Roman" w:cs="Times New Roman"/>
        </w:rPr>
        <w:t xml:space="preserve"> as cash flow. </w:t>
      </w:r>
      <w:r w:rsidR="00FC5D5F">
        <w:rPr>
          <w:rFonts w:ascii="Times New Roman" w:hAnsi="Times New Roman" w:cs="Times New Roman"/>
        </w:rPr>
        <w:t>Carbon intensity</w:t>
      </w:r>
      <w:r w:rsidR="00FC5D5F" w:rsidRPr="00220D92">
        <w:rPr>
          <w:rFonts w:ascii="Times New Roman" w:hAnsi="Times New Roman" w:cs="Times New Roman"/>
        </w:rPr>
        <w:t xml:space="preserve"> is measured as the ratio of </w:t>
      </w:r>
      <w:r w:rsidR="00FC5D5F">
        <w:rPr>
          <w:rFonts w:ascii="Times New Roman" w:hAnsi="Times New Roman" w:cs="Times New Roman"/>
        </w:rPr>
        <w:t>carbon emissions</w:t>
      </w:r>
      <w:r w:rsidR="00FC5D5F" w:rsidRPr="00220D92">
        <w:rPr>
          <w:rFonts w:ascii="Times New Roman" w:hAnsi="Times New Roman" w:cs="Times New Roman"/>
        </w:rPr>
        <w:t xml:space="preserve"> to </w:t>
      </w:r>
      <w:r w:rsidR="00DB1692">
        <w:rPr>
          <w:rFonts w:ascii="Times New Roman" w:hAnsi="Times New Roman" w:cs="Times New Roman"/>
        </w:rPr>
        <w:t>energy generation</w:t>
      </w:r>
      <w:r w:rsidR="009A7DAE">
        <w:rPr>
          <w:rFonts w:ascii="Times New Roman" w:hAnsi="Times New Roman" w:cs="Times New Roman"/>
        </w:rPr>
        <w:t>.</w:t>
      </w:r>
      <w:r w:rsidR="00DB1692">
        <w:rPr>
          <w:rFonts w:ascii="Times New Roman" w:hAnsi="Times New Roman" w:cs="Times New Roman"/>
        </w:rPr>
        <w:t xml:space="preserve"> </w:t>
      </w:r>
      <w:r w:rsidR="00501A91">
        <w:rPr>
          <w:rFonts w:ascii="Times New Roman" w:hAnsi="Times New Roman" w:cs="Times New Roman"/>
        </w:rPr>
        <w:t>This variable</w:t>
      </w:r>
      <w:r w:rsidR="009A7DAE">
        <w:rPr>
          <w:rFonts w:ascii="Times New Roman" w:hAnsi="Times New Roman" w:cs="Times New Roman"/>
        </w:rPr>
        <w:t xml:space="preserve"> </w:t>
      </w:r>
      <w:r w:rsidR="00FC5D5F" w:rsidRPr="00220D92">
        <w:rPr>
          <w:rFonts w:ascii="Times New Roman" w:hAnsi="Times New Roman" w:cs="Times New Roman"/>
        </w:rPr>
        <w:t>addresses a potential con</w:t>
      </w:r>
      <w:r w:rsidR="00FC565B">
        <w:rPr>
          <w:rFonts w:ascii="Times New Roman" w:hAnsi="Times New Roman" w:cs="Times New Roman"/>
        </w:rPr>
        <w:t>cern that there may be more low</w:t>
      </w:r>
      <w:r w:rsidR="00E90D30">
        <w:rPr>
          <w:rFonts w:ascii="Times New Roman" w:hAnsi="Times New Roman" w:cs="Times New Roman"/>
        </w:rPr>
        <w:t>-</w:t>
      </w:r>
      <w:r w:rsidR="00FC565B">
        <w:rPr>
          <w:rFonts w:ascii="Times New Roman" w:hAnsi="Times New Roman" w:cs="Times New Roman"/>
        </w:rPr>
        <w:t>cost</w:t>
      </w:r>
      <w:r w:rsidR="00FC5D5F" w:rsidRPr="00220D92">
        <w:rPr>
          <w:rFonts w:ascii="Times New Roman" w:hAnsi="Times New Roman" w:cs="Times New Roman"/>
        </w:rPr>
        <w:t xml:space="preserve"> opportunities to reduce GHG emissions in </w:t>
      </w:r>
      <w:r w:rsidR="00FC5D5F">
        <w:rPr>
          <w:rFonts w:ascii="Times New Roman" w:hAnsi="Times New Roman" w:cs="Times New Roman"/>
        </w:rPr>
        <w:t>high</w:t>
      </w:r>
      <w:r w:rsidR="00E90D30">
        <w:rPr>
          <w:rFonts w:ascii="Times New Roman" w:hAnsi="Times New Roman" w:cs="Times New Roman"/>
        </w:rPr>
        <w:t>-</w:t>
      </w:r>
      <w:r w:rsidR="00FC5D5F">
        <w:rPr>
          <w:rFonts w:ascii="Times New Roman" w:hAnsi="Times New Roman" w:cs="Times New Roman"/>
        </w:rPr>
        <w:t xml:space="preserve">emitting firms. </w:t>
      </w:r>
      <w:r w:rsidR="006E11E9" w:rsidRPr="009A7DAE">
        <w:rPr>
          <w:rFonts w:ascii="Times New Roman" w:hAnsi="Times New Roman" w:cs="Times New Roman"/>
        </w:rPr>
        <w:t xml:space="preserve">Lack of </w:t>
      </w:r>
      <w:r w:rsidR="00E90D30">
        <w:rPr>
          <w:rFonts w:ascii="Times New Roman" w:hAnsi="Times New Roman" w:cs="Times New Roman"/>
        </w:rPr>
        <w:t>c</w:t>
      </w:r>
      <w:r w:rsidR="006E11E9" w:rsidRPr="009A7DAE">
        <w:rPr>
          <w:rFonts w:ascii="Times New Roman" w:hAnsi="Times New Roman" w:cs="Times New Roman"/>
        </w:rPr>
        <w:t>ompetition</w:t>
      </w:r>
      <w:r w:rsidR="006E11E9" w:rsidRPr="006E11E9">
        <w:rPr>
          <w:rFonts w:ascii="Times New Roman" w:hAnsi="Times New Roman" w:cs="Times New Roman"/>
          <w:i/>
        </w:rPr>
        <w:t xml:space="preserve"> </w:t>
      </w:r>
      <w:r w:rsidR="006E11E9" w:rsidRPr="006E11E9">
        <w:rPr>
          <w:rFonts w:ascii="Times New Roman" w:hAnsi="Times New Roman" w:cs="Times New Roman"/>
        </w:rPr>
        <w:t xml:space="preserve">is measured at the country level using the Herfindahl Hirschman Index (HHI), as in prior studies </w:t>
      </w:r>
      <w:r w:rsidR="006E11E9" w:rsidRPr="006E11E9">
        <w:rPr>
          <w:rFonts w:ascii="Times New Roman" w:hAnsi="Times New Roman" w:cs="Times New Roman"/>
        </w:rPr>
        <w:fldChar w:fldCharType="begin"/>
      </w:r>
      <w:r w:rsidR="006E11E9" w:rsidRPr="006E11E9">
        <w:rPr>
          <w:rFonts w:ascii="Times New Roman" w:hAnsi="Times New Roman" w:cs="Times New Roman"/>
        </w:rPr>
        <w:instrText xml:space="preserve"> ADDIN EN.CITE &lt;EndNote&gt;&lt;Cite&gt;&lt;Author&gt;Fernández-Kranz&lt;/Author&gt;&lt;Year&gt;2010&lt;/Year&gt;&lt;RecNum&gt;11089&lt;/RecNum&gt;&lt;DisplayText&gt;(Fernández-Kranz &amp;amp; Santaló, 2010)&lt;/DisplayText&gt;&lt;record&gt;&lt;rec-number&gt;11089&lt;/rec-number&gt;&lt;foreign-keys&gt;&lt;key app="EN" db-id="drza2r996s5xafet0zkvrvtc0ar9sdvwsf2v" timestamp="1521053903"&gt;11089&lt;/key&gt;&lt;/foreign-keys&gt;&lt;ref-type name="Journal Article"&gt;17&lt;/ref-type&gt;&lt;contributors&gt;&lt;authors&gt;&lt;author&gt;Fernández-Kranz, Daniel&lt;/author&gt;&lt;author&gt;Santaló, Juan&lt;/author&gt;&lt;/authors&gt;&lt;/contributors&gt;&lt;titles&gt;&lt;title&gt;When Necessity Becomes a Virtue: The Effect of Product Market Competition on Corporate Social Responsibility&lt;/title&gt;&lt;secondary-title&gt;Journal of Economics &amp;amp; Management Strategy&lt;/secondary-title&gt;&lt;/titles&gt;&lt;periodical&gt;&lt;full-title&gt;Journal of Economics &amp;amp; Management Strategy&lt;/full-title&gt;&lt;/periodical&gt;&lt;pages&gt;453-487&lt;/pages&gt;&lt;volume&gt;19&lt;/volume&gt;&lt;number&gt;2&lt;/number&gt;&lt;dates&gt;&lt;year&gt;2010&lt;/year&gt;&lt;/dates&gt;&lt;publisher&gt;Blackwell Publishing Inc&lt;/publisher&gt;&lt;isbn&gt;1530-9134&lt;/isbn&gt;&lt;label&gt;CSR&lt;/label&gt;&lt;urls&gt;&lt;related-urls&gt;&lt;url&gt;http://dx.doi.org/10.1111/j.1530-9134.2010.00258.x&lt;/url&gt;&lt;/related-urls&gt;&lt;/urls&gt;&lt;electronic-resource-num&gt;10.1111/j.1530-9134.2010.00258.x&lt;/electronic-resource-num&gt;&lt;/record&gt;&lt;/Cite&gt;&lt;/EndNote&gt;</w:instrText>
      </w:r>
      <w:r w:rsidR="006E11E9" w:rsidRPr="006E11E9">
        <w:rPr>
          <w:rFonts w:ascii="Times New Roman" w:hAnsi="Times New Roman" w:cs="Times New Roman"/>
        </w:rPr>
        <w:fldChar w:fldCharType="separate"/>
      </w:r>
      <w:r w:rsidR="006E11E9" w:rsidRPr="006E11E9">
        <w:rPr>
          <w:rFonts w:ascii="Times New Roman" w:hAnsi="Times New Roman" w:cs="Times New Roman"/>
          <w:noProof/>
        </w:rPr>
        <w:t>(Fernández-Kranz &amp; Santaló, 2010)</w:t>
      </w:r>
      <w:r w:rsidR="006E11E9" w:rsidRPr="006E11E9">
        <w:rPr>
          <w:rFonts w:ascii="Times New Roman" w:hAnsi="Times New Roman" w:cs="Times New Roman"/>
        </w:rPr>
        <w:fldChar w:fldCharType="end"/>
      </w:r>
      <w:r w:rsidR="006E11E9" w:rsidRPr="006E11E9">
        <w:rPr>
          <w:rFonts w:ascii="Times New Roman" w:hAnsi="Times New Roman" w:cs="Times New Roman"/>
        </w:rPr>
        <w:t xml:space="preserve">. We divide HHI by 10,000 such that HHI falls within the range of 0 to 1. </w:t>
      </w:r>
    </w:p>
    <w:p w14:paraId="1A806428" w14:textId="77777777" w:rsidR="009A7DAE" w:rsidRDefault="009A7DAE" w:rsidP="0013029E">
      <w:pPr>
        <w:spacing w:line="480" w:lineRule="auto"/>
        <w:outlineLvl w:val="0"/>
        <w:rPr>
          <w:rFonts w:ascii="Times New Roman" w:hAnsi="Times New Roman" w:cs="Times New Roman"/>
          <w:b/>
          <w:sz w:val="22"/>
        </w:rPr>
      </w:pPr>
    </w:p>
    <w:p w14:paraId="765108A8" w14:textId="77777777" w:rsidR="0013029E" w:rsidRPr="00646ED7" w:rsidRDefault="0013029E" w:rsidP="0013029E">
      <w:pPr>
        <w:spacing w:line="480" w:lineRule="auto"/>
        <w:outlineLvl w:val="0"/>
        <w:rPr>
          <w:rFonts w:ascii="Times New Roman" w:hAnsi="Times New Roman" w:cs="Times New Roman"/>
          <w:b/>
        </w:rPr>
      </w:pPr>
      <w:r w:rsidRPr="00646ED7">
        <w:rPr>
          <w:rFonts w:ascii="Times New Roman" w:hAnsi="Times New Roman" w:cs="Times New Roman"/>
          <w:b/>
        </w:rPr>
        <w:lastRenderedPageBreak/>
        <w:t>Empirical methodology</w:t>
      </w:r>
    </w:p>
    <w:p w14:paraId="50315710" w14:textId="54DA357F" w:rsidR="00646ED7" w:rsidRPr="00F01150" w:rsidRDefault="00646ED7" w:rsidP="00646ED7">
      <w:pPr>
        <w:spacing w:line="480" w:lineRule="auto"/>
        <w:outlineLvl w:val="0"/>
        <w:rPr>
          <w:rFonts w:ascii="Times New Roman" w:hAnsi="Times New Roman" w:cs="Times New Roman"/>
        </w:rPr>
      </w:pPr>
      <w:r w:rsidRPr="007969D4">
        <w:rPr>
          <w:rFonts w:ascii="Times New Roman" w:hAnsi="Times New Roman" w:cs="Times New Roman"/>
        </w:rPr>
        <w:t xml:space="preserve">In the first analysis, we predict </w:t>
      </w:r>
      <w:r w:rsidR="007969D4" w:rsidRPr="007969D4">
        <w:rPr>
          <w:rFonts w:ascii="Times New Roman" w:hAnsi="Times New Roman" w:cs="Times New Roman"/>
        </w:rPr>
        <w:t>the number of legal measures government agencies</w:t>
      </w:r>
      <w:r w:rsidR="00615749">
        <w:rPr>
          <w:rFonts w:ascii="Times New Roman" w:hAnsi="Times New Roman" w:cs="Times New Roman"/>
        </w:rPr>
        <w:t xml:space="preserve"> of EU member countries</w:t>
      </w:r>
      <w:r w:rsidR="007969D4" w:rsidRPr="007969D4">
        <w:rPr>
          <w:rFonts w:ascii="Times New Roman" w:hAnsi="Times New Roman" w:cs="Times New Roman"/>
        </w:rPr>
        <w:t xml:space="preserve"> adopted </w:t>
      </w:r>
      <w:r w:rsidR="007969D4">
        <w:rPr>
          <w:rFonts w:ascii="Times New Roman" w:hAnsi="Times New Roman" w:cs="Times New Roman"/>
        </w:rPr>
        <w:t>to implement and enforce the EU climate change policy</w:t>
      </w:r>
      <w:r w:rsidR="000C203B">
        <w:rPr>
          <w:rFonts w:ascii="Times New Roman" w:hAnsi="Times New Roman" w:cs="Times New Roman"/>
        </w:rPr>
        <w:t xml:space="preserve"> </w:t>
      </w:r>
      <w:r w:rsidRPr="00646ED7">
        <w:rPr>
          <w:rFonts w:ascii="Times New Roman" w:hAnsi="Times New Roman" w:cs="Times New Roman"/>
        </w:rPr>
        <w:t>using country-level data</w:t>
      </w:r>
      <w:r>
        <w:rPr>
          <w:rFonts w:ascii="Times New Roman" w:hAnsi="Times New Roman" w:cs="Times New Roman"/>
        </w:rPr>
        <w:t xml:space="preserve">. Our variables of interest are </w:t>
      </w:r>
      <w:r w:rsidRPr="00FC2874">
        <w:rPr>
          <w:rFonts w:ascii="Times New Roman" w:hAnsi="Times New Roman" w:cs="Times New Roman"/>
          <w:i/>
        </w:rPr>
        <w:t>Dependence</w:t>
      </w:r>
      <w:r>
        <w:rPr>
          <w:rFonts w:ascii="Times New Roman" w:hAnsi="Times New Roman" w:cs="Times New Roman"/>
        </w:rPr>
        <w:t xml:space="preserve"> and its interactions with </w:t>
      </w:r>
      <w:r w:rsidRPr="00951880">
        <w:rPr>
          <w:rFonts w:ascii="Times New Roman" w:hAnsi="Times New Roman" w:cs="Times New Roman"/>
          <w:i/>
        </w:rPr>
        <w:t>Environmental NGO pressure</w:t>
      </w:r>
      <w:r>
        <w:rPr>
          <w:rFonts w:ascii="Times New Roman" w:hAnsi="Times New Roman" w:cs="Times New Roman"/>
        </w:rPr>
        <w:t xml:space="preserve"> and </w:t>
      </w:r>
      <w:r w:rsidRPr="00951880">
        <w:rPr>
          <w:rFonts w:ascii="Times New Roman" w:hAnsi="Times New Roman" w:cs="Times New Roman"/>
          <w:i/>
        </w:rPr>
        <w:t>Environmental stress</w:t>
      </w:r>
      <w:r>
        <w:rPr>
          <w:rFonts w:ascii="Times New Roman" w:hAnsi="Times New Roman" w:cs="Times New Roman"/>
        </w:rPr>
        <w:t xml:space="preserve">. </w:t>
      </w:r>
    </w:p>
    <w:p w14:paraId="181E7A87" w14:textId="6B5AA5A1" w:rsidR="00646ED7" w:rsidRPr="0013029E" w:rsidRDefault="007F3C48" w:rsidP="00646ED7">
      <w:pPr>
        <w:rPr>
          <w:rFonts w:ascii="Times New Roman" w:hAnsi="Times New Roman" w:cs="Times New Roman"/>
          <w:sz w:val="22"/>
        </w:rPr>
      </w:pPr>
      <m:oMathPara>
        <m:oMath>
          <m:sSub>
            <m:sSubPr>
              <m:ctrlPr>
                <w:rPr>
                  <w:rFonts w:ascii="Cambria Math" w:hAnsi="Cambria Math" w:cs="Times New Roman"/>
                  <w:i/>
                  <w:sz w:val="22"/>
                </w:rPr>
              </m:ctrlPr>
            </m:sSubPr>
            <m:e>
              <m:r>
                <w:rPr>
                  <w:rFonts w:ascii="Cambria Math" w:hAnsi="Cambria Math" w:cs="Times New Roman"/>
                  <w:sz w:val="22"/>
                </w:rPr>
                <m:t>National Transpositions</m:t>
              </m:r>
            </m:e>
            <m:sub>
              <m:r>
                <w:rPr>
                  <w:rFonts w:ascii="Cambria Math" w:hAnsi="Cambria Math" w:cs="Times New Roman"/>
                  <w:sz w:val="22"/>
                </w:rPr>
                <m:t>i</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β</m:t>
              </m:r>
            </m:e>
            <m:sub>
              <m:r>
                <w:rPr>
                  <w:rFonts w:ascii="Cambria Math" w:hAnsi="Cambria Math" w:cs="Times New Roman"/>
                  <w:sz w:val="22"/>
                </w:rPr>
                <m:t>1</m:t>
              </m:r>
            </m:sub>
          </m:sSub>
          <m:sSub>
            <m:sSubPr>
              <m:ctrlPr>
                <w:rPr>
                  <w:rFonts w:ascii="Cambria Math" w:hAnsi="Cambria Math" w:cs="Times New Roman"/>
                  <w:i/>
                  <w:sz w:val="22"/>
                </w:rPr>
              </m:ctrlPr>
            </m:sSubPr>
            <m:e>
              <m:r>
                <w:rPr>
                  <w:rFonts w:ascii="Cambria Math" w:hAnsi="Cambria Math" w:cs="Times New Roman"/>
                  <w:sz w:val="22"/>
                </w:rPr>
                <m:t>Dependence</m:t>
              </m:r>
            </m:e>
            <m:sub>
              <m:r>
                <w:rPr>
                  <w:rFonts w:ascii="Cambria Math" w:hAnsi="Cambria Math" w:cs="Times New Roman"/>
                  <w:sz w:val="22"/>
                </w:rPr>
                <m:t>i</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β</m:t>
              </m:r>
            </m:e>
            <m:sub>
              <m:r>
                <w:rPr>
                  <w:rFonts w:ascii="Cambria Math" w:hAnsi="Cambria Math" w:cs="Times New Roman"/>
                  <w:sz w:val="22"/>
                </w:rPr>
                <m:t>2</m:t>
              </m:r>
            </m:sub>
          </m:sSub>
          <m:sSub>
            <m:sSubPr>
              <m:ctrlPr>
                <w:rPr>
                  <w:rFonts w:ascii="Cambria Math" w:hAnsi="Cambria Math" w:cs="Times New Roman"/>
                  <w:i/>
                  <w:sz w:val="22"/>
                </w:rPr>
              </m:ctrlPr>
            </m:sSubPr>
            <m:e>
              <m:r>
                <w:rPr>
                  <w:rFonts w:ascii="Cambria Math" w:hAnsi="Cambria Math" w:cs="Times New Roman"/>
                  <w:sz w:val="22"/>
                </w:rPr>
                <m:t>(Dependence</m:t>
              </m:r>
            </m:e>
            <m:sub>
              <m:r>
                <w:rPr>
                  <w:rFonts w:ascii="Cambria Math" w:hAnsi="Cambria Math" w:cs="Times New Roman"/>
                  <w:sz w:val="22"/>
                </w:rPr>
                <m:t>i</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Environmental NGO pressure</m:t>
              </m:r>
            </m:e>
            <m:sub>
              <m:r>
                <w:rPr>
                  <w:rFonts w:ascii="Cambria Math" w:hAnsi="Cambria Math" w:cs="Times New Roman"/>
                  <w:sz w:val="22"/>
                </w:rPr>
                <m:t>i</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β</m:t>
              </m:r>
            </m:e>
            <m:sub>
              <m:r>
                <w:rPr>
                  <w:rFonts w:ascii="Cambria Math" w:hAnsi="Cambria Math" w:cs="Times New Roman"/>
                  <w:sz w:val="22"/>
                </w:rPr>
                <m:t>3</m:t>
              </m:r>
            </m:sub>
          </m:sSub>
          <m:sSub>
            <m:sSubPr>
              <m:ctrlPr>
                <w:rPr>
                  <w:rFonts w:ascii="Cambria Math" w:hAnsi="Cambria Math" w:cs="Times New Roman"/>
                  <w:i/>
                  <w:sz w:val="22"/>
                </w:rPr>
              </m:ctrlPr>
            </m:sSubPr>
            <m:e>
              <m:r>
                <w:rPr>
                  <w:rFonts w:ascii="Cambria Math" w:hAnsi="Cambria Math" w:cs="Times New Roman"/>
                  <w:sz w:val="22"/>
                </w:rPr>
                <m:t>(Dependence</m:t>
              </m:r>
            </m:e>
            <m:sub>
              <m:r>
                <w:rPr>
                  <w:rFonts w:ascii="Cambria Math" w:hAnsi="Cambria Math" w:cs="Times New Roman"/>
                  <w:sz w:val="22"/>
                </w:rPr>
                <m:t>i</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Environmental stress</m:t>
              </m:r>
            </m:e>
            <m:sub>
              <m:r>
                <w:rPr>
                  <w:rFonts w:ascii="Cambria Math" w:hAnsi="Cambria Math" w:cs="Times New Roman"/>
                  <w:sz w:val="22"/>
                </w:rPr>
                <m:t>i</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β</m:t>
              </m:r>
            </m:e>
            <m:sub>
              <m:r>
                <w:rPr>
                  <w:rFonts w:ascii="Cambria Math" w:hAnsi="Cambria Math" w:cs="Times New Roman"/>
                  <w:sz w:val="22"/>
                </w:rPr>
                <m:t>5</m:t>
              </m:r>
            </m:sub>
          </m:sSub>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i</m:t>
              </m:r>
            </m:sub>
          </m:sSub>
        </m:oMath>
      </m:oMathPara>
    </w:p>
    <w:p w14:paraId="39D61107" w14:textId="77777777" w:rsidR="009A7DAE" w:rsidRDefault="009A7DAE" w:rsidP="009A7DAE">
      <w:pPr>
        <w:spacing w:line="480" w:lineRule="auto"/>
        <w:rPr>
          <w:rFonts w:ascii="Times New Roman" w:hAnsi="Times New Roman" w:cs="Times New Roman"/>
          <w:sz w:val="22"/>
        </w:rPr>
      </w:pPr>
    </w:p>
    <w:p w14:paraId="0CD5E1B3" w14:textId="7878B642" w:rsidR="00502473" w:rsidRPr="00646ED7" w:rsidRDefault="00646ED7" w:rsidP="00862BE6">
      <w:pPr>
        <w:spacing w:line="480" w:lineRule="auto"/>
        <w:ind w:firstLine="720"/>
        <w:rPr>
          <w:rFonts w:ascii="Times New Roman" w:hAnsi="Times New Roman" w:cs="Times New Roman"/>
        </w:rPr>
      </w:pPr>
      <w:r w:rsidRPr="00646ED7">
        <w:rPr>
          <w:rFonts w:ascii="Times New Roman" w:hAnsi="Times New Roman" w:cs="Times New Roman"/>
        </w:rPr>
        <w:t xml:space="preserve">The </w:t>
      </w:r>
      <w:r w:rsidR="00951880" w:rsidRPr="005D0202">
        <w:rPr>
          <w:rFonts w:ascii="Times New Roman" w:hAnsi="Times New Roman" w:cs="Times New Roman"/>
          <w:i/>
        </w:rPr>
        <w:t>N</w:t>
      </w:r>
      <w:r w:rsidR="00501543" w:rsidRPr="005D0202">
        <w:rPr>
          <w:rFonts w:ascii="Times New Roman" w:hAnsi="Times New Roman" w:cs="Times New Roman"/>
          <w:i/>
        </w:rPr>
        <w:t xml:space="preserve">ational </w:t>
      </w:r>
      <w:r w:rsidR="00FC2874" w:rsidRPr="005D0202">
        <w:rPr>
          <w:rFonts w:ascii="Times New Roman" w:hAnsi="Times New Roman" w:cs="Times New Roman"/>
          <w:i/>
        </w:rPr>
        <w:t>t</w:t>
      </w:r>
      <w:r w:rsidR="00501543" w:rsidRPr="005D0202">
        <w:rPr>
          <w:rFonts w:ascii="Times New Roman" w:hAnsi="Times New Roman" w:cs="Times New Roman"/>
          <w:i/>
        </w:rPr>
        <w:t>ransposition</w:t>
      </w:r>
      <w:r w:rsidR="00501543" w:rsidRPr="00220D92">
        <w:rPr>
          <w:rFonts w:ascii="Times New Roman" w:hAnsi="Times New Roman" w:cs="Times New Roman"/>
        </w:rPr>
        <w:t xml:space="preserve"> variable</w:t>
      </w:r>
      <w:r w:rsidR="00501543">
        <w:rPr>
          <w:rFonts w:ascii="Times New Roman" w:hAnsi="Times New Roman" w:cs="Times New Roman"/>
        </w:rPr>
        <w:t xml:space="preserve"> indicates the number of </w:t>
      </w:r>
      <w:r w:rsidR="00CD2065">
        <w:rPr>
          <w:rFonts w:ascii="Times New Roman" w:hAnsi="Times New Roman" w:cs="Times New Roman"/>
        </w:rPr>
        <w:t xml:space="preserve">legal </w:t>
      </w:r>
      <w:r w:rsidR="00501543">
        <w:rPr>
          <w:rFonts w:ascii="Times New Roman" w:hAnsi="Times New Roman" w:cs="Times New Roman"/>
        </w:rPr>
        <w:t>measures a country adopted to implement the EU-ETS directive (2003/87/EC)</w:t>
      </w:r>
      <w:r w:rsidR="00CD2065">
        <w:rPr>
          <w:rFonts w:ascii="Times New Roman" w:hAnsi="Times New Roman" w:cs="Times New Roman"/>
        </w:rPr>
        <w:t xml:space="preserve"> at the country level</w:t>
      </w:r>
      <w:r w:rsidR="00501543">
        <w:rPr>
          <w:rFonts w:ascii="Times New Roman" w:hAnsi="Times New Roman" w:cs="Times New Roman"/>
        </w:rPr>
        <w:t xml:space="preserve">. </w:t>
      </w:r>
      <w:r w:rsidR="00CD2065">
        <w:rPr>
          <w:rFonts w:ascii="Times New Roman" w:hAnsi="Times New Roman" w:cs="Times New Roman"/>
        </w:rPr>
        <w:t xml:space="preserve">Since our carbon emissions data covers </w:t>
      </w:r>
      <w:r w:rsidR="00E90D30">
        <w:rPr>
          <w:rFonts w:ascii="Times New Roman" w:hAnsi="Times New Roman" w:cs="Times New Roman"/>
        </w:rPr>
        <w:t xml:space="preserve">the </w:t>
      </w:r>
      <w:r w:rsidR="00CD2065">
        <w:rPr>
          <w:rFonts w:ascii="Times New Roman" w:hAnsi="Times New Roman" w:cs="Times New Roman"/>
        </w:rPr>
        <w:t>2004-2009 period, we count the number of measures up to 2008. There are a few cases where a country implemented additional measures in 2009. Our regression results are very similar if we use the number of measures up to 2009</w:t>
      </w:r>
      <w:r w:rsidR="004C20D4">
        <w:rPr>
          <w:rFonts w:ascii="Times New Roman" w:hAnsi="Times New Roman" w:cs="Times New Roman"/>
        </w:rPr>
        <w:t xml:space="preserve"> instead</w:t>
      </w:r>
      <w:r w:rsidR="00CD2065">
        <w:rPr>
          <w:rFonts w:ascii="Times New Roman" w:hAnsi="Times New Roman" w:cs="Times New Roman"/>
        </w:rPr>
        <w:t xml:space="preserve">. </w:t>
      </w:r>
      <w:r w:rsidR="00502473" w:rsidRPr="00646ED7">
        <w:rPr>
          <w:rFonts w:ascii="Times New Roman" w:hAnsi="Times New Roman" w:cs="Times New Roman"/>
        </w:rPr>
        <w:t xml:space="preserve">Because </w:t>
      </w:r>
      <w:r w:rsidR="00502473" w:rsidRPr="00220D92">
        <w:rPr>
          <w:rFonts w:ascii="Times New Roman" w:hAnsi="Times New Roman" w:cs="Times New Roman"/>
        </w:rPr>
        <w:t xml:space="preserve">the </w:t>
      </w:r>
      <w:r w:rsidR="00E90D30" w:rsidRPr="005D0202">
        <w:rPr>
          <w:rFonts w:ascii="Times New Roman" w:hAnsi="Times New Roman" w:cs="Times New Roman"/>
          <w:i/>
        </w:rPr>
        <w:t>N</w:t>
      </w:r>
      <w:r w:rsidR="00502473" w:rsidRPr="005D0202">
        <w:rPr>
          <w:rFonts w:ascii="Times New Roman" w:hAnsi="Times New Roman" w:cs="Times New Roman"/>
          <w:i/>
        </w:rPr>
        <w:t xml:space="preserve">ational transposition </w:t>
      </w:r>
      <w:r w:rsidR="00502473" w:rsidRPr="00220D92">
        <w:rPr>
          <w:rFonts w:ascii="Times New Roman" w:hAnsi="Times New Roman" w:cs="Times New Roman"/>
        </w:rPr>
        <w:t>variable</w:t>
      </w:r>
      <w:r w:rsidR="00502473">
        <w:rPr>
          <w:rFonts w:ascii="Times New Roman" w:hAnsi="Times New Roman" w:cs="Times New Roman"/>
        </w:rPr>
        <w:t xml:space="preserve"> is a count variable, we use Poisson and </w:t>
      </w:r>
      <w:r w:rsidR="00B138A4">
        <w:rPr>
          <w:rFonts w:ascii="Times New Roman" w:hAnsi="Times New Roman" w:cs="Times New Roman"/>
        </w:rPr>
        <w:t>n</w:t>
      </w:r>
      <w:r w:rsidR="00502473">
        <w:rPr>
          <w:rFonts w:ascii="Times New Roman" w:hAnsi="Times New Roman" w:cs="Times New Roman"/>
        </w:rPr>
        <w:t xml:space="preserve">egative binomial models. </w:t>
      </w:r>
    </w:p>
    <w:p w14:paraId="0139B58C" w14:textId="49F50BC5" w:rsidR="00AB1F36" w:rsidRPr="00C6099B" w:rsidRDefault="005E4195" w:rsidP="00646ED7">
      <w:pPr>
        <w:spacing w:line="480" w:lineRule="auto"/>
        <w:rPr>
          <w:rFonts w:ascii="Times New Roman" w:hAnsi="Times New Roman" w:cs="Times New Roman"/>
        </w:rPr>
      </w:pPr>
      <w:r>
        <w:rPr>
          <w:rFonts w:ascii="Times New Roman" w:hAnsi="Times New Roman" w:cs="Times New Roman"/>
        </w:rPr>
        <w:tab/>
      </w:r>
      <w:r w:rsidR="005075E7" w:rsidRPr="00646ED7">
        <w:rPr>
          <w:rFonts w:ascii="Times New Roman" w:hAnsi="Times New Roman" w:cs="Times New Roman"/>
          <w:i/>
        </w:rPr>
        <w:t>X</w:t>
      </w:r>
      <w:r w:rsidR="005075E7" w:rsidRPr="00646ED7">
        <w:rPr>
          <w:rFonts w:ascii="Times New Roman" w:hAnsi="Times New Roman" w:cs="Times New Roman"/>
        </w:rPr>
        <w:t xml:space="preserve"> is a vector of country-year-level controls.</w:t>
      </w:r>
      <w:r w:rsidR="005075E7">
        <w:rPr>
          <w:rFonts w:ascii="Times New Roman" w:hAnsi="Times New Roman" w:cs="Times New Roman"/>
        </w:rPr>
        <w:t xml:space="preserve"> </w:t>
      </w:r>
      <w:r w:rsidR="004C20D4">
        <w:rPr>
          <w:rFonts w:ascii="Times New Roman" w:hAnsi="Times New Roman" w:cs="Times New Roman"/>
        </w:rPr>
        <w:t>Since our regression is cross-sectional, in the right</w:t>
      </w:r>
      <w:r w:rsidR="00E90D30">
        <w:rPr>
          <w:rFonts w:ascii="Times New Roman" w:hAnsi="Times New Roman" w:cs="Times New Roman"/>
        </w:rPr>
        <w:t>-</w:t>
      </w:r>
      <w:r w:rsidR="004C20D4">
        <w:rPr>
          <w:rFonts w:ascii="Times New Roman" w:hAnsi="Times New Roman" w:cs="Times New Roman"/>
        </w:rPr>
        <w:t>hand side o</w:t>
      </w:r>
      <w:r w:rsidR="00307A07">
        <w:rPr>
          <w:rFonts w:ascii="Times New Roman" w:hAnsi="Times New Roman" w:cs="Times New Roman"/>
        </w:rPr>
        <w:t>f the equation, we use 2004</w:t>
      </w:r>
      <w:r w:rsidR="004C20D4">
        <w:rPr>
          <w:rFonts w:ascii="Times New Roman" w:hAnsi="Times New Roman" w:cs="Times New Roman"/>
        </w:rPr>
        <w:t xml:space="preserve"> values to the extent possible.</w:t>
      </w:r>
      <w:r w:rsidR="005075E7">
        <w:rPr>
          <w:rFonts w:ascii="Times New Roman" w:hAnsi="Times New Roman" w:cs="Times New Roman"/>
        </w:rPr>
        <w:t xml:space="preserve"> The </w:t>
      </w:r>
      <w:r w:rsidR="005075E7" w:rsidRPr="005D0202">
        <w:rPr>
          <w:rFonts w:ascii="Times New Roman" w:hAnsi="Times New Roman" w:cs="Times New Roman"/>
          <w:i/>
        </w:rPr>
        <w:t>Environmental NGO pressure</w:t>
      </w:r>
      <w:r w:rsidR="005075E7">
        <w:rPr>
          <w:rFonts w:ascii="Times New Roman" w:hAnsi="Times New Roman" w:cs="Times New Roman"/>
        </w:rPr>
        <w:t xml:space="preserve"> variable and the </w:t>
      </w:r>
      <w:r w:rsidR="005075E7" w:rsidRPr="005D0202">
        <w:rPr>
          <w:rFonts w:ascii="Times New Roman" w:hAnsi="Times New Roman" w:cs="Times New Roman"/>
          <w:i/>
        </w:rPr>
        <w:t xml:space="preserve">Environmental stress </w:t>
      </w:r>
      <w:r w:rsidR="005075E7">
        <w:rPr>
          <w:rFonts w:ascii="Times New Roman" w:hAnsi="Times New Roman" w:cs="Times New Roman"/>
        </w:rPr>
        <w:t xml:space="preserve">variable are collected from 2005 Environmental Sustainability Index. </w:t>
      </w:r>
      <w:r w:rsidR="00307A07">
        <w:rPr>
          <w:rFonts w:ascii="Times New Roman" w:hAnsi="Times New Roman" w:cs="Times New Roman"/>
        </w:rPr>
        <w:t xml:space="preserve">The emissions cap </w:t>
      </w:r>
      <w:r w:rsidR="00502473">
        <w:rPr>
          <w:rFonts w:ascii="Times New Roman" w:hAnsi="Times New Roman" w:cs="Times New Roman"/>
        </w:rPr>
        <w:t xml:space="preserve">per GDP </w:t>
      </w:r>
      <w:r w:rsidR="00307A07">
        <w:rPr>
          <w:rFonts w:ascii="Times New Roman" w:hAnsi="Times New Roman" w:cs="Times New Roman"/>
        </w:rPr>
        <w:t xml:space="preserve">variable </w:t>
      </w:r>
      <w:r w:rsidR="00502473">
        <w:rPr>
          <w:rFonts w:ascii="Times New Roman" w:hAnsi="Times New Roman" w:cs="Times New Roman"/>
        </w:rPr>
        <w:t xml:space="preserve">makes use of the Phase I caps, which cover the period from 2005 to 2007. The regression results are very similar if we </w:t>
      </w:r>
      <w:r w:rsidR="00A871A1">
        <w:rPr>
          <w:rFonts w:ascii="Times New Roman" w:hAnsi="Times New Roman" w:cs="Times New Roman"/>
        </w:rPr>
        <w:t xml:space="preserve">use </w:t>
      </w:r>
      <w:r w:rsidR="00502473">
        <w:rPr>
          <w:rFonts w:ascii="Times New Roman" w:hAnsi="Times New Roman" w:cs="Times New Roman"/>
        </w:rPr>
        <w:t xml:space="preserve">the </w:t>
      </w:r>
      <w:r w:rsidR="00502473" w:rsidRPr="00A871A1">
        <w:rPr>
          <w:rFonts w:ascii="Times New Roman" w:hAnsi="Times New Roman" w:cs="Times New Roman"/>
        </w:rPr>
        <w:t xml:space="preserve">Phase II caps, which cover the period from 2008 to 2012, or the average of the Phase I and </w:t>
      </w:r>
      <w:r w:rsidR="00502473" w:rsidRPr="00C6099B">
        <w:rPr>
          <w:rFonts w:ascii="Times New Roman" w:hAnsi="Times New Roman" w:cs="Times New Roman"/>
        </w:rPr>
        <w:t xml:space="preserve">Phase II caps. </w:t>
      </w:r>
    </w:p>
    <w:p w14:paraId="2C71378B" w14:textId="3FA410A9" w:rsidR="00A871A1" w:rsidRPr="00C6099B" w:rsidRDefault="00A871A1" w:rsidP="00A871A1">
      <w:pPr>
        <w:spacing w:line="480" w:lineRule="auto"/>
        <w:ind w:firstLine="720"/>
        <w:rPr>
          <w:rFonts w:ascii="Times New Roman" w:hAnsi="Times New Roman" w:cs="Times New Roman"/>
        </w:rPr>
      </w:pPr>
      <w:r w:rsidRPr="00C6099B">
        <w:rPr>
          <w:rFonts w:ascii="Times New Roman" w:hAnsi="Times New Roman" w:cs="Times New Roman"/>
        </w:rPr>
        <w:t xml:space="preserve">H1 predicts that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Pr="00C6099B">
        <w:rPr>
          <w:rFonts w:ascii="Times New Roman" w:hAnsi="Times New Roman" w:cs="Times New Roman"/>
        </w:rPr>
        <w:t xml:space="preserve"> &gt;0, suggesting that as </w:t>
      </w:r>
      <w:r w:rsidR="00693DC5">
        <w:rPr>
          <w:rFonts w:ascii="Times New Roman" w:hAnsi="Times New Roman" w:cs="Times New Roman"/>
        </w:rPr>
        <w:t>an EU member</w:t>
      </w:r>
      <w:r w:rsidRPr="00C6099B">
        <w:rPr>
          <w:rFonts w:ascii="Times New Roman" w:hAnsi="Times New Roman" w:cs="Times New Roman"/>
        </w:rPr>
        <w:t xml:space="preserve"> country becomes more dependent on the EU for funding, </w:t>
      </w:r>
      <w:r w:rsidR="00ED7675">
        <w:rPr>
          <w:rFonts w:ascii="Times New Roman" w:hAnsi="Times New Roman" w:cs="Times New Roman"/>
        </w:rPr>
        <w:t xml:space="preserve">a </w:t>
      </w:r>
      <w:r w:rsidR="00693DC5">
        <w:rPr>
          <w:rFonts w:ascii="Times New Roman" w:hAnsi="Times New Roman" w:cs="Times New Roman"/>
        </w:rPr>
        <w:t>government agency</w:t>
      </w:r>
      <w:r w:rsidRPr="00C6099B">
        <w:rPr>
          <w:rFonts w:ascii="Times New Roman" w:hAnsi="Times New Roman" w:cs="Times New Roman"/>
        </w:rPr>
        <w:t xml:space="preserve"> will adopt a greater number of legal measures to implement the EU-ETS directive at the country level. H2 predicts that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oMath>
      <w:r w:rsidRPr="00C6099B">
        <w:rPr>
          <w:rFonts w:ascii="Times New Roman" w:eastAsiaTheme="minorEastAsia" w:hAnsi="Times New Roman" w:cs="Times New Roman"/>
        </w:rPr>
        <w:t xml:space="preserve"> &gt;0, as </w:t>
      </w:r>
      <w:r w:rsidRPr="00C6099B">
        <w:rPr>
          <w:rFonts w:ascii="Times New Roman" w:eastAsiaTheme="minorEastAsia" w:hAnsi="Times New Roman" w:cs="Times New Roman"/>
        </w:rPr>
        <w:lastRenderedPageBreak/>
        <w:t>e</w:t>
      </w:r>
      <w:r w:rsidRPr="00C6099B">
        <w:rPr>
          <w:rFonts w:ascii="Times New Roman" w:hAnsi="Times New Roman" w:cs="Times New Roman"/>
        </w:rPr>
        <w:t xml:space="preserve">nvironmental NGO pressure goes up, </w:t>
      </w:r>
      <w:r w:rsidR="00ED7675">
        <w:rPr>
          <w:rFonts w:ascii="Times New Roman" w:hAnsi="Times New Roman" w:cs="Times New Roman"/>
        </w:rPr>
        <w:t xml:space="preserve">a </w:t>
      </w:r>
      <w:r w:rsidR="00161DF7">
        <w:rPr>
          <w:rFonts w:ascii="Times New Roman" w:hAnsi="Times New Roman" w:cs="Times New Roman"/>
        </w:rPr>
        <w:t>government agency</w:t>
      </w:r>
      <w:r w:rsidR="00161DF7" w:rsidRPr="00C6099B">
        <w:rPr>
          <w:rFonts w:ascii="Times New Roman" w:hAnsi="Times New Roman" w:cs="Times New Roman"/>
        </w:rPr>
        <w:t xml:space="preserve"> will </w:t>
      </w:r>
      <w:r w:rsidRPr="00C6099B">
        <w:rPr>
          <w:rFonts w:ascii="Times New Roman" w:hAnsi="Times New Roman" w:cs="Times New Roman"/>
        </w:rPr>
        <w:t>adopt a greater number of legal measures to implement the EU-ETS directive. H3 predicts that</w:t>
      </w:r>
      <w:r w:rsidRPr="00C6099B">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oMath>
      <w:r w:rsidRPr="00C6099B">
        <w:rPr>
          <w:rFonts w:ascii="Times New Roman" w:eastAsiaTheme="minorEastAsia" w:hAnsi="Times New Roman" w:cs="Times New Roman"/>
        </w:rPr>
        <w:t xml:space="preserve"> &lt;0, as poor </w:t>
      </w:r>
      <w:r w:rsidR="00B66370" w:rsidRPr="00C6099B">
        <w:rPr>
          <w:rFonts w:ascii="Times New Roman" w:eastAsiaTheme="minorEastAsia" w:hAnsi="Times New Roman" w:cs="Times New Roman"/>
        </w:rPr>
        <w:t xml:space="preserve">overall </w:t>
      </w:r>
      <w:r w:rsidRPr="00C6099B">
        <w:rPr>
          <w:rFonts w:ascii="Times New Roman" w:eastAsiaTheme="minorEastAsia" w:hAnsi="Times New Roman" w:cs="Times New Roman"/>
        </w:rPr>
        <w:t xml:space="preserve">environmental quality of the country </w:t>
      </w:r>
      <w:r w:rsidR="00C1353B">
        <w:rPr>
          <w:rFonts w:ascii="Times New Roman" w:eastAsiaTheme="minorEastAsia" w:hAnsi="Times New Roman" w:cs="Times New Roman"/>
        </w:rPr>
        <w:t>is likely to</w:t>
      </w:r>
      <w:r w:rsidRPr="00C6099B">
        <w:rPr>
          <w:rFonts w:ascii="Times New Roman" w:eastAsiaTheme="minorEastAsia" w:hAnsi="Times New Roman" w:cs="Times New Roman"/>
        </w:rPr>
        <w:t xml:space="preserve"> indicate </w:t>
      </w:r>
      <w:r w:rsidR="00ED7675">
        <w:rPr>
          <w:rFonts w:ascii="Times New Roman" w:eastAsiaTheme="minorEastAsia" w:hAnsi="Times New Roman" w:cs="Times New Roman"/>
        </w:rPr>
        <w:t xml:space="preserve">a </w:t>
      </w:r>
      <w:r w:rsidR="00B66370" w:rsidRPr="00C6099B">
        <w:rPr>
          <w:rFonts w:ascii="Times New Roman" w:eastAsiaTheme="minorEastAsia" w:hAnsi="Times New Roman" w:cs="Times New Roman"/>
        </w:rPr>
        <w:t xml:space="preserve">lack of </w:t>
      </w:r>
      <w:r w:rsidR="00ED7675">
        <w:rPr>
          <w:rFonts w:ascii="Times New Roman" w:eastAsiaTheme="minorEastAsia" w:hAnsi="Times New Roman" w:cs="Times New Roman"/>
        </w:rPr>
        <w:t xml:space="preserve">a </w:t>
      </w:r>
      <w:r w:rsidR="00161DF7">
        <w:rPr>
          <w:rFonts w:ascii="Times New Roman" w:eastAsiaTheme="minorEastAsia" w:hAnsi="Times New Roman" w:cs="Times New Roman"/>
        </w:rPr>
        <w:t>government agency’s capacity</w:t>
      </w:r>
      <w:r w:rsidR="00B66370" w:rsidRPr="00C6099B">
        <w:rPr>
          <w:rFonts w:ascii="Times New Roman" w:eastAsiaTheme="minorEastAsia" w:hAnsi="Times New Roman" w:cs="Times New Roman"/>
        </w:rPr>
        <w:t xml:space="preserve"> to improve the environmental condition of the </w:t>
      </w:r>
      <w:r w:rsidRPr="00C6099B">
        <w:rPr>
          <w:rFonts w:ascii="Times New Roman" w:eastAsiaTheme="minorEastAsia" w:hAnsi="Times New Roman" w:cs="Times New Roman"/>
        </w:rPr>
        <w:t>country</w:t>
      </w:r>
      <w:r w:rsidR="00B66370" w:rsidRPr="00C6099B">
        <w:rPr>
          <w:rFonts w:ascii="Times New Roman" w:eastAsiaTheme="minorEastAsia" w:hAnsi="Times New Roman" w:cs="Times New Roman"/>
        </w:rPr>
        <w:t>.</w:t>
      </w:r>
      <w:r w:rsidRPr="00C6099B">
        <w:rPr>
          <w:rFonts w:ascii="Times New Roman" w:eastAsiaTheme="minorEastAsia" w:hAnsi="Times New Roman" w:cs="Times New Roman"/>
        </w:rPr>
        <w:t xml:space="preserve">  </w:t>
      </w:r>
    </w:p>
    <w:p w14:paraId="240CDC5F" w14:textId="14AAABF8" w:rsidR="007628F3" w:rsidRDefault="00C6099B" w:rsidP="00C6099B">
      <w:pPr>
        <w:spacing w:line="480" w:lineRule="auto"/>
        <w:ind w:firstLine="720"/>
        <w:outlineLvl w:val="0"/>
        <w:rPr>
          <w:rFonts w:ascii="Times New Roman" w:hAnsi="Times New Roman" w:cs="Times New Roman"/>
        </w:rPr>
      </w:pPr>
      <w:r w:rsidRPr="00646ED7">
        <w:rPr>
          <w:rFonts w:ascii="Times New Roman" w:hAnsi="Times New Roman" w:cs="Times New Roman"/>
        </w:rPr>
        <w:t xml:space="preserve">In the </w:t>
      </w:r>
      <w:r>
        <w:rPr>
          <w:rFonts w:ascii="Times New Roman" w:hAnsi="Times New Roman" w:cs="Times New Roman"/>
        </w:rPr>
        <w:t>second</w:t>
      </w:r>
      <w:r w:rsidRPr="00646ED7">
        <w:rPr>
          <w:rFonts w:ascii="Times New Roman" w:hAnsi="Times New Roman" w:cs="Times New Roman"/>
        </w:rPr>
        <w:t xml:space="preserve"> analysis, we predict </w:t>
      </w:r>
      <w:r w:rsidR="007628F3">
        <w:rPr>
          <w:rFonts w:ascii="Times New Roman" w:hAnsi="Times New Roman" w:cs="Times New Roman"/>
        </w:rPr>
        <w:t xml:space="preserve">changes in carbon emissions between 2004 and 2009 at the firm level. An increase in emissions during the period would show a positive change and a decrease in emissions would show a negative change. </w:t>
      </w:r>
    </w:p>
    <w:p w14:paraId="486675DD" w14:textId="7FF15742" w:rsidR="00C6099B" w:rsidRPr="00646ED7" w:rsidRDefault="007F3C48" w:rsidP="00C752EF">
      <w:pPr>
        <w:rPr>
          <w:rFonts w:ascii="Times New Roman" w:hAnsi="Times New Roman" w:cs="Times New Roman"/>
          <w:b/>
        </w:rPr>
      </w:pPr>
      <m:oMathPara>
        <m:oMath>
          <m:sSub>
            <m:sSubPr>
              <m:ctrlPr>
                <w:rPr>
                  <w:rFonts w:ascii="Cambria Math" w:hAnsi="Cambria Math" w:cs="Times New Roman"/>
                  <w:i/>
                  <w:sz w:val="22"/>
                </w:rPr>
              </m:ctrlPr>
            </m:sSubPr>
            <m:e>
              <m:r>
                <w:rPr>
                  <w:rFonts w:ascii="Cambria Math" w:hAnsi="Cambria Math" w:cs="Times New Roman"/>
                  <w:sz w:val="22"/>
                </w:rPr>
                <m:t>Changes in Carbon Emissions (2009 Emissions-2004 Emissions)</m:t>
              </m:r>
            </m:e>
            <m:sub>
              <m:r>
                <w:rPr>
                  <w:rFonts w:ascii="Cambria Math" w:hAnsi="Cambria Math" w:cs="Times New Roman"/>
                  <w:sz w:val="22"/>
                </w:rPr>
                <m:t>i</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β</m:t>
              </m:r>
            </m:e>
            <m:sub>
              <m:r>
                <w:rPr>
                  <w:rFonts w:ascii="Cambria Math" w:hAnsi="Cambria Math" w:cs="Times New Roman"/>
                  <w:sz w:val="22"/>
                </w:rPr>
                <m:t>1</m:t>
              </m:r>
            </m:sub>
          </m:sSub>
          <m:sSub>
            <m:sSubPr>
              <m:ctrlPr>
                <w:rPr>
                  <w:rFonts w:ascii="Cambria Math" w:hAnsi="Cambria Math" w:cs="Times New Roman"/>
                  <w:i/>
                  <w:sz w:val="22"/>
                </w:rPr>
              </m:ctrlPr>
            </m:sSubPr>
            <m:e>
              <m:r>
                <w:rPr>
                  <w:rFonts w:ascii="Cambria Math" w:hAnsi="Cambria Math" w:cs="Times New Roman"/>
                  <w:sz w:val="22"/>
                </w:rPr>
                <m:t>National Transposition</m:t>
              </m:r>
            </m:e>
            <m:sub>
              <m:r>
                <w:rPr>
                  <w:rFonts w:ascii="Cambria Math" w:hAnsi="Cambria Math" w:cs="Times New Roman"/>
                  <w:sz w:val="22"/>
                </w:rPr>
                <m:t>i</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β</m:t>
              </m:r>
            </m:e>
            <m:sub>
              <m:r>
                <w:rPr>
                  <w:rFonts w:ascii="Cambria Math" w:hAnsi="Cambria Math" w:cs="Times New Roman"/>
                  <w:sz w:val="22"/>
                </w:rPr>
                <m:t>2</m:t>
              </m:r>
            </m:sub>
          </m:sSub>
          <m:sSub>
            <m:sSubPr>
              <m:ctrlPr>
                <w:rPr>
                  <w:rFonts w:ascii="Cambria Math" w:hAnsi="Cambria Math" w:cs="Times New Roman"/>
                  <w:i/>
                  <w:sz w:val="22"/>
                </w:rPr>
              </m:ctrlPr>
            </m:sSubPr>
            <m:e>
              <m:r>
                <w:rPr>
                  <w:rFonts w:ascii="Cambria Math" w:hAnsi="Cambria Math" w:cs="Times New Roman"/>
                  <w:sz w:val="22"/>
                </w:rPr>
                <m:t>(Dependence</m:t>
              </m:r>
            </m:e>
            <m:sub>
              <m:r>
                <w:rPr>
                  <w:rFonts w:ascii="Cambria Math" w:hAnsi="Cambria Math" w:cs="Times New Roman"/>
                  <w:sz w:val="22"/>
                </w:rPr>
                <m:t>i</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Firm size</m:t>
              </m:r>
            </m:e>
            <m:sub>
              <m:r>
                <w:rPr>
                  <w:rFonts w:ascii="Cambria Math" w:hAnsi="Cambria Math" w:cs="Times New Roman"/>
                  <w:sz w:val="22"/>
                </w:rPr>
                <m:t>i</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β</m:t>
              </m:r>
            </m:e>
            <m:sub>
              <m:r>
                <w:rPr>
                  <w:rFonts w:ascii="Cambria Math" w:hAnsi="Cambria Math" w:cs="Times New Roman"/>
                  <w:sz w:val="22"/>
                </w:rPr>
                <m:t>3</m:t>
              </m:r>
            </m:sub>
          </m:sSub>
          <m:sSub>
            <m:sSubPr>
              <m:ctrlPr>
                <w:rPr>
                  <w:rFonts w:ascii="Cambria Math" w:hAnsi="Cambria Math" w:cs="Times New Roman"/>
                  <w:i/>
                  <w:sz w:val="22"/>
                </w:rPr>
              </m:ctrlPr>
            </m:sSubPr>
            <m:e>
              <m:r>
                <w:rPr>
                  <w:rFonts w:ascii="Cambria Math" w:hAnsi="Cambria Math" w:cs="Times New Roman"/>
                  <w:sz w:val="22"/>
                </w:rPr>
                <m:t>(Dependence</m:t>
              </m:r>
            </m:e>
            <m:sub>
              <m:r>
                <w:rPr>
                  <w:rFonts w:ascii="Cambria Math" w:hAnsi="Cambria Math" w:cs="Times New Roman"/>
                  <w:sz w:val="22"/>
                </w:rPr>
                <m:t>i</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Financial Resources</m:t>
              </m:r>
            </m:e>
            <m:sub>
              <m:r>
                <w:rPr>
                  <w:rFonts w:ascii="Cambria Math" w:hAnsi="Cambria Math" w:cs="Times New Roman"/>
                  <w:sz w:val="22"/>
                </w:rPr>
                <m:t>i</m:t>
              </m:r>
            </m:sub>
          </m:sSub>
          <m:r>
            <w:rPr>
              <w:rFonts w:ascii="Cambria Math" w:hAnsi="Cambria Math" w:cs="Times New Roman"/>
              <w:sz w:val="22"/>
            </w:rPr>
            <m:t xml:space="preserve">)+ </m:t>
          </m:r>
          <m:sSub>
            <m:sSubPr>
              <m:ctrlPr>
                <w:rPr>
                  <w:rFonts w:ascii="Cambria Math" w:hAnsi="Cambria Math" w:cs="Times New Roman"/>
                  <w:i/>
                  <w:sz w:val="22"/>
                </w:rPr>
              </m:ctrlPr>
            </m:sSubPr>
            <m:e>
              <m:r>
                <w:rPr>
                  <w:rFonts w:ascii="Cambria Math" w:hAnsi="Cambria Math" w:cs="Times New Roman"/>
                  <w:sz w:val="22"/>
                </w:rPr>
                <m:t>β</m:t>
              </m:r>
            </m:e>
            <m:sub>
              <m:r>
                <w:rPr>
                  <w:rFonts w:ascii="Cambria Math" w:hAnsi="Cambria Math" w:cs="Times New Roman"/>
                  <w:sz w:val="22"/>
                </w:rPr>
                <m:t>5</m:t>
              </m:r>
            </m:sub>
          </m:sSub>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i</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β</m:t>
              </m:r>
            </m:e>
            <m:sub>
              <m:r>
                <w:rPr>
                  <w:rFonts w:ascii="Cambria Math" w:hAnsi="Cambria Math" w:cs="Times New Roman"/>
                  <w:sz w:val="22"/>
                </w:rPr>
                <m:t>6</m:t>
              </m:r>
            </m:sub>
          </m:sSub>
          <m:sSub>
            <m:sSubPr>
              <m:ctrlPr>
                <w:rPr>
                  <w:rFonts w:ascii="Cambria Math" w:hAnsi="Cambria Math" w:cs="Times New Roman"/>
                  <w:i/>
                  <w:sz w:val="22"/>
                </w:rPr>
              </m:ctrlPr>
            </m:sSubPr>
            <m:e>
              <m:r>
                <w:rPr>
                  <w:rFonts w:ascii="Cambria Math" w:hAnsi="Cambria Math" w:cs="Times New Roman"/>
                  <w:sz w:val="22"/>
                </w:rPr>
                <m:t>Z</m:t>
              </m:r>
            </m:e>
            <m:sub>
              <m:r>
                <w:rPr>
                  <w:rFonts w:ascii="Cambria Math" w:hAnsi="Cambria Math" w:cs="Times New Roman"/>
                  <w:sz w:val="22"/>
                </w:rPr>
                <m:t>i</m:t>
              </m:r>
            </m:sub>
          </m:sSub>
        </m:oMath>
      </m:oMathPara>
    </w:p>
    <w:p w14:paraId="0571EE31" w14:textId="77777777" w:rsidR="00646ED7" w:rsidRDefault="00646ED7" w:rsidP="00646ED7">
      <w:pPr>
        <w:spacing w:line="480" w:lineRule="auto"/>
        <w:rPr>
          <w:rFonts w:ascii="Times New Roman" w:hAnsi="Times New Roman" w:cs="Times New Roman"/>
          <w:sz w:val="22"/>
        </w:rPr>
      </w:pPr>
    </w:p>
    <w:p w14:paraId="1E58A2A4" w14:textId="73590ADD" w:rsidR="00B41568" w:rsidRPr="00106D67" w:rsidRDefault="00B66370" w:rsidP="00862BE6">
      <w:pPr>
        <w:spacing w:line="480" w:lineRule="auto"/>
        <w:ind w:firstLine="720"/>
        <w:rPr>
          <w:rFonts w:ascii="Times New Roman" w:hAnsi="Times New Roman" w:cs="Times New Roman"/>
        </w:rPr>
      </w:pPr>
      <w:r w:rsidRPr="005719D5">
        <w:rPr>
          <w:rFonts w:ascii="Times New Roman" w:hAnsi="Times New Roman" w:cs="Times New Roman"/>
          <w:i/>
        </w:rPr>
        <w:t>X</w:t>
      </w:r>
      <w:r w:rsidRPr="005719D5">
        <w:rPr>
          <w:rFonts w:ascii="Times New Roman" w:hAnsi="Times New Roman" w:cs="Times New Roman"/>
        </w:rPr>
        <w:t xml:space="preserve"> is a vector of firm-year-level controls, and </w:t>
      </w:r>
      <w:r w:rsidRPr="005719D5">
        <w:rPr>
          <w:rFonts w:ascii="Times New Roman" w:hAnsi="Times New Roman" w:cs="Times New Roman"/>
          <w:i/>
        </w:rPr>
        <w:t>Z</w:t>
      </w:r>
      <w:r w:rsidRPr="005719D5">
        <w:rPr>
          <w:rFonts w:ascii="Times New Roman" w:hAnsi="Times New Roman" w:cs="Times New Roman"/>
        </w:rPr>
        <w:t xml:space="preserve"> is a vector of country-year-level controls. </w:t>
      </w:r>
      <w:r w:rsidR="00B41568">
        <w:rPr>
          <w:rFonts w:ascii="Times New Roman" w:hAnsi="Times New Roman" w:cs="Times New Roman"/>
        </w:rPr>
        <w:t>Since our regression is cross-sectional,</w:t>
      </w:r>
      <w:r w:rsidR="005E01BE">
        <w:rPr>
          <w:rFonts w:ascii="Times New Roman" w:hAnsi="Times New Roman" w:cs="Times New Roman"/>
        </w:rPr>
        <w:t xml:space="preserve"> </w:t>
      </w:r>
      <w:r w:rsidR="00106D67">
        <w:rPr>
          <w:rFonts w:ascii="Times New Roman" w:hAnsi="Times New Roman" w:cs="Times New Roman"/>
        </w:rPr>
        <w:t>in the right</w:t>
      </w:r>
      <w:r w:rsidR="00ED7675">
        <w:rPr>
          <w:rFonts w:ascii="Times New Roman" w:hAnsi="Times New Roman" w:cs="Times New Roman"/>
        </w:rPr>
        <w:t>-</w:t>
      </w:r>
      <w:r w:rsidR="00106D67">
        <w:rPr>
          <w:rFonts w:ascii="Times New Roman" w:hAnsi="Times New Roman" w:cs="Times New Roman"/>
        </w:rPr>
        <w:t xml:space="preserve">hand side of the equation, </w:t>
      </w:r>
      <w:r w:rsidR="00B41568">
        <w:rPr>
          <w:rFonts w:ascii="Times New Roman" w:hAnsi="Times New Roman" w:cs="Times New Roman"/>
        </w:rPr>
        <w:t>we use 2004</w:t>
      </w:r>
      <w:r w:rsidR="005E01BE">
        <w:rPr>
          <w:rFonts w:ascii="Times New Roman" w:hAnsi="Times New Roman" w:cs="Times New Roman"/>
        </w:rPr>
        <w:t xml:space="preserve"> values to the extent possible</w:t>
      </w:r>
      <w:r w:rsidR="00106D67">
        <w:rPr>
          <w:rFonts w:ascii="Times New Roman" w:hAnsi="Times New Roman" w:cs="Times New Roman"/>
        </w:rPr>
        <w:t xml:space="preserve"> as in the country</w:t>
      </w:r>
      <w:r w:rsidR="00ED7675">
        <w:rPr>
          <w:rFonts w:ascii="Times New Roman" w:hAnsi="Times New Roman" w:cs="Times New Roman"/>
        </w:rPr>
        <w:t>-</w:t>
      </w:r>
      <w:r w:rsidR="00106D67">
        <w:rPr>
          <w:rFonts w:ascii="Times New Roman" w:hAnsi="Times New Roman" w:cs="Times New Roman"/>
        </w:rPr>
        <w:t>level analysis</w:t>
      </w:r>
      <w:r w:rsidR="005E01BE">
        <w:rPr>
          <w:rFonts w:ascii="Times New Roman" w:hAnsi="Times New Roman" w:cs="Times New Roman"/>
        </w:rPr>
        <w:t xml:space="preserve">. </w:t>
      </w:r>
      <w:r w:rsidR="00106D67">
        <w:rPr>
          <w:rFonts w:ascii="Times New Roman" w:hAnsi="Times New Roman" w:cs="Times New Roman"/>
        </w:rPr>
        <w:t xml:space="preserve">All firm-level variables are in terms of their 2004 values. </w:t>
      </w:r>
      <w:r w:rsidR="005E01BE" w:rsidRPr="005719D5">
        <w:rPr>
          <w:rFonts w:ascii="Times New Roman" w:hAnsi="Times New Roman" w:cs="Times New Roman"/>
        </w:rPr>
        <w:t xml:space="preserve">We employ robust standard errors clustered at the country level to account for non-independence across observations within the same country. </w:t>
      </w:r>
    </w:p>
    <w:p w14:paraId="1D065569" w14:textId="7C00B22D" w:rsidR="00873534" w:rsidRDefault="00B66370" w:rsidP="00C717FB">
      <w:pPr>
        <w:spacing w:line="480" w:lineRule="auto"/>
        <w:ind w:firstLine="720"/>
        <w:rPr>
          <w:rFonts w:ascii="Times New Roman" w:hAnsi="Times New Roman" w:cs="Times New Roman"/>
        </w:rPr>
      </w:pPr>
      <w:r w:rsidRPr="00106D67">
        <w:rPr>
          <w:rFonts w:ascii="Times New Roman" w:hAnsi="Times New Roman" w:cs="Times New Roman"/>
        </w:rPr>
        <w:t>H</w:t>
      </w:r>
      <w:r w:rsidR="001319B0">
        <w:rPr>
          <w:rFonts w:ascii="Times New Roman" w:hAnsi="Times New Roman" w:cs="Times New Roman"/>
        </w:rPr>
        <w:t>4</w:t>
      </w:r>
      <w:r w:rsidRPr="00106D67">
        <w:rPr>
          <w:rFonts w:ascii="Times New Roman" w:hAnsi="Times New Roman" w:cs="Times New Roman"/>
        </w:rPr>
        <w:t xml:space="preserve"> predicts that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oMath>
      <w:r w:rsidRPr="00106D67">
        <w:rPr>
          <w:rFonts w:ascii="Times New Roman" w:hAnsi="Times New Roman" w:cs="Times New Roman"/>
        </w:rPr>
        <w:t xml:space="preserve"> &lt;0, sugg</w:t>
      </w:r>
      <w:r w:rsidR="00106D67">
        <w:rPr>
          <w:rFonts w:ascii="Times New Roman" w:hAnsi="Times New Roman" w:cs="Times New Roman"/>
        </w:rPr>
        <w:t xml:space="preserve">esting that as </w:t>
      </w:r>
      <w:r w:rsidR="00ED7675">
        <w:rPr>
          <w:rFonts w:ascii="Times New Roman" w:hAnsi="Times New Roman" w:cs="Times New Roman"/>
        </w:rPr>
        <w:t xml:space="preserve">a </w:t>
      </w:r>
      <w:r w:rsidR="00C2006C">
        <w:rPr>
          <w:rFonts w:ascii="Times New Roman" w:eastAsiaTheme="minorEastAsia" w:hAnsi="Times New Roman" w:cs="Times New Roman"/>
        </w:rPr>
        <w:t>government agency</w:t>
      </w:r>
      <w:r w:rsidR="00C2006C">
        <w:rPr>
          <w:rFonts w:ascii="Times New Roman" w:hAnsi="Times New Roman" w:cs="Times New Roman"/>
        </w:rPr>
        <w:t xml:space="preserve"> </w:t>
      </w:r>
      <w:r w:rsidR="00106D67">
        <w:rPr>
          <w:rFonts w:ascii="Times New Roman" w:hAnsi="Times New Roman" w:cs="Times New Roman"/>
        </w:rPr>
        <w:t>adopts more legal measures to implement the EU-ETS directive</w:t>
      </w:r>
      <w:r w:rsidRPr="00106D67">
        <w:rPr>
          <w:rFonts w:ascii="Times New Roman" w:hAnsi="Times New Roman" w:cs="Times New Roman"/>
        </w:rPr>
        <w:t xml:space="preserve">, firms within the country will emit less </w:t>
      </w:r>
      <w:r w:rsidR="00106D67">
        <w:rPr>
          <w:rFonts w:ascii="Times New Roman" w:hAnsi="Times New Roman" w:cs="Times New Roman"/>
        </w:rPr>
        <w:t>carbon emissions.</w:t>
      </w:r>
      <w:r w:rsidRPr="00106D67">
        <w:rPr>
          <w:rFonts w:ascii="Times New Roman" w:hAnsi="Times New Roman" w:cs="Times New Roman"/>
        </w:rPr>
        <w:t xml:space="preserve"> </w:t>
      </w:r>
    </w:p>
    <w:p w14:paraId="3CDB5EE2" w14:textId="77777777" w:rsidR="00C717FB" w:rsidRDefault="00536599" w:rsidP="001319B0">
      <w:pPr>
        <w:pStyle w:val="NormalWeb"/>
        <w:tabs>
          <w:tab w:val="left" w:pos="720"/>
        </w:tabs>
        <w:spacing w:before="0" w:beforeAutospacing="0" w:after="0" w:afterAutospacing="0" w:line="480" w:lineRule="auto"/>
        <w:outlineLvl w:val="0"/>
      </w:pPr>
      <w:r>
        <w:tab/>
      </w:r>
      <w:r w:rsidR="001319B0" w:rsidRPr="003B3AEE">
        <w:t>Table 1 displays the summary statistics</w:t>
      </w:r>
      <w:r w:rsidR="00A91915">
        <w:t xml:space="preserve"> and correlations</w:t>
      </w:r>
      <w:r w:rsidR="001319B0" w:rsidRPr="003B3AEE">
        <w:t xml:space="preserve"> for our variables. </w:t>
      </w:r>
    </w:p>
    <w:p w14:paraId="14F907B6" w14:textId="77777777" w:rsidR="00C717FB" w:rsidRPr="003B3AEE" w:rsidRDefault="00C717FB" w:rsidP="00C717FB">
      <w:pPr>
        <w:spacing w:line="480" w:lineRule="auto"/>
        <w:jc w:val="center"/>
        <w:rPr>
          <w:rFonts w:ascii="Times New Roman" w:hAnsi="Times New Roman" w:cs="Times New Roman"/>
        </w:rPr>
      </w:pPr>
      <w:r>
        <w:rPr>
          <w:rFonts w:ascii="Times New Roman" w:hAnsi="Times New Roman" w:cs="Times New Roman"/>
        </w:rPr>
        <w:t>[Table 1 about here</w:t>
      </w:r>
      <w:r w:rsidRPr="003B3AEE">
        <w:rPr>
          <w:rFonts w:ascii="Times New Roman" w:hAnsi="Times New Roman" w:cs="Times New Roman"/>
        </w:rPr>
        <w:t>]</w:t>
      </w:r>
    </w:p>
    <w:p w14:paraId="3336C1DA" w14:textId="63BCB243" w:rsidR="00D42BAE" w:rsidRDefault="00C717FB" w:rsidP="001319B0">
      <w:pPr>
        <w:pStyle w:val="NormalWeb"/>
        <w:tabs>
          <w:tab w:val="left" w:pos="720"/>
        </w:tabs>
        <w:spacing w:before="0" w:beforeAutospacing="0" w:after="0" w:afterAutospacing="0" w:line="480" w:lineRule="auto"/>
        <w:outlineLvl w:val="0"/>
      </w:pPr>
      <w:r>
        <w:tab/>
      </w:r>
      <w:r w:rsidR="00A91915">
        <w:t xml:space="preserve">The first and second panels </w:t>
      </w:r>
      <w:r w:rsidR="007307DB">
        <w:t>are based on</w:t>
      </w:r>
      <w:r w:rsidR="00A91915">
        <w:t xml:space="preserve"> country-level</w:t>
      </w:r>
      <w:r w:rsidR="007307DB">
        <w:t xml:space="preserve"> observations and the third panel is based on firm-level observations. </w:t>
      </w:r>
      <w:r w:rsidR="00ED7675">
        <w:t>The</w:t>
      </w:r>
      <w:r w:rsidR="00536599">
        <w:t xml:space="preserve"> average number of legal measures a country has taken to implement the EU directive (2003/87/EC) was about 6 with a standard deviation of 4.8. </w:t>
      </w:r>
      <w:r w:rsidR="00ED7675">
        <w:t>The</w:t>
      </w:r>
      <w:r w:rsidR="009C3DD4">
        <w:t xml:space="preserve"> average </w:t>
      </w:r>
      <w:r w:rsidR="0046748B">
        <w:t xml:space="preserve">EU member country received </w:t>
      </w:r>
      <w:r w:rsidR="00343424">
        <w:t xml:space="preserve">a net support of </w:t>
      </w:r>
      <w:r w:rsidR="00AA3B06">
        <w:t>376</w:t>
      </w:r>
      <w:r w:rsidR="006135E0">
        <w:t xml:space="preserve"> million </w:t>
      </w:r>
      <w:r w:rsidR="000B2C32">
        <w:t>from the EU in 2004</w:t>
      </w:r>
      <w:r w:rsidR="00ED7675">
        <w:t>,</w:t>
      </w:r>
      <w:r w:rsidR="000B2C32">
        <w:t xml:space="preserve"> and the </w:t>
      </w:r>
      <w:r w:rsidR="000B2C32">
        <w:lastRenderedPageBreak/>
        <w:t xml:space="preserve">standard deviation is 2.8 </w:t>
      </w:r>
      <w:r w:rsidR="00AA3B06">
        <w:t>billion</w:t>
      </w:r>
      <w:r w:rsidR="000B2C32">
        <w:t xml:space="preserve">. </w:t>
      </w:r>
      <w:r w:rsidR="00343424">
        <w:t xml:space="preserve">EU </w:t>
      </w:r>
      <w:r w:rsidR="00873534">
        <w:t>support</w:t>
      </w:r>
      <w:r w:rsidR="00343424">
        <w:t xml:space="preserve"> in the </w:t>
      </w:r>
      <w:r w:rsidR="00873534">
        <w:t>m</w:t>
      </w:r>
      <w:r w:rsidR="00343424">
        <w:t xml:space="preserve">ember </w:t>
      </w:r>
      <w:r w:rsidR="00873534">
        <w:t>countries</w:t>
      </w:r>
      <w:r w:rsidR="00343424">
        <w:t xml:space="preserve"> is earmarked for different purposes, and an average country received 2 billion dollars for sustainable growth.</w:t>
      </w:r>
      <w:r w:rsidR="0065338A">
        <w:t xml:space="preserve"> On average, emissions cap over GDP is 402 m</w:t>
      </w:r>
      <w:r w:rsidR="005930CB">
        <w:t xml:space="preserve">illion metric </w:t>
      </w:r>
      <w:proofErr w:type="spellStart"/>
      <w:r w:rsidR="005930CB">
        <w:t>tonne</w:t>
      </w:r>
      <w:r w:rsidR="0065338A">
        <w:t>s</w:t>
      </w:r>
      <w:proofErr w:type="spellEnd"/>
      <w:r w:rsidR="00A4154A">
        <w:t xml:space="preserve"> per</w:t>
      </w:r>
      <w:r w:rsidR="005930CB">
        <w:t xml:space="preserve"> trillion </w:t>
      </w:r>
      <w:r w:rsidR="0065338A">
        <w:t xml:space="preserve">GDP in </w:t>
      </w:r>
      <w:r w:rsidR="005930CB">
        <w:t>US dollars</w:t>
      </w:r>
      <w:r w:rsidR="0065338A">
        <w:t>.</w:t>
      </w:r>
      <w:r w:rsidR="005930CB">
        <w:t xml:space="preserve"> </w:t>
      </w:r>
      <w:r w:rsidR="00ED7675">
        <w:t>The</w:t>
      </w:r>
      <w:r w:rsidR="00142193">
        <w:t xml:space="preserve"> average EU member country signed up for 25 international environmental treaties.</w:t>
      </w:r>
      <w:r w:rsidR="00ED7675">
        <w:t xml:space="preserve"> The</w:t>
      </w:r>
      <w:r w:rsidR="00142193">
        <w:t xml:space="preserve"> average </w:t>
      </w:r>
      <w:r w:rsidR="00153125">
        <w:t xml:space="preserve">population growth rate is 0.2% and GDP per capita is 16,288 US dollars. </w:t>
      </w:r>
      <w:r w:rsidR="00CE0520">
        <w:t>An EU member country</w:t>
      </w:r>
      <w:r w:rsidR="00AD05A4">
        <w:t>’</w:t>
      </w:r>
      <w:r w:rsidR="00ED7675">
        <w:t>s</w:t>
      </w:r>
      <w:r w:rsidR="00AD05A4">
        <w:t xml:space="preserve"> average export to </w:t>
      </w:r>
      <w:r w:rsidR="00CE0520">
        <w:t xml:space="preserve">the rest of the </w:t>
      </w:r>
      <w:r w:rsidR="00AD05A4">
        <w:t xml:space="preserve">EU </w:t>
      </w:r>
      <w:r w:rsidR="00603595">
        <w:t xml:space="preserve">countries is 88 billion Euros. </w:t>
      </w:r>
      <w:r w:rsidR="00ED7675">
        <w:t>The</w:t>
      </w:r>
      <w:r w:rsidR="00603595">
        <w:t xml:space="preserve"> average number of </w:t>
      </w:r>
      <w:r w:rsidR="00B221C2">
        <w:t>e</w:t>
      </w:r>
      <w:r w:rsidR="00603595">
        <w:t>nvironmental NGOs (</w:t>
      </w:r>
      <w:r w:rsidR="00603595" w:rsidRPr="00603595">
        <w:t>IUCN member organizations</w:t>
      </w:r>
      <w:r w:rsidR="00603595">
        <w:t>)</w:t>
      </w:r>
      <w:r w:rsidR="00603595" w:rsidRPr="00603595">
        <w:t xml:space="preserve"> per million population</w:t>
      </w:r>
      <w:r w:rsidR="00603595">
        <w:t xml:space="preserve"> is 0.8. </w:t>
      </w:r>
      <w:r w:rsidR="00996AE0">
        <w:t xml:space="preserve">The </w:t>
      </w:r>
      <w:r w:rsidR="00316858">
        <w:t>E</w:t>
      </w:r>
      <w:r w:rsidR="00996AE0">
        <w:t xml:space="preserve">nvironmental stress variable ranges from 0 to 100, and the average value is 43. </w:t>
      </w:r>
      <w:r w:rsidR="00316858">
        <w:t>The d</w:t>
      </w:r>
      <w:r w:rsidR="00996AE0">
        <w:t xml:space="preserve">emocracy index varies from -10 to 10 </w:t>
      </w:r>
      <w:r w:rsidR="00D8739A">
        <w:t>(most democratic)</w:t>
      </w:r>
      <w:r w:rsidR="00996AE0">
        <w:t xml:space="preserve"> </w:t>
      </w:r>
      <w:r w:rsidR="00D8739A">
        <w:t xml:space="preserve">and </w:t>
      </w:r>
      <w:r w:rsidR="00996AE0">
        <w:t xml:space="preserve">shows </w:t>
      </w:r>
      <w:r w:rsidR="00316858">
        <w:t>an</w:t>
      </w:r>
      <w:r w:rsidR="00996AE0">
        <w:t xml:space="preserve"> average value of 9.6 </w:t>
      </w:r>
      <w:r w:rsidR="00D8739A">
        <w:t>with a standard deviation of 0.9.</w:t>
      </w:r>
    </w:p>
    <w:p w14:paraId="7A57CE19" w14:textId="590FAA0D" w:rsidR="00251E23" w:rsidRDefault="004702FF" w:rsidP="003C7D42">
      <w:pPr>
        <w:pStyle w:val="NormalWeb"/>
        <w:tabs>
          <w:tab w:val="left" w:pos="720"/>
        </w:tabs>
        <w:spacing w:before="0" w:beforeAutospacing="0" w:after="0" w:afterAutospacing="0" w:line="480" w:lineRule="auto"/>
        <w:outlineLvl w:val="0"/>
      </w:pPr>
      <w:r>
        <w:tab/>
      </w:r>
      <w:r w:rsidR="00130C77">
        <w:t xml:space="preserve">The third panel shows additional firm-level variables. </w:t>
      </w:r>
      <w:r w:rsidR="00F00C02">
        <w:t xml:space="preserve">Firms on average reduced </w:t>
      </w:r>
      <w:r w:rsidR="00316858">
        <w:t xml:space="preserve">carbon emissions by </w:t>
      </w:r>
      <w:r w:rsidR="00F00C02">
        <w:t xml:space="preserve">22,800 tons between 2004 and 2009. </w:t>
      </w:r>
      <w:r w:rsidR="00130C77">
        <w:t>An</w:t>
      </w:r>
      <w:r w:rsidR="001319B0" w:rsidRPr="003B3AEE">
        <w:t xml:space="preserve"> average firm generated about </w:t>
      </w:r>
      <w:r w:rsidR="00C61567">
        <w:t>27,722</w:t>
      </w:r>
      <w:r w:rsidR="001319B0" w:rsidRPr="003B3AEE">
        <w:t xml:space="preserve"> =(</w:t>
      </w:r>
      <w:proofErr w:type="spellStart"/>
      <w:r w:rsidR="001319B0" w:rsidRPr="003B3AEE">
        <w:t>exp</w:t>
      </w:r>
      <w:proofErr w:type="spellEnd"/>
      <w:r w:rsidR="001319B0" w:rsidRPr="003B3AEE">
        <w:t>(</w:t>
      </w:r>
      <w:r w:rsidR="00C61567">
        <w:t>10.23</w:t>
      </w:r>
      <w:r w:rsidR="001319B0" w:rsidRPr="003B3AEE">
        <w:t>)) megawatt</w:t>
      </w:r>
      <w:r w:rsidR="00130C77">
        <w:t xml:space="preserve"> hours of electricity per year, and </w:t>
      </w:r>
      <w:r w:rsidR="00BC3D0E">
        <w:t>emitted</w:t>
      </w:r>
      <w:r w:rsidR="00130C77">
        <w:t xml:space="preserve"> </w:t>
      </w:r>
      <w:r w:rsidR="00BC3D0E">
        <w:t>615</w:t>
      </w:r>
      <w:r w:rsidR="00BC3D0E" w:rsidRPr="003B3AEE">
        <w:t xml:space="preserve"> tons</w:t>
      </w:r>
      <w:r w:rsidR="00BC3D0E">
        <w:t xml:space="preserve"> of carbon emissions</w:t>
      </w:r>
      <w:r w:rsidR="00BC3D0E" w:rsidRPr="003B3AEE">
        <w:t xml:space="preserve"> per thousand megawatt hours generated.</w:t>
      </w:r>
      <w:r w:rsidR="00BC3D0E">
        <w:t xml:space="preserve"> F</w:t>
      </w:r>
      <w:r w:rsidR="001319B0" w:rsidRPr="003B3AEE">
        <w:t xml:space="preserve">irms </w:t>
      </w:r>
      <w:r w:rsidR="00710244">
        <w:t xml:space="preserve">mostly used </w:t>
      </w:r>
      <w:r w:rsidR="00710244" w:rsidRPr="003B3AEE">
        <w:t>fossil fuel</w:t>
      </w:r>
      <w:r w:rsidR="00710244">
        <w:t xml:space="preserve"> </w:t>
      </w:r>
      <w:r w:rsidR="00754496">
        <w:t>(</w:t>
      </w:r>
      <w:r w:rsidR="00BC3D0E">
        <w:t>around 90%</w:t>
      </w:r>
      <w:r w:rsidR="00754496">
        <w:t>)</w:t>
      </w:r>
      <w:r w:rsidR="00BC3D0E">
        <w:t xml:space="preserve"> </w:t>
      </w:r>
      <w:r w:rsidR="001319B0" w:rsidRPr="003B3AEE">
        <w:t xml:space="preserve">to generate electricity. </w:t>
      </w:r>
      <w:r w:rsidR="00BC3D0E" w:rsidRPr="003B3AEE">
        <w:t>Most firms operate</w:t>
      </w:r>
      <w:r w:rsidR="00316858">
        <w:t>d</w:t>
      </w:r>
      <w:r w:rsidR="00BC3D0E" w:rsidRPr="003B3AEE">
        <w:t xml:space="preserve"> in a competit</w:t>
      </w:r>
      <w:r w:rsidR="00E427F3">
        <w:t xml:space="preserve">ive environment with an average HHI </w:t>
      </w:r>
      <w:r w:rsidR="00BC3D0E" w:rsidRPr="003B3AEE">
        <w:t>(HHI divided by 10,000) of 0.0</w:t>
      </w:r>
      <w:r w:rsidR="00BC3D0E">
        <w:t>5</w:t>
      </w:r>
      <w:r w:rsidR="00BC3D0E" w:rsidRPr="003B3AEE">
        <w:t>.</w:t>
      </w:r>
      <w:r w:rsidR="00BC3D0E">
        <w:t xml:space="preserve"> The average return on total assets was 4.4%</w:t>
      </w:r>
      <w:r w:rsidR="00316858">
        <w:t>,</w:t>
      </w:r>
      <w:r w:rsidR="00BC3D0E">
        <w:t xml:space="preserve"> and the average cash flow was </w:t>
      </w:r>
      <w:r w:rsidR="00F86E20">
        <w:t xml:space="preserve">194 million dollars. </w:t>
      </w:r>
      <w:r w:rsidR="00873534">
        <w:t>As shown, m</w:t>
      </w:r>
      <w:r w:rsidR="002904F4" w:rsidRPr="003B3AEE">
        <w:t>ost correlations are</w:t>
      </w:r>
      <w:r w:rsidR="00873534">
        <w:t xml:space="preserve"> relatively</w:t>
      </w:r>
      <w:r w:rsidR="002904F4" w:rsidRPr="003B3AEE">
        <w:t xml:space="preserve"> low</w:t>
      </w:r>
      <w:r w:rsidR="002904F4">
        <w:t>.</w:t>
      </w:r>
    </w:p>
    <w:p w14:paraId="6B152C34" w14:textId="77777777" w:rsidR="0013029E" w:rsidRPr="0013029E" w:rsidRDefault="0013029E" w:rsidP="0013029E">
      <w:pPr>
        <w:spacing w:line="480" w:lineRule="auto"/>
        <w:jc w:val="center"/>
        <w:outlineLvl w:val="0"/>
        <w:rPr>
          <w:rFonts w:ascii="Times New Roman" w:hAnsi="Times New Roman" w:cs="Times New Roman"/>
          <w:b/>
          <w:sz w:val="22"/>
        </w:rPr>
      </w:pPr>
    </w:p>
    <w:p w14:paraId="264DC320" w14:textId="77777777" w:rsidR="0013029E" w:rsidRPr="00A04EB1" w:rsidRDefault="0013029E" w:rsidP="0013029E">
      <w:pPr>
        <w:spacing w:line="480" w:lineRule="auto"/>
        <w:jc w:val="center"/>
        <w:outlineLvl w:val="0"/>
        <w:rPr>
          <w:rFonts w:ascii="Times New Roman" w:hAnsi="Times New Roman" w:cs="Times New Roman"/>
          <w:b/>
        </w:rPr>
      </w:pPr>
      <w:r w:rsidRPr="00A04EB1">
        <w:rPr>
          <w:rFonts w:ascii="Times New Roman" w:hAnsi="Times New Roman" w:cs="Times New Roman"/>
          <w:b/>
        </w:rPr>
        <w:t>Results</w:t>
      </w:r>
    </w:p>
    <w:p w14:paraId="0D8B5644" w14:textId="69382820" w:rsidR="00282171" w:rsidRDefault="00282171" w:rsidP="00046BD2">
      <w:pPr>
        <w:spacing w:line="480" w:lineRule="auto"/>
        <w:rPr>
          <w:rFonts w:ascii="Times New Roman" w:hAnsi="Times New Roman" w:cs="Times New Roman"/>
        </w:rPr>
      </w:pPr>
      <w:r w:rsidRPr="00A04EB1">
        <w:rPr>
          <w:rFonts w:ascii="Times New Roman" w:hAnsi="Times New Roman" w:cs="Times New Roman"/>
        </w:rPr>
        <w:t xml:space="preserve">The regression results </w:t>
      </w:r>
      <w:r w:rsidR="008F0C1E" w:rsidRPr="00A04EB1">
        <w:rPr>
          <w:rFonts w:ascii="Times New Roman" w:hAnsi="Times New Roman" w:cs="Times New Roman"/>
        </w:rPr>
        <w:t xml:space="preserve">of the first analysis predicting </w:t>
      </w:r>
      <w:r w:rsidR="008F0C1E" w:rsidRPr="00A04EB1">
        <w:rPr>
          <w:rFonts w:ascii="Times New Roman" w:hAnsi="Times New Roman" w:cs="Times New Roman"/>
          <w:i/>
        </w:rPr>
        <w:t>National</w:t>
      </w:r>
      <w:r w:rsidR="008F0C1E" w:rsidRPr="008F0C1E">
        <w:rPr>
          <w:rFonts w:ascii="Times New Roman" w:hAnsi="Times New Roman" w:cs="Times New Roman"/>
          <w:i/>
        </w:rPr>
        <w:t xml:space="preserve"> transpositions</w:t>
      </w:r>
      <w:r w:rsidR="008F0C1E">
        <w:rPr>
          <w:rFonts w:ascii="Times New Roman" w:hAnsi="Times New Roman" w:cs="Times New Roman"/>
        </w:rPr>
        <w:t xml:space="preserve"> as a function of </w:t>
      </w:r>
      <w:r w:rsidR="008F0C1E" w:rsidRPr="008F0C1E">
        <w:rPr>
          <w:rFonts w:ascii="Times New Roman" w:hAnsi="Times New Roman" w:cs="Times New Roman"/>
          <w:i/>
        </w:rPr>
        <w:t>Dependence</w:t>
      </w:r>
      <w:r w:rsidR="008F0C1E">
        <w:rPr>
          <w:rFonts w:ascii="Times New Roman" w:hAnsi="Times New Roman" w:cs="Times New Roman"/>
        </w:rPr>
        <w:t xml:space="preserve"> are shown in Table </w:t>
      </w:r>
      <w:r w:rsidR="00A04EB1">
        <w:rPr>
          <w:rFonts w:ascii="Times New Roman" w:hAnsi="Times New Roman" w:cs="Times New Roman"/>
        </w:rPr>
        <w:t>2</w:t>
      </w:r>
      <w:r w:rsidR="008F0C1E">
        <w:rPr>
          <w:rFonts w:ascii="Times New Roman" w:hAnsi="Times New Roman" w:cs="Times New Roman"/>
        </w:rPr>
        <w:t xml:space="preserve">. </w:t>
      </w:r>
    </w:p>
    <w:p w14:paraId="5F05041E" w14:textId="4E02C4FD" w:rsidR="00A04EB1" w:rsidRPr="003B3AEE" w:rsidRDefault="00A04EB1" w:rsidP="00A04EB1">
      <w:pPr>
        <w:spacing w:line="480" w:lineRule="auto"/>
        <w:jc w:val="center"/>
        <w:rPr>
          <w:rFonts w:ascii="Times New Roman" w:hAnsi="Times New Roman" w:cs="Times New Roman"/>
        </w:rPr>
      </w:pPr>
      <w:r>
        <w:rPr>
          <w:rFonts w:ascii="Times New Roman" w:hAnsi="Times New Roman" w:cs="Times New Roman"/>
        </w:rPr>
        <w:t>[Table 2 about here</w:t>
      </w:r>
      <w:r w:rsidRPr="003B3AEE">
        <w:rPr>
          <w:rFonts w:ascii="Times New Roman" w:hAnsi="Times New Roman" w:cs="Times New Roman"/>
        </w:rPr>
        <w:t>]</w:t>
      </w:r>
    </w:p>
    <w:p w14:paraId="205E2481" w14:textId="61EA8432" w:rsidR="00F26F67" w:rsidRDefault="00A04EB1" w:rsidP="003D4FE8">
      <w:pPr>
        <w:spacing w:line="480" w:lineRule="auto"/>
        <w:rPr>
          <w:rFonts w:ascii="Times New Roman" w:hAnsi="Times New Roman" w:cs="Times New Roman"/>
        </w:rPr>
      </w:pPr>
      <w:r>
        <w:rPr>
          <w:rFonts w:ascii="Times New Roman" w:hAnsi="Times New Roman" w:cs="Times New Roman"/>
        </w:rPr>
        <w:tab/>
        <w:t xml:space="preserve">The first five columns show the results using Poisson models and the next five columns show the results using </w:t>
      </w:r>
      <w:r w:rsidR="003C2D6A">
        <w:rPr>
          <w:rFonts w:ascii="Times New Roman" w:hAnsi="Times New Roman" w:cs="Times New Roman"/>
        </w:rPr>
        <w:t>n</w:t>
      </w:r>
      <w:r>
        <w:rPr>
          <w:rFonts w:ascii="Times New Roman" w:hAnsi="Times New Roman" w:cs="Times New Roman"/>
        </w:rPr>
        <w:t xml:space="preserve">egative binomial models. </w:t>
      </w:r>
      <w:r w:rsidR="00AD7A23">
        <w:rPr>
          <w:rFonts w:ascii="Times New Roman" w:hAnsi="Times New Roman" w:cs="Times New Roman"/>
        </w:rPr>
        <w:t xml:space="preserve">As </w:t>
      </w:r>
      <w:r w:rsidR="003D4FE8">
        <w:rPr>
          <w:rFonts w:ascii="Times New Roman" w:hAnsi="Times New Roman" w:cs="Times New Roman"/>
        </w:rPr>
        <w:t xml:space="preserve">shown, </w:t>
      </w:r>
      <w:r w:rsidR="00AD7A23" w:rsidRPr="009F24C5">
        <w:rPr>
          <w:rFonts w:ascii="Times New Roman" w:hAnsi="Times New Roman" w:cs="Times New Roman"/>
        </w:rPr>
        <w:t xml:space="preserve">the </w:t>
      </w:r>
      <w:r w:rsidR="00AD7A23" w:rsidRPr="009F24C5">
        <w:rPr>
          <w:rFonts w:ascii="Times New Roman" w:hAnsi="Times New Roman" w:cs="Times New Roman"/>
          <w:i/>
        </w:rPr>
        <w:t xml:space="preserve">Dependence </w:t>
      </w:r>
      <w:r w:rsidR="00AD7A23" w:rsidRPr="009F24C5">
        <w:rPr>
          <w:rFonts w:ascii="Times New Roman" w:hAnsi="Times New Roman" w:cs="Times New Roman"/>
        </w:rPr>
        <w:t xml:space="preserve">variable </w:t>
      </w:r>
      <w:r w:rsidR="00A961FA">
        <w:rPr>
          <w:rFonts w:ascii="Times New Roman" w:hAnsi="Times New Roman" w:cs="Times New Roman"/>
        </w:rPr>
        <w:t xml:space="preserve">shows a </w:t>
      </w:r>
      <w:r w:rsidR="00A961FA">
        <w:rPr>
          <w:rFonts w:ascii="Times New Roman" w:hAnsi="Times New Roman" w:cs="Times New Roman"/>
        </w:rPr>
        <w:lastRenderedPageBreak/>
        <w:t xml:space="preserve">significant and negative relationship </w:t>
      </w:r>
      <w:r w:rsidR="00AD7A23" w:rsidRPr="009F24C5">
        <w:rPr>
          <w:rFonts w:ascii="Times New Roman" w:hAnsi="Times New Roman" w:cs="Times New Roman"/>
        </w:rPr>
        <w:t xml:space="preserve">with </w:t>
      </w:r>
      <w:r w:rsidR="003C2D6A" w:rsidRPr="005D0202">
        <w:rPr>
          <w:rFonts w:ascii="Times New Roman" w:hAnsi="Times New Roman" w:cs="Times New Roman"/>
          <w:i/>
        </w:rPr>
        <w:t>N</w:t>
      </w:r>
      <w:r w:rsidR="003D4FE8" w:rsidRPr="005D0202">
        <w:rPr>
          <w:rFonts w:ascii="Times New Roman" w:hAnsi="Times New Roman" w:cs="Times New Roman"/>
          <w:i/>
        </w:rPr>
        <w:t>ational transpositions</w:t>
      </w:r>
      <w:r w:rsidR="00A961FA">
        <w:rPr>
          <w:rFonts w:ascii="Times New Roman" w:hAnsi="Times New Roman" w:cs="Times New Roman"/>
        </w:rPr>
        <w:t>, suggesting that a</w:t>
      </w:r>
      <w:r w:rsidR="003D4FE8">
        <w:rPr>
          <w:rFonts w:ascii="Times New Roman" w:hAnsi="Times New Roman" w:cs="Times New Roman"/>
        </w:rPr>
        <w:t>s</w:t>
      </w:r>
      <w:r w:rsidR="00AD7A23" w:rsidRPr="009F24C5">
        <w:rPr>
          <w:rFonts w:ascii="Times New Roman" w:hAnsi="Times New Roman" w:cs="Times New Roman"/>
        </w:rPr>
        <w:t xml:space="preserve"> </w:t>
      </w:r>
      <w:r w:rsidR="00A961FA">
        <w:rPr>
          <w:rFonts w:ascii="Times New Roman" w:hAnsi="Times New Roman" w:cs="Times New Roman"/>
        </w:rPr>
        <w:t>a</w:t>
      </w:r>
      <w:r w:rsidR="00210D18">
        <w:rPr>
          <w:rFonts w:ascii="Times New Roman" w:hAnsi="Times New Roman" w:cs="Times New Roman"/>
        </w:rPr>
        <w:t>n</w:t>
      </w:r>
      <w:r w:rsidR="00A961FA">
        <w:rPr>
          <w:rFonts w:ascii="Times New Roman" w:hAnsi="Times New Roman" w:cs="Times New Roman"/>
        </w:rPr>
        <w:t xml:space="preserve"> </w:t>
      </w:r>
      <w:r w:rsidR="00AD7A23" w:rsidRPr="009F24C5">
        <w:rPr>
          <w:rFonts w:ascii="Times New Roman" w:hAnsi="Times New Roman" w:cs="Times New Roman"/>
        </w:rPr>
        <w:t xml:space="preserve">EU </w:t>
      </w:r>
      <w:r w:rsidR="00A961FA">
        <w:rPr>
          <w:rFonts w:ascii="Times New Roman" w:hAnsi="Times New Roman" w:cs="Times New Roman"/>
        </w:rPr>
        <w:t>member country</w:t>
      </w:r>
      <w:r w:rsidR="003D4FE8">
        <w:rPr>
          <w:rFonts w:ascii="Times New Roman" w:hAnsi="Times New Roman" w:cs="Times New Roman"/>
        </w:rPr>
        <w:t xml:space="preserve"> </w:t>
      </w:r>
      <w:r w:rsidR="00AD7A23" w:rsidRPr="009F24C5">
        <w:rPr>
          <w:rFonts w:ascii="Times New Roman" w:hAnsi="Times New Roman" w:cs="Times New Roman"/>
        </w:rPr>
        <w:t xml:space="preserve">became more dependent on the EU for funding, </w:t>
      </w:r>
      <w:r w:rsidR="003C2D6A">
        <w:rPr>
          <w:rFonts w:ascii="Times New Roman" w:hAnsi="Times New Roman" w:cs="Times New Roman"/>
        </w:rPr>
        <w:t xml:space="preserve">its </w:t>
      </w:r>
      <w:r w:rsidR="00210D18">
        <w:rPr>
          <w:rFonts w:ascii="Times New Roman" w:hAnsi="Times New Roman" w:cs="Times New Roman"/>
        </w:rPr>
        <w:t>government agency</w:t>
      </w:r>
      <w:r w:rsidR="003D4FE8">
        <w:rPr>
          <w:rFonts w:ascii="Times New Roman" w:hAnsi="Times New Roman" w:cs="Times New Roman"/>
        </w:rPr>
        <w:t xml:space="preserve"> </w:t>
      </w:r>
      <w:r w:rsidR="00F26F67">
        <w:rPr>
          <w:rFonts w:ascii="Times New Roman" w:hAnsi="Times New Roman" w:cs="Times New Roman"/>
        </w:rPr>
        <w:t xml:space="preserve">implemented a greater </w:t>
      </w:r>
      <w:r w:rsidR="00A961FA">
        <w:rPr>
          <w:rFonts w:ascii="Times New Roman" w:hAnsi="Times New Roman" w:cs="Times New Roman"/>
        </w:rPr>
        <w:t>number of measures t</w:t>
      </w:r>
      <w:r w:rsidR="00A72741">
        <w:rPr>
          <w:rFonts w:ascii="Times New Roman" w:hAnsi="Times New Roman" w:cs="Times New Roman"/>
        </w:rPr>
        <w:t>o implement the EU directive.</w:t>
      </w:r>
      <w:r w:rsidR="006730DD">
        <w:rPr>
          <w:rFonts w:ascii="Times New Roman" w:hAnsi="Times New Roman" w:cs="Times New Roman"/>
        </w:rPr>
        <w:t xml:space="preserve"> This provides support for our H1.</w:t>
      </w:r>
      <w:r w:rsidR="00A72741">
        <w:rPr>
          <w:rFonts w:ascii="Times New Roman" w:hAnsi="Times New Roman" w:cs="Times New Roman"/>
        </w:rPr>
        <w:t xml:space="preserve"> </w:t>
      </w:r>
      <w:r w:rsidR="00F90997">
        <w:rPr>
          <w:rFonts w:ascii="Times New Roman" w:hAnsi="Times New Roman" w:cs="Times New Roman"/>
        </w:rPr>
        <w:t>For every one</w:t>
      </w:r>
      <w:r w:rsidR="003C2D6A">
        <w:rPr>
          <w:rFonts w:ascii="Times New Roman" w:hAnsi="Times New Roman" w:cs="Times New Roman"/>
        </w:rPr>
        <w:t>-</w:t>
      </w:r>
      <w:r w:rsidR="00F90997">
        <w:rPr>
          <w:rFonts w:ascii="Times New Roman" w:hAnsi="Times New Roman" w:cs="Times New Roman"/>
        </w:rPr>
        <w:t>hundred</w:t>
      </w:r>
      <w:r w:rsidR="003C2D6A">
        <w:rPr>
          <w:rFonts w:ascii="Times New Roman" w:hAnsi="Times New Roman" w:cs="Times New Roman"/>
        </w:rPr>
        <w:t>-</w:t>
      </w:r>
      <w:r w:rsidR="00F90997">
        <w:rPr>
          <w:rFonts w:ascii="Times New Roman" w:hAnsi="Times New Roman" w:cs="Times New Roman"/>
        </w:rPr>
        <w:t>million</w:t>
      </w:r>
      <w:r w:rsidR="00F90997" w:rsidRPr="009F24C5">
        <w:rPr>
          <w:rFonts w:ascii="Times New Roman" w:hAnsi="Times New Roman" w:cs="Times New Roman"/>
        </w:rPr>
        <w:t xml:space="preserve">-dollar increase in net funding from </w:t>
      </w:r>
      <w:r w:rsidR="00F90997">
        <w:rPr>
          <w:rFonts w:ascii="Times New Roman" w:hAnsi="Times New Roman" w:cs="Times New Roman"/>
        </w:rPr>
        <w:t>the EU</w:t>
      </w:r>
      <w:r w:rsidR="00F90997" w:rsidRPr="009F24C5">
        <w:rPr>
          <w:rFonts w:ascii="Times New Roman" w:hAnsi="Times New Roman" w:cs="Times New Roman"/>
        </w:rPr>
        <w:t>,</w:t>
      </w:r>
      <w:r w:rsidR="00F90997">
        <w:rPr>
          <w:rFonts w:ascii="Times New Roman" w:hAnsi="Times New Roman" w:cs="Times New Roman"/>
        </w:rPr>
        <w:t xml:space="preserve"> the country adopted two more measures related to the implementation of the EU directive. Given that the average value of </w:t>
      </w:r>
      <w:r w:rsidR="00210D18" w:rsidRPr="00210D18">
        <w:rPr>
          <w:rFonts w:ascii="Times New Roman" w:hAnsi="Times New Roman" w:cs="Times New Roman"/>
          <w:i/>
        </w:rPr>
        <w:t>National transposition</w:t>
      </w:r>
      <w:r w:rsidR="00F90997">
        <w:rPr>
          <w:rFonts w:ascii="Times New Roman" w:hAnsi="Times New Roman" w:cs="Times New Roman"/>
        </w:rPr>
        <w:t xml:space="preserve"> is 4 </w:t>
      </w:r>
      <w:r w:rsidR="005B2EA1">
        <w:rPr>
          <w:rFonts w:ascii="Times New Roman" w:hAnsi="Times New Roman" w:cs="Times New Roman"/>
        </w:rPr>
        <w:t xml:space="preserve">with a standard deviation of 4, and </w:t>
      </w:r>
      <w:r w:rsidR="00B221C2">
        <w:rPr>
          <w:rFonts w:ascii="Times New Roman" w:hAnsi="Times New Roman" w:cs="Times New Roman"/>
        </w:rPr>
        <w:t xml:space="preserve">the average value of </w:t>
      </w:r>
      <w:r w:rsidR="00210D18" w:rsidRPr="00210D18">
        <w:rPr>
          <w:rFonts w:ascii="Times New Roman" w:hAnsi="Times New Roman" w:cs="Times New Roman"/>
          <w:i/>
        </w:rPr>
        <w:t>Dependence</w:t>
      </w:r>
      <w:r w:rsidR="005B2EA1">
        <w:rPr>
          <w:rFonts w:ascii="Times New Roman" w:hAnsi="Times New Roman" w:cs="Times New Roman"/>
        </w:rPr>
        <w:t xml:space="preserve"> is 376 million, this is a </w:t>
      </w:r>
      <w:r w:rsidR="000E518D">
        <w:rPr>
          <w:rFonts w:ascii="Times New Roman" w:hAnsi="Times New Roman" w:cs="Times New Roman"/>
        </w:rPr>
        <w:t xml:space="preserve">significant impact. </w:t>
      </w:r>
    </w:p>
    <w:p w14:paraId="087FCD24" w14:textId="77C5EC25" w:rsidR="00700DA3" w:rsidRDefault="000E518D" w:rsidP="000E518D">
      <w:pPr>
        <w:spacing w:line="480" w:lineRule="auto"/>
        <w:ind w:firstLine="720"/>
        <w:rPr>
          <w:rFonts w:ascii="Times New Roman" w:hAnsi="Times New Roman" w:cs="Times New Roman"/>
        </w:rPr>
      </w:pPr>
      <w:r w:rsidRPr="009F24C5">
        <w:rPr>
          <w:rFonts w:ascii="Times New Roman" w:hAnsi="Times New Roman" w:cs="Times New Roman"/>
        </w:rPr>
        <w:t>The impact of the control variables is</w:t>
      </w:r>
      <w:r w:rsidR="00321290">
        <w:rPr>
          <w:rFonts w:ascii="Times New Roman" w:hAnsi="Times New Roman" w:cs="Times New Roman"/>
        </w:rPr>
        <w:t xml:space="preserve"> mostly</w:t>
      </w:r>
      <w:r w:rsidRPr="009F24C5">
        <w:rPr>
          <w:rFonts w:ascii="Times New Roman" w:hAnsi="Times New Roman" w:cs="Times New Roman"/>
        </w:rPr>
        <w:t xml:space="preserve"> as expected. </w:t>
      </w:r>
      <w:r w:rsidR="00321290">
        <w:rPr>
          <w:rFonts w:ascii="Times New Roman" w:hAnsi="Times New Roman" w:cs="Times New Roman"/>
        </w:rPr>
        <w:t xml:space="preserve">For example, </w:t>
      </w:r>
      <w:r w:rsidR="00BA553B">
        <w:rPr>
          <w:rFonts w:ascii="Times New Roman" w:hAnsi="Times New Roman" w:cs="Times New Roman"/>
        </w:rPr>
        <w:t xml:space="preserve">a </w:t>
      </w:r>
      <w:r w:rsidR="00321290">
        <w:rPr>
          <w:rFonts w:ascii="Times New Roman" w:hAnsi="Times New Roman" w:cs="Times New Roman"/>
        </w:rPr>
        <w:t xml:space="preserve">higher emissions cap at the country level </w:t>
      </w:r>
      <w:r w:rsidR="00EF7E89">
        <w:rPr>
          <w:rFonts w:ascii="Times New Roman" w:hAnsi="Times New Roman" w:cs="Times New Roman"/>
        </w:rPr>
        <w:t xml:space="preserve">(i.e., larger emissions allowed at the country level) </w:t>
      </w:r>
      <w:r w:rsidR="00BA553B">
        <w:rPr>
          <w:rFonts w:ascii="Times New Roman" w:hAnsi="Times New Roman" w:cs="Times New Roman"/>
        </w:rPr>
        <w:t>l</w:t>
      </w:r>
      <w:r w:rsidR="008D74F2">
        <w:rPr>
          <w:rFonts w:ascii="Times New Roman" w:hAnsi="Times New Roman" w:cs="Times New Roman"/>
        </w:rPr>
        <w:t xml:space="preserve">ed </w:t>
      </w:r>
      <w:r w:rsidR="003C2D6A">
        <w:rPr>
          <w:rFonts w:ascii="Times New Roman" w:hAnsi="Times New Roman" w:cs="Times New Roman"/>
        </w:rPr>
        <w:t xml:space="preserve">a </w:t>
      </w:r>
      <w:r w:rsidR="008D74F2">
        <w:rPr>
          <w:rFonts w:ascii="Times New Roman" w:hAnsi="Times New Roman" w:cs="Times New Roman"/>
        </w:rPr>
        <w:t xml:space="preserve">government agency to adopt </w:t>
      </w:r>
      <w:r w:rsidR="00BA553B">
        <w:rPr>
          <w:rFonts w:ascii="Times New Roman" w:hAnsi="Times New Roman" w:cs="Times New Roman"/>
        </w:rPr>
        <w:t xml:space="preserve">a lesser number of measures to implement the EU ETS directive. </w:t>
      </w:r>
      <w:r w:rsidR="00E23657">
        <w:rPr>
          <w:rFonts w:ascii="Times New Roman" w:hAnsi="Times New Roman" w:cs="Times New Roman"/>
        </w:rPr>
        <w:t>The</w:t>
      </w:r>
      <w:r w:rsidR="00476F10">
        <w:rPr>
          <w:rFonts w:ascii="Times New Roman" w:hAnsi="Times New Roman" w:cs="Times New Roman"/>
        </w:rPr>
        <w:t xml:space="preserve"> greater the number of international environmental treaties a country signed up for, the greater the number</w:t>
      </w:r>
      <w:r w:rsidR="00E23657">
        <w:rPr>
          <w:rFonts w:ascii="Times New Roman" w:hAnsi="Times New Roman" w:cs="Times New Roman"/>
        </w:rPr>
        <w:t xml:space="preserve"> of implementation measures in the country. High population growth is likely to </w:t>
      </w:r>
      <w:r w:rsidR="00C61BF1">
        <w:rPr>
          <w:rFonts w:ascii="Times New Roman" w:hAnsi="Times New Roman" w:cs="Times New Roman"/>
        </w:rPr>
        <w:t>raise</w:t>
      </w:r>
      <w:r w:rsidR="00E23657">
        <w:rPr>
          <w:rFonts w:ascii="Times New Roman" w:hAnsi="Times New Roman" w:cs="Times New Roman"/>
        </w:rPr>
        <w:t xml:space="preserve"> energy consumption</w:t>
      </w:r>
      <w:r w:rsidR="00BB16F8">
        <w:rPr>
          <w:rFonts w:ascii="Times New Roman" w:hAnsi="Times New Roman" w:cs="Times New Roman"/>
        </w:rPr>
        <w:t xml:space="preserve"> and carbon emissions</w:t>
      </w:r>
      <w:r w:rsidR="00E23657">
        <w:rPr>
          <w:rFonts w:ascii="Times New Roman" w:hAnsi="Times New Roman" w:cs="Times New Roman"/>
        </w:rPr>
        <w:t xml:space="preserve">, and thus </w:t>
      </w:r>
      <w:r w:rsidR="00A766BF">
        <w:rPr>
          <w:rFonts w:ascii="Times New Roman" w:hAnsi="Times New Roman" w:cs="Times New Roman"/>
        </w:rPr>
        <w:t xml:space="preserve">in </w:t>
      </w:r>
      <w:r w:rsidR="00BB16F8">
        <w:rPr>
          <w:rFonts w:ascii="Times New Roman" w:hAnsi="Times New Roman" w:cs="Times New Roman"/>
        </w:rPr>
        <w:t>a country</w:t>
      </w:r>
      <w:r w:rsidR="00C61BF1">
        <w:rPr>
          <w:rFonts w:ascii="Times New Roman" w:hAnsi="Times New Roman" w:cs="Times New Roman"/>
        </w:rPr>
        <w:t xml:space="preserve"> with high population growth</w:t>
      </w:r>
      <w:r w:rsidR="00A766BF">
        <w:rPr>
          <w:rFonts w:ascii="Times New Roman" w:hAnsi="Times New Roman" w:cs="Times New Roman"/>
        </w:rPr>
        <w:t xml:space="preserve">, </w:t>
      </w:r>
      <w:r w:rsidR="003C2D6A">
        <w:rPr>
          <w:rFonts w:ascii="Times New Roman" w:hAnsi="Times New Roman" w:cs="Times New Roman"/>
        </w:rPr>
        <w:t xml:space="preserve">a </w:t>
      </w:r>
      <w:r w:rsidR="00A766BF">
        <w:rPr>
          <w:rFonts w:ascii="Times New Roman" w:hAnsi="Times New Roman" w:cs="Times New Roman"/>
        </w:rPr>
        <w:t>government agency</w:t>
      </w:r>
      <w:r w:rsidR="00C61BF1">
        <w:rPr>
          <w:rFonts w:ascii="Times New Roman" w:hAnsi="Times New Roman" w:cs="Times New Roman"/>
        </w:rPr>
        <w:t xml:space="preserve"> adopt</w:t>
      </w:r>
      <w:r w:rsidR="00A766BF">
        <w:rPr>
          <w:rFonts w:ascii="Times New Roman" w:hAnsi="Times New Roman" w:cs="Times New Roman"/>
        </w:rPr>
        <w:t>ed</w:t>
      </w:r>
      <w:r w:rsidR="00C61BF1">
        <w:rPr>
          <w:rFonts w:ascii="Times New Roman" w:hAnsi="Times New Roman" w:cs="Times New Roman"/>
        </w:rPr>
        <w:t xml:space="preserve"> a lesser number of measures. A more afflue</w:t>
      </w:r>
      <w:r w:rsidR="00991E45">
        <w:rPr>
          <w:rFonts w:ascii="Times New Roman" w:hAnsi="Times New Roman" w:cs="Times New Roman"/>
        </w:rPr>
        <w:t xml:space="preserve">nt country </w:t>
      </w:r>
      <w:r w:rsidR="00A766BF">
        <w:rPr>
          <w:rFonts w:ascii="Times New Roman" w:hAnsi="Times New Roman" w:cs="Times New Roman"/>
        </w:rPr>
        <w:t>might</w:t>
      </w:r>
      <w:r w:rsidR="00991E45">
        <w:rPr>
          <w:rFonts w:ascii="Times New Roman" w:hAnsi="Times New Roman" w:cs="Times New Roman"/>
        </w:rPr>
        <w:t xml:space="preserve"> </w:t>
      </w:r>
      <w:r w:rsidR="00A766BF">
        <w:rPr>
          <w:rFonts w:ascii="Times New Roman" w:hAnsi="Times New Roman" w:cs="Times New Roman"/>
        </w:rPr>
        <w:t xml:space="preserve">have been </w:t>
      </w:r>
      <w:r w:rsidR="00991E45">
        <w:rPr>
          <w:rFonts w:ascii="Times New Roman" w:hAnsi="Times New Roman" w:cs="Times New Roman"/>
        </w:rPr>
        <w:t>able to take</w:t>
      </w:r>
      <w:r w:rsidR="005E1056">
        <w:rPr>
          <w:rFonts w:ascii="Times New Roman" w:hAnsi="Times New Roman" w:cs="Times New Roman"/>
        </w:rPr>
        <w:t xml:space="preserve"> up</w:t>
      </w:r>
      <w:r w:rsidR="00991E45">
        <w:rPr>
          <w:rFonts w:ascii="Times New Roman" w:hAnsi="Times New Roman" w:cs="Times New Roman"/>
        </w:rPr>
        <w:t xml:space="preserve"> a greater number of implementation measures. Greater exports to EU countries</w:t>
      </w:r>
      <w:r w:rsidR="00A766BF">
        <w:rPr>
          <w:rFonts w:ascii="Times New Roman" w:hAnsi="Times New Roman" w:cs="Times New Roman"/>
        </w:rPr>
        <w:t xml:space="preserve"> generally</w:t>
      </w:r>
      <w:r w:rsidR="00991E45">
        <w:rPr>
          <w:rFonts w:ascii="Times New Roman" w:hAnsi="Times New Roman" w:cs="Times New Roman"/>
        </w:rPr>
        <w:t xml:space="preserve"> </w:t>
      </w:r>
      <w:r w:rsidR="005E1056">
        <w:rPr>
          <w:rFonts w:ascii="Times New Roman" w:hAnsi="Times New Roman" w:cs="Times New Roman"/>
        </w:rPr>
        <w:t xml:space="preserve">imply greater </w:t>
      </w:r>
      <w:r w:rsidR="00A766BF">
        <w:rPr>
          <w:rFonts w:ascii="Times New Roman" w:hAnsi="Times New Roman" w:cs="Times New Roman"/>
        </w:rPr>
        <w:t xml:space="preserve">resource </w:t>
      </w:r>
      <w:r w:rsidR="005E1056">
        <w:rPr>
          <w:rFonts w:ascii="Times New Roman" w:hAnsi="Times New Roman" w:cs="Times New Roman"/>
        </w:rPr>
        <w:t>dependence on the EU</w:t>
      </w:r>
      <w:r w:rsidR="003C2D6A">
        <w:rPr>
          <w:rFonts w:ascii="Times New Roman" w:hAnsi="Times New Roman" w:cs="Times New Roman"/>
        </w:rPr>
        <w:t>,</w:t>
      </w:r>
      <w:r w:rsidR="005E1056">
        <w:rPr>
          <w:rFonts w:ascii="Times New Roman" w:hAnsi="Times New Roman" w:cs="Times New Roman"/>
        </w:rPr>
        <w:t xml:space="preserve"> and thus </w:t>
      </w:r>
      <w:r w:rsidR="00A766BF">
        <w:rPr>
          <w:rFonts w:ascii="Times New Roman" w:hAnsi="Times New Roman" w:cs="Times New Roman"/>
        </w:rPr>
        <w:t xml:space="preserve">in such </w:t>
      </w:r>
      <w:r w:rsidR="005E1056">
        <w:rPr>
          <w:rFonts w:ascii="Times New Roman" w:hAnsi="Times New Roman" w:cs="Times New Roman"/>
        </w:rPr>
        <w:t xml:space="preserve">countries </w:t>
      </w:r>
      <w:r w:rsidR="00A766BF">
        <w:rPr>
          <w:rFonts w:ascii="Times New Roman" w:hAnsi="Times New Roman" w:cs="Times New Roman"/>
        </w:rPr>
        <w:t>government agenc</w:t>
      </w:r>
      <w:r w:rsidR="003C2D6A">
        <w:rPr>
          <w:rFonts w:ascii="Times New Roman" w:hAnsi="Times New Roman" w:cs="Times New Roman"/>
        </w:rPr>
        <w:t>ies</w:t>
      </w:r>
      <w:r w:rsidR="00A766BF">
        <w:rPr>
          <w:rFonts w:ascii="Times New Roman" w:hAnsi="Times New Roman" w:cs="Times New Roman"/>
        </w:rPr>
        <w:t xml:space="preserve"> </w:t>
      </w:r>
      <w:r w:rsidR="005E1056">
        <w:rPr>
          <w:rFonts w:ascii="Times New Roman" w:hAnsi="Times New Roman" w:cs="Times New Roman"/>
        </w:rPr>
        <w:t>adopt</w:t>
      </w:r>
      <w:r w:rsidR="00A766BF">
        <w:rPr>
          <w:rFonts w:ascii="Times New Roman" w:hAnsi="Times New Roman" w:cs="Times New Roman"/>
        </w:rPr>
        <w:t xml:space="preserve">ed a greater number of </w:t>
      </w:r>
      <w:r w:rsidR="005E1056">
        <w:rPr>
          <w:rFonts w:ascii="Times New Roman" w:hAnsi="Times New Roman" w:cs="Times New Roman"/>
        </w:rPr>
        <w:t>implementation measures.</w:t>
      </w:r>
      <w:r w:rsidR="006730DD">
        <w:rPr>
          <w:rFonts w:ascii="Times New Roman" w:hAnsi="Times New Roman" w:cs="Times New Roman"/>
        </w:rPr>
        <w:t xml:space="preserve"> </w:t>
      </w:r>
      <w:r w:rsidR="00B82F83">
        <w:rPr>
          <w:rFonts w:ascii="Times New Roman" w:hAnsi="Times New Roman" w:cs="Times New Roman"/>
        </w:rPr>
        <w:t xml:space="preserve">The </w:t>
      </w:r>
      <w:r w:rsidR="00700DA3">
        <w:rPr>
          <w:rFonts w:ascii="Times New Roman" w:hAnsi="Times New Roman" w:cs="Times New Roman"/>
        </w:rPr>
        <w:t xml:space="preserve">negative </w:t>
      </w:r>
      <w:r w:rsidR="00C956DF">
        <w:rPr>
          <w:rFonts w:ascii="Times New Roman" w:hAnsi="Times New Roman" w:cs="Times New Roman"/>
        </w:rPr>
        <w:t xml:space="preserve">impact of </w:t>
      </w:r>
      <w:r w:rsidR="00B82F83">
        <w:rPr>
          <w:rFonts w:ascii="Times New Roman" w:hAnsi="Times New Roman" w:cs="Times New Roman"/>
        </w:rPr>
        <w:t xml:space="preserve">EU support for sustainable growth </w:t>
      </w:r>
      <w:r w:rsidR="00700DA3">
        <w:rPr>
          <w:rFonts w:ascii="Times New Roman" w:hAnsi="Times New Roman" w:cs="Times New Roman"/>
        </w:rPr>
        <w:t xml:space="preserve">seems counterintuitive, but this reminds us that </w:t>
      </w:r>
      <w:r w:rsidR="003C2D6A">
        <w:rPr>
          <w:rFonts w:ascii="Times New Roman" w:hAnsi="Times New Roman" w:cs="Times New Roman"/>
        </w:rPr>
        <w:t>this support</w:t>
      </w:r>
      <w:r w:rsidR="00700DA3">
        <w:rPr>
          <w:rFonts w:ascii="Times New Roman" w:hAnsi="Times New Roman" w:cs="Times New Roman"/>
        </w:rPr>
        <w:t xml:space="preserve"> is </w:t>
      </w:r>
      <w:r w:rsidR="00D52C3B">
        <w:rPr>
          <w:rFonts w:ascii="Times New Roman" w:hAnsi="Times New Roman" w:cs="Times New Roman"/>
        </w:rPr>
        <w:t xml:space="preserve">fundamentally </w:t>
      </w:r>
      <w:r w:rsidR="00700DA3">
        <w:rPr>
          <w:rFonts w:ascii="Times New Roman" w:hAnsi="Times New Roman" w:cs="Times New Roman"/>
        </w:rPr>
        <w:t>meant to promote economic growth</w:t>
      </w:r>
      <w:r w:rsidR="00D52C3B">
        <w:rPr>
          <w:rFonts w:ascii="Times New Roman" w:hAnsi="Times New Roman" w:cs="Times New Roman"/>
        </w:rPr>
        <w:t>, albeit sustainably,</w:t>
      </w:r>
      <w:r w:rsidR="00700DA3">
        <w:rPr>
          <w:rFonts w:ascii="Times New Roman" w:hAnsi="Times New Roman" w:cs="Times New Roman"/>
        </w:rPr>
        <w:t xml:space="preserve"> including </w:t>
      </w:r>
      <w:r w:rsidR="00700DA3" w:rsidRPr="001C2536">
        <w:rPr>
          <w:rFonts w:ascii="Times New Roman" w:hAnsi="Times New Roman"/>
        </w:rPr>
        <w:t>helping the least developed EU countries</w:t>
      </w:r>
      <w:r w:rsidR="00D52C3B">
        <w:rPr>
          <w:rFonts w:ascii="Times New Roman" w:hAnsi="Times New Roman"/>
        </w:rPr>
        <w:t xml:space="preserve"> economically. </w:t>
      </w:r>
    </w:p>
    <w:p w14:paraId="4154A5C5" w14:textId="529A9943" w:rsidR="00A21A19" w:rsidRDefault="001C27F4" w:rsidP="00EE04C6">
      <w:pPr>
        <w:spacing w:line="480" w:lineRule="auto"/>
        <w:ind w:firstLine="720"/>
        <w:rPr>
          <w:rFonts w:ascii="Times New Roman" w:hAnsi="Times New Roman" w:cs="Times New Roman"/>
        </w:rPr>
      </w:pPr>
      <w:r>
        <w:rPr>
          <w:rFonts w:ascii="Times New Roman" w:hAnsi="Times New Roman" w:cs="Times New Roman"/>
        </w:rPr>
        <w:t xml:space="preserve">Our H2 and H3 are about </w:t>
      </w:r>
      <w:r w:rsidR="004A1798">
        <w:rPr>
          <w:rFonts w:ascii="Times New Roman" w:hAnsi="Times New Roman" w:cs="Times New Roman"/>
        </w:rPr>
        <w:t xml:space="preserve">moderating effects of the environmental NGOs and environmental stress variables. </w:t>
      </w:r>
      <w:r w:rsidR="001B7370">
        <w:rPr>
          <w:rFonts w:ascii="Times New Roman" w:hAnsi="Times New Roman" w:cs="Times New Roman"/>
        </w:rPr>
        <w:t>In c</w:t>
      </w:r>
      <w:r w:rsidR="000D4C25">
        <w:rPr>
          <w:rFonts w:ascii="Times New Roman" w:hAnsi="Times New Roman" w:cs="Times New Roman"/>
        </w:rPr>
        <w:t>ountries with a larger number of environmental NGOs</w:t>
      </w:r>
      <w:r w:rsidR="001B7370">
        <w:rPr>
          <w:rFonts w:ascii="Times New Roman" w:hAnsi="Times New Roman" w:cs="Times New Roman"/>
        </w:rPr>
        <w:t>, government agenc</w:t>
      </w:r>
      <w:r w:rsidR="003C2D6A">
        <w:rPr>
          <w:rFonts w:ascii="Times New Roman" w:hAnsi="Times New Roman" w:cs="Times New Roman"/>
        </w:rPr>
        <w:t>ies</w:t>
      </w:r>
      <w:r w:rsidR="000D4C25">
        <w:rPr>
          <w:rFonts w:ascii="Times New Roman" w:hAnsi="Times New Roman" w:cs="Times New Roman"/>
        </w:rPr>
        <w:t xml:space="preserve"> tend</w:t>
      </w:r>
      <w:r w:rsidR="001B7370">
        <w:rPr>
          <w:rFonts w:ascii="Times New Roman" w:hAnsi="Times New Roman" w:cs="Times New Roman"/>
        </w:rPr>
        <w:t>ed</w:t>
      </w:r>
      <w:r w:rsidR="000D4C25">
        <w:rPr>
          <w:rFonts w:ascii="Times New Roman" w:hAnsi="Times New Roman" w:cs="Times New Roman"/>
        </w:rPr>
        <w:t xml:space="preserve"> to adopt a greater number of measures, and this t</w:t>
      </w:r>
      <w:r w:rsidR="006730DD">
        <w:rPr>
          <w:rFonts w:ascii="Times New Roman" w:hAnsi="Times New Roman" w:cs="Times New Roman"/>
        </w:rPr>
        <w:t xml:space="preserve">endency </w:t>
      </w:r>
      <w:r w:rsidR="003C2D6A">
        <w:rPr>
          <w:rFonts w:ascii="Times New Roman" w:hAnsi="Times New Roman" w:cs="Times New Roman"/>
        </w:rPr>
        <w:t>wa</w:t>
      </w:r>
      <w:r w:rsidR="001B7370">
        <w:rPr>
          <w:rFonts w:ascii="Times New Roman" w:hAnsi="Times New Roman" w:cs="Times New Roman"/>
        </w:rPr>
        <w:t>s</w:t>
      </w:r>
      <w:r w:rsidR="006730DD">
        <w:rPr>
          <w:rFonts w:ascii="Times New Roman" w:hAnsi="Times New Roman" w:cs="Times New Roman"/>
        </w:rPr>
        <w:t xml:space="preserve"> </w:t>
      </w:r>
      <w:r w:rsidR="000D4C25">
        <w:rPr>
          <w:rFonts w:ascii="Times New Roman" w:hAnsi="Times New Roman" w:cs="Times New Roman"/>
        </w:rPr>
        <w:lastRenderedPageBreak/>
        <w:t>significant and</w:t>
      </w:r>
      <w:r w:rsidR="006730DD">
        <w:rPr>
          <w:rFonts w:ascii="Times New Roman" w:hAnsi="Times New Roman" w:cs="Times New Roman"/>
        </w:rPr>
        <w:t xml:space="preserve"> more</w:t>
      </w:r>
      <w:r w:rsidR="000D4C25">
        <w:rPr>
          <w:rFonts w:ascii="Times New Roman" w:hAnsi="Times New Roman" w:cs="Times New Roman"/>
        </w:rPr>
        <w:t xml:space="preserve"> pronounced as </w:t>
      </w:r>
      <w:r w:rsidR="001B7370">
        <w:rPr>
          <w:rFonts w:ascii="Times New Roman" w:hAnsi="Times New Roman" w:cs="Times New Roman"/>
        </w:rPr>
        <w:t>resource</w:t>
      </w:r>
      <w:r w:rsidR="000D4C25">
        <w:rPr>
          <w:rFonts w:ascii="Times New Roman" w:hAnsi="Times New Roman" w:cs="Times New Roman"/>
        </w:rPr>
        <w:t xml:space="preserve"> dependence on the EU </w:t>
      </w:r>
      <w:r w:rsidR="003C2D6A">
        <w:rPr>
          <w:rFonts w:ascii="Times New Roman" w:hAnsi="Times New Roman" w:cs="Times New Roman"/>
        </w:rPr>
        <w:t>went</w:t>
      </w:r>
      <w:r w:rsidR="000D4C25">
        <w:rPr>
          <w:rFonts w:ascii="Times New Roman" w:hAnsi="Times New Roman" w:cs="Times New Roman"/>
        </w:rPr>
        <w:t xml:space="preserve"> up. </w:t>
      </w:r>
      <w:r w:rsidR="006730DD">
        <w:rPr>
          <w:rFonts w:ascii="Times New Roman" w:hAnsi="Times New Roman" w:cs="Times New Roman"/>
        </w:rPr>
        <w:t xml:space="preserve">This provides support for our H2. </w:t>
      </w:r>
      <w:r w:rsidR="004A1798">
        <w:rPr>
          <w:rFonts w:ascii="Times New Roman" w:hAnsi="Times New Roman" w:cs="Times New Roman"/>
        </w:rPr>
        <w:t xml:space="preserve">The </w:t>
      </w:r>
      <w:r w:rsidR="00C26DB7">
        <w:rPr>
          <w:rFonts w:ascii="Times New Roman" w:hAnsi="Times New Roman" w:cs="Times New Roman"/>
        </w:rPr>
        <w:t xml:space="preserve">main effect of the </w:t>
      </w:r>
      <w:r w:rsidR="004A1798">
        <w:rPr>
          <w:rFonts w:ascii="Times New Roman" w:hAnsi="Times New Roman" w:cs="Times New Roman"/>
        </w:rPr>
        <w:t xml:space="preserve">environmental stress variable </w:t>
      </w:r>
      <w:r w:rsidR="00A21A19">
        <w:rPr>
          <w:rFonts w:ascii="Times New Roman" w:hAnsi="Times New Roman" w:cs="Times New Roman"/>
        </w:rPr>
        <w:t xml:space="preserve">is </w:t>
      </w:r>
      <w:r w:rsidR="00C26DB7">
        <w:rPr>
          <w:rFonts w:ascii="Times New Roman" w:hAnsi="Times New Roman" w:cs="Times New Roman"/>
        </w:rPr>
        <w:t>positive. H</w:t>
      </w:r>
      <w:r w:rsidR="00A21A19">
        <w:rPr>
          <w:rFonts w:ascii="Times New Roman" w:hAnsi="Times New Roman" w:cs="Times New Roman"/>
        </w:rPr>
        <w:t xml:space="preserve">owever, </w:t>
      </w:r>
      <w:r w:rsidR="0053250D">
        <w:rPr>
          <w:rFonts w:ascii="Times New Roman" w:hAnsi="Times New Roman" w:cs="Times New Roman"/>
        </w:rPr>
        <w:t xml:space="preserve">the interaction of </w:t>
      </w:r>
      <w:r w:rsidR="0053250D" w:rsidRPr="00AD01F1">
        <w:rPr>
          <w:rFonts w:ascii="Times New Roman" w:hAnsi="Times New Roman" w:cs="Times New Roman"/>
          <w:i/>
        </w:rPr>
        <w:t>Dependence</w:t>
      </w:r>
      <w:r w:rsidR="0053250D">
        <w:rPr>
          <w:rFonts w:ascii="Times New Roman" w:hAnsi="Times New Roman" w:cs="Times New Roman"/>
        </w:rPr>
        <w:t xml:space="preserve"> and </w:t>
      </w:r>
      <w:r w:rsidR="0053250D" w:rsidRPr="00AD01F1">
        <w:rPr>
          <w:rFonts w:ascii="Times New Roman" w:hAnsi="Times New Roman" w:cs="Times New Roman"/>
          <w:i/>
        </w:rPr>
        <w:t>Environmental stress</w:t>
      </w:r>
      <w:r w:rsidR="0053250D">
        <w:rPr>
          <w:rFonts w:ascii="Times New Roman" w:hAnsi="Times New Roman" w:cs="Times New Roman"/>
        </w:rPr>
        <w:t xml:space="preserve"> is negative</w:t>
      </w:r>
      <w:r w:rsidR="00A21A19">
        <w:rPr>
          <w:rFonts w:ascii="Times New Roman" w:hAnsi="Times New Roman" w:cs="Times New Roman"/>
        </w:rPr>
        <w:t xml:space="preserve"> and counteracts the two main effects</w:t>
      </w:r>
      <w:r w:rsidR="00C26DB7">
        <w:rPr>
          <w:rFonts w:ascii="Times New Roman" w:hAnsi="Times New Roman" w:cs="Times New Roman"/>
        </w:rPr>
        <w:t xml:space="preserve">, suggesting that environmental stress mitigates the effect of </w:t>
      </w:r>
      <w:r w:rsidR="00C26DB7" w:rsidRPr="00C26DB7">
        <w:rPr>
          <w:rFonts w:ascii="Times New Roman" w:hAnsi="Times New Roman" w:cs="Times New Roman"/>
          <w:i/>
        </w:rPr>
        <w:t>Dependence</w:t>
      </w:r>
      <w:r w:rsidR="00A21A19">
        <w:rPr>
          <w:rFonts w:ascii="Times New Roman" w:hAnsi="Times New Roman" w:cs="Times New Roman"/>
        </w:rPr>
        <w:t xml:space="preserve">. </w:t>
      </w:r>
      <w:r w:rsidR="00C82C6B">
        <w:rPr>
          <w:rFonts w:ascii="Times New Roman" w:hAnsi="Times New Roman" w:cs="Times New Roman"/>
        </w:rPr>
        <w:t>In other words, t</w:t>
      </w:r>
      <w:r w:rsidR="00EE04C6">
        <w:rPr>
          <w:rFonts w:ascii="Times New Roman" w:hAnsi="Times New Roman" w:cs="Times New Roman"/>
        </w:rPr>
        <w:t xml:space="preserve">he higher the </w:t>
      </w:r>
      <w:r w:rsidR="00F329DF" w:rsidRPr="005D0202">
        <w:rPr>
          <w:rFonts w:ascii="Times New Roman" w:hAnsi="Times New Roman" w:cs="Times New Roman"/>
          <w:i/>
        </w:rPr>
        <w:t>E</w:t>
      </w:r>
      <w:r w:rsidR="00EE04C6" w:rsidRPr="005D0202">
        <w:rPr>
          <w:rFonts w:ascii="Times New Roman" w:hAnsi="Times New Roman" w:cs="Times New Roman"/>
          <w:i/>
        </w:rPr>
        <w:t>nvironmental stress</w:t>
      </w:r>
      <w:r w:rsidR="00EE04C6">
        <w:rPr>
          <w:rFonts w:ascii="Times New Roman" w:hAnsi="Times New Roman" w:cs="Times New Roman"/>
        </w:rPr>
        <w:t xml:space="preserve"> variable is, the more negative the effect of </w:t>
      </w:r>
      <w:r w:rsidR="00EE04C6" w:rsidRPr="00EE04C6">
        <w:rPr>
          <w:rFonts w:ascii="Times New Roman" w:hAnsi="Times New Roman" w:cs="Times New Roman"/>
          <w:i/>
        </w:rPr>
        <w:t xml:space="preserve">Dependence </w:t>
      </w:r>
      <w:r w:rsidR="00EE04C6">
        <w:rPr>
          <w:rFonts w:ascii="Times New Roman" w:hAnsi="Times New Roman" w:cs="Times New Roman"/>
        </w:rPr>
        <w:t xml:space="preserve">on </w:t>
      </w:r>
      <w:r w:rsidR="00C56A24" w:rsidRPr="00C56A24">
        <w:rPr>
          <w:rFonts w:ascii="Times New Roman" w:hAnsi="Times New Roman" w:cs="Times New Roman"/>
          <w:i/>
        </w:rPr>
        <w:t>National transposition</w:t>
      </w:r>
      <w:r w:rsidR="00EE04C6">
        <w:rPr>
          <w:rFonts w:ascii="Times New Roman" w:hAnsi="Times New Roman" w:cs="Times New Roman"/>
        </w:rPr>
        <w:t xml:space="preserve"> becomes. </w:t>
      </w:r>
      <w:r w:rsidR="00A21A19">
        <w:rPr>
          <w:rFonts w:ascii="Times New Roman" w:hAnsi="Times New Roman" w:cs="Times New Roman"/>
        </w:rPr>
        <w:t>This supports our H3.</w:t>
      </w:r>
    </w:p>
    <w:p w14:paraId="2B246110" w14:textId="7E76C12A" w:rsidR="00346AE1" w:rsidRDefault="000E7A88" w:rsidP="00A66868">
      <w:pPr>
        <w:spacing w:line="480" w:lineRule="auto"/>
        <w:ind w:firstLine="720"/>
        <w:rPr>
          <w:rFonts w:ascii="Times New Roman" w:hAnsi="Times New Roman" w:cs="Times New Roman"/>
        </w:rPr>
      </w:pPr>
      <w:r w:rsidRPr="00A04EB1">
        <w:rPr>
          <w:rFonts w:ascii="Times New Roman" w:hAnsi="Times New Roman" w:cs="Times New Roman"/>
        </w:rPr>
        <w:t xml:space="preserve">The regression results of the </w:t>
      </w:r>
      <w:r w:rsidR="00174626">
        <w:rPr>
          <w:rFonts w:ascii="Times New Roman" w:hAnsi="Times New Roman" w:cs="Times New Roman"/>
        </w:rPr>
        <w:t>second</w:t>
      </w:r>
      <w:r w:rsidRPr="00A04EB1">
        <w:rPr>
          <w:rFonts w:ascii="Times New Roman" w:hAnsi="Times New Roman" w:cs="Times New Roman"/>
        </w:rPr>
        <w:t xml:space="preserve"> analysis predicting </w:t>
      </w:r>
      <w:r w:rsidR="00174626">
        <w:rPr>
          <w:rFonts w:ascii="Times New Roman" w:hAnsi="Times New Roman" w:cs="Times New Roman"/>
          <w:i/>
        </w:rPr>
        <w:t xml:space="preserve">Changes in </w:t>
      </w:r>
      <w:r w:rsidR="003C2D6A">
        <w:rPr>
          <w:rFonts w:ascii="Times New Roman" w:hAnsi="Times New Roman" w:cs="Times New Roman"/>
          <w:i/>
        </w:rPr>
        <w:t>c</w:t>
      </w:r>
      <w:r w:rsidR="00174626">
        <w:rPr>
          <w:rFonts w:ascii="Times New Roman" w:hAnsi="Times New Roman" w:cs="Times New Roman"/>
          <w:i/>
        </w:rPr>
        <w:t xml:space="preserve">arbon </w:t>
      </w:r>
      <w:r w:rsidR="003C2D6A">
        <w:rPr>
          <w:rFonts w:ascii="Times New Roman" w:hAnsi="Times New Roman" w:cs="Times New Roman"/>
          <w:i/>
        </w:rPr>
        <w:t>e</w:t>
      </w:r>
      <w:r w:rsidR="00174626">
        <w:rPr>
          <w:rFonts w:ascii="Times New Roman" w:hAnsi="Times New Roman" w:cs="Times New Roman"/>
          <w:i/>
        </w:rPr>
        <w:t>missions</w:t>
      </w:r>
      <w:r>
        <w:rPr>
          <w:rFonts w:ascii="Times New Roman" w:hAnsi="Times New Roman" w:cs="Times New Roman"/>
        </w:rPr>
        <w:t xml:space="preserve"> </w:t>
      </w:r>
      <w:r w:rsidR="00513121">
        <w:rPr>
          <w:rFonts w:ascii="Times New Roman" w:hAnsi="Times New Roman" w:cs="Times New Roman"/>
        </w:rPr>
        <w:t xml:space="preserve">at the firm level </w:t>
      </w:r>
      <w:r>
        <w:rPr>
          <w:rFonts w:ascii="Times New Roman" w:hAnsi="Times New Roman" w:cs="Times New Roman"/>
        </w:rPr>
        <w:t xml:space="preserve">are shown in Table </w:t>
      </w:r>
      <w:r w:rsidR="00174626">
        <w:rPr>
          <w:rFonts w:ascii="Times New Roman" w:hAnsi="Times New Roman" w:cs="Times New Roman"/>
        </w:rPr>
        <w:t>3</w:t>
      </w:r>
      <w:r>
        <w:rPr>
          <w:rFonts w:ascii="Times New Roman" w:hAnsi="Times New Roman" w:cs="Times New Roman"/>
        </w:rPr>
        <w:t xml:space="preserve">. </w:t>
      </w:r>
    </w:p>
    <w:p w14:paraId="6DE57267" w14:textId="77777777" w:rsidR="00346AE1" w:rsidRPr="003B3AEE" w:rsidRDefault="00346AE1" w:rsidP="00346AE1">
      <w:pPr>
        <w:spacing w:line="480" w:lineRule="auto"/>
        <w:jc w:val="center"/>
        <w:rPr>
          <w:rFonts w:ascii="Times New Roman" w:hAnsi="Times New Roman" w:cs="Times New Roman"/>
        </w:rPr>
      </w:pPr>
      <w:r>
        <w:rPr>
          <w:rFonts w:ascii="Times New Roman" w:hAnsi="Times New Roman" w:cs="Times New Roman"/>
        </w:rPr>
        <w:t>[Table 3 about here</w:t>
      </w:r>
      <w:r w:rsidRPr="003B3AEE">
        <w:rPr>
          <w:rFonts w:ascii="Times New Roman" w:hAnsi="Times New Roman" w:cs="Times New Roman"/>
        </w:rPr>
        <w:t>]</w:t>
      </w:r>
    </w:p>
    <w:p w14:paraId="7CE827B9" w14:textId="143B1E47" w:rsidR="00A66868" w:rsidRPr="009F24C5" w:rsidRDefault="00B51E41" w:rsidP="00A66868">
      <w:pPr>
        <w:spacing w:line="480" w:lineRule="auto"/>
        <w:ind w:firstLine="720"/>
        <w:rPr>
          <w:rFonts w:ascii="Times New Roman" w:hAnsi="Times New Roman" w:cs="Times New Roman"/>
        </w:rPr>
      </w:pPr>
      <w:r>
        <w:rPr>
          <w:rFonts w:ascii="Times New Roman" w:hAnsi="Times New Roman" w:cs="Times New Roman"/>
        </w:rPr>
        <w:t>Since the dependent variable</w:t>
      </w:r>
      <w:r w:rsidR="00BE557E">
        <w:rPr>
          <w:rFonts w:ascii="Times New Roman" w:hAnsi="Times New Roman" w:cs="Times New Roman"/>
        </w:rPr>
        <w:t xml:space="preserve"> </w:t>
      </w:r>
      <w:r w:rsidR="00A445BE">
        <w:rPr>
          <w:rFonts w:ascii="Times New Roman" w:hAnsi="Times New Roman" w:cs="Times New Roman"/>
        </w:rPr>
        <w:t xml:space="preserve">subtracts carbon emissions in 2004 </w:t>
      </w:r>
      <w:r w:rsidR="00B07937">
        <w:rPr>
          <w:rFonts w:ascii="Times New Roman" w:hAnsi="Times New Roman" w:cs="Times New Roman"/>
        </w:rPr>
        <w:t xml:space="preserve">from carbon emissions in 2009, a positive number indicates carbon emissions increased during 2004 to 2009, and a negative number indicates carbon emissions decreased during 2004 to 2009. </w:t>
      </w:r>
      <w:r w:rsidR="00A66868">
        <w:rPr>
          <w:rFonts w:ascii="Times New Roman" w:hAnsi="Times New Roman" w:cs="Times New Roman"/>
        </w:rPr>
        <w:t>As shown, l</w:t>
      </w:r>
      <w:r w:rsidR="00A66868" w:rsidRPr="009F24C5">
        <w:rPr>
          <w:rFonts w:ascii="Times New Roman" w:hAnsi="Times New Roman" w:cs="Times New Roman"/>
        </w:rPr>
        <w:t xml:space="preserve">arger firms and firms that used more fossil fuels </w:t>
      </w:r>
      <w:r w:rsidR="00A66868">
        <w:rPr>
          <w:rFonts w:ascii="Times New Roman" w:hAnsi="Times New Roman" w:cs="Times New Roman"/>
        </w:rPr>
        <w:t xml:space="preserve">reduced emissions </w:t>
      </w:r>
      <w:r w:rsidR="00A66868" w:rsidRPr="009F24C5">
        <w:rPr>
          <w:rFonts w:ascii="Times New Roman" w:hAnsi="Times New Roman" w:cs="Times New Roman"/>
        </w:rPr>
        <w:t>more</w:t>
      </w:r>
      <w:r w:rsidR="00A66868">
        <w:rPr>
          <w:rFonts w:ascii="Times New Roman" w:hAnsi="Times New Roman" w:cs="Times New Roman"/>
        </w:rPr>
        <w:t xml:space="preserve">. Carbon intensity controls for the possibility that firms with a higher level of carbon intensity </w:t>
      </w:r>
      <w:r w:rsidR="00B221C2">
        <w:rPr>
          <w:rFonts w:ascii="Times New Roman" w:hAnsi="Times New Roman" w:cs="Times New Roman"/>
        </w:rPr>
        <w:t xml:space="preserve">in 2004 might </w:t>
      </w:r>
      <w:r w:rsidR="00A66868">
        <w:rPr>
          <w:rFonts w:ascii="Times New Roman" w:hAnsi="Times New Roman" w:cs="Times New Roman"/>
        </w:rPr>
        <w:t xml:space="preserve">have </w:t>
      </w:r>
      <w:r w:rsidR="00B221C2">
        <w:rPr>
          <w:rFonts w:ascii="Times New Roman" w:hAnsi="Times New Roman" w:cs="Times New Roman"/>
        </w:rPr>
        <w:t xml:space="preserve">had </w:t>
      </w:r>
      <w:r w:rsidR="00A66868">
        <w:rPr>
          <w:rFonts w:ascii="Times New Roman" w:hAnsi="Times New Roman" w:cs="Times New Roman"/>
        </w:rPr>
        <w:t>lower</w:t>
      </w:r>
      <w:r w:rsidR="00F329DF">
        <w:rPr>
          <w:rFonts w:ascii="Times New Roman" w:hAnsi="Times New Roman" w:cs="Times New Roman"/>
        </w:rPr>
        <w:t>-</w:t>
      </w:r>
      <w:r w:rsidR="00A66868">
        <w:rPr>
          <w:rFonts w:ascii="Times New Roman" w:hAnsi="Times New Roman" w:cs="Times New Roman"/>
        </w:rPr>
        <w:t>cost opportunities to reduce emissions</w:t>
      </w:r>
      <w:r w:rsidR="00B221C2">
        <w:rPr>
          <w:rFonts w:ascii="Times New Roman" w:hAnsi="Times New Roman" w:cs="Times New Roman"/>
        </w:rPr>
        <w:t>,</w:t>
      </w:r>
      <w:r w:rsidR="00A66868">
        <w:rPr>
          <w:rFonts w:ascii="Times New Roman" w:hAnsi="Times New Roman" w:cs="Times New Roman"/>
        </w:rPr>
        <w:t xml:space="preserve"> and thus </w:t>
      </w:r>
      <w:r w:rsidR="00B221C2">
        <w:rPr>
          <w:rFonts w:ascii="Times New Roman" w:hAnsi="Times New Roman" w:cs="Times New Roman"/>
        </w:rPr>
        <w:t>made</w:t>
      </w:r>
      <w:r w:rsidR="00A66868">
        <w:rPr>
          <w:rFonts w:ascii="Times New Roman" w:hAnsi="Times New Roman" w:cs="Times New Roman"/>
        </w:rPr>
        <w:t xml:space="preserve"> greater emissions reductions. Our results show that firms that operate</w:t>
      </w:r>
      <w:r w:rsidR="00F329DF">
        <w:rPr>
          <w:rFonts w:ascii="Times New Roman" w:hAnsi="Times New Roman" w:cs="Times New Roman"/>
        </w:rPr>
        <w:t>d</w:t>
      </w:r>
      <w:r w:rsidR="00A66868">
        <w:rPr>
          <w:rFonts w:ascii="Times New Roman" w:hAnsi="Times New Roman" w:cs="Times New Roman"/>
        </w:rPr>
        <w:t xml:space="preserve"> in a more competitive environment and firms with larger cash flow tend</w:t>
      </w:r>
      <w:r w:rsidR="00C56A24">
        <w:rPr>
          <w:rFonts w:ascii="Times New Roman" w:hAnsi="Times New Roman" w:cs="Times New Roman"/>
        </w:rPr>
        <w:t>ed</w:t>
      </w:r>
      <w:r w:rsidR="00A66868">
        <w:rPr>
          <w:rFonts w:ascii="Times New Roman" w:hAnsi="Times New Roman" w:cs="Times New Roman"/>
        </w:rPr>
        <w:t xml:space="preserve"> to make greater emissions reductions. In addition, in countries with </w:t>
      </w:r>
      <w:r w:rsidR="00F329DF">
        <w:rPr>
          <w:rFonts w:ascii="Times New Roman" w:hAnsi="Times New Roman" w:cs="Times New Roman"/>
        </w:rPr>
        <w:t>more</w:t>
      </w:r>
      <w:r w:rsidR="00A66868">
        <w:rPr>
          <w:rFonts w:ascii="Times New Roman" w:hAnsi="Times New Roman" w:cs="Times New Roman"/>
        </w:rPr>
        <w:t xml:space="preserve"> support for sustainable growth from the EU, with greater commitments to international environmental treaties, or </w:t>
      </w:r>
      <w:r w:rsidR="00F329DF">
        <w:rPr>
          <w:rFonts w:ascii="Times New Roman" w:hAnsi="Times New Roman" w:cs="Times New Roman"/>
        </w:rPr>
        <w:t xml:space="preserve">with </w:t>
      </w:r>
      <w:r w:rsidR="00A66868">
        <w:rPr>
          <w:rFonts w:ascii="Times New Roman" w:hAnsi="Times New Roman" w:cs="Times New Roman"/>
        </w:rPr>
        <w:t xml:space="preserve">larger GDP per capita, firms reduced emissions more. </w:t>
      </w:r>
      <w:r w:rsidR="00A66868" w:rsidRPr="009F24C5">
        <w:rPr>
          <w:rFonts w:ascii="Times New Roman" w:hAnsi="Times New Roman" w:cs="Times New Roman"/>
          <w:iCs/>
          <w:color w:val="0C000F"/>
        </w:rPr>
        <w:t>The no</w:t>
      </w:r>
      <w:r w:rsidR="007F6D88">
        <w:rPr>
          <w:rFonts w:ascii="Times New Roman" w:hAnsi="Times New Roman" w:cs="Times New Roman"/>
          <w:iCs/>
          <w:color w:val="0C000F"/>
        </w:rPr>
        <w:t xml:space="preserve">n-significance of </w:t>
      </w:r>
      <w:r w:rsidR="00C56A24">
        <w:rPr>
          <w:rFonts w:ascii="Times New Roman" w:hAnsi="Times New Roman" w:cs="Times New Roman"/>
          <w:iCs/>
          <w:color w:val="0C000F"/>
        </w:rPr>
        <w:t>e</w:t>
      </w:r>
      <w:r w:rsidR="007F6D88">
        <w:rPr>
          <w:rFonts w:ascii="Times New Roman" w:hAnsi="Times New Roman" w:cs="Times New Roman"/>
          <w:iCs/>
          <w:color w:val="0C000F"/>
        </w:rPr>
        <w:t xml:space="preserve">missions </w:t>
      </w:r>
      <w:r w:rsidR="00C56A24">
        <w:rPr>
          <w:rFonts w:ascii="Times New Roman" w:hAnsi="Times New Roman" w:cs="Times New Roman"/>
          <w:iCs/>
          <w:color w:val="0C000F"/>
        </w:rPr>
        <w:t>c</w:t>
      </w:r>
      <w:r w:rsidR="007F6D88">
        <w:rPr>
          <w:rFonts w:ascii="Times New Roman" w:hAnsi="Times New Roman" w:cs="Times New Roman"/>
          <w:iCs/>
          <w:color w:val="0C000F"/>
        </w:rPr>
        <w:t xml:space="preserve">ap over </w:t>
      </w:r>
      <w:r w:rsidR="00A66868" w:rsidRPr="009F24C5">
        <w:rPr>
          <w:rFonts w:ascii="Times New Roman" w:hAnsi="Times New Roman" w:cs="Times New Roman"/>
          <w:iCs/>
          <w:color w:val="0C000F"/>
        </w:rPr>
        <w:t>GDP, which was imposed at the country level during the period of our study, is consistent with the evidence that the emissions caps were not effectively binding during the time period</w:t>
      </w:r>
      <w:r w:rsidR="00086B83">
        <w:rPr>
          <w:rFonts w:ascii="Times New Roman" w:hAnsi="Times New Roman" w:cs="Times New Roman"/>
          <w:iCs/>
          <w:color w:val="0C000F"/>
        </w:rPr>
        <w:t>, although the emissions caps were becoming more stringent over time</w:t>
      </w:r>
      <w:r w:rsidR="00A66868" w:rsidRPr="009F24C5">
        <w:rPr>
          <w:rFonts w:ascii="Times New Roman" w:hAnsi="Times New Roman" w:cs="Times New Roman"/>
          <w:iCs/>
          <w:color w:val="0C000F"/>
        </w:rPr>
        <w:t>.</w:t>
      </w:r>
      <w:r w:rsidR="00C56A24">
        <w:rPr>
          <w:rStyle w:val="FootnoteReference"/>
          <w:rFonts w:ascii="Times New Roman" w:hAnsi="Times New Roman" w:cs="Times New Roman"/>
          <w:iCs/>
          <w:color w:val="0C000F"/>
        </w:rPr>
        <w:footnoteReference w:id="13"/>
      </w:r>
      <w:r w:rsidR="00A66868" w:rsidRPr="009F24C5">
        <w:rPr>
          <w:rFonts w:ascii="Times New Roman" w:hAnsi="Times New Roman" w:cs="Times New Roman"/>
        </w:rPr>
        <w:t xml:space="preserve"> </w:t>
      </w:r>
    </w:p>
    <w:p w14:paraId="02503C6B" w14:textId="3B0539E6" w:rsidR="00A445BE" w:rsidRDefault="00B92811" w:rsidP="00174626">
      <w:pPr>
        <w:spacing w:line="480" w:lineRule="auto"/>
        <w:ind w:firstLine="720"/>
        <w:rPr>
          <w:rFonts w:ascii="Times New Roman" w:hAnsi="Times New Roman" w:cs="Times New Roman"/>
        </w:rPr>
      </w:pPr>
      <w:r>
        <w:rPr>
          <w:rFonts w:ascii="Times New Roman" w:hAnsi="Times New Roman" w:cs="Times New Roman"/>
        </w:rPr>
        <w:lastRenderedPageBreak/>
        <w:t xml:space="preserve">Concerning our variables of interest, </w:t>
      </w:r>
      <w:r w:rsidR="00050452">
        <w:rPr>
          <w:rFonts w:ascii="Times New Roman" w:hAnsi="Times New Roman" w:cs="Times New Roman"/>
        </w:rPr>
        <w:t>a greater nu</w:t>
      </w:r>
      <w:r w:rsidR="007C58A2">
        <w:rPr>
          <w:rFonts w:ascii="Times New Roman" w:hAnsi="Times New Roman" w:cs="Times New Roman"/>
        </w:rPr>
        <w:t xml:space="preserve">mber of legal measures to implement the EU </w:t>
      </w:r>
      <w:r w:rsidR="00092D65">
        <w:rPr>
          <w:rFonts w:ascii="Times New Roman" w:hAnsi="Times New Roman" w:cs="Times New Roman"/>
        </w:rPr>
        <w:t>directive</w:t>
      </w:r>
      <w:r w:rsidR="007C58A2">
        <w:rPr>
          <w:rFonts w:ascii="Times New Roman" w:hAnsi="Times New Roman" w:cs="Times New Roman"/>
        </w:rPr>
        <w:t xml:space="preserve"> ha</w:t>
      </w:r>
      <w:r w:rsidR="00F329DF">
        <w:rPr>
          <w:rFonts w:ascii="Times New Roman" w:hAnsi="Times New Roman" w:cs="Times New Roman"/>
        </w:rPr>
        <w:t>d</w:t>
      </w:r>
      <w:r w:rsidR="00973622">
        <w:rPr>
          <w:rFonts w:ascii="Times New Roman" w:hAnsi="Times New Roman" w:cs="Times New Roman"/>
        </w:rPr>
        <w:t xml:space="preserve"> a </w:t>
      </w:r>
      <w:r w:rsidR="00603F07" w:rsidRPr="00050452">
        <w:rPr>
          <w:rFonts w:ascii="Times New Roman" w:hAnsi="Times New Roman" w:cs="Times New Roman"/>
        </w:rPr>
        <w:t xml:space="preserve">negative impact on </w:t>
      </w:r>
      <w:r w:rsidR="00050452">
        <w:rPr>
          <w:rFonts w:ascii="Times New Roman" w:hAnsi="Times New Roman" w:cs="Times New Roman"/>
        </w:rPr>
        <w:t>c</w:t>
      </w:r>
      <w:r w:rsidR="00050452" w:rsidRPr="00050452">
        <w:rPr>
          <w:rFonts w:ascii="Times New Roman" w:hAnsi="Times New Roman" w:cs="Times New Roman"/>
        </w:rPr>
        <w:t xml:space="preserve">hanges in </w:t>
      </w:r>
      <w:r w:rsidR="00050452">
        <w:rPr>
          <w:rFonts w:ascii="Times New Roman" w:hAnsi="Times New Roman" w:cs="Times New Roman"/>
        </w:rPr>
        <w:t>c</w:t>
      </w:r>
      <w:r w:rsidR="00050452" w:rsidRPr="00050452">
        <w:rPr>
          <w:rFonts w:ascii="Times New Roman" w:hAnsi="Times New Roman" w:cs="Times New Roman"/>
        </w:rPr>
        <w:t xml:space="preserve">arbon </w:t>
      </w:r>
      <w:r w:rsidR="00050452">
        <w:rPr>
          <w:rFonts w:ascii="Times New Roman" w:hAnsi="Times New Roman" w:cs="Times New Roman"/>
        </w:rPr>
        <w:t>e</w:t>
      </w:r>
      <w:r w:rsidR="00050452" w:rsidRPr="00050452">
        <w:rPr>
          <w:rFonts w:ascii="Times New Roman" w:hAnsi="Times New Roman" w:cs="Times New Roman"/>
        </w:rPr>
        <w:t>missions at the firm level.</w:t>
      </w:r>
      <w:r w:rsidR="00050452">
        <w:rPr>
          <w:rFonts w:ascii="Times New Roman" w:hAnsi="Times New Roman" w:cs="Times New Roman"/>
        </w:rPr>
        <w:t xml:space="preserve"> </w:t>
      </w:r>
      <w:r w:rsidR="00A66868">
        <w:rPr>
          <w:rFonts w:ascii="Times New Roman" w:hAnsi="Times New Roman" w:cs="Times New Roman"/>
        </w:rPr>
        <w:t xml:space="preserve">This provides support for our H4. </w:t>
      </w:r>
      <w:r w:rsidR="007C58A2">
        <w:rPr>
          <w:rFonts w:ascii="Times New Roman" w:hAnsi="Times New Roman" w:cs="Times New Roman"/>
        </w:rPr>
        <w:t xml:space="preserve">On average, as the number of </w:t>
      </w:r>
      <w:r w:rsidR="00B171A0">
        <w:rPr>
          <w:rFonts w:ascii="Times New Roman" w:hAnsi="Times New Roman" w:cs="Times New Roman"/>
        </w:rPr>
        <w:t xml:space="preserve">legal </w:t>
      </w:r>
      <w:r w:rsidR="007C58A2">
        <w:rPr>
          <w:rFonts w:ascii="Times New Roman" w:hAnsi="Times New Roman" w:cs="Times New Roman"/>
        </w:rPr>
        <w:t xml:space="preserve">measures </w:t>
      </w:r>
      <w:r w:rsidR="00793109">
        <w:rPr>
          <w:rFonts w:ascii="Times New Roman" w:hAnsi="Times New Roman" w:cs="Times New Roman"/>
        </w:rPr>
        <w:t>increase</w:t>
      </w:r>
      <w:r w:rsidR="00F329DF">
        <w:rPr>
          <w:rFonts w:ascii="Times New Roman" w:hAnsi="Times New Roman" w:cs="Times New Roman"/>
        </w:rPr>
        <w:t>d</w:t>
      </w:r>
      <w:r w:rsidR="007C58A2">
        <w:rPr>
          <w:rFonts w:ascii="Times New Roman" w:hAnsi="Times New Roman" w:cs="Times New Roman"/>
        </w:rPr>
        <w:t xml:space="preserve"> by one, </w:t>
      </w:r>
      <w:r w:rsidR="0063538D">
        <w:rPr>
          <w:rFonts w:ascii="Times New Roman" w:hAnsi="Times New Roman" w:cs="Times New Roman"/>
        </w:rPr>
        <w:t xml:space="preserve">firms reduced </w:t>
      </w:r>
      <w:r w:rsidR="007C58A2">
        <w:rPr>
          <w:rFonts w:ascii="Times New Roman" w:hAnsi="Times New Roman" w:cs="Times New Roman"/>
        </w:rPr>
        <w:t>carbon emissions by about 7</w:t>
      </w:r>
      <w:r w:rsidR="00B171A0">
        <w:rPr>
          <w:rFonts w:ascii="Times New Roman" w:hAnsi="Times New Roman" w:cs="Times New Roman"/>
        </w:rPr>
        <w:t>,000 tons.</w:t>
      </w:r>
    </w:p>
    <w:p w14:paraId="696FA42B" w14:textId="77777777" w:rsidR="00A22CF5" w:rsidRDefault="00A22CF5" w:rsidP="00DD286C">
      <w:pPr>
        <w:spacing w:line="480" w:lineRule="auto"/>
        <w:rPr>
          <w:rFonts w:ascii="Times New Roman" w:hAnsi="Times New Roman" w:cs="Times New Roman"/>
          <w:u w:val="single"/>
        </w:rPr>
      </w:pPr>
    </w:p>
    <w:p w14:paraId="48C12749" w14:textId="60B1BF4C" w:rsidR="00A04EB1" w:rsidRPr="00DD286C" w:rsidRDefault="00FB783C" w:rsidP="00DD286C">
      <w:pPr>
        <w:spacing w:line="480" w:lineRule="auto"/>
        <w:rPr>
          <w:rFonts w:ascii="Times New Roman" w:hAnsi="Times New Roman" w:cs="Times New Roman"/>
          <w:u w:val="single"/>
        </w:rPr>
      </w:pPr>
      <w:r w:rsidRPr="007F4DDC">
        <w:rPr>
          <w:rFonts w:ascii="Times New Roman" w:hAnsi="Times New Roman" w:cs="Times New Roman"/>
          <w:u w:val="single"/>
        </w:rPr>
        <w:t xml:space="preserve">Robustness checks </w:t>
      </w:r>
    </w:p>
    <w:p w14:paraId="3C8A41FF" w14:textId="528AF78F" w:rsidR="00335366" w:rsidRPr="003700FD" w:rsidRDefault="00C07323" w:rsidP="00335366">
      <w:pPr>
        <w:spacing w:line="480" w:lineRule="auto"/>
        <w:ind w:firstLine="720"/>
        <w:rPr>
          <w:rFonts w:ascii="Times New Roman" w:hAnsi="Times New Roman" w:cs="Times New Roman"/>
        </w:rPr>
      </w:pPr>
      <w:r>
        <w:rPr>
          <w:rFonts w:ascii="Times New Roman" w:hAnsi="Times New Roman" w:cs="Times New Roman"/>
        </w:rPr>
        <w:t>We face three</w:t>
      </w:r>
      <w:r w:rsidR="00714926" w:rsidRPr="001C780D">
        <w:rPr>
          <w:rFonts w:ascii="Times New Roman" w:hAnsi="Times New Roman" w:cs="Times New Roman"/>
        </w:rPr>
        <w:t xml:space="preserve"> challenges in estimating </w:t>
      </w:r>
      <w:r>
        <w:rPr>
          <w:rFonts w:ascii="Times New Roman" w:hAnsi="Times New Roman" w:cs="Times New Roman"/>
        </w:rPr>
        <w:t xml:space="preserve">the impact of </w:t>
      </w:r>
      <w:r w:rsidRPr="00C07323">
        <w:rPr>
          <w:rFonts w:ascii="Times New Roman" w:hAnsi="Times New Roman" w:cs="Times New Roman"/>
          <w:i/>
        </w:rPr>
        <w:t>Dependence</w:t>
      </w:r>
      <w:r>
        <w:rPr>
          <w:rFonts w:ascii="Times New Roman" w:hAnsi="Times New Roman" w:cs="Times New Roman"/>
        </w:rPr>
        <w:t xml:space="preserve"> on </w:t>
      </w:r>
      <w:r w:rsidR="008C363C" w:rsidRPr="00B0085A">
        <w:rPr>
          <w:rFonts w:ascii="Times New Roman" w:hAnsi="Times New Roman" w:cs="Times New Roman"/>
          <w:i/>
        </w:rPr>
        <w:t>N</w:t>
      </w:r>
      <w:r w:rsidRPr="00B0085A">
        <w:rPr>
          <w:rFonts w:ascii="Times New Roman" w:hAnsi="Times New Roman" w:cs="Times New Roman"/>
          <w:i/>
        </w:rPr>
        <w:t xml:space="preserve">ational transpositions </w:t>
      </w:r>
      <w:r>
        <w:rPr>
          <w:rFonts w:ascii="Times New Roman" w:hAnsi="Times New Roman" w:cs="Times New Roman"/>
        </w:rPr>
        <w:t xml:space="preserve">at the country level. </w:t>
      </w:r>
      <w:r w:rsidR="00714926" w:rsidRPr="001C780D">
        <w:rPr>
          <w:rFonts w:ascii="Times New Roman" w:hAnsi="Times New Roman" w:cs="Times New Roman"/>
        </w:rPr>
        <w:t>First, two countries, Bulgaria and Romania, joined the EU after 2004 (in 2007)</w:t>
      </w:r>
      <w:r w:rsidR="007D12A4">
        <w:rPr>
          <w:rFonts w:ascii="Times New Roman" w:hAnsi="Times New Roman" w:cs="Times New Roman"/>
        </w:rPr>
        <w:t xml:space="preserve">. </w:t>
      </w:r>
      <w:r w:rsidR="00BB17D1">
        <w:rPr>
          <w:rFonts w:ascii="Times New Roman" w:hAnsi="Times New Roman" w:cs="Times New Roman"/>
        </w:rPr>
        <w:t>Although these</w:t>
      </w:r>
      <w:r w:rsidR="007D12A4">
        <w:rPr>
          <w:rFonts w:ascii="Times New Roman" w:hAnsi="Times New Roman" w:cs="Times New Roman"/>
        </w:rPr>
        <w:t xml:space="preserve"> countries </w:t>
      </w:r>
      <w:r w:rsidR="00BB17D1">
        <w:rPr>
          <w:rFonts w:ascii="Times New Roman" w:hAnsi="Times New Roman" w:cs="Times New Roman"/>
        </w:rPr>
        <w:t xml:space="preserve">started to </w:t>
      </w:r>
      <w:r w:rsidR="007D12A4">
        <w:rPr>
          <w:rFonts w:ascii="Times New Roman" w:hAnsi="Times New Roman" w:cs="Times New Roman"/>
        </w:rPr>
        <w:t>receive funding from the EU</w:t>
      </w:r>
      <w:r w:rsidR="00BB17D1">
        <w:rPr>
          <w:rFonts w:ascii="Times New Roman" w:hAnsi="Times New Roman" w:cs="Times New Roman"/>
        </w:rPr>
        <w:t xml:space="preserve"> before they join</w:t>
      </w:r>
      <w:r w:rsidR="008C363C">
        <w:rPr>
          <w:rFonts w:ascii="Times New Roman" w:hAnsi="Times New Roman" w:cs="Times New Roman"/>
        </w:rPr>
        <w:t>ed</w:t>
      </w:r>
      <w:r w:rsidR="007D12A4">
        <w:rPr>
          <w:rFonts w:ascii="Times New Roman" w:hAnsi="Times New Roman" w:cs="Times New Roman"/>
        </w:rPr>
        <w:t xml:space="preserve"> </w:t>
      </w:r>
      <w:r w:rsidR="00BB17D1">
        <w:rPr>
          <w:rFonts w:ascii="Times New Roman" w:hAnsi="Times New Roman" w:cs="Times New Roman"/>
        </w:rPr>
        <w:t>the EU,</w:t>
      </w:r>
      <w:r w:rsidR="007D12A4">
        <w:rPr>
          <w:rFonts w:ascii="Times New Roman" w:hAnsi="Times New Roman" w:cs="Times New Roman"/>
        </w:rPr>
        <w:t xml:space="preserve"> </w:t>
      </w:r>
      <w:r w:rsidR="00BB17D1">
        <w:rPr>
          <w:rFonts w:ascii="Times New Roman" w:hAnsi="Times New Roman" w:cs="Times New Roman"/>
        </w:rPr>
        <w:t xml:space="preserve">they </w:t>
      </w:r>
      <w:r w:rsidR="007D12A4">
        <w:rPr>
          <w:rFonts w:ascii="Times New Roman" w:hAnsi="Times New Roman" w:cs="Times New Roman"/>
        </w:rPr>
        <w:t>did not contribute to the EU</w:t>
      </w:r>
      <w:r w:rsidR="00BB17D1">
        <w:rPr>
          <w:rFonts w:ascii="Times New Roman" w:hAnsi="Times New Roman" w:cs="Times New Roman"/>
        </w:rPr>
        <w:t xml:space="preserve"> in 2004, </w:t>
      </w:r>
      <w:r w:rsidR="007D12A4">
        <w:rPr>
          <w:rFonts w:ascii="Times New Roman" w:hAnsi="Times New Roman" w:cs="Times New Roman"/>
        </w:rPr>
        <w:t xml:space="preserve">and </w:t>
      </w:r>
      <w:r w:rsidR="00BB17D1">
        <w:rPr>
          <w:rFonts w:ascii="Times New Roman" w:hAnsi="Times New Roman" w:cs="Times New Roman"/>
        </w:rPr>
        <w:t xml:space="preserve">thus </w:t>
      </w:r>
      <w:r w:rsidR="007D12A4">
        <w:rPr>
          <w:rFonts w:ascii="Times New Roman" w:hAnsi="Times New Roman" w:cs="Times New Roman"/>
        </w:rPr>
        <w:t xml:space="preserve">the </w:t>
      </w:r>
      <w:r w:rsidR="00714926" w:rsidRPr="001C780D">
        <w:rPr>
          <w:rFonts w:ascii="Times New Roman" w:hAnsi="Times New Roman" w:cs="Times New Roman"/>
          <w:i/>
        </w:rPr>
        <w:t>Dependence</w:t>
      </w:r>
      <w:r w:rsidR="00714926" w:rsidRPr="001C780D">
        <w:rPr>
          <w:rFonts w:ascii="Times New Roman" w:hAnsi="Times New Roman" w:cs="Times New Roman"/>
        </w:rPr>
        <w:t xml:space="preserve"> variable </w:t>
      </w:r>
      <w:r w:rsidR="007D12A4">
        <w:rPr>
          <w:rFonts w:ascii="Times New Roman" w:hAnsi="Times New Roman" w:cs="Times New Roman"/>
        </w:rPr>
        <w:t xml:space="preserve">reflects EU support only. </w:t>
      </w:r>
      <w:r w:rsidR="00BB17D1">
        <w:rPr>
          <w:rFonts w:ascii="Times New Roman" w:hAnsi="Times New Roman" w:cs="Times New Roman"/>
        </w:rPr>
        <w:t xml:space="preserve">In order to make sure that these anomalies do not drive our results, </w:t>
      </w:r>
      <w:r w:rsidR="00F41FAF">
        <w:rPr>
          <w:rFonts w:ascii="Times New Roman" w:hAnsi="Times New Roman" w:cs="Times New Roman"/>
        </w:rPr>
        <w:t xml:space="preserve">we ran regressions </w:t>
      </w:r>
      <w:r w:rsidR="00F41FAF" w:rsidRPr="001C780D">
        <w:rPr>
          <w:rFonts w:ascii="Times New Roman" w:hAnsi="Times New Roman" w:cs="Times New Roman"/>
        </w:rPr>
        <w:t>excluding Bulgaria and Romania</w:t>
      </w:r>
      <w:r w:rsidR="00F41FAF">
        <w:rPr>
          <w:rFonts w:ascii="Times New Roman" w:hAnsi="Times New Roman" w:cs="Times New Roman"/>
        </w:rPr>
        <w:t xml:space="preserve">. Second, </w:t>
      </w:r>
      <w:r w:rsidR="00F41FAF" w:rsidRPr="001C780D">
        <w:rPr>
          <w:rFonts w:ascii="Times New Roman" w:hAnsi="Times New Roman" w:cs="Times New Roman"/>
        </w:rPr>
        <w:t xml:space="preserve">our key independent variable, </w:t>
      </w:r>
      <w:r w:rsidR="00F41FAF" w:rsidRPr="001C780D">
        <w:rPr>
          <w:rFonts w:ascii="Times New Roman" w:hAnsi="Times New Roman" w:cs="Times New Roman"/>
          <w:i/>
        </w:rPr>
        <w:t>Dependence</w:t>
      </w:r>
      <w:r w:rsidR="00F41FAF" w:rsidRPr="001C780D">
        <w:rPr>
          <w:rFonts w:ascii="Times New Roman" w:hAnsi="Times New Roman" w:cs="Times New Roman"/>
        </w:rPr>
        <w:t xml:space="preserve">, which is measured with </w:t>
      </w:r>
      <w:r w:rsidR="003C46F3">
        <w:rPr>
          <w:rFonts w:ascii="Times New Roman" w:hAnsi="Times New Roman" w:cs="Times New Roman"/>
        </w:rPr>
        <w:t xml:space="preserve">net </w:t>
      </w:r>
      <w:r w:rsidR="00F41FAF" w:rsidRPr="001C780D">
        <w:rPr>
          <w:rFonts w:ascii="Times New Roman" w:hAnsi="Times New Roman" w:cs="Times New Roman"/>
        </w:rPr>
        <w:t>EU funding for each country, may not be randomly assigned</w:t>
      </w:r>
      <w:r w:rsidR="00F41FAF">
        <w:rPr>
          <w:rFonts w:ascii="Times New Roman" w:hAnsi="Times New Roman" w:cs="Times New Roman"/>
        </w:rPr>
        <w:t xml:space="preserve"> because </w:t>
      </w:r>
      <w:r w:rsidR="00F41FAF" w:rsidRPr="001C780D">
        <w:rPr>
          <w:rFonts w:ascii="Times New Roman" w:hAnsi="Times New Roman" w:cs="Times New Roman"/>
        </w:rPr>
        <w:t xml:space="preserve">countries that joined the EU since 2004 tend to rely more heavily on EU funding than </w:t>
      </w:r>
      <w:r w:rsidR="00F41FAF">
        <w:rPr>
          <w:rFonts w:ascii="Times New Roman" w:hAnsi="Times New Roman" w:cs="Times New Roman"/>
        </w:rPr>
        <w:t>those</w:t>
      </w:r>
      <w:r w:rsidR="00F41FAF" w:rsidRPr="001C780D">
        <w:rPr>
          <w:rFonts w:ascii="Times New Roman" w:hAnsi="Times New Roman" w:cs="Times New Roman"/>
        </w:rPr>
        <w:t xml:space="preserve"> that joined the EU earlier.</w:t>
      </w:r>
      <w:r w:rsidR="00F41FAF" w:rsidRPr="001C780D">
        <w:rPr>
          <w:rStyle w:val="FootnoteReference"/>
          <w:rFonts w:ascii="Times New Roman" w:hAnsi="Times New Roman" w:cs="Times New Roman"/>
        </w:rPr>
        <w:footnoteReference w:id="14"/>
      </w:r>
      <w:r w:rsidR="00F41FAF">
        <w:rPr>
          <w:rFonts w:ascii="Times New Roman" w:hAnsi="Times New Roman" w:cs="Times New Roman"/>
        </w:rPr>
        <w:t xml:space="preserve"> To address this issue, we created a dummy variable that indicates EU earlier joiner countries (EU 15) and </w:t>
      </w:r>
      <w:r w:rsidR="00335366">
        <w:rPr>
          <w:rFonts w:ascii="Times New Roman" w:hAnsi="Times New Roman" w:cs="Times New Roman"/>
        </w:rPr>
        <w:t xml:space="preserve">used </w:t>
      </w:r>
      <w:r w:rsidR="008C363C">
        <w:rPr>
          <w:rFonts w:ascii="Times New Roman" w:hAnsi="Times New Roman" w:cs="Times New Roman"/>
        </w:rPr>
        <w:t xml:space="preserve">it </w:t>
      </w:r>
      <w:r w:rsidR="00335366">
        <w:rPr>
          <w:rFonts w:ascii="Times New Roman" w:hAnsi="Times New Roman" w:cs="Times New Roman"/>
        </w:rPr>
        <w:t xml:space="preserve">as an additional control variable. Third, </w:t>
      </w:r>
      <w:r w:rsidR="00335366" w:rsidRPr="001C780D">
        <w:rPr>
          <w:rFonts w:ascii="Times New Roman" w:hAnsi="Times New Roman" w:cs="Times New Roman"/>
        </w:rPr>
        <w:t xml:space="preserve">one might argue that joint implementation matters. Joint implementation is a program under the Kyoto Protocol that allows countries to meet part of their </w:t>
      </w:r>
      <w:r w:rsidR="00335366">
        <w:rPr>
          <w:rFonts w:ascii="Times New Roman" w:hAnsi="Times New Roman" w:cs="Times New Roman"/>
        </w:rPr>
        <w:t>emissions</w:t>
      </w:r>
      <w:r w:rsidR="00335366" w:rsidRPr="001C780D">
        <w:rPr>
          <w:rFonts w:ascii="Times New Roman" w:hAnsi="Times New Roman" w:cs="Times New Roman"/>
        </w:rPr>
        <w:t xml:space="preserve"> cuts by </w:t>
      </w:r>
      <w:r w:rsidR="00335366" w:rsidRPr="001C780D">
        <w:rPr>
          <w:rFonts w:ascii="Times New Roman" w:hAnsi="Times New Roman" w:cs="Times New Roman"/>
        </w:rPr>
        <w:lastRenderedPageBreak/>
        <w:t>reducing emissions outside of the country.</w:t>
      </w:r>
      <w:r w:rsidR="00335366" w:rsidRPr="001C780D">
        <w:rPr>
          <w:rStyle w:val="FootnoteReference"/>
          <w:rFonts w:ascii="Times New Roman" w:hAnsi="Times New Roman" w:cs="Times New Roman"/>
        </w:rPr>
        <w:footnoteReference w:id="15"/>
      </w:r>
      <w:r w:rsidR="00335366" w:rsidRPr="001C780D">
        <w:rPr>
          <w:rFonts w:ascii="Times New Roman" w:hAnsi="Times New Roman" w:cs="Times New Roman"/>
        </w:rPr>
        <w:t xml:space="preserve"> </w:t>
      </w:r>
      <w:r w:rsidR="00DA3F7A">
        <w:rPr>
          <w:rFonts w:ascii="Times New Roman" w:hAnsi="Times New Roman" w:cs="Times New Roman"/>
        </w:rPr>
        <w:t>Accordingly</w:t>
      </w:r>
      <w:r w:rsidR="00335366">
        <w:rPr>
          <w:rFonts w:ascii="Times New Roman" w:hAnsi="Times New Roman" w:cs="Times New Roman"/>
        </w:rPr>
        <w:t>, w</w:t>
      </w:r>
      <w:r w:rsidR="00335366" w:rsidRPr="001C780D">
        <w:rPr>
          <w:rFonts w:ascii="Times New Roman" w:hAnsi="Times New Roman" w:cs="Times New Roman"/>
        </w:rPr>
        <w:t xml:space="preserve">e collected </w:t>
      </w:r>
      <w:r w:rsidR="00335366">
        <w:rPr>
          <w:rFonts w:ascii="Times New Roman" w:hAnsi="Times New Roman" w:cs="Times New Roman"/>
        </w:rPr>
        <w:t>this</w:t>
      </w:r>
      <w:r w:rsidR="00335366" w:rsidRPr="001C780D">
        <w:rPr>
          <w:rFonts w:ascii="Times New Roman" w:hAnsi="Times New Roman" w:cs="Times New Roman"/>
        </w:rPr>
        <w:t xml:space="preserve"> data </w:t>
      </w:r>
      <w:r w:rsidR="00335366" w:rsidRPr="001C780D">
        <w:rPr>
          <w:rFonts w:ascii="Times New Roman" w:eastAsia="Times New Roman" w:hAnsi="Times New Roman" w:cs="Times New Roman"/>
          <w:color w:val="222222"/>
          <w:shd w:val="clear" w:color="auto" w:fill="FFFFFF"/>
        </w:rPr>
        <w:t>from the United Nations Framework Convention on Climate Change (UNFCC) Joint Implementation website</w:t>
      </w:r>
      <w:r w:rsidR="00335366">
        <w:rPr>
          <w:rStyle w:val="FootnoteReference"/>
          <w:rFonts w:ascii="Times New Roman" w:eastAsia="Times New Roman" w:hAnsi="Times New Roman" w:cs="Times New Roman"/>
          <w:color w:val="222222"/>
          <w:shd w:val="clear" w:color="auto" w:fill="FFFFFF"/>
        </w:rPr>
        <w:footnoteReference w:id="16"/>
      </w:r>
      <w:r w:rsidR="00335366">
        <w:rPr>
          <w:rFonts w:ascii="Times New Roman" w:eastAsia="Times New Roman" w:hAnsi="Times New Roman" w:cs="Times New Roman"/>
          <w:color w:val="222222"/>
          <w:shd w:val="clear" w:color="auto" w:fill="FFFFFF"/>
        </w:rPr>
        <w:t xml:space="preserve"> and used </w:t>
      </w:r>
      <w:r w:rsidR="008C363C">
        <w:rPr>
          <w:rFonts w:ascii="Times New Roman" w:eastAsia="Times New Roman" w:hAnsi="Times New Roman" w:cs="Times New Roman"/>
          <w:color w:val="222222"/>
          <w:shd w:val="clear" w:color="auto" w:fill="FFFFFF"/>
        </w:rPr>
        <w:t xml:space="preserve">it </w:t>
      </w:r>
      <w:r w:rsidR="00335366">
        <w:rPr>
          <w:rFonts w:ascii="Times New Roman" w:eastAsia="Times New Roman" w:hAnsi="Times New Roman" w:cs="Times New Roman"/>
          <w:color w:val="222222"/>
          <w:shd w:val="clear" w:color="auto" w:fill="FFFFFF"/>
        </w:rPr>
        <w:t xml:space="preserve">as an additional control variable. As shown in Table 4, </w:t>
      </w:r>
      <w:r w:rsidR="00FB32AC">
        <w:rPr>
          <w:rFonts w:ascii="Times New Roman" w:eastAsia="Times New Roman" w:hAnsi="Times New Roman" w:cs="Times New Roman"/>
          <w:color w:val="222222"/>
          <w:shd w:val="clear" w:color="auto" w:fill="FFFFFF"/>
        </w:rPr>
        <w:t>our</w:t>
      </w:r>
      <w:r w:rsidR="00335366">
        <w:rPr>
          <w:rFonts w:ascii="Times New Roman" w:eastAsia="Times New Roman" w:hAnsi="Times New Roman" w:cs="Times New Roman"/>
          <w:color w:val="222222"/>
          <w:shd w:val="clear" w:color="auto" w:fill="FFFFFF"/>
        </w:rPr>
        <w:t xml:space="preserve"> main results hold in all three cases </w:t>
      </w:r>
      <w:r w:rsidR="00DA3F7A">
        <w:rPr>
          <w:rFonts w:ascii="Times New Roman" w:eastAsia="Times New Roman" w:hAnsi="Times New Roman" w:cs="Times New Roman"/>
          <w:color w:val="222222"/>
          <w:shd w:val="clear" w:color="auto" w:fill="FFFFFF"/>
        </w:rPr>
        <w:t>described above</w:t>
      </w:r>
      <w:r w:rsidR="00A419EB">
        <w:rPr>
          <w:rFonts w:ascii="Times New Roman" w:eastAsia="Times New Roman" w:hAnsi="Times New Roman" w:cs="Times New Roman"/>
          <w:color w:val="222222"/>
          <w:shd w:val="clear" w:color="auto" w:fill="FFFFFF"/>
        </w:rPr>
        <w:t>,</w:t>
      </w:r>
      <w:r w:rsidR="00DA3F7A">
        <w:rPr>
          <w:rFonts w:ascii="Times New Roman" w:eastAsia="Times New Roman" w:hAnsi="Times New Roman" w:cs="Times New Roman"/>
          <w:color w:val="222222"/>
          <w:shd w:val="clear" w:color="auto" w:fill="FFFFFF"/>
        </w:rPr>
        <w:t xml:space="preserve"> </w:t>
      </w:r>
      <w:r w:rsidR="00335366" w:rsidRPr="003700FD">
        <w:rPr>
          <w:rFonts w:ascii="Times New Roman" w:eastAsia="Times New Roman" w:hAnsi="Times New Roman" w:cs="Times New Roman"/>
          <w:color w:val="222222"/>
          <w:shd w:val="clear" w:color="auto" w:fill="FFFFFF"/>
        </w:rPr>
        <w:t xml:space="preserve">and </w:t>
      </w:r>
      <w:r w:rsidR="00335366" w:rsidRPr="003700FD">
        <w:rPr>
          <w:rFonts w:ascii="Times New Roman" w:hAnsi="Times New Roman" w:cs="Times New Roman"/>
        </w:rPr>
        <w:t xml:space="preserve">the </w:t>
      </w:r>
      <w:r w:rsidR="00A419EB">
        <w:rPr>
          <w:rFonts w:ascii="Times New Roman" w:hAnsi="Times New Roman" w:cs="Times New Roman"/>
        </w:rPr>
        <w:t>effects</w:t>
      </w:r>
      <w:r w:rsidR="00335366" w:rsidRPr="003700FD">
        <w:rPr>
          <w:rFonts w:ascii="Times New Roman" w:hAnsi="Times New Roman" w:cs="Times New Roman"/>
        </w:rPr>
        <w:t xml:space="preserve"> of the control variables are similar. </w:t>
      </w:r>
    </w:p>
    <w:p w14:paraId="64135804" w14:textId="74BB854F" w:rsidR="00433456" w:rsidRPr="003700FD" w:rsidRDefault="00433456" w:rsidP="00433456">
      <w:pPr>
        <w:spacing w:line="480" w:lineRule="auto"/>
        <w:jc w:val="center"/>
        <w:rPr>
          <w:rFonts w:ascii="Times New Roman" w:hAnsi="Times New Roman" w:cs="Times New Roman"/>
        </w:rPr>
      </w:pPr>
      <w:r w:rsidRPr="003700FD">
        <w:rPr>
          <w:rFonts w:ascii="Times New Roman" w:hAnsi="Times New Roman" w:cs="Times New Roman"/>
        </w:rPr>
        <w:t>[Table 4 about here]</w:t>
      </w:r>
    </w:p>
    <w:p w14:paraId="7D0D8446" w14:textId="0D715435" w:rsidR="000639E2" w:rsidRPr="003700FD" w:rsidRDefault="00D00BC2" w:rsidP="00433456">
      <w:pPr>
        <w:spacing w:line="480" w:lineRule="auto"/>
        <w:ind w:firstLine="720"/>
        <w:rPr>
          <w:rFonts w:ascii="Times New Roman" w:hAnsi="Times New Roman" w:cs="Times New Roman"/>
        </w:rPr>
      </w:pPr>
      <w:r w:rsidRPr="003700FD">
        <w:rPr>
          <w:rFonts w:ascii="Times New Roman" w:hAnsi="Times New Roman" w:cs="Times New Roman"/>
        </w:rPr>
        <w:t xml:space="preserve">Regarding our second </w:t>
      </w:r>
      <w:r w:rsidR="005540A8" w:rsidRPr="003700FD">
        <w:rPr>
          <w:rFonts w:ascii="Times New Roman" w:hAnsi="Times New Roman" w:cs="Times New Roman"/>
        </w:rPr>
        <w:t xml:space="preserve">analysis at the </w:t>
      </w:r>
      <w:r w:rsidRPr="003700FD">
        <w:rPr>
          <w:rFonts w:ascii="Times New Roman" w:hAnsi="Times New Roman" w:cs="Times New Roman"/>
        </w:rPr>
        <w:t xml:space="preserve">firm level, </w:t>
      </w:r>
      <w:r w:rsidR="005540A8" w:rsidRPr="003700FD">
        <w:rPr>
          <w:rFonts w:ascii="Times New Roman" w:hAnsi="Times New Roman" w:cs="Times New Roman"/>
        </w:rPr>
        <w:t xml:space="preserve">we face </w:t>
      </w:r>
      <w:r w:rsidR="009F4CD1" w:rsidRPr="003700FD">
        <w:rPr>
          <w:rFonts w:ascii="Times New Roman" w:hAnsi="Times New Roman" w:cs="Times New Roman"/>
        </w:rPr>
        <w:t xml:space="preserve">two </w:t>
      </w:r>
      <w:r w:rsidR="005540A8" w:rsidRPr="003700FD">
        <w:rPr>
          <w:rFonts w:ascii="Times New Roman" w:hAnsi="Times New Roman" w:cs="Times New Roman"/>
        </w:rPr>
        <w:t>challenge</w:t>
      </w:r>
      <w:r w:rsidR="009F4CD1" w:rsidRPr="003700FD">
        <w:rPr>
          <w:rFonts w:ascii="Times New Roman" w:hAnsi="Times New Roman" w:cs="Times New Roman"/>
        </w:rPr>
        <w:t xml:space="preserve">s. The first </w:t>
      </w:r>
      <w:r w:rsidR="00995ACD" w:rsidRPr="003700FD">
        <w:rPr>
          <w:rFonts w:ascii="Times New Roman" w:hAnsi="Times New Roman" w:cs="Times New Roman"/>
        </w:rPr>
        <w:t>challenge</w:t>
      </w:r>
      <w:r w:rsidR="009F4CD1" w:rsidRPr="003700FD">
        <w:rPr>
          <w:rFonts w:ascii="Times New Roman" w:hAnsi="Times New Roman" w:cs="Times New Roman"/>
        </w:rPr>
        <w:t xml:space="preserve"> is </w:t>
      </w:r>
      <w:r w:rsidR="005540A8" w:rsidRPr="003700FD">
        <w:rPr>
          <w:rFonts w:ascii="Times New Roman" w:hAnsi="Times New Roman" w:cs="Times New Roman"/>
        </w:rPr>
        <w:t>that</w:t>
      </w:r>
      <w:r w:rsidR="001E5451" w:rsidRPr="003700FD">
        <w:rPr>
          <w:rFonts w:ascii="Times New Roman" w:hAnsi="Times New Roman" w:cs="Times New Roman"/>
        </w:rPr>
        <w:t xml:space="preserve"> </w:t>
      </w:r>
      <w:r w:rsidR="000639E2" w:rsidRPr="003700FD">
        <w:rPr>
          <w:rFonts w:ascii="Times New Roman" w:hAnsi="Times New Roman" w:cs="Times New Roman"/>
        </w:rPr>
        <w:t xml:space="preserve">firms </w:t>
      </w:r>
      <w:r w:rsidR="005540A8" w:rsidRPr="003700FD">
        <w:rPr>
          <w:rFonts w:ascii="Times New Roman" w:hAnsi="Times New Roman" w:cs="Times New Roman"/>
        </w:rPr>
        <w:t xml:space="preserve">that operate in countries that joined the EU more recently </w:t>
      </w:r>
      <w:r w:rsidR="001E5451" w:rsidRPr="003700FD">
        <w:rPr>
          <w:rFonts w:ascii="Times New Roman" w:hAnsi="Times New Roman" w:cs="Times New Roman"/>
        </w:rPr>
        <w:t>may differ from those that operate in countries that joined the EU early. In particular, firms in countries that joined the EU more recently m</w:t>
      </w:r>
      <w:r w:rsidR="005540A8" w:rsidRPr="003700FD">
        <w:rPr>
          <w:rFonts w:ascii="Times New Roman" w:hAnsi="Times New Roman" w:cs="Times New Roman"/>
        </w:rPr>
        <w:t>ay</w:t>
      </w:r>
      <w:r w:rsidR="001E5451" w:rsidRPr="003700FD">
        <w:rPr>
          <w:rFonts w:ascii="Times New Roman" w:hAnsi="Times New Roman" w:cs="Times New Roman"/>
        </w:rPr>
        <w:t xml:space="preserve"> use more outdated </w:t>
      </w:r>
      <w:r w:rsidR="000639E2" w:rsidRPr="003700FD">
        <w:rPr>
          <w:rFonts w:ascii="Times New Roman" w:hAnsi="Times New Roman" w:cs="Times New Roman"/>
        </w:rPr>
        <w:t>fossil</w:t>
      </w:r>
      <w:r w:rsidR="007F0EB4">
        <w:rPr>
          <w:rFonts w:ascii="Times New Roman" w:hAnsi="Times New Roman" w:cs="Times New Roman"/>
        </w:rPr>
        <w:t xml:space="preserve"> </w:t>
      </w:r>
      <w:r w:rsidR="000639E2" w:rsidRPr="003700FD">
        <w:rPr>
          <w:rFonts w:ascii="Times New Roman" w:hAnsi="Times New Roman" w:cs="Times New Roman"/>
        </w:rPr>
        <w:t>fuel-bas</w:t>
      </w:r>
      <w:r w:rsidR="001E5451" w:rsidRPr="003700FD">
        <w:rPr>
          <w:rFonts w:ascii="Times New Roman" w:hAnsi="Times New Roman" w:cs="Times New Roman"/>
        </w:rPr>
        <w:t xml:space="preserve">ed technology, </w:t>
      </w:r>
      <w:r w:rsidR="000639E2" w:rsidRPr="003700FD">
        <w:rPr>
          <w:rFonts w:ascii="Times New Roman" w:hAnsi="Times New Roman" w:cs="Times New Roman"/>
        </w:rPr>
        <w:t xml:space="preserve">emitting more </w:t>
      </w:r>
      <w:r w:rsidR="00D31108" w:rsidRPr="003700FD">
        <w:rPr>
          <w:rFonts w:ascii="Times New Roman" w:hAnsi="Times New Roman" w:cs="Times New Roman"/>
        </w:rPr>
        <w:t xml:space="preserve">GHG </w:t>
      </w:r>
      <w:r w:rsidR="000639E2" w:rsidRPr="003700FD">
        <w:rPr>
          <w:rFonts w:ascii="Times New Roman" w:hAnsi="Times New Roman" w:cs="Times New Roman"/>
        </w:rPr>
        <w:t xml:space="preserve">emissions and leaving more room for future emissions reduction, </w:t>
      </w:r>
      <w:r w:rsidR="001E5451" w:rsidRPr="003700FD">
        <w:rPr>
          <w:rFonts w:ascii="Times New Roman" w:hAnsi="Times New Roman" w:cs="Times New Roman"/>
        </w:rPr>
        <w:t xml:space="preserve">in which case </w:t>
      </w:r>
      <w:r w:rsidR="000639E2" w:rsidRPr="003700FD">
        <w:rPr>
          <w:rFonts w:ascii="Times New Roman" w:hAnsi="Times New Roman" w:cs="Times New Roman"/>
        </w:rPr>
        <w:t xml:space="preserve">we could mistakenly attribute </w:t>
      </w:r>
      <w:r w:rsidR="00FD0BF6">
        <w:rPr>
          <w:rFonts w:ascii="Times New Roman" w:hAnsi="Times New Roman" w:cs="Times New Roman"/>
        </w:rPr>
        <w:t>GHG</w:t>
      </w:r>
      <w:r w:rsidR="000639E2" w:rsidRPr="003700FD">
        <w:rPr>
          <w:rFonts w:ascii="Times New Roman" w:hAnsi="Times New Roman" w:cs="Times New Roman"/>
        </w:rPr>
        <w:t xml:space="preserve"> emissions reduction</w:t>
      </w:r>
      <w:r w:rsidR="001E5451" w:rsidRPr="003700FD">
        <w:rPr>
          <w:rFonts w:ascii="Times New Roman" w:hAnsi="Times New Roman" w:cs="Times New Roman"/>
        </w:rPr>
        <w:t>s</w:t>
      </w:r>
      <w:r w:rsidR="000639E2" w:rsidRPr="003700FD">
        <w:rPr>
          <w:rFonts w:ascii="Times New Roman" w:hAnsi="Times New Roman" w:cs="Times New Roman"/>
        </w:rPr>
        <w:t xml:space="preserve"> to </w:t>
      </w:r>
      <w:r w:rsidR="00FD0BF6">
        <w:rPr>
          <w:rFonts w:ascii="Times New Roman" w:hAnsi="Times New Roman" w:cs="Times New Roman"/>
        </w:rPr>
        <w:t>resource dependency</w:t>
      </w:r>
      <w:r w:rsidR="000639E2" w:rsidRPr="003700FD">
        <w:rPr>
          <w:rFonts w:ascii="Times New Roman" w:hAnsi="Times New Roman" w:cs="Times New Roman"/>
        </w:rPr>
        <w:t xml:space="preserve">. To address this issue, </w:t>
      </w:r>
      <w:r w:rsidR="00D31108" w:rsidRPr="003700FD">
        <w:rPr>
          <w:rFonts w:ascii="Times New Roman" w:hAnsi="Times New Roman" w:cs="Times New Roman"/>
        </w:rPr>
        <w:t>i</w:t>
      </w:r>
      <w:r w:rsidR="001E5451" w:rsidRPr="003700FD">
        <w:rPr>
          <w:rFonts w:ascii="Times New Roman" w:hAnsi="Times New Roman" w:cs="Times New Roman"/>
        </w:rPr>
        <w:t xml:space="preserve">n our robustness checks, </w:t>
      </w:r>
      <w:r w:rsidR="000639E2" w:rsidRPr="003700FD">
        <w:rPr>
          <w:rFonts w:ascii="Times New Roman" w:hAnsi="Times New Roman" w:cs="Times New Roman"/>
          <w:color w:val="222222"/>
          <w:shd w:val="clear" w:color="auto" w:fill="FFFFFF"/>
        </w:rPr>
        <w:t>we use coarsened exact matching (CEM) (</w:t>
      </w:r>
      <w:proofErr w:type="spellStart"/>
      <w:r w:rsidR="000639E2" w:rsidRPr="003700FD">
        <w:rPr>
          <w:rFonts w:ascii="Times New Roman" w:hAnsi="Times New Roman" w:cs="Times New Roman"/>
          <w:color w:val="222222"/>
          <w:shd w:val="clear" w:color="auto" w:fill="FFFFFF"/>
        </w:rPr>
        <w:t>Iacus</w:t>
      </w:r>
      <w:proofErr w:type="spellEnd"/>
      <w:r w:rsidR="000639E2" w:rsidRPr="003700FD">
        <w:rPr>
          <w:rFonts w:ascii="Times New Roman" w:hAnsi="Times New Roman" w:cs="Times New Roman"/>
          <w:color w:val="222222"/>
          <w:shd w:val="clear" w:color="auto" w:fill="FFFFFF"/>
        </w:rPr>
        <w:t xml:space="preserve">, King, &amp; </w:t>
      </w:r>
      <w:proofErr w:type="spellStart"/>
      <w:r w:rsidR="000639E2" w:rsidRPr="003700FD">
        <w:rPr>
          <w:rFonts w:ascii="Times New Roman" w:hAnsi="Times New Roman" w:cs="Times New Roman"/>
          <w:color w:val="222222"/>
          <w:shd w:val="clear" w:color="auto" w:fill="FFFFFF"/>
        </w:rPr>
        <w:t>Porro</w:t>
      </w:r>
      <w:proofErr w:type="spellEnd"/>
      <w:r w:rsidR="000639E2" w:rsidRPr="003700FD">
        <w:rPr>
          <w:rFonts w:ascii="Times New Roman" w:hAnsi="Times New Roman" w:cs="Times New Roman"/>
          <w:color w:val="222222"/>
          <w:shd w:val="clear" w:color="auto" w:fill="FFFFFF"/>
        </w:rPr>
        <w:t>, 2012) to account for unobservable heterogeneity across firms that might influence firms’ GHG emissions reduction over time. In particular, larger firms have greater potential f</w:t>
      </w:r>
      <w:r w:rsidR="007F0EB4">
        <w:rPr>
          <w:rFonts w:ascii="Times New Roman" w:hAnsi="Times New Roman" w:cs="Times New Roman"/>
          <w:color w:val="222222"/>
          <w:shd w:val="clear" w:color="auto" w:fill="FFFFFF"/>
        </w:rPr>
        <w:t xml:space="preserve">or scale efficiency, and fossil </w:t>
      </w:r>
      <w:r w:rsidR="000639E2" w:rsidRPr="003700FD">
        <w:rPr>
          <w:rFonts w:ascii="Times New Roman" w:hAnsi="Times New Roman" w:cs="Times New Roman"/>
          <w:color w:val="222222"/>
          <w:shd w:val="clear" w:color="auto" w:fill="FFFFFF"/>
        </w:rPr>
        <w:t>fuel-intensive firms have greater potential for fuel replacement and hence improvement in energy efficiency. Therefore, larger and/or more fossil-fuel-intensive firms are likely to experience greater GHG emissions reduction.</w:t>
      </w:r>
      <w:r w:rsidR="00FD0BF6">
        <w:rPr>
          <w:rFonts w:ascii="Times New Roman" w:hAnsi="Times New Roman" w:cs="Times New Roman"/>
          <w:color w:val="222222"/>
          <w:shd w:val="clear" w:color="auto" w:fill="FFFFFF"/>
        </w:rPr>
        <w:t xml:space="preserve"> Applying </w:t>
      </w:r>
      <w:r w:rsidR="00D31108" w:rsidRPr="003700FD">
        <w:rPr>
          <w:rFonts w:ascii="Times New Roman" w:hAnsi="Times New Roman" w:cs="Times New Roman"/>
          <w:color w:val="222222"/>
          <w:shd w:val="clear" w:color="auto" w:fill="FFFFFF"/>
        </w:rPr>
        <w:t xml:space="preserve">CEM </w:t>
      </w:r>
      <w:r w:rsidR="00D31108" w:rsidRPr="003700FD">
        <w:rPr>
          <w:rFonts w:ascii="Times New Roman" w:hAnsi="Times New Roman" w:cs="Times New Roman"/>
        </w:rPr>
        <w:t xml:space="preserve">based on firm size and fossil fuel </w:t>
      </w:r>
      <w:r w:rsidR="00433456" w:rsidRPr="003700FD">
        <w:rPr>
          <w:rFonts w:ascii="Times New Roman" w:hAnsi="Times New Roman" w:cs="Times New Roman"/>
        </w:rPr>
        <w:t>usage</w:t>
      </w:r>
      <w:r w:rsidR="00D31108" w:rsidRPr="003700FD">
        <w:rPr>
          <w:rFonts w:ascii="Times New Roman" w:hAnsi="Times New Roman" w:cs="Times New Roman"/>
        </w:rPr>
        <w:t xml:space="preserve"> for year 2004 </w:t>
      </w:r>
      <w:r w:rsidR="00D31108" w:rsidRPr="003700FD">
        <w:rPr>
          <w:rFonts w:ascii="Times New Roman" w:hAnsi="Times New Roman" w:cs="Times New Roman"/>
          <w:color w:val="222222"/>
          <w:shd w:val="clear" w:color="auto" w:fill="FFFFFF"/>
        </w:rPr>
        <w:t xml:space="preserve">using the </w:t>
      </w:r>
      <w:r w:rsidR="00D31108" w:rsidRPr="003700FD">
        <w:rPr>
          <w:rFonts w:ascii="Times New Roman" w:hAnsi="Times New Roman" w:cs="Times New Roman"/>
        </w:rPr>
        <w:t>default bin</w:t>
      </w:r>
      <w:r w:rsidR="00433456" w:rsidRPr="003700FD">
        <w:rPr>
          <w:rFonts w:ascii="Times New Roman" w:hAnsi="Times New Roman" w:cs="Times New Roman"/>
        </w:rPr>
        <w:t>n</w:t>
      </w:r>
      <w:r w:rsidR="00D31108" w:rsidRPr="003700FD">
        <w:rPr>
          <w:rFonts w:ascii="Times New Roman" w:hAnsi="Times New Roman" w:cs="Times New Roman"/>
        </w:rPr>
        <w:t>ing algorithm in Stata, Scott’s rule</w:t>
      </w:r>
      <w:r w:rsidR="00433456" w:rsidRPr="003700FD">
        <w:rPr>
          <w:rFonts w:ascii="Times New Roman" w:hAnsi="Times New Roman" w:cs="Times New Roman"/>
        </w:rPr>
        <w:t>,</w:t>
      </w:r>
      <w:r w:rsidR="00D31108" w:rsidRPr="003700FD">
        <w:rPr>
          <w:rFonts w:ascii="Times New Roman" w:hAnsi="Times New Roman" w:cs="Times New Roman"/>
        </w:rPr>
        <w:t xml:space="preserve"> </w:t>
      </w:r>
      <w:r w:rsidR="00FD0BF6">
        <w:rPr>
          <w:rFonts w:ascii="Times New Roman" w:hAnsi="Times New Roman" w:cs="Times New Roman"/>
        </w:rPr>
        <w:t xml:space="preserve">led to </w:t>
      </w:r>
      <w:r w:rsidR="00EF6A73" w:rsidRPr="003700FD">
        <w:rPr>
          <w:rFonts w:ascii="Times New Roman" w:hAnsi="Times New Roman" w:cs="Times New Roman"/>
        </w:rPr>
        <w:t>drop</w:t>
      </w:r>
      <w:r w:rsidR="00FD0BF6">
        <w:rPr>
          <w:rFonts w:ascii="Times New Roman" w:hAnsi="Times New Roman" w:cs="Times New Roman"/>
        </w:rPr>
        <w:t>ping</w:t>
      </w:r>
      <w:r w:rsidR="00EF6A73" w:rsidRPr="003700FD">
        <w:rPr>
          <w:rFonts w:ascii="Times New Roman" w:hAnsi="Times New Roman" w:cs="Times New Roman"/>
        </w:rPr>
        <w:t xml:space="preserve"> more than 20% of our firm-level observations and </w:t>
      </w:r>
      <w:r w:rsidR="00433456" w:rsidRPr="003700FD">
        <w:rPr>
          <w:rFonts w:ascii="Times New Roman" w:hAnsi="Times New Roman" w:cs="Times New Roman"/>
        </w:rPr>
        <w:t>resulted in</w:t>
      </w:r>
      <w:r w:rsidR="00D31108" w:rsidRPr="003700FD">
        <w:rPr>
          <w:rFonts w:ascii="Times New Roman" w:hAnsi="Times New Roman" w:cs="Times New Roman"/>
        </w:rPr>
        <w:t xml:space="preserve"> 337 observations (out of 422)</w:t>
      </w:r>
      <w:r w:rsidR="00433456" w:rsidRPr="003700FD">
        <w:rPr>
          <w:rFonts w:ascii="Times New Roman" w:hAnsi="Times New Roman" w:cs="Times New Roman"/>
        </w:rPr>
        <w:t>. We ran the same regressions as in Table</w:t>
      </w:r>
      <w:r w:rsidR="00B85E39">
        <w:rPr>
          <w:rFonts w:ascii="Times New Roman" w:hAnsi="Times New Roman" w:cs="Times New Roman"/>
        </w:rPr>
        <w:t xml:space="preserve"> </w:t>
      </w:r>
      <w:r w:rsidR="00433456" w:rsidRPr="003700FD">
        <w:rPr>
          <w:rFonts w:ascii="Times New Roman" w:hAnsi="Times New Roman" w:cs="Times New Roman"/>
        </w:rPr>
        <w:t xml:space="preserve">3 </w:t>
      </w:r>
      <w:r w:rsidR="00EF6A73" w:rsidRPr="003700FD">
        <w:rPr>
          <w:rFonts w:ascii="Times New Roman" w:hAnsi="Times New Roman" w:cs="Times New Roman"/>
        </w:rPr>
        <w:t xml:space="preserve">using the 337 observations, </w:t>
      </w:r>
      <w:r w:rsidR="00433456" w:rsidRPr="003700FD">
        <w:rPr>
          <w:rFonts w:ascii="Times New Roman" w:hAnsi="Times New Roman" w:cs="Times New Roman"/>
        </w:rPr>
        <w:t xml:space="preserve">and as shown in the first two columns of Table 5, the results are very similar. </w:t>
      </w:r>
    </w:p>
    <w:p w14:paraId="58F60B6D" w14:textId="02661DAB" w:rsidR="00433456" w:rsidRPr="003700FD" w:rsidRDefault="00433456" w:rsidP="00433456">
      <w:pPr>
        <w:spacing w:line="480" w:lineRule="auto"/>
        <w:jc w:val="center"/>
        <w:rPr>
          <w:rFonts w:ascii="Times New Roman" w:hAnsi="Times New Roman" w:cs="Times New Roman"/>
        </w:rPr>
      </w:pPr>
      <w:r w:rsidRPr="003700FD">
        <w:rPr>
          <w:rFonts w:ascii="Times New Roman" w:hAnsi="Times New Roman" w:cs="Times New Roman"/>
        </w:rPr>
        <w:lastRenderedPageBreak/>
        <w:t>[Table 5 about here]</w:t>
      </w:r>
    </w:p>
    <w:p w14:paraId="45395AC5" w14:textId="3847FBF8" w:rsidR="00DD2B33" w:rsidRPr="003700FD" w:rsidRDefault="009F4CD1" w:rsidP="00274846">
      <w:pPr>
        <w:spacing w:line="480" w:lineRule="auto"/>
        <w:rPr>
          <w:rFonts w:ascii="Times New Roman" w:eastAsia="Times New Roman" w:hAnsi="Times New Roman" w:cs="Times New Roman"/>
          <w:color w:val="222222"/>
          <w:shd w:val="clear" w:color="auto" w:fill="FFFFFF"/>
        </w:rPr>
      </w:pPr>
      <w:r w:rsidRPr="003700FD">
        <w:rPr>
          <w:rFonts w:ascii="Times New Roman" w:hAnsi="Times New Roman" w:cs="Times New Roman"/>
        </w:rPr>
        <w:tab/>
        <w:t xml:space="preserve">The second </w:t>
      </w:r>
      <w:r w:rsidR="00995ACD" w:rsidRPr="003700FD">
        <w:rPr>
          <w:rFonts w:ascii="Times New Roman" w:hAnsi="Times New Roman" w:cs="Times New Roman"/>
        </w:rPr>
        <w:t>challenge</w:t>
      </w:r>
      <w:r w:rsidRPr="003700FD">
        <w:rPr>
          <w:rFonts w:ascii="Times New Roman" w:hAnsi="Times New Roman" w:cs="Times New Roman"/>
        </w:rPr>
        <w:t xml:space="preserve"> is that </w:t>
      </w:r>
      <w:r w:rsidR="0013029E" w:rsidRPr="003700FD">
        <w:rPr>
          <w:rFonts w:ascii="Times New Roman" w:hAnsi="Times New Roman" w:cs="Times New Roman"/>
        </w:rPr>
        <w:t xml:space="preserve">there may still be concerns about potential omitted variable bias. One might argue that </w:t>
      </w:r>
      <w:r w:rsidR="0026242D" w:rsidRPr="003700FD">
        <w:rPr>
          <w:rFonts w:ascii="Times New Roman" w:hAnsi="Times New Roman" w:cs="Times New Roman"/>
        </w:rPr>
        <w:t xml:space="preserve">firms with greater liabilities may have fewer resources to spare for emissions reduction even if they have high ROA or cash flow. Also, highly aggregated variables such as ROA or cash flow may not adequately capture </w:t>
      </w:r>
      <w:r w:rsidR="00326D7E" w:rsidRPr="003700FD">
        <w:rPr>
          <w:rFonts w:ascii="Times New Roman" w:hAnsi="Times New Roman" w:cs="Times New Roman"/>
        </w:rPr>
        <w:t>more specific</w:t>
      </w:r>
      <w:r w:rsidR="0026242D" w:rsidRPr="003700FD">
        <w:rPr>
          <w:rFonts w:ascii="Times New Roman" w:hAnsi="Times New Roman" w:cs="Times New Roman"/>
        </w:rPr>
        <w:t xml:space="preserve"> operating performance. Thus, we additionally control for</w:t>
      </w:r>
      <w:r w:rsidR="0018046B" w:rsidRPr="003700FD">
        <w:rPr>
          <w:rFonts w:ascii="Times New Roman" w:hAnsi="Times New Roman" w:cs="Times New Roman"/>
        </w:rPr>
        <w:t xml:space="preserve"> firms’</w:t>
      </w:r>
      <w:r w:rsidR="0026242D" w:rsidRPr="003700FD">
        <w:rPr>
          <w:rFonts w:ascii="Times New Roman" w:hAnsi="Times New Roman" w:cs="Times New Roman"/>
        </w:rPr>
        <w:t xml:space="preserve"> </w:t>
      </w:r>
      <w:r w:rsidR="00274846" w:rsidRPr="003700FD">
        <w:rPr>
          <w:rFonts w:ascii="Times New Roman" w:hAnsi="Times New Roman" w:cs="Times New Roman"/>
        </w:rPr>
        <w:t>liability</w:t>
      </w:r>
      <w:r w:rsidR="0018046B" w:rsidRPr="003700FD">
        <w:rPr>
          <w:rFonts w:ascii="Times New Roman" w:hAnsi="Times New Roman" w:cs="Times New Roman"/>
        </w:rPr>
        <w:t>,</w:t>
      </w:r>
      <w:r w:rsidR="00274846" w:rsidRPr="003700FD">
        <w:rPr>
          <w:rFonts w:ascii="Times New Roman" w:hAnsi="Times New Roman" w:cs="Times New Roman"/>
        </w:rPr>
        <w:t xml:space="preserve"> and </w:t>
      </w:r>
      <w:r w:rsidR="00274846" w:rsidRPr="003700FD">
        <w:rPr>
          <w:rFonts w:ascii="Times New Roman" w:eastAsia="Times New Roman" w:hAnsi="Times New Roman" w:cs="Times New Roman"/>
          <w:color w:val="222222"/>
          <w:shd w:val="clear" w:color="auto" w:fill="FFFFFF"/>
        </w:rPr>
        <w:t>earnings before interest, tax, depreciation and amortization (</w:t>
      </w:r>
      <w:r w:rsidR="00274846" w:rsidRPr="003700FD">
        <w:rPr>
          <w:rFonts w:ascii="Times New Roman" w:eastAsia="Times New Roman" w:hAnsi="Times New Roman" w:cs="Times New Roman"/>
          <w:bCs/>
          <w:color w:val="222222"/>
        </w:rPr>
        <w:t>EBITDA</w:t>
      </w:r>
      <w:r w:rsidR="00274846" w:rsidRPr="003700FD">
        <w:rPr>
          <w:rFonts w:ascii="Times New Roman" w:eastAsia="Times New Roman" w:hAnsi="Times New Roman" w:cs="Times New Roman"/>
          <w:color w:val="222222"/>
          <w:shd w:val="clear" w:color="auto" w:fill="FFFFFF"/>
        </w:rPr>
        <w:t>),</w:t>
      </w:r>
      <w:r w:rsidR="0018046B" w:rsidRPr="003700FD">
        <w:rPr>
          <w:rFonts w:ascii="Times New Roman" w:eastAsia="Times New Roman" w:hAnsi="Times New Roman" w:cs="Times New Roman"/>
          <w:color w:val="222222"/>
          <w:shd w:val="clear" w:color="auto" w:fill="FFFFFF"/>
        </w:rPr>
        <w:t xml:space="preserve"> </w:t>
      </w:r>
      <w:r w:rsidR="00274846" w:rsidRPr="003700FD">
        <w:rPr>
          <w:rFonts w:ascii="Times New Roman" w:eastAsia="Times New Roman" w:hAnsi="Times New Roman" w:cs="Times New Roman"/>
          <w:color w:val="222222"/>
          <w:shd w:val="clear" w:color="auto" w:fill="FFFFFF"/>
        </w:rPr>
        <w:t xml:space="preserve">which is not confounded by financing, accounting or tax-related decisions, as a measure of operating performance. </w:t>
      </w:r>
      <w:r w:rsidR="00DD2B33" w:rsidRPr="003700FD">
        <w:rPr>
          <w:rFonts w:ascii="Times New Roman" w:eastAsia="Times New Roman" w:hAnsi="Times New Roman" w:cs="Times New Roman"/>
          <w:color w:val="222222"/>
          <w:shd w:val="clear" w:color="auto" w:fill="FFFFFF"/>
        </w:rPr>
        <w:t xml:space="preserve">As shown in the last four columns of Table 5, the regression results are very similar. </w:t>
      </w:r>
    </w:p>
    <w:p w14:paraId="4523E532" w14:textId="77777777" w:rsidR="0018046B" w:rsidRDefault="0018046B" w:rsidP="00274846">
      <w:pPr>
        <w:spacing w:line="480" w:lineRule="auto"/>
        <w:rPr>
          <w:rFonts w:ascii="Times New Roman" w:eastAsia="Times New Roman" w:hAnsi="Times New Roman" w:cs="Times New Roman"/>
          <w:color w:val="222222"/>
          <w:shd w:val="clear" w:color="auto" w:fill="FFFFFF"/>
        </w:rPr>
      </w:pPr>
    </w:p>
    <w:p w14:paraId="0D1C8316" w14:textId="596070CD" w:rsidR="0018046B" w:rsidRDefault="0018046B" w:rsidP="0018046B">
      <w:pPr>
        <w:spacing w:line="480" w:lineRule="auto"/>
        <w:jc w:val="center"/>
        <w:outlineLvl w:val="0"/>
        <w:rPr>
          <w:rFonts w:ascii="Times New Roman" w:eastAsia="Times New Roman" w:hAnsi="Times New Roman" w:cs="Times New Roman"/>
          <w:color w:val="222222"/>
          <w:shd w:val="clear" w:color="auto" w:fill="FFFFFF"/>
        </w:rPr>
      </w:pPr>
      <w:r>
        <w:rPr>
          <w:rFonts w:ascii="Times New Roman" w:hAnsi="Times New Roman" w:cs="Times New Roman"/>
          <w:b/>
        </w:rPr>
        <w:t>Discussions</w:t>
      </w:r>
      <w:r w:rsidR="009463C5">
        <w:rPr>
          <w:rFonts w:ascii="Times New Roman" w:hAnsi="Times New Roman" w:cs="Times New Roman"/>
          <w:b/>
        </w:rPr>
        <w:t xml:space="preserve"> and Conclusions</w:t>
      </w:r>
    </w:p>
    <w:p w14:paraId="517D5DEE" w14:textId="041C3B6E" w:rsidR="008B7853" w:rsidRDefault="004667E6" w:rsidP="008B7853">
      <w:pPr>
        <w:spacing w:line="480" w:lineRule="auto"/>
        <w:ind w:firstLine="720"/>
        <w:rPr>
          <w:rFonts w:ascii="Times New Roman" w:hAnsi="Times New Roman" w:cs="Times New Roman"/>
        </w:rPr>
      </w:pPr>
      <w:r w:rsidRPr="00FD04DA">
        <w:rPr>
          <w:rFonts w:ascii="Times New Roman" w:hAnsi="Times New Roman" w:cs="Times New Roman"/>
        </w:rPr>
        <w:t xml:space="preserve">In this paper we have shown that </w:t>
      </w:r>
      <w:r w:rsidR="0008664A" w:rsidRPr="00FD04DA">
        <w:rPr>
          <w:rFonts w:ascii="Times New Roman" w:hAnsi="Times New Roman" w:cs="Times New Roman"/>
        </w:rPr>
        <w:t xml:space="preserve">government agency </w:t>
      </w:r>
      <w:r w:rsidR="00B1024A">
        <w:rPr>
          <w:rFonts w:ascii="Times New Roman" w:hAnsi="Times New Roman" w:cs="Times New Roman"/>
        </w:rPr>
        <w:t>decision-</w:t>
      </w:r>
      <w:r w:rsidR="00D31141" w:rsidRPr="00FD04DA">
        <w:rPr>
          <w:rFonts w:ascii="Times New Roman" w:hAnsi="Times New Roman" w:cs="Times New Roman"/>
        </w:rPr>
        <w:t>making</w:t>
      </w:r>
      <w:r w:rsidR="0008664A" w:rsidRPr="00FD04DA">
        <w:rPr>
          <w:rFonts w:ascii="Times New Roman" w:hAnsi="Times New Roman" w:cs="Times New Roman"/>
        </w:rPr>
        <w:t xml:space="preserve"> is</w:t>
      </w:r>
      <w:r w:rsidR="000011E9">
        <w:rPr>
          <w:rFonts w:ascii="Times New Roman" w:hAnsi="Times New Roman" w:cs="Times New Roman"/>
        </w:rPr>
        <w:t xml:space="preserve"> amenable to resource dependency</w:t>
      </w:r>
      <w:r w:rsidR="0008664A" w:rsidRPr="00FD04DA">
        <w:rPr>
          <w:rFonts w:ascii="Times New Roman" w:hAnsi="Times New Roman" w:cs="Times New Roman"/>
        </w:rPr>
        <w:t xml:space="preserve"> </w:t>
      </w:r>
      <w:r w:rsidR="0008664A" w:rsidRPr="00FD04DA">
        <w:rPr>
          <w:rFonts w:ascii="Times New Roman" w:hAnsi="Times New Roman" w:cs="Times New Roman"/>
          <w:iCs/>
          <w:color w:val="0C000F"/>
        </w:rPr>
        <w:t>at the international level</w:t>
      </w:r>
      <w:r w:rsidR="000011E9">
        <w:rPr>
          <w:rFonts w:ascii="Times New Roman" w:hAnsi="Times New Roman" w:cs="Times New Roman"/>
          <w:iCs/>
          <w:color w:val="0C000F"/>
        </w:rPr>
        <w:t>,</w:t>
      </w:r>
      <w:r w:rsidR="0048130A">
        <w:rPr>
          <w:rFonts w:ascii="Times New Roman" w:hAnsi="Times New Roman" w:cs="Times New Roman"/>
          <w:iCs/>
          <w:color w:val="0C000F"/>
        </w:rPr>
        <w:t xml:space="preserve"> </w:t>
      </w:r>
      <w:r w:rsidR="00763E39">
        <w:rPr>
          <w:rFonts w:ascii="Times New Roman" w:hAnsi="Times New Roman" w:cs="Times New Roman"/>
        </w:rPr>
        <w:t xml:space="preserve">and </w:t>
      </w:r>
      <w:r w:rsidR="00A373F0">
        <w:rPr>
          <w:rFonts w:ascii="Times New Roman" w:hAnsi="Times New Roman" w:cs="Times New Roman"/>
        </w:rPr>
        <w:t xml:space="preserve">that </w:t>
      </w:r>
      <w:r w:rsidR="00763E39">
        <w:rPr>
          <w:rFonts w:ascii="Times New Roman" w:hAnsi="Times New Roman" w:cs="Times New Roman"/>
        </w:rPr>
        <w:t xml:space="preserve">firms </w:t>
      </w:r>
      <w:r w:rsidR="0008664A" w:rsidRPr="00FD04DA">
        <w:rPr>
          <w:rFonts w:ascii="Times New Roman" w:hAnsi="Times New Roman" w:cs="Times New Roman"/>
          <w:iCs/>
          <w:color w:val="0C000F"/>
        </w:rPr>
        <w:t xml:space="preserve">respond to </w:t>
      </w:r>
      <w:r w:rsidR="00A373F0">
        <w:rPr>
          <w:rFonts w:ascii="Times New Roman" w:hAnsi="Times New Roman" w:cs="Times New Roman"/>
          <w:iCs/>
          <w:color w:val="0C000F"/>
        </w:rPr>
        <w:t xml:space="preserve">a </w:t>
      </w:r>
      <w:r w:rsidR="00D31141" w:rsidRPr="00FD04DA">
        <w:rPr>
          <w:rFonts w:ascii="Times New Roman" w:hAnsi="Times New Roman" w:cs="Times New Roman"/>
        </w:rPr>
        <w:t xml:space="preserve">government </w:t>
      </w:r>
      <w:r w:rsidR="00D31141">
        <w:rPr>
          <w:rFonts w:ascii="Times New Roman" w:hAnsi="Times New Roman" w:cs="Times New Roman"/>
          <w:iCs/>
          <w:color w:val="0C000F"/>
        </w:rPr>
        <w:t xml:space="preserve">agency’s </w:t>
      </w:r>
      <w:r w:rsidR="00A224B7" w:rsidRPr="00FD04DA">
        <w:rPr>
          <w:rFonts w:ascii="Times New Roman" w:hAnsi="Times New Roman" w:cs="Times New Roman"/>
          <w:iCs/>
          <w:color w:val="0C000F"/>
        </w:rPr>
        <w:t xml:space="preserve">signals </w:t>
      </w:r>
      <w:r w:rsidR="00A60B7B" w:rsidRPr="00FD04DA">
        <w:rPr>
          <w:rFonts w:ascii="Times New Roman" w:hAnsi="Times New Roman" w:cs="Times New Roman"/>
          <w:iCs/>
          <w:color w:val="0C000F"/>
        </w:rPr>
        <w:t xml:space="preserve">of enforcement </w:t>
      </w:r>
      <w:r w:rsidR="00763E39" w:rsidRPr="00FD04DA">
        <w:rPr>
          <w:rFonts w:ascii="Times New Roman" w:hAnsi="Times New Roman" w:cs="Times New Roman"/>
          <w:iCs/>
          <w:color w:val="0C000F"/>
        </w:rPr>
        <w:t>intent</w:t>
      </w:r>
      <w:r w:rsidR="000011E9">
        <w:rPr>
          <w:rFonts w:ascii="Times New Roman" w:hAnsi="Times New Roman" w:cs="Times New Roman"/>
          <w:iCs/>
          <w:color w:val="0C000F"/>
        </w:rPr>
        <w:t xml:space="preserve"> that</w:t>
      </w:r>
      <w:r w:rsidR="00763E39">
        <w:rPr>
          <w:rFonts w:ascii="Times New Roman" w:hAnsi="Times New Roman" w:cs="Times New Roman"/>
        </w:rPr>
        <w:t xml:space="preserve"> alleviate regulatory uncertainties when cross-country </w:t>
      </w:r>
      <w:r w:rsidR="00763E39" w:rsidRPr="00FD04DA">
        <w:rPr>
          <w:rFonts w:ascii="Times New Roman" w:hAnsi="Times New Roman" w:cs="Times New Roman"/>
        </w:rPr>
        <w:t xml:space="preserve">policy is developing but implementation </w:t>
      </w:r>
      <w:r w:rsidR="00763E39">
        <w:rPr>
          <w:rFonts w:ascii="Times New Roman" w:hAnsi="Times New Roman" w:cs="Times New Roman"/>
        </w:rPr>
        <w:t>res</w:t>
      </w:r>
      <w:r w:rsidR="00B304ED">
        <w:rPr>
          <w:rFonts w:ascii="Times New Roman" w:hAnsi="Times New Roman" w:cs="Times New Roman"/>
        </w:rPr>
        <w:t>ts on domestic government agencies</w:t>
      </w:r>
      <w:r w:rsidR="00763E39">
        <w:rPr>
          <w:rFonts w:ascii="Times New Roman" w:hAnsi="Times New Roman" w:cs="Times New Roman"/>
        </w:rPr>
        <w:t>.</w:t>
      </w:r>
      <w:r w:rsidR="00B304ED">
        <w:rPr>
          <w:rFonts w:ascii="Times New Roman" w:hAnsi="Times New Roman" w:cs="Times New Roman"/>
        </w:rPr>
        <w:t xml:space="preserve"> </w:t>
      </w:r>
      <w:r w:rsidR="008B7853">
        <w:rPr>
          <w:rFonts w:ascii="Times New Roman" w:hAnsi="Times New Roman" w:cs="Times New Roman"/>
        </w:rPr>
        <w:t xml:space="preserve">We further show that the extent to which government agencies are influenced by resource dependency </w:t>
      </w:r>
      <w:r w:rsidR="008B7853" w:rsidRPr="007215B1">
        <w:rPr>
          <w:rFonts w:ascii="Times New Roman" w:hAnsi="Times New Roman" w:cs="Times New Roman"/>
        </w:rPr>
        <w:t>is moderated by pressures from local agency stakeholders and by the agency’s capacity to enforce the new law</w:t>
      </w:r>
      <w:r w:rsidR="008B7853">
        <w:rPr>
          <w:rFonts w:ascii="Times New Roman" w:hAnsi="Times New Roman" w:cs="Times New Roman"/>
        </w:rPr>
        <w:t>.</w:t>
      </w:r>
    </w:p>
    <w:p w14:paraId="672E2F6A" w14:textId="31B569AD" w:rsidR="003769ED" w:rsidRDefault="0058614F" w:rsidP="008B7853">
      <w:pPr>
        <w:spacing w:line="480" w:lineRule="auto"/>
        <w:rPr>
          <w:rFonts w:ascii="Times New Roman" w:hAnsi="Times New Roman" w:cs="Times New Roman"/>
          <w:iCs/>
          <w:color w:val="0C000F"/>
        </w:rPr>
      </w:pPr>
      <w:r w:rsidRPr="00FD04DA">
        <w:rPr>
          <w:rFonts w:ascii="Times New Roman" w:hAnsi="Times New Roman" w:cs="Times New Roman"/>
        </w:rPr>
        <w:t xml:space="preserve">Our findings extend recent work that examines drivers of government agency decision-making and </w:t>
      </w:r>
      <w:r w:rsidR="00A373F0">
        <w:rPr>
          <w:rFonts w:ascii="Times New Roman" w:hAnsi="Times New Roman" w:cs="Times New Roman"/>
        </w:rPr>
        <w:t xml:space="preserve">a </w:t>
      </w:r>
      <w:r w:rsidRPr="00FD04DA">
        <w:rPr>
          <w:rFonts w:ascii="Times New Roman" w:hAnsi="Times New Roman" w:cs="Times New Roman"/>
        </w:rPr>
        <w:t>growing</w:t>
      </w:r>
      <w:r w:rsidR="00A373F0">
        <w:rPr>
          <w:rFonts w:ascii="Times New Roman" w:hAnsi="Times New Roman" w:cs="Times New Roman"/>
        </w:rPr>
        <w:t xml:space="preserve"> body of</w:t>
      </w:r>
      <w:r w:rsidRPr="00FD04DA">
        <w:rPr>
          <w:rFonts w:ascii="Times New Roman" w:hAnsi="Times New Roman" w:cs="Times New Roman"/>
        </w:rPr>
        <w:t xml:space="preserve"> work that </w:t>
      </w:r>
      <w:r w:rsidR="00FA33BC">
        <w:rPr>
          <w:rFonts w:ascii="Times New Roman" w:hAnsi="Times New Roman" w:cs="Times New Roman"/>
        </w:rPr>
        <w:t>studies</w:t>
      </w:r>
      <w:r w:rsidRPr="00FD04DA">
        <w:rPr>
          <w:rFonts w:ascii="Times New Roman" w:hAnsi="Times New Roman" w:cs="Times New Roman"/>
        </w:rPr>
        <w:t xml:space="preserve"> how firms </w:t>
      </w:r>
      <w:r w:rsidRPr="00FD04DA">
        <w:rPr>
          <w:rFonts w:ascii="Times New Roman" w:hAnsi="Times New Roman" w:cs="Times New Roman"/>
          <w:iCs/>
          <w:color w:val="0C000F"/>
        </w:rPr>
        <w:t xml:space="preserve">respond to extra-jurisdictional regulation. </w:t>
      </w:r>
    </w:p>
    <w:p w14:paraId="17C2A3CA" w14:textId="1FEDCB6C" w:rsidR="004C1859" w:rsidRDefault="00261E6E" w:rsidP="008B7E8E">
      <w:pPr>
        <w:pStyle w:val="NormalWeb"/>
        <w:tabs>
          <w:tab w:val="left" w:pos="720"/>
        </w:tabs>
        <w:spacing w:before="0" w:beforeAutospacing="0" w:after="0" w:afterAutospacing="0" w:line="480" w:lineRule="auto"/>
        <w:rPr>
          <w:iCs/>
          <w:color w:val="0C000F"/>
        </w:rPr>
      </w:pPr>
      <w:r>
        <w:rPr>
          <w:iCs/>
          <w:color w:val="0C000F"/>
        </w:rPr>
        <w:tab/>
        <w:t xml:space="preserve">The context in which we examine this issue is </w:t>
      </w:r>
      <w:r w:rsidR="008B7E8E" w:rsidRPr="00CD6CD9">
        <w:rPr>
          <w:iCs/>
          <w:color w:val="0C000F"/>
        </w:rPr>
        <w:t xml:space="preserve">greenhouse gas emissions </w:t>
      </w:r>
      <w:r w:rsidR="00950AE3">
        <w:rPr>
          <w:iCs/>
          <w:color w:val="0C000F"/>
        </w:rPr>
        <w:t>in the EU.</w:t>
      </w:r>
      <w:r w:rsidR="00BB5096">
        <w:rPr>
          <w:iCs/>
          <w:color w:val="0C000F"/>
        </w:rPr>
        <w:t xml:space="preserve"> We make use of the early period of EU climate change policy when stringent </w:t>
      </w:r>
      <w:r w:rsidR="005761EB">
        <w:rPr>
          <w:iCs/>
          <w:color w:val="0C000F"/>
        </w:rPr>
        <w:t>EU policy was developing over time at the EU level</w:t>
      </w:r>
      <w:r w:rsidR="009E12C0">
        <w:rPr>
          <w:iCs/>
          <w:color w:val="0C000F"/>
        </w:rPr>
        <w:t>,</w:t>
      </w:r>
      <w:r w:rsidR="005761EB">
        <w:rPr>
          <w:iCs/>
          <w:color w:val="0C000F"/>
        </w:rPr>
        <w:t xml:space="preserve"> but implementation and enforcement at the country level was un</w:t>
      </w:r>
      <w:r w:rsidR="00076061">
        <w:rPr>
          <w:iCs/>
          <w:color w:val="0C000F"/>
        </w:rPr>
        <w:t>certain</w:t>
      </w:r>
      <w:r w:rsidR="005761EB">
        <w:rPr>
          <w:iCs/>
          <w:color w:val="0C000F"/>
        </w:rPr>
        <w:t xml:space="preserve">. </w:t>
      </w:r>
      <w:r w:rsidR="00950AE3">
        <w:rPr>
          <w:iCs/>
          <w:color w:val="0C000F"/>
        </w:rPr>
        <w:t xml:space="preserve">We argue that </w:t>
      </w:r>
      <w:r w:rsidR="00950AE3" w:rsidRPr="00CD6CD9">
        <w:t xml:space="preserve">a country’s dependence </w:t>
      </w:r>
      <w:r w:rsidR="00950AE3" w:rsidRPr="00CD6CD9">
        <w:rPr>
          <w:iCs/>
          <w:color w:val="0C000F"/>
        </w:rPr>
        <w:t xml:space="preserve">on </w:t>
      </w:r>
      <w:r w:rsidR="00076061">
        <w:rPr>
          <w:iCs/>
          <w:color w:val="0C000F"/>
        </w:rPr>
        <w:t xml:space="preserve">EU funding </w:t>
      </w:r>
      <w:r w:rsidR="00F26052">
        <w:rPr>
          <w:iCs/>
          <w:color w:val="0C000F"/>
        </w:rPr>
        <w:t xml:space="preserve">would </w:t>
      </w:r>
      <w:r w:rsidR="00950AE3" w:rsidRPr="00CD6CD9">
        <w:rPr>
          <w:iCs/>
          <w:color w:val="0C000F"/>
        </w:rPr>
        <w:t>influence</w:t>
      </w:r>
      <w:r w:rsidR="00E87CFC">
        <w:rPr>
          <w:iCs/>
          <w:color w:val="0C000F"/>
        </w:rPr>
        <w:t xml:space="preserve"> how</w:t>
      </w:r>
      <w:r w:rsidR="00950AE3" w:rsidRPr="00CD6CD9">
        <w:rPr>
          <w:iCs/>
          <w:color w:val="0C000F"/>
        </w:rPr>
        <w:t xml:space="preserve"> its </w:t>
      </w:r>
      <w:r w:rsidR="00950AE3" w:rsidRPr="00CD6CD9">
        <w:rPr>
          <w:iCs/>
          <w:color w:val="0C000F"/>
        </w:rPr>
        <w:lastRenderedPageBreak/>
        <w:t>national</w:t>
      </w:r>
      <w:r w:rsidR="00E87CFC">
        <w:rPr>
          <w:iCs/>
          <w:color w:val="0C000F"/>
        </w:rPr>
        <w:t xml:space="preserve"> government agencies administer and implement</w:t>
      </w:r>
      <w:r w:rsidR="00950AE3">
        <w:rPr>
          <w:iCs/>
          <w:color w:val="0C000F"/>
        </w:rPr>
        <w:t xml:space="preserve"> the </w:t>
      </w:r>
      <w:r w:rsidR="00076061">
        <w:rPr>
          <w:iCs/>
          <w:color w:val="0C000F"/>
        </w:rPr>
        <w:t xml:space="preserve">climate change </w:t>
      </w:r>
      <w:r w:rsidR="00950AE3">
        <w:rPr>
          <w:iCs/>
          <w:color w:val="0C000F"/>
        </w:rPr>
        <w:t>policy</w:t>
      </w:r>
      <w:r w:rsidR="004C1859">
        <w:rPr>
          <w:iCs/>
          <w:color w:val="0C000F"/>
        </w:rPr>
        <w:t>.</w:t>
      </w:r>
      <w:r w:rsidR="008B7853">
        <w:rPr>
          <w:iCs/>
          <w:color w:val="0C000F"/>
        </w:rPr>
        <w:t xml:space="preserve"> Due to </w:t>
      </w:r>
      <w:r w:rsidR="008B7853" w:rsidRPr="007215B1">
        <w:t>agencies</w:t>
      </w:r>
      <w:r w:rsidR="008B7853">
        <w:t>’</w:t>
      </w:r>
      <w:r w:rsidR="008B7853" w:rsidRPr="007215B1">
        <w:t xml:space="preserve"> concern over their resources</w:t>
      </w:r>
      <w:r w:rsidR="008B7853">
        <w:t>, g</w:t>
      </w:r>
      <w:r w:rsidR="00950AE3">
        <w:rPr>
          <w:iCs/>
          <w:color w:val="0C000F"/>
        </w:rPr>
        <w:t xml:space="preserve">reater resource dependency </w:t>
      </w:r>
      <w:r w:rsidR="00F26052">
        <w:rPr>
          <w:iCs/>
          <w:color w:val="0C000F"/>
        </w:rPr>
        <w:t>would</w:t>
      </w:r>
      <w:r w:rsidR="004C1859">
        <w:rPr>
          <w:iCs/>
          <w:color w:val="0C000F"/>
        </w:rPr>
        <w:t xml:space="preserve"> induce</w:t>
      </w:r>
      <w:r w:rsidR="00076061">
        <w:rPr>
          <w:iCs/>
          <w:color w:val="0C000F"/>
        </w:rPr>
        <w:t xml:space="preserve"> </w:t>
      </w:r>
      <w:r w:rsidR="00950AE3">
        <w:rPr>
          <w:iCs/>
          <w:color w:val="0C000F"/>
        </w:rPr>
        <w:t xml:space="preserve">greater </w:t>
      </w:r>
      <w:r w:rsidR="00E87CFC">
        <w:rPr>
          <w:iCs/>
          <w:color w:val="0C000F"/>
        </w:rPr>
        <w:t xml:space="preserve">domestic </w:t>
      </w:r>
      <w:r w:rsidR="00CF2FBB">
        <w:rPr>
          <w:iCs/>
          <w:color w:val="0C000F"/>
        </w:rPr>
        <w:t>implementation and enforcement</w:t>
      </w:r>
      <w:r w:rsidR="004C1859">
        <w:rPr>
          <w:iCs/>
          <w:color w:val="0C000F"/>
        </w:rPr>
        <w:t xml:space="preserve">, and this in turn </w:t>
      </w:r>
      <w:r w:rsidR="00F26052">
        <w:rPr>
          <w:iCs/>
          <w:color w:val="0C000F"/>
        </w:rPr>
        <w:t>would</w:t>
      </w:r>
      <w:r w:rsidR="004C1859">
        <w:rPr>
          <w:iCs/>
          <w:color w:val="0C000F"/>
        </w:rPr>
        <w:t xml:space="preserve"> prompt firms to pursue strategies in line with the EU environmental policy.</w:t>
      </w:r>
    </w:p>
    <w:p w14:paraId="1656728A" w14:textId="5F514D08" w:rsidR="008B7E8E" w:rsidRPr="00A34171" w:rsidRDefault="008B7E8E" w:rsidP="008B7E8E">
      <w:pPr>
        <w:pStyle w:val="NormalWeb"/>
        <w:tabs>
          <w:tab w:val="left" w:pos="720"/>
        </w:tabs>
        <w:spacing w:before="0" w:beforeAutospacing="0" w:after="0" w:afterAutospacing="0" w:line="480" w:lineRule="auto"/>
      </w:pPr>
      <w:r w:rsidRPr="00CD6CD9">
        <w:tab/>
      </w:r>
      <w:r w:rsidR="003769ED">
        <w:t xml:space="preserve">While </w:t>
      </w:r>
      <w:r w:rsidR="00A34171">
        <w:t xml:space="preserve">the EU provides a good setting to explore how government agencies respond to resource dependency at the international level and how firms in turn respond to signals of </w:t>
      </w:r>
      <w:r w:rsidR="00706484">
        <w:t>agency</w:t>
      </w:r>
      <w:r w:rsidR="00A34171">
        <w:t xml:space="preserve"> implementation intent, </w:t>
      </w:r>
      <w:r w:rsidR="00A34171">
        <w:rPr>
          <w:iCs/>
          <w:color w:val="0C000F"/>
        </w:rPr>
        <w:t>we only studied</w:t>
      </w:r>
      <w:r w:rsidRPr="00CD6CD9">
        <w:rPr>
          <w:iCs/>
          <w:color w:val="0C000F"/>
        </w:rPr>
        <w:t xml:space="preserve"> one sector. The electric power sector is the largest contributor </w:t>
      </w:r>
      <w:r w:rsidR="00A373F0">
        <w:rPr>
          <w:iCs/>
          <w:color w:val="0C000F"/>
        </w:rPr>
        <w:t>to</w:t>
      </w:r>
      <w:r w:rsidRPr="00CD6CD9">
        <w:rPr>
          <w:iCs/>
          <w:color w:val="0C000F"/>
        </w:rPr>
        <w:t xml:space="preserve"> global GHG emissions, 25%, and thus is of great significance. However, it also has some idiosyncratic features that caution against simplistic generalization of our findings to other industry settings. One unique feature is that electricity is a commodity. Even though customers can opt to purchase electricity from more renewable sources or more environmentally friendly companies, the potential for differentiation is more limited in the electric power sector than some other sectors. Another feature is that the electric power sector might be more regulate</w:t>
      </w:r>
      <w:r w:rsidR="009E1DF9">
        <w:rPr>
          <w:iCs/>
          <w:color w:val="0C000F"/>
        </w:rPr>
        <w:t>d and less competitive than</w:t>
      </w:r>
      <w:r w:rsidRPr="00CD6CD9">
        <w:rPr>
          <w:iCs/>
          <w:color w:val="0C000F"/>
        </w:rPr>
        <w:t xml:space="preserve"> other sectors even though the electric power industry in the EU is vertically unbundled and increasingly competitive. It would be valuable to study other industry settings where GHG emissions are associated with specific product features that allow greater or lesser differentiation, and where the markets are more competitive.</w:t>
      </w:r>
    </w:p>
    <w:p w14:paraId="7BA8E473" w14:textId="059A5D88" w:rsidR="00AC6FC3" w:rsidRPr="000747F0" w:rsidRDefault="008B7E8E" w:rsidP="000747F0">
      <w:pPr>
        <w:pStyle w:val="NormalWeb"/>
        <w:tabs>
          <w:tab w:val="left" w:pos="720"/>
        </w:tabs>
        <w:spacing w:before="0" w:beforeAutospacing="0" w:after="0" w:afterAutospacing="0" w:line="480" w:lineRule="auto"/>
      </w:pPr>
      <w:r w:rsidRPr="00CD6CD9">
        <w:rPr>
          <w:iCs/>
          <w:color w:val="0C000F"/>
        </w:rPr>
        <w:tab/>
      </w:r>
      <w:r w:rsidR="003769ED" w:rsidRPr="000747F0">
        <w:rPr>
          <w:iCs/>
          <w:color w:val="0C000F"/>
        </w:rPr>
        <w:t>Our work</w:t>
      </w:r>
      <w:r w:rsidR="005C1011" w:rsidRPr="000747F0">
        <w:rPr>
          <w:iCs/>
          <w:color w:val="0C000F"/>
        </w:rPr>
        <w:t xml:space="preserve"> opens a door to </w:t>
      </w:r>
      <w:r w:rsidR="00A373F0">
        <w:rPr>
          <w:iCs/>
          <w:color w:val="0C000F"/>
        </w:rPr>
        <w:t xml:space="preserve">an </w:t>
      </w:r>
      <w:r w:rsidR="00134D2B" w:rsidRPr="000747F0">
        <w:rPr>
          <w:iCs/>
          <w:color w:val="0C000F"/>
        </w:rPr>
        <w:t>under</w:t>
      </w:r>
      <w:r w:rsidR="00AC6FC3" w:rsidRPr="000747F0">
        <w:rPr>
          <w:iCs/>
          <w:color w:val="0C000F"/>
        </w:rPr>
        <w:t>-</w:t>
      </w:r>
      <w:r w:rsidR="00134D2B" w:rsidRPr="000747F0">
        <w:rPr>
          <w:iCs/>
          <w:color w:val="0C000F"/>
        </w:rPr>
        <w:t>explored</w:t>
      </w:r>
      <w:r w:rsidR="003769ED" w:rsidRPr="000747F0">
        <w:rPr>
          <w:iCs/>
          <w:color w:val="0C000F"/>
        </w:rPr>
        <w:t xml:space="preserve"> but important area in management and strategy research—whether and how </w:t>
      </w:r>
      <w:r w:rsidR="003769ED" w:rsidRPr="000747F0">
        <w:t>international collaboration to address global issues</w:t>
      </w:r>
      <w:r w:rsidR="00AC6FC3" w:rsidRPr="000747F0">
        <w:t xml:space="preserve"> </w:t>
      </w:r>
      <w:r w:rsidR="003769ED" w:rsidRPr="000747F0">
        <w:t>influence</w:t>
      </w:r>
      <w:r w:rsidR="00A373F0">
        <w:t>s</w:t>
      </w:r>
      <w:r w:rsidR="003769ED" w:rsidRPr="000747F0">
        <w:t xml:space="preserve"> firms. </w:t>
      </w:r>
      <w:r w:rsidR="000747F0" w:rsidRPr="000747F0">
        <w:rPr>
          <w:bCs/>
        </w:rPr>
        <w:t xml:space="preserve">Our findings demonstrate the importance of taking into account cross-country </w:t>
      </w:r>
      <w:r w:rsidR="000747F0" w:rsidRPr="000747F0">
        <w:t>differences in resource dependenc</w:t>
      </w:r>
      <w:r w:rsidR="00AD3E08">
        <w:t>y</w:t>
      </w:r>
      <w:r w:rsidR="000747F0" w:rsidRPr="000747F0">
        <w:t xml:space="preserve"> in international relations. </w:t>
      </w:r>
      <w:r w:rsidR="009E1DF9">
        <w:t>I</w:t>
      </w:r>
      <w:r w:rsidR="00D32E9B" w:rsidRPr="000747F0">
        <w:t xml:space="preserve">n the context of climate change, </w:t>
      </w:r>
      <w:r w:rsidR="000747F0" w:rsidRPr="000747F0">
        <w:t xml:space="preserve">we </w:t>
      </w:r>
      <w:r w:rsidR="009E1DF9">
        <w:t xml:space="preserve">show </w:t>
      </w:r>
      <w:r w:rsidR="00AC6FC3" w:rsidRPr="000747F0">
        <w:rPr>
          <w:iCs/>
          <w:color w:val="0C000F"/>
        </w:rPr>
        <w:t xml:space="preserve">that </w:t>
      </w:r>
      <w:r w:rsidR="00D32E9B" w:rsidRPr="000747F0">
        <w:rPr>
          <w:iCs/>
          <w:color w:val="0C000F"/>
        </w:rPr>
        <w:t>resource dependency</w:t>
      </w:r>
      <w:r w:rsidR="00E76740" w:rsidRPr="000747F0">
        <w:rPr>
          <w:iCs/>
          <w:color w:val="0C000F"/>
        </w:rPr>
        <w:t xml:space="preserve"> surrounding </w:t>
      </w:r>
      <w:r w:rsidR="00D32E9B" w:rsidRPr="000747F0">
        <w:rPr>
          <w:iCs/>
          <w:color w:val="0C000F"/>
        </w:rPr>
        <w:t xml:space="preserve">environmental </w:t>
      </w:r>
      <w:r w:rsidR="00AC6FC3" w:rsidRPr="000747F0">
        <w:t>sust</w:t>
      </w:r>
      <w:r w:rsidR="00D32E9B" w:rsidRPr="000747F0">
        <w:t xml:space="preserve">ainability governance </w:t>
      </w:r>
      <w:r w:rsidR="00AC6FC3" w:rsidRPr="000747F0">
        <w:t>matter</w:t>
      </w:r>
      <w:r w:rsidR="00D32E9B" w:rsidRPr="000747F0">
        <w:t>s</w:t>
      </w:r>
      <w:r w:rsidR="00AC6FC3" w:rsidRPr="000747F0">
        <w:t xml:space="preserve"> for firm response because incentives and pressures at the country level trickle down to the firm </w:t>
      </w:r>
      <w:r w:rsidR="00AC6FC3" w:rsidRPr="000747F0">
        <w:lastRenderedPageBreak/>
        <w:t xml:space="preserve">level </w:t>
      </w:r>
      <w:r w:rsidR="00AD3E08">
        <w:t>via</w:t>
      </w:r>
      <w:r w:rsidR="00AC6FC3" w:rsidRPr="000747F0">
        <w:t xml:space="preserve"> </w:t>
      </w:r>
      <w:r w:rsidR="00B1024A" w:rsidRPr="000747F0">
        <w:t>government agency decision-making</w:t>
      </w:r>
      <w:r w:rsidR="00AC6FC3" w:rsidRPr="000747F0">
        <w:t xml:space="preserve">. </w:t>
      </w:r>
      <w:r w:rsidR="009E1DF9">
        <w:t xml:space="preserve">Thus, </w:t>
      </w:r>
      <w:r w:rsidR="000747F0" w:rsidRPr="000747F0">
        <w:t>d</w:t>
      </w:r>
      <w:r w:rsidR="00AC6FC3" w:rsidRPr="000747F0">
        <w:t xml:space="preserve">isregarding country-level heterogeneity in </w:t>
      </w:r>
      <w:r w:rsidR="00B1024A" w:rsidRPr="000747F0">
        <w:t>resource dependency</w:t>
      </w:r>
      <w:r w:rsidR="00AC6FC3" w:rsidRPr="000747F0">
        <w:t xml:space="preserve"> </w:t>
      </w:r>
      <w:r w:rsidR="00AC6FC3" w:rsidRPr="000747F0">
        <w:rPr>
          <w:iCs/>
          <w:color w:val="0C000F"/>
        </w:rPr>
        <w:t xml:space="preserve">is likely to mislead our understanding of </w:t>
      </w:r>
      <w:r w:rsidR="00B1024A" w:rsidRPr="000747F0">
        <w:rPr>
          <w:iCs/>
          <w:color w:val="0C000F"/>
        </w:rPr>
        <w:t xml:space="preserve">how </w:t>
      </w:r>
      <w:r w:rsidR="002654A7" w:rsidRPr="000747F0">
        <w:t xml:space="preserve">international collaboration to address global issues </w:t>
      </w:r>
      <w:r w:rsidR="002654A7">
        <w:t>influence</w:t>
      </w:r>
      <w:r w:rsidR="00A373F0">
        <w:t>s</w:t>
      </w:r>
      <w:r w:rsidR="002654A7">
        <w:t xml:space="preserve"> firms</w:t>
      </w:r>
      <w:r w:rsidR="00AC6FC3" w:rsidRPr="000747F0">
        <w:rPr>
          <w:iCs/>
          <w:color w:val="0C000F"/>
        </w:rPr>
        <w:t xml:space="preserve">. </w:t>
      </w:r>
      <w:r w:rsidR="00AC6FC3" w:rsidRPr="000747F0">
        <w:t>In a statement before the 2005 meeting of the Parties to the Kyoto Protocol in Montreal, former British Prime Minister Tony Blair, a proponent of emission targets, said</w:t>
      </w:r>
      <w:r w:rsidR="00A373F0">
        <w:t>,</w:t>
      </w:r>
      <w:r w:rsidR="00AC6FC3" w:rsidRPr="000747F0">
        <w:t xml:space="preserve"> “The blunt truth about the politics of climate change is that no country will want to sacrifice its economy in order to meet this challenge</w:t>
      </w:r>
      <w:r w:rsidR="00A373F0">
        <w:t>.</w:t>
      </w:r>
      <w:r w:rsidR="00AC6FC3" w:rsidRPr="000747F0">
        <w:t>”</w:t>
      </w:r>
      <w:r w:rsidR="00AC6FC3" w:rsidRPr="000747F0">
        <w:rPr>
          <w:rStyle w:val="FootnoteReference"/>
        </w:rPr>
        <w:footnoteReference w:id="17"/>
      </w:r>
      <w:r w:rsidR="00AC6FC3" w:rsidRPr="000747F0">
        <w:rPr>
          <w:rStyle w:val="FootnoteReference"/>
        </w:rPr>
        <w:t xml:space="preserve"> </w:t>
      </w:r>
      <w:r w:rsidR="00AC6FC3" w:rsidRPr="000747F0">
        <w:t>Our findings suggest that some countries may reluctantly push emissions</w:t>
      </w:r>
      <w:r w:rsidR="00A373F0">
        <w:t>-</w:t>
      </w:r>
      <w:r w:rsidR="00AC6FC3" w:rsidRPr="000747F0">
        <w:t xml:space="preserve">reduction efforts due to their </w:t>
      </w:r>
      <w:r w:rsidR="00B1024A" w:rsidRPr="000747F0">
        <w:t>resource dependency</w:t>
      </w:r>
      <w:r w:rsidR="00AC6FC3" w:rsidRPr="000747F0">
        <w:t xml:space="preserve">. </w:t>
      </w:r>
    </w:p>
    <w:p w14:paraId="412EB91A" w14:textId="77777777" w:rsidR="00F3683A" w:rsidRDefault="00B1024A" w:rsidP="009E1DF9">
      <w:pPr>
        <w:pStyle w:val="NormalWeb"/>
        <w:tabs>
          <w:tab w:val="left" w:pos="720"/>
        </w:tabs>
        <w:spacing w:before="0" w:beforeAutospacing="0" w:after="0" w:afterAutospacing="0" w:line="480" w:lineRule="auto"/>
      </w:pPr>
      <w:r>
        <w:rPr>
          <w:iCs/>
          <w:color w:val="0C000F"/>
        </w:rPr>
        <w:tab/>
      </w:r>
      <w:r w:rsidRPr="00CD6CD9">
        <w:rPr>
          <w:iCs/>
          <w:color w:val="0C000F"/>
        </w:rPr>
        <w:t xml:space="preserve">In sum, this paper examines the influence of </w:t>
      </w:r>
      <w:r w:rsidR="00611CBC">
        <w:rPr>
          <w:iCs/>
          <w:color w:val="0C000F"/>
        </w:rPr>
        <w:t>resource dependency</w:t>
      </w:r>
      <w:r w:rsidRPr="00CD6CD9">
        <w:rPr>
          <w:iCs/>
          <w:color w:val="0C000F"/>
        </w:rPr>
        <w:t xml:space="preserve"> on </w:t>
      </w:r>
      <w:r w:rsidR="00611CBC">
        <w:rPr>
          <w:iCs/>
          <w:color w:val="0C000F"/>
        </w:rPr>
        <w:t>government agency decision-making</w:t>
      </w:r>
      <w:r w:rsidRPr="00CD6CD9">
        <w:rPr>
          <w:iCs/>
          <w:color w:val="0C000F"/>
        </w:rPr>
        <w:t xml:space="preserve">, and firms’ response to these </w:t>
      </w:r>
      <w:r w:rsidR="00611CBC">
        <w:rPr>
          <w:iCs/>
          <w:color w:val="0C000F"/>
        </w:rPr>
        <w:t>decisions</w:t>
      </w:r>
      <w:r w:rsidRPr="00CD6CD9">
        <w:rPr>
          <w:iCs/>
          <w:color w:val="0C000F"/>
        </w:rPr>
        <w:t xml:space="preserve">. Despite the limitations, it extends the literature on firm response to regulatory uncertainty, places firms’ environmental strategies in a global setting, and </w:t>
      </w:r>
      <w:r w:rsidRPr="00CD6CD9">
        <w:t xml:space="preserve">highlights the tradeoffs firms face in short-term profitability/survival vs. long-term competitiveness in an uncertain regulatory environment. </w:t>
      </w:r>
      <w:r w:rsidR="00A22CF5" w:rsidRPr="000A65D3">
        <w:tab/>
      </w:r>
    </w:p>
    <w:p w14:paraId="1FD6E5AD" w14:textId="77777777" w:rsidR="00F3683A" w:rsidRDefault="00F3683A" w:rsidP="009E1DF9">
      <w:pPr>
        <w:pStyle w:val="NormalWeb"/>
        <w:tabs>
          <w:tab w:val="left" w:pos="720"/>
        </w:tabs>
        <w:spacing w:before="0" w:beforeAutospacing="0" w:after="0" w:afterAutospacing="0" w:line="480" w:lineRule="auto"/>
      </w:pPr>
    </w:p>
    <w:p w14:paraId="5330564E" w14:textId="77777777" w:rsidR="00F3683A" w:rsidRDefault="00F3683A">
      <w:pPr>
        <w:rPr>
          <w:rFonts w:ascii="Times New Roman" w:hAnsi="Times New Roman" w:cs="Times New Roman"/>
          <w:b/>
        </w:rPr>
      </w:pPr>
      <w:r>
        <w:rPr>
          <w:rFonts w:ascii="Times New Roman" w:hAnsi="Times New Roman" w:cs="Times New Roman"/>
          <w:b/>
        </w:rPr>
        <w:br w:type="page"/>
      </w:r>
    </w:p>
    <w:p w14:paraId="1235E6C2" w14:textId="4644A9BB" w:rsidR="00F3683A" w:rsidRPr="00120A3E" w:rsidRDefault="00F3683A" w:rsidP="00120A3E">
      <w:pPr>
        <w:spacing w:line="480" w:lineRule="auto"/>
        <w:ind w:left="360" w:hanging="360"/>
        <w:jc w:val="center"/>
        <w:rPr>
          <w:rFonts w:ascii="Times New Roman" w:hAnsi="Times New Roman" w:cs="Times New Roman"/>
          <w:b/>
        </w:rPr>
      </w:pPr>
      <w:r w:rsidRPr="00120A3E">
        <w:rPr>
          <w:rFonts w:ascii="Times New Roman" w:hAnsi="Times New Roman" w:cs="Times New Roman"/>
          <w:b/>
        </w:rPr>
        <w:lastRenderedPageBreak/>
        <w:t>References</w:t>
      </w:r>
    </w:p>
    <w:p w14:paraId="386BD63E" w14:textId="5CAF620D" w:rsidR="00A626CA" w:rsidRPr="00A626CA" w:rsidRDefault="00A626CA" w:rsidP="00435B7D">
      <w:pPr>
        <w:tabs>
          <w:tab w:val="left" w:pos="0"/>
        </w:tabs>
        <w:ind w:left="720" w:hanging="720"/>
        <w:outlineLvl w:val="0"/>
        <w:rPr>
          <w:rFonts w:ascii="Times New Roman" w:hAnsi="Times New Roman" w:cs="Times New Roman"/>
          <w:iCs/>
          <w:color w:val="000000" w:themeColor="text1"/>
        </w:rPr>
      </w:pPr>
      <w:r>
        <w:rPr>
          <w:rFonts w:ascii="Times New Roman" w:hAnsi="Times New Roman" w:cs="Times New Roman"/>
        </w:rPr>
        <w:t>Adams, J</w:t>
      </w:r>
      <w:r w:rsidRPr="00A626CA">
        <w:rPr>
          <w:rFonts w:ascii="Times New Roman" w:hAnsi="Times New Roman" w:cs="Times New Roman"/>
        </w:rPr>
        <w:t>. 1996. "Principals and Agents, Colonialists and Company Men: The Decay of Colonial C</w:t>
      </w:r>
      <w:bookmarkStart w:id="0" w:name="_GoBack"/>
      <w:bookmarkEnd w:id="0"/>
      <w:r w:rsidRPr="00A626CA">
        <w:rPr>
          <w:rFonts w:ascii="Times New Roman" w:hAnsi="Times New Roman" w:cs="Times New Roman"/>
        </w:rPr>
        <w:t xml:space="preserve">ontrol in the Dutch East Indies." </w:t>
      </w:r>
      <w:r w:rsidRPr="00A626CA">
        <w:rPr>
          <w:rFonts w:ascii="Times New Roman" w:hAnsi="Times New Roman" w:cs="Times New Roman"/>
          <w:i/>
        </w:rPr>
        <w:t>American Sociological Review</w:t>
      </w:r>
      <w:r w:rsidRPr="00A626CA">
        <w:rPr>
          <w:rFonts w:ascii="Times New Roman" w:hAnsi="Times New Roman" w:cs="Times New Roman"/>
        </w:rPr>
        <w:t xml:space="preserve"> 61 (Feb): 12-28.</w:t>
      </w:r>
    </w:p>
    <w:p w14:paraId="38E249D6" w14:textId="77777777" w:rsidR="00F3683A" w:rsidRPr="00120A3E" w:rsidRDefault="00F3683A" w:rsidP="00435B7D">
      <w:pPr>
        <w:tabs>
          <w:tab w:val="left" w:pos="0"/>
        </w:tabs>
        <w:ind w:left="720" w:hanging="720"/>
        <w:outlineLvl w:val="0"/>
        <w:rPr>
          <w:rFonts w:ascii="Times New Roman" w:eastAsia="Times New Roman" w:hAnsi="Times New Roman" w:cs="Times New Roman"/>
          <w:color w:val="000000" w:themeColor="text1"/>
        </w:rPr>
      </w:pPr>
      <w:r w:rsidRPr="00120A3E">
        <w:rPr>
          <w:rFonts w:ascii="Times New Roman" w:hAnsi="Times New Roman" w:cs="Times New Roman"/>
          <w:iCs/>
          <w:color w:val="000000" w:themeColor="text1"/>
        </w:rPr>
        <w:t>Aragon-</w:t>
      </w:r>
      <w:r w:rsidRPr="00120A3E">
        <w:rPr>
          <w:rFonts w:ascii="Times New Roman" w:eastAsia="Times New Roman" w:hAnsi="Times New Roman" w:cs="Times New Roman"/>
          <w:color w:val="000000" w:themeColor="text1"/>
        </w:rPr>
        <w:t xml:space="preserve">Correa, J.A., Sharma, S. 2003. A Contingent Resource-Based View of Proactive Corporate Environmental Strategy. </w:t>
      </w:r>
      <w:r w:rsidRPr="00120A3E">
        <w:rPr>
          <w:rFonts w:ascii="Times New Roman" w:eastAsia="Times New Roman" w:hAnsi="Times New Roman" w:cs="Times New Roman"/>
          <w:i/>
          <w:color w:val="000000" w:themeColor="text1"/>
        </w:rPr>
        <w:t>Academy of Management Review</w:t>
      </w:r>
      <w:r w:rsidRPr="00120A3E">
        <w:rPr>
          <w:rFonts w:ascii="Times New Roman" w:eastAsia="Times New Roman" w:hAnsi="Times New Roman" w:cs="Times New Roman"/>
          <w:color w:val="000000" w:themeColor="text1"/>
        </w:rPr>
        <w:t xml:space="preserve"> </w:t>
      </w:r>
      <w:r w:rsidRPr="00120A3E">
        <w:rPr>
          <w:rFonts w:ascii="Times New Roman" w:eastAsia="Times New Roman" w:hAnsi="Times New Roman" w:cs="Times New Roman"/>
          <w:b/>
          <w:color w:val="000000" w:themeColor="text1"/>
        </w:rPr>
        <w:t>28</w:t>
      </w:r>
      <w:r w:rsidRPr="00120A3E">
        <w:rPr>
          <w:rFonts w:ascii="Times New Roman" w:eastAsia="Times New Roman" w:hAnsi="Times New Roman" w:cs="Times New Roman"/>
          <w:color w:val="000000" w:themeColor="text1"/>
        </w:rPr>
        <w:t>(1): 71-88.</w:t>
      </w:r>
    </w:p>
    <w:p w14:paraId="5C377AC5" w14:textId="77777777" w:rsidR="00F3683A" w:rsidRPr="00120A3E" w:rsidRDefault="00F3683A" w:rsidP="00435B7D">
      <w:pPr>
        <w:pStyle w:val="EndNoteBibliography"/>
        <w:spacing w:after="0"/>
        <w:ind w:left="720" w:hanging="720"/>
        <w:rPr>
          <w:rFonts w:ascii="Times New Roman" w:hAnsi="Times New Roman" w:cs="Times New Roman"/>
          <w:sz w:val="24"/>
          <w:szCs w:val="24"/>
        </w:rPr>
      </w:pPr>
      <w:r w:rsidRPr="00120A3E">
        <w:rPr>
          <w:rFonts w:ascii="Times New Roman" w:eastAsiaTheme="minorHAnsi" w:hAnsi="Times New Roman" w:cs="Times New Roman"/>
          <w:sz w:val="24"/>
          <w:szCs w:val="24"/>
          <w:lang w:eastAsia="en-US"/>
        </w:rPr>
        <w:fldChar w:fldCharType="begin"/>
      </w:r>
      <w:r w:rsidRPr="00120A3E">
        <w:rPr>
          <w:rFonts w:ascii="Times New Roman" w:hAnsi="Times New Roman" w:cs="Times New Roman"/>
          <w:sz w:val="24"/>
          <w:szCs w:val="24"/>
        </w:rPr>
        <w:instrText xml:space="preserve"> ADDIN EN.REFLIST </w:instrText>
      </w:r>
      <w:r w:rsidRPr="00120A3E">
        <w:rPr>
          <w:rFonts w:ascii="Times New Roman" w:eastAsiaTheme="minorHAnsi" w:hAnsi="Times New Roman" w:cs="Times New Roman"/>
          <w:sz w:val="24"/>
          <w:szCs w:val="24"/>
          <w:lang w:eastAsia="en-US"/>
        </w:rPr>
        <w:fldChar w:fldCharType="separate"/>
      </w:r>
      <w:r w:rsidRPr="00120A3E">
        <w:rPr>
          <w:rFonts w:ascii="Times New Roman" w:hAnsi="Times New Roman" w:cs="Times New Roman"/>
          <w:sz w:val="24"/>
          <w:szCs w:val="24"/>
        </w:rPr>
        <w:t xml:space="preserve">Becchetti, L., R. Ciciretti, I. Hasan, N. Kobeissi. 2012. Corporate social responsibility and shareholder's value. </w:t>
      </w:r>
      <w:r w:rsidRPr="00120A3E">
        <w:rPr>
          <w:rFonts w:ascii="Times New Roman" w:hAnsi="Times New Roman" w:cs="Times New Roman"/>
          <w:i/>
          <w:sz w:val="24"/>
          <w:szCs w:val="24"/>
        </w:rPr>
        <w:t>Journal of Business Research</w:t>
      </w:r>
      <w:r w:rsidRPr="00120A3E">
        <w:rPr>
          <w:rFonts w:ascii="Times New Roman" w:hAnsi="Times New Roman" w:cs="Times New Roman"/>
          <w:sz w:val="24"/>
          <w:szCs w:val="24"/>
        </w:rPr>
        <w:t xml:space="preserve"> </w:t>
      </w:r>
      <w:r w:rsidRPr="00120A3E">
        <w:rPr>
          <w:rFonts w:ascii="Times New Roman" w:hAnsi="Times New Roman" w:cs="Times New Roman"/>
          <w:b/>
          <w:sz w:val="24"/>
          <w:szCs w:val="24"/>
        </w:rPr>
        <w:t>65</w:t>
      </w:r>
      <w:r w:rsidRPr="00120A3E">
        <w:rPr>
          <w:rFonts w:ascii="Times New Roman" w:hAnsi="Times New Roman" w:cs="Times New Roman"/>
          <w:sz w:val="24"/>
          <w:szCs w:val="24"/>
        </w:rPr>
        <w:t>(11) 1628-1635.</w:t>
      </w:r>
    </w:p>
    <w:p w14:paraId="576DC436" w14:textId="77777777" w:rsidR="00F3683A" w:rsidRDefault="00F3683A" w:rsidP="00435B7D">
      <w:pPr>
        <w:ind w:left="720" w:hanging="720"/>
        <w:textAlignment w:val="baseline"/>
        <w:rPr>
          <w:rFonts w:ascii="Times New Roman" w:eastAsia="Times New Roman" w:hAnsi="Times New Roman" w:cs="Times New Roman"/>
          <w:color w:val="2A2A2A"/>
        </w:rPr>
      </w:pPr>
      <w:r w:rsidRPr="00120A3E">
        <w:rPr>
          <w:rFonts w:ascii="Times New Roman" w:eastAsia="Times New Roman" w:hAnsi="Times New Roman" w:cs="Times New Roman"/>
          <w:color w:val="2A2A2A"/>
          <w:bdr w:val="none" w:sz="0" w:space="0" w:color="auto" w:frame="1"/>
        </w:rPr>
        <w:t xml:space="preserve">Brown-Hruska, S., Zwirb, R.S. 2007. Legal clarity and regulatory discretion-exploring the law and economics of insider trading in derivative markets. </w:t>
      </w:r>
      <w:r w:rsidRPr="00120A3E">
        <w:rPr>
          <w:rFonts w:ascii="Times New Roman" w:eastAsia="Times New Roman" w:hAnsi="Times New Roman" w:cs="Times New Roman"/>
          <w:i/>
          <w:iCs/>
          <w:color w:val="2A2A2A"/>
          <w:bdr w:val="none" w:sz="0" w:space="0" w:color="auto" w:frame="1"/>
        </w:rPr>
        <w:t>Capital Markets Law Journal</w:t>
      </w:r>
      <w:r w:rsidRPr="00120A3E">
        <w:rPr>
          <w:rFonts w:ascii="Times New Roman" w:eastAsia="Times New Roman" w:hAnsi="Times New Roman" w:cs="Times New Roman"/>
          <w:color w:val="2A2A2A"/>
        </w:rPr>
        <w:t>, 2(3): 245–259.</w:t>
      </w:r>
    </w:p>
    <w:p w14:paraId="716356A3" w14:textId="3954F153" w:rsidR="00C829A6" w:rsidRPr="00120A3E" w:rsidRDefault="00C829A6" w:rsidP="00435B7D">
      <w:pPr>
        <w:ind w:left="720" w:hanging="720"/>
        <w:textAlignment w:val="baseline"/>
        <w:rPr>
          <w:rFonts w:ascii="Times New Roman" w:eastAsia="Times New Roman" w:hAnsi="Times New Roman" w:cs="Times New Roman"/>
          <w:color w:val="2A2A2A"/>
        </w:rPr>
      </w:pPr>
      <w:r>
        <w:rPr>
          <w:rFonts w:ascii="Times New Roman" w:eastAsia="Times New Roman" w:hAnsi="Times New Roman" w:cs="Times New Roman"/>
          <w:color w:val="2A2A2A"/>
        </w:rPr>
        <w:t xml:space="preserve">Carpenter, D.P. 2001. </w:t>
      </w:r>
      <w:r w:rsidRPr="00C829A6">
        <w:rPr>
          <w:rFonts w:ascii="Times New Roman" w:eastAsia="Times New Roman" w:hAnsi="Times New Roman" w:cs="Times New Roman"/>
          <w:i/>
          <w:color w:val="2A2A2A"/>
        </w:rPr>
        <w:t>The Forging of Bureaucratic Autonomy: Reputations, Networks, and Policy Innovation in Executive Agencies, 1862-1928</w:t>
      </w:r>
      <w:r>
        <w:rPr>
          <w:rFonts w:ascii="Times New Roman" w:eastAsia="Times New Roman" w:hAnsi="Times New Roman" w:cs="Times New Roman"/>
          <w:color w:val="2A2A2A"/>
        </w:rPr>
        <w:t xml:space="preserve">. Princeton, NJ: Princeton University Press. </w:t>
      </w:r>
    </w:p>
    <w:p w14:paraId="290D33FE" w14:textId="77777777" w:rsidR="00F3683A" w:rsidRPr="00120A3E" w:rsidRDefault="00F3683A"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 xml:space="preserve">Edelman, L.B. 1992. Legal Ambiguity and Symbolic Structures: Organizational Mediation of Civil Rights Law. </w:t>
      </w:r>
      <w:r w:rsidRPr="00120A3E">
        <w:rPr>
          <w:rFonts w:ascii="Times New Roman" w:hAnsi="Times New Roman" w:cs="Times New Roman"/>
          <w:i/>
          <w:sz w:val="24"/>
          <w:szCs w:val="24"/>
        </w:rPr>
        <w:t>American Journal of Sociology</w:t>
      </w:r>
      <w:r w:rsidRPr="00120A3E">
        <w:rPr>
          <w:rFonts w:ascii="Times New Roman" w:hAnsi="Times New Roman" w:cs="Times New Roman"/>
          <w:sz w:val="24"/>
          <w:szCs w:val="24"/>
        </w:rPr>
        <w:t xml:space="preserve"> </w:t>
      </w:r>
      <w:r w:rsidRPr="00120A3E">
        <w:rPr>
          <w:rFonts w:ascii="Times New Roman" w:hAnsi="Times New Roman" w:cs="Times New Roman"/>
          <w:b/>
          <w:sz w:val="24"/>
          <w:szCs w:val="24"/>
        </w:rPr>
        <w:t>97</w:t>
      </w:r>
      <w:r w:rsidRPr="00120A3E">
        <w:rPr>
          <w:rFonts w:ascii="Times New Roman" w:hAnsi="Times New Roman" w:cs="Times New Roman"/>
          <w:sz w:val="24"/>
          <w:szCs w:val="24"/>
        </w:rPr>
        <w:t>(6) 1531-1576.</w:t>
      </w:r>
    </w:p>
    <w:p w14:paraId="7A907215" w14:textId="77777777" w:rsidR="00F3683A" w:rsidRPr="00120A3E" w:rsidRDefault="00F3683A" w:rsidP="00435B7D">
      <w:pPr>
        <w:ind w:left="720" w:hanging="720"/>
        <w:rPr>
          <w:rFonts w:ascii="Times New Roman" w:eastAsia="Times New Roman" w:hAnsi="Times New Roman" w:cs="Times New Roman"/>
        </w:rPr>
      </w:pPr>
      <w:r w:rsidRPr="00120A3E">
        <w:rPr>
          <w:rFonts w:ascii="Times New Roman" w:hAnsi="Times New Roman" w:cs="Times New Roman"/>
        </w:rPr>
        <w:t xml:space="preserve">Georgallis, P., Durand, R., &amp; Dowell G., 2018. </w:t>
      </w:r>
      <w:r w:rsidRPr="00120A3E">
        <w:rPr>
          <w:rFonts w:ascii="Times New Roman" w:eastAsia="Times New Roman" w:hAnsi="Times New Roman" w:cs="Times New Roman"/>
          <w:bCs/>
          <w:color w:val="555555"/>
          <w:kern w:val="36"/>
        </w:rPr>
        <w:t>Shine on Me: Industry Coherence and Policy Support for Emerging Industries. Administrative Science Quarterly.</w:t>
      </w:r>
      <w:r w:rsidRPr="00120A3E">
        <w:rPr>
          <w:rFonts w:ascii="Times New Roman" w:eastAsia="Times New Roman" w:hAnsi="Times New Roman" w:cs="Times New Roman"/>
        </w:rPr>
        <w:t xml:space="preserve"> </w:t>
      </w:r>
      <w:hyperlink r:id="rId7" w:history="1">
        <w:r w:rsidRPr="00120A3E">
          <w:rPr>
            <w:rStyle w:val="Hyperlink"/>
            <w:rFonts w:ascii="Times New Roman" w:eastAsia="Times New Roman" w:hAnsi="Times New Roman" w:cs="Times New Roman"/>
            <w:color w:val="auto"/>
            <w:u w:val="none"/>
          </w:rPr>
          <w:t>https://doi.org/10.1177/0001839218771550</w:t>
        </w:r>
      </w:hyperlink>
    </w:p>
    <w:p w14:paraId="12759587" w14:textId="77777777" w:rsidR="00F3683A" w:rsidRPr="00120A3E" w:rsidRDefault="00F3683A"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 xml:space="preserve">Fabrizio, K.R. 2013. The Effect of Regulatory Uncertainty on Investment: Evidence from Renewable Energy Generation. </w:t>
      </w:r>
      <w:r w:rsidRPr="00120A3E">
        <w:rPr>
          <w:rFonts w:ascii="Times New Roman" w:hAnsi="Times New Roman" w:cs="Times New Roman"/>
          <w:i/>
          <w:sz w:val="24"/>
          <w:szCs w:val="24"/>
        </w:rPr>
        <w:t>The Journal of Law, Economics, and Organization</w:t>
      </w:r>
      <w:r w:rsidRPr="00120A3E">
        <w:rPr>
          <w:rFonts w:ascii="Times New Roman" w:hAnsi="Times New Roman" w:cs="Times New Roman"/>
          <w:sz w:val="24"/>
          <w:szCs w:val="24"/>
        </w:rPr>
        <w:t xml:space="preserve"> </w:t>
      </w:r>
      <w:r w:rsidRPr="00120A3E">
        <w:rPr>
          <w:rFonts w:ascii="Times New Roman" w:hAnsi="Times New Roman" w:cs="Times New Roman"/>
          <w:b/>
          <w:sz w:val="24"/>
          <w:szCs w:val="24"/>
        </w:rPr>
        <w:t>29</w:t>
      </w:r>
      <w:r w:rsidRPr="00120A3E">
        <w:rPr>
          <w:rFonts w:ascii="Times New Roman" w:hAnsi="Times New Roman" w:cs="Times New Roman"/>
          <w:sz w:val="24"/>
          <w:szCs w:val="24"/>
        </w:rPr>
        <w:t>(4) 765-798.</w:t>
      </w:r>
    </w:p>
    <w:p w14:paraId="0127B41F" w14:textId="6B35B29F" w:rsidR="00924AA7" w:rsidRPr="00120A3E" w:rsidRDefault="00924AA7"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 xml:space="preserve">Freeman RE. 2010. </w:t>
      </w:r>
      <w:r w:rsidRPr="00120A3E">
        <w:rPr>
          <w:rFonts w:ascii="Times New Roman" w:hAnsi="Times New Roman" w:cs="Times New Roman"/>
          <w:i/>
          <w:iCs/>
          <w:sz w:val="24"/>
          <w:szCs w:val="24"/>
        </w:rPr>
        <w:t>Strategic management: A stakeholder approach</w:t>
      </w:r>
      <w:r w:rsidRPr="00120A3E">
        <w:rPr>
          <w:rFonts w:ascii="Times New Roman" w:hAnsi="Times New Roman" w:cs="Times New Roman"/>
          <w:sz w:val="24"/>
          <w:szCs w:val="24"/>
        </w:rPr>
        <w:t>. Cambridge university press.</w:t>
      </w:r>
    </w:p>
    <w:p w14:paraId="43F6264C" w14:textId="77777777" w:rsidR="00F3683A" w:rsidRDefault="00F3683A"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 xml:space="preserve">Fremeth, A.R., J.M. Shaver. 2014. Strategic rationale for responding to extra-jurisdictional regulation: Evidence from firm adoption of renewable power in the US. </w:t>
      </w:r>
      <w:r w:rsidRPr="00120A3E">
        <w:rPr>
          <w:rFonts w:ascii="Times New Roman" w:hAnsi="Times New Roman" w:cs="Times New Roman"/>
          <w:i/>
          <w:sz w:val="24"/>
          <w:szCs w:val="24"/>
        </w:rPr>
        <w:t>Strategic Management Journal</w:t>
      </w:r>
      <w:r w:rsidRPr="00120A3E">
        <w:rPr>
          <w:rFonts w:ascii="Times New Roman" w:hAnsi="Times New Roman" w:cs="Times New Roman"/>
          <w:sz w:val="24"/>
          <w:szCs w:val="24"/>
        </w:rPr>
        <w:t xml:space="preserve"> </w:t>
      </w:r>
      <w:r w:rsidRPr="00120A3E">
        <w:rPr>
          <w:rFonts w:ascii="Times New Roman" w:hAnsi="Times New Roman" w:cs="Times New Roman"/>
          <w:b/>
          <w:sz w:val="24"/>
          <w:szCs w:val="24"/>
        </w:rPr>
        <w:t>35</w:t>
      </w:r>
      <w:r w:rsidRPr="00120A3E">
        <w:rPr>
          <w:rFonts w:ascii="Times New Roman" w:hAnsi="Times New Roman" w:cs="Times New Roman"/>
          <w:sz w:val="24"/>
          <w:szCs w:val="24"/>
        </w:rPr>
        <w:t>(5) 629-651.</w:t>
      </w:r>
    </w:p>
    <w:p w14:paraId="7AB3EE10" w14:textId="5D151F7A" w:rsidR="00120A3E" w:rsidRPr="00120A3E" w:rsidRDefault="00120A3E" w:rsidP="00435B7D">
      <w:pPr>
        <w:ind w:left="720" w:hanging="720"/>
        <w:rPr>
          <w:rFonts w:ascii="Times New Roman" w:eastAsia="Times New Roman" w:hAnsi="Times New Roman" w:cs="Times New Roman"/>
        </w:rPr>
      </w:pPr>
      <w:r w:rsidRPr="00120A3E">
        <w:rPr>
          <w:rFonts w:ascii="Times New Roman" w:hAnsi="Times New Roman" w:cs="Times New Roman"/>
        </w:rPr>
        <w:t xml:space="preserve">Guillen, M.F., Capron, L. 2016. State Capacity, Minority Shareholder Protections, and Stock Market Development. Administrative Science Quarterly. </w:t>
      </w:r>
      <w:hyperlink r:id="rId8" w:history="1">
        <w:r w:rsidRPr="00120A3E">
          <w:rPr>
            <w:rStyle w:val="Hyperlink"/>
            <w:rFonts w:ascii="Times New Roman" w:eastAsia="Times New Roman" w:hAnsi="Times New Roman" w:cs="Times New Roman"/>
            <w:color w:val="auto"/>
            <w:u w:val="none"/>
          </w:rPr>
          <w:t>https://doi.org/10.1177/0001839215601459</w:t>
        </w:r>
      </w:hyperlink>
    </w:p>
    <w:p w14:paraId="55280BAC" w14:textId="77777777" w:rsidR="00F3683A" w:rsidRPr="00120A3E" w:rsidRDefault="00F3683A"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 xml:space="preserve">Hiatt, S., J. Grandy, B.H. Lee. 2015. Organizational Responses to Public and Private Politics: An Analysis of Climate Change Activists and U.S. Oil and Gas Firms. </w:t>
      </w:r>
      <w:r w:rsidRPr="00120A3E">
        <w:rPr>
          <w:rFonts w:ascii="Times New Roman" w:hAnsi="Times New Roman" w:cs="Times New Roman"/>
          <w:i/>
          <w:sz w:val="24"/>
          <w:szCs w:val="24"/>
        </w:rPr>
        <w:t>Organization Science</w:t>
      </w:r>
      <w:r w:rsidRPr="00120A3E">
        <w:rPr>
          <w:rFonts w:ascii="Times New Roman" w:hAnsi="Times New Roman" w:cs="Times New Roman"/>
          <w:sz w:val="24"/>
          <w:szCs w:val="24"/>
        </w:rPr>
        <w:t xml:space="preserve"> </w:t>
      </w:r>
      <w:r w:rsidRPr="00120A3E">
        <w:rPr>
          <w:rFonts w:ascii="Times New Roman" w:hAnsi="Times New Roman" w:cs="Times New Roman"/>
          <w:b/>
          <w:sz w:val="24"/>
          <w:szCs w:val="24"/>
        </w:rPr>
        <w:t>26</w:t>
      </w:r>
      <w:r w:rsidRPr="00120A3E">
        <w:rPr>
          <w:rFonts w:ascii="Times New Roman" w:hAnsi="Times New Roman" w:cs="Times New Roman"/>
          <w:sz w:val="24"/>
          <w:szCs w:val="24"/>
        </w:rPr>
        <w:t>(6) 1769-1786.</w:t>
      </w:r>
    </w:p>
    <w:p w14:paraId="7C54AC0F" w14:textId="77777777" w:rsidR="00F3683A" w:rsidRPr="00120A3E" w:rsidRDefault="00F3683A" w:rsidP="00435B7D">
      <w:pPr>
        <w:ind w:left="720" w:hanging="720"/>
        <w:rPr>
          <w:rFonts w:ascii="Times New Roman" w:eastAsia="Times New Roman" w:hAnsi="Times New Roman" w:cs="Times New Roman"/>
          <w:color w:val="222222"/>
          <w:shd w:val="clear" w:color="auto" w:fill="FFFFFF"/>
        </w:rPr>
      </w:pPr>
      <w:r w:rsidRPr="00120A3E">
        <w:rPr>
          <w:rFonts w:ascii="Times New Roman" w:eastAsia="Times New Roman" w:hAnsi="Times New Roman" w:cs="Times New Roman"/>
          <w:color w:val="222222"/>
          <w:shd w:val="clear" w:color="auto" w:fill="FFFFFF"/>
        </w:rPr>
        <w:t xml:space="preserve">Hiatt, S.R. &amp; Park, S. 2013. Lords of the Harvest: Third-Party Influence and Regulatory Approval of Genetically Modified Organisms. </w:t>
      </w:r>
      <w:r w:rsidRPr="00120A3E">
        <w:rPr>
          <w:rFonts w:ascii="Times New Roman" w:eastAsia="Times New Roman" w:hAnsi="Times New Roman" w:cs="Times New Roman"/>
          <w:i/>
          <w:color w:val="222222"/>
          <w:shd w:val="clear" w:color="auto" w:fill="FFFFFF"/>
        </w:rPr>
        <w:t>Academy of Management Journal</w:t>
      </w:r>
      <w:r w:rsidRPr="00120A3E">
        <w:rPr>
          <w:rFonts w:ascii="Times New Roman" w:eastAsia="Times New Roman" w:hAnsi="Times New Roman" w:cs="Times New Roman"/>
          <w:color w:val="222222"/>
          <w:shd w:val="clear" w:color="auto" w:fill="FFFFFF"/>
        </w:rPr>
        <w:t>, 56(4): 923-944.</w:t>
      </w:r>
    </w:p>
    <w:p w14:paraId="5759AED6" w14:textId="77777777" w:rsidR="00F3683A" w:rsidRPr="00120A3E" w:rsidRDefault="00F3683A" w:rsidP="00435B7D">
      <w:pPr>
        <w:ind w:left="720" w:hanging="720"/>
        <w:rPr>
          <w:rFonts w:ascii="Times New Roman" w:hAnsi="Times New Roman" w:cs="Times New Roman"/>
        </w:rPr>
      </w:pPr>
      <w:r w:rsidRPr="00120A3E">
        <w:rPr>
          <w:rFonts w:ascii="Times New Roman" w:hAnsi="Times New Roman" w:cs="Times New Roman"/>
          <w:shd w:val="clear" w:color="auto" w:fill="FFFFFF"/>
        </w:rPr>
        <w:t xml:space="preserve">Hoffman, A.J. 1999. </w:t>
      </w:r>
      <w:r w:rsidRPr="00120A3E">
        <w:rPr>
          <w:rFonts w:ascii="Times New Roman" w:hAnsi="Times New Roman" w:cs="Times New Roman"/>
        </w:rPr>
        <w:t>Institutional Evolution and Change: Environmentalism and the U.S. Chemical Industry. The Academy of Management Journal, 42(4): 351-371.</w:t>
      </w:r>
    </w:p>
    <w:p w14:paraId="26953D75" w14:textId="77777777" w:rsidR="00F3683A" w:rsidRDefault="00F3683A" w:rsidP="00435B7D">
      <w:pPr>
        <w:tabs>
          <w:tab w:val="left" w:pos="720"/>
        </w:tabs>
        <w:autoSpaceDE w:val="0"/>
        <w:autoSpaceDN w:val="0"/>
        <w:adjustRightInd w:val="0"/>
        <w:ind w:left="720" w:hanging="720"/>
        <w:rPr>
          <w:rFonts w:ascii="Times New Roman" w:hAnsi="Times New Roman" w:cs="Times New Roman"/>
          <w:shd w:val="clear" w:color="auto" w:fill="FFFFFF"/>
        </w:rPr>
      </w:pPr>
      <w:r w:rsidRPr="00120A3E">
        <w:rPr>
          <w:rFonts w:ascii="Times New Roman" w:hAnsi="Times New Roman" w:cs="Times New Roman"/>
          <w:shd w:val="clear" w:color="auto" w:fill="FFFFFF"/>
        </w:rPr>
        <w:t>Hoffman, A.J. 2005. Climate change strategy: The business logic behind voluntary greenhouse gas reductions.</w:t>
      </w:r>
      <w:r w:rsidRPr="00120A3E">
        <w:rPr>
          <w:rStyle w:val="apple-converted-space"/>
          <w:rFonts w:ascii="Times New Roman" w:hAnsi="Times New Roman" w:cs="Times New Roman"/>
          <w:shd w:val="clear" w:color="auto" w:fill="FFFFFF"/>
        </w:rPr>
        <w:t> </w:t>
      </w:r>
      <w:r w:rsidRPr="00120A3E">
        <w:rPr>
          <w:rFonts w:ascii="Times New Roman" w:hAnsi="Times New Roman" w:cs="Times New Roman"/>
          <w:i/>
          <w:iCs/>
          <w:shd w:val="clear" w:color="auto" w:fill="FFFFFF"/>
        </w:rPr>
        <w:t>California Management Review</w:t>
      </w:r>
      <w:r w:rsidRPr="00120A3E">
        <w:rPr>
          <w:rStyle w:val="apple-converted-space"/>
          <w:rFonts w:ascii="Times New Roman" w:hAnsi="Times New Roman" w:cs="Times New Roman"/>
          <w:shd w:val="clear" w:color="auto" w:fill="FFFFFF"/>
        </w:rPr>
        <w:t> </w:t>
      </w:r>
      <w:r w:rsidRPr="00120A3E">
        <w:rPr>
          <w:rFonts w:ascii="Times New Roman" w:hAnsi="Times New Roman" w:cs="Times New Roman"/>
          <w:b/>
          <w:iCs/>
          <w:shd w:val="clear" w:color="auto" w:fill="FFFFFF"/>
        </w:rPr>
        <w:t>47</w:t>
      </w:r>
      <w:r w:rsidRPr="00120A3E">
        <w:rPr>
          <w:rFonts w:ascii="Times New Roman" w:hAnsi="Times New Roman" w:cs="Times New Roman"/>
          <w:shd w:val="clear" w:color="auto" w:fill="FFFFFF"/>
        </w:rPr>
        <w:t>(3): 21-46.</w:t>
      </w:r>
    </w:p>
    <w:p w14:paraId="5BB98CFD" w14:textId="4E228F33" w:rsidR="009360CE" w:rsidRDefault="009360CE" w:rsidP="00435B7D">
      <w:pPr>
        <w:tabs>
          <w:tab w:val="left" w:pos="720"/>
        </w:tabs>
        <w:autoSpaceDE w:val="0"/>
        <w:autoSpaceDN w:val="0"/>
        <w:adjustRightInd w:val="0"/>
        <w:ind w:left="720" w:hanging="720"/>
        <w:rPr>
          <w:rFonts w:ascii="Times New Roman" w:hAnsi="Times New Roman" w:cs="Times New Roman"/>
          <w:shd w:val="clear" w:color="auto" w:fill="FFFFFF"/>
        </w:rPr>
      </w:pPr>
      <w:r w:rsidRPr="00AE4B0D">
        <w:rPr>
          <w:rFonts w:ascii="Times New Roman" w:eastAsia="Calibri" w:hAnsi="Times New Roman" w:cs="Times New Roman"/>
        </w:rPr>
        <w:t>Huber</w:t>
      </w:r>
      <w:r>
        <w:rPr>
          <w:rFonts w:ascii="Times New Roman" w:eastAsia="Calibri" w:hAnsi="Times New Roman" w:cs="Times New Roman"/>
        </w:rPr>
        <w:t xml:space="preserve">, J.D., </w:t>
      </w:r>
      <w:r w:rsidRPr="00AE4B0D">
        <w:rPr>
          <w:rFonts w:ascii="Times New Roman" w:eastAsia="Calibri" w:hAnsi="Times New Roman" w:cs="Times New Roman"/>
        </w:rPr>
        <w:t xml:space="preserve">Shipan, </w:t>
      </w:r>
      <w:r>
        <w:rPr>
          <w:rFonts w:ascii="Times New Roman" w:eastAsia="Calibri" w:hAnsi="Times New Roman" w:cs="Times New Roman"/>
        </w:rPr>
        <w:t xml:space="preserve">C.R. </w:t>
      </w:r>
      <w:r w:rsidRPr="00AE4B0D">
        <w:rPr>
          <w:rFonts w:ascii="Times New Roman" w:eastAsia="Calibri" w:hAnsi="Times New Roman" w:cs="Times New Roman"/>
        </w:rPr>
        <w:t>2002</w:t>
      </w:r>
      <w:r>
        <w:rPr>
          <w:rFonts w:ascii="Times New Roman" w:eastAsia="Calibri" w:hAnsi="Times New Roman" w:cs="Times New Roman"/>
        </w:rPr>
        <w:t xml:space="preserve">. </w:t>
      </w:r>
      <w:r w:rsidRPr="00B7612B">
        <w:rPr>
          <w:rFonts w:ascii="Times New Roman" w:eastAsia="Calibri" w:hAnsi="Times New Roman" w:cs="Times New Roman"/>
          <w:i/>
        </w:rPr>
        <w:t>Deliberate Discretion? The Institutional Foundations of Bureaucratic Autonomy</w:t>
      </w:r>
      <w:r>
        <w:rPr>
          <w:rFonts w:ascii="Times New Roman" w:eastAsia="Calibri" w:hAnsi="Times New Roman" w:cs="Times New Roman"/>
        </w:rPr>
        <w:t xml:space="preserve">. Cambridge University Press. </w:t>
      </w:r>
    </w:p>
    <w:p w14:paraId="466372B1" w14:textId="77777777" w:rsidR="00F3683A" w:rsidRPr="00120A3E" w:rsidRDefault="00F3683A"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 xml:space="preserve">Ioannou, I., G. Serafeim. 2012. What drives corporate social performance? The role of nation-level institutions. </w:t>
      </w:r>
      <w:r w:rsidRPr="00120A3E">
        <w:rPr>
          <w:rFonts w:ascii="Times New Roman" w:hAnsi="Times New Roman" w:cs="Times New Roman"/>
          <w:i/>
          <w:sz w:val="24"/>
          <w:szCs w:val="24"/>
        </w:rPr>
        <w:t>Journal of International Business Studies</w:t>
      </w:r>
      <w:r w:rsidRPr="00120A3E">
        <w:rPr>
          <w:rFonts w:ascii="Times New Roman" w:hAnsi="Times New Roman" w:cs="Times New Roman"/>
          <w:sz w:val="24"/>
          <w:szCs w:val="24"/>
        </w:rPr>
        <w:t xml:space="preserve"> </w:t>
      </w:r>
      <w:r w:rsidRPr="00120A3E">
        <w:rPr>
          <w:rFonts w:ascii="Times New Roman" w:hAnsi="Times New Roman" w:cs="Times New Roman"/>
          <w:b/>
          <w:sz w:val="24"/>
          <w:szCs w:val="24"/>
        </w:rPr>
        <w:t>43</w:t>
      </w:r>
      <w:r w:rsidRPr="00120A3E">
        <w:rPr>
          <w:rFonts w:ascii="Times New Roman" w:hAnsi="Times New Roman" w:cs="Times New Roman"/>
          <w:sz w:val="24"/>
          <w:szCs w:val="24"/>
        </w:rPr>
        <w:t>(9) 834-864.</w:t>
      </w:r>
    </w:p>
    <w:p w14:paraId="7033CB30" w14:textId="77777777" w:rsidR="00F3683A" w:rsidRPr="00120A3E" w:rsidRDefault="00F3683A"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 xml:space="preserve">Keller, W., A. Levinson. 2002. Pollution Abatement Costs and Foreign Direct Investment Inflows to U.S. States. </w:t>
      </w:r>
      <w:r w:rsidRPr="00120A3E">
        <w:rPr>
          <w:rFonts w:ascii="Times New Roman" w:hAnsi="Times New Roman" w:cs="Times New Roman"/>
          <w:i/>
          <w:sz w:val="24"/>
          <w:szCs w:val="24"/>
        </w:rPr>
        <w:t>Review of Economics and Statistics</w:t>
      </w:r>
      <w:r w:rsidRPr="00120A3E">
        <w:rPr>
          <w:rFonts w:ascii="Times New Roman" w:hAnsi="Times New Roman" w:cs="Times New Roman"/>
          <w:sz w:val="24"/>
          <w:szCs w:val="24"/>
        </w:rPr>
        <w:t xml:space="preserve"> </w:t>
      </w:r>
      <w:r w:rsidRPr="00120A3E">
        <w:rPr>
          <w:rFonts w:ascii="Times New Roman" w:hAnsi="Times New Roman" w:cs="Times New Roman"/>
          <w:b/>
          <w:sz w:val="24"/>
          <w:szCs w:val="24"/>
        </w:rPr>
        <w:t>84</w:t>
      </w:r>
      <w:r w:rsidRPr="00120A3E">
        <w:rPr>
          <w:rFonts w:ascii="Times New Roman" w:hAnsi="Times New Roman" w:cs="Times New Roman"/>
          <w:sz w:val="24"/>
          <w:szCs w:val="24"/>
        </w:rPr>
        <w:t>(4) 691-703.</w:t>
      </w:r>
    </w:p>
    <w:p w14:paraId="132EF371" w14:textId="0B3E0208" w:rsidR="00DD2A98" w:rsidRPr="00C829A6" w:rsidRDefault="00DD2A98"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lastRenderedPageBreak/>
        <w:t xml:space="preserve">Kiser E. 1999. Comparing varieties of agency theory in economics, political science, and sociology: An illustration from state policy implementation. </w:t>
      </w:r>
      <w:r w:rsidRPr="00120A3E">
        <w:rPr>
          <w:rFonts w:ascii="Times New Roman" w:hAnsi="Times New Roman" w:cs="Times New Roman"/>
          <w:i/>
          <w:iCs/>
          <w:sz w:val="24"/>
          <w:szCs w:val="24"/>
        </w:rPr>
        <w:t>Sociological Theory</w:t>
      </w:r>
      <w:r w:rsidRPr="00120A3E">
        <w:rPr>
          <w:rFonts w:ascii="Times New Roman" w:hAnsi="Times New Roman" w:cs="Times New Roman"/>
          <w:sz w:val="24"/>
          <w:szCs w:val="24"/>
        </w:rPr>
        <w:t xml:space="preserve"> </w:t>
      </w:r>
      <w:r w:rsidRPr="00120A3E">
        <w:rPr>
          <w:rFonts w:ascii="Times New Roman" w:hAnsi="Times New Roman" w:cs="Times New Roman"/>
          <w:b/>
          <w:bCs/>
          <w:sz w:val="24"/>
          <w:szCs w:val="24"/>
        </w:rPr>
        <w:t>17</w:t>
      </w:r>
      <w:r w:rsidRPr="00120A3E">
        <w:rPr>
          <w:rFonts w:ascii="Times New Roman" w:hAnsi="Times New Roman" w:cs="Times New Roman"/>
          <w:sz w:val="24"/>
          <w:szCs w:val="24"/>
        </w:rPr>
        <w:t>(2) 146-</w:t>
      </w:r>
      <w:r w:rsidRPr="00C829A6">
        <w:rPr>
          <w:rFonts w:ascii="Times New Roman" w:hAnsi="Times New Roman" w:cs="Times New Roman"/>
          <w:sz w:val="24"/>
          <w:szCs w:val="24"/>
        </w:rPr>
        <w:t>170.</w:t>
      </w:r>
    </w:p>
    <w:p w14:paraId="7ACD5622" w14:textId="4E575332" w:rsidR="00C829A6" w:rsidRPr="00C829A6" w:rsidRDefault="00C829A6" w:rsidP="00435B7D">
      <w:pPr>
        <w:pStyle w:val="EndNoteBibliography"/>
        <w:spacing w:after="0"/>
        <w:ind w:left="720" w:hanging="720"/>
        <w:rPr>
          <w:rFonts w:ascii="Times New Roman" w:hAnsi="Times New Roman" w:cs="Times New Roman"/>
          <w:sz w:val="24"/>
          <w:szCs w:val="24"/>
        </w:rPr>
      </w:pPr>
      <w:r w:rsidRPr="00C829A6">
        <w:rPr>
          <w:rFonts w:ascii="Times New Roman" w:hAnsi="Times New Roman" w:cs="Times New Roman"/>
          <w:sz w:val="24"/>
          <w:szCs w:val="24"/>
        </w:rPr>
        <w:t>Kiser, Edgar, and Xiaoxi Tong. 1992. "Determinants of the Amount and Type of Corruption in State Fiscal Bureaucracies: An Analysis of Late Imperial China." Comparative Political Studies 25:300-</w:t>
      </w:r>
      <w:r>
        <w:rPr>
          <w:rFonts w:ascii="Times New Roman" w:hAnsi="Times New Roman" w:cs="Times New Roman"/>
          <w:sz w:val="24"/>
          <w:szCs w:val="24"/>
        </w:rPr>
        <w:t>301.</w:t>
      </w:r>
    </w:p>
    <w:p w14:paraId="771E63B0" w14:textId="1FE4132D" w:rsidR="00120A3E" w:rsidRPr="00120A3E" w:rsidRDefault="00120A3E"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Klitgaard, Robert. 1988. Controlling Corruption. Berkeley: University of California Press.</w:t>
      </w:r>
    </w:p>
    <w:p w14:paraId="0E06D6F1" w14:textId="77777777" w:rsidR="00F3683A" w:rsidRPr="00120A3E" w:rsidRDefault="00F3683A" w:rsidP="00435B7D">
      <w:pPr>
        <w:tabs>
          <w:tab w:val="left" w:pos="720"/>
        </w:tabs>
        <w:autoSpaceDE w:val="0"/>
        <w:autoSpaceDN w:val="0"/>
        <w:adjustRightInd w:val="0"/>
        <w:ind w:left="720" w:hanging="720"/>
        <w:rPr>
          <w:rFonts w:ascii="Times New Roman" w:hAnsi="Times New Roman" w:cs="Times New Roman"/>
          <w:shd w:val="clear" w:color="auto" w:fill="FFFFFF"/>
        </w:rPr>
      </w:pPr>
      <w:r w:rsidRPr="00120A3E">
        <w:rPr>
          <w:rFonts w:ascii="Times New Roman" w:hAnsi="Times New Roman" w:cs="Times New Roman"/>
          <w:shd w:val="clear" w:color="auto" w:fill="FFFFFF"/>
        </w:rPr>
        <w:t xml:space="preserve">Kolk A, Pinkse J. 2005. Business Responses to Climate Change, </w:t>
      </w:r>
      <w:r w:rsidRPr="00120A3E">
        <w:rPr>
          <w:rFonts w:ascii="Times New Roman" w:hAnsi="Times New Roman" w:cs="Times New Roman"/>
          <w:i/>
          <w:shd w:val="clear" w:color="auto" w:fill="FFFFFF"/>
        </w:rPr>
        <w:t>California Management Review</w:t>
      </w:r>
      <w:r w:rsidRPr="00120A3E">
        <w:rPr>
          <w:rFonts w:ascii="Times New Roman" w:hAnsi="Times New Roman" w:cs="Times New Roman"/>
          <w:shd w:val="clear" w:color="auto" w:fill="FFFFFF"/>
        </w:rPr>
        <w:t xml:space="preserve"> </w:t>
      </w:r>
      <w:r w:rsidRPr="00120A3E">
        <w:rPr>
          <w:rFonts w:ascii="Times New Roman" w:hAnsi="Times New Roman" w:cs="Times New Roman"/>
          <w:b/>
          <w:shd w:val="clear" w:color="auto" w:fill="FFFFFF"/>
        </w:rPr>
        <w:t>47</w:t>
      </w:r>
      <w:r w:rsidRPr="00120A3E">
        <w:rPr>
          <w:rFonts w:ascii="Times New Roman" w:hAnsi="Times New Roman" w:cs="Times New Roman"/>
          <w:shd w:val="clear" w:color="auto" w:fill="FFFFFF"/>
        </w:rPr>
        <w:t>(3): 6-20.</w:t>
      </w:r>
    </w:p>
    <w:p w14:paraId="3770A19C" w14:textId="77777777" w:rsidR="00F3683A" w:rsidRPr="00120A3E" w:rsidRDefault="00F3683A" w:rsidP="00435B7D">
      <w:pPr>
        <w:tabs>
          <w:tab w:val="left" w:pos="720"/>
        </w:tabs>
        <w:autoSpaceDE w:val="0"/>
        <w:autoSpaceDN w:val="0"/>
        <w:adjustRightInd w:val="0"/>
        <w:ind w:left="720" w:hanging="720"/>
        <w:rPr>
          <w:rFonts w:ascii="Times New Roman" w:hAnsi="Times New Roman" w:cs="Times New Roman"/>
          <w:shd w:val="clear" w:color="auto" w:fill="FFFFFF"/>
        </w:rPr>
      </w:pPr>
      <w:r w:rsidRPr="00120A3E">
        <w:rPr>
          <w:rFonts w:ascii="Times New Roman" w:hAnsi="Times New Roman" w:cs="Times New Roman"/>
          <w:shd w:val="clear" w:color="auto" w:fill="FFFFFF"/>
        </w:rPr>
        <w:t xml:space="preserve">Lavertu, S., Yackee, S.W. 2014. Regulatory delays and rulemaking deadlines. </w:t>
      </w:r>
      <w:r w:rsidRPr="00120A3E">
        <w:rPr>
          <w:rFonts w:ascii="Times New Roman" w:hAnsi="Times New Roman" w:cs="Times New Roman"/>
          <w:i/>
          <w:shd w:val="clear" w:color="auto" w:fill="FFFFFF"/>
        </w:rPr>
        <w:t>Journal of Public Administration Research and Theory</w:t>
      </w:r>
      <w:r w:rsidRPr="00120A3E">
        <w:rPr>
          <w:rFonts w:ascii="Times New Roman" w:hAnsi="Times New Roman" w:cs="Times New Roman"/>
          <w:shd w:val="clear" w:color="auto" w:fill="FFFFFF"/>
        </w:rPr>
        <w:t xml:space="preserve"> </w:t>
      </w:r>
      <w:r w:rsidRPr="00120A3E">
        <w:rPr>
          <w:rFonts w:ascii="Times New Roman" w:hAnsi="Times New Roman" w:cs="Times New Roman"/>
          <w:b/>
          <w:shd w:val="clear" w:color="auto" w:fill="FFFFFF"/>
        </w:rPr>
        <w:t>24</w:t>
      </w:r>
      <w:r w:rsidRPr="00120A3E">
        <w:rPr>
          <w:rFonts w:ascii="Times New Roman" w:hAnsi="Times New Roman" w:cs="Times New Roman"/>
          <w:shd w:val="clear" w:color="auto" w:fill="FFFFFF"/>
        </w:rPr>
        <w:t>(1): 209-234.</w:t>
      </w:r>
    </w:p>
    <w:p w14:paraId="76F4B124" w14:textId="77777777" w:rsidR="00F3683A" w:rsidRPr="00120A3E" w:rsidRDefault="00F3683A" w:rsidP="00435B7D">
      <w:pPr>
        <w:ind w:left="720" w:hanging="720"/>
        <w:rPr>
          <w:rFonts w:ascii="Times New Roman" w:eastAsia="Times New Roman" w:hAnsi="Times New Roman" w:cs="Times New Roman"/>
          <w:color w:val="202225"/>
        </w:rPr>
      </w:pPr>
      <w:r w:rsidRPr="00120A3E">
        <w:rPr>
          <w:rFonts w:ascii="Times New Roman" w:hAnsi="Times New Roman" w:cs="Times New Roman"/>
        </w:rPr>
        <w:t xml:space="preserve">Lee, B., Hiatt, S., &amp; Lounsbury, M. 2017. </w:t>
      </w:r>
      <w:r w:rsidRPr="00120A3E">
        <w:rPr>
          <w:rFonts w:ascii="Times New Roman" w:eastAsia="Times New Roman" w:hAnsi="Times New Roman" w:cs="Times New Roman"/>
          <w:color w:val="202225"/>
        </w:rPr>
        <w:t xml:space="preserve">Market Mediators and the Trade-offs of Legitimacy-Seeking Behaviors in a Nascent Category. </w:t>
      </w:r>
      <w:r w:rsidRPr="00120A3E">
        <w:rPr>
          <w:rFonts w:ascii="Times New Roman" w:eastAsia="Times New Roman" w:hAnsi="Times New Roman" w:cs="Times New Roman"/>
          <w:i/>
          <w:color w:val="202225"/>
        </w:rPr>
        <w:t>Organization Science</w:t>
      </w:r>
      <w:r w:rsidRPr="00120A3E">
        <w:rPr>
          <w:rFonts w:ascii="Times New Roman" w:eastAsia="Times New Roman" w:hAnsi="Times New Roman" w:cs="Times New Roman"/>
          <w:color w:val="202225"/>
        </w:rPr>
        <w:t>. 28(3): 447-470.</w:t>
      </w:r>
    </w:p>
    <w:p w14:paraId="243C9942" w14:textId="77777777" w:rsidR="00F3683A" w:rsidRPr="00120A3E" w:rsidRDefault="00F3683A" w:rsidP="00435B7D">
      <w:pPr>
        <w:tabs>
          <w:tab w:val="left" w:pos="720"/>
        </w:tabs>
        <w:ind w:left="720" w:hanging="720"/>
        <w:rPr>
          <w:rFonts w:ascii="Times New Roman" w:hAnsi="Times New Roman" w:cs="Times New Roman"/>
        </w:rPr>
      </w:pPr>
      <w:r w:rsidRPr="00120A3E">
        <w:rPr>
          <w:rFonts w:ascii="Times New Roman" w:hAnsi="Times New Roman" w:cs="Times New Roman"/>
        </w:rPr>
        <w:t xml:space="preserve">Levy B., Spiller, P.T., 1994. The Institutional Foundations of Regulatory Commitment: A Comparative Analysis of Telecommunications Regulation, </w:t>
      </w:r>
      <w:r w:rsidRPr="00120A3E">
        <w:rPr>
          <w:rFonts w:ascii="Times New Roman" w:hAnsi="Times New Roman" w:cs="Times New Roman"/>
          <w:i/>
        </w:rPr>
        <w:t>Journal of Law, Economics and Organizations</w:t>
      </w:r>
      <w:r w:rsidRPr="00120A3E">
        <w:rPr>
          <w:rFonts w:ascii="Times New Roman" w:hAnsi="Times New Roman" w:cs="Times New Roman"/>
        </w:rPr>
        <w:t xml:space="preserve"> </w:t>
      </w:r>
      <w:r w:rsidRPr="00120A3E">
        <w:rPr>
          <w:rFonts w:ascii="Times New Roman" w:hAnsi="Times New Roman" w:cs="Times New Roman"/>
          <w:b/>
        </w:rPr>
        <w:t>10</w:t>
      </w:r>
      <w:r w:rsidRPr="00120A3E">
        <w:rPr>
          <w:rFonts w:ascii="Times New Roman" w:hAnsi="Times New Roman" w:cs="Times New Roman"/>
        </w:rPr>
        <w:t>(2): 201-246.</w:t>
      </w:r>
    </w:p>
    <w:p w14:paraId="43D03119" w14:textId="77777777" w:rsidR="00F3683A" w:rsidRPr="00120A3E" w:rsidRDefault="00F3683A"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 xml:space="preserve">Li, X., Y.M. Zhou. 2017. Offshoring pollution while offshoring production? </w:t>
      </w:r>
      <w:r w:rsidRPr="00120A3E">
        <w:rPr>
          <w:rFonts w:ascii="Times New Roman" w:hAnsi="Times New Roman" w:cs="Times New Roman"/>
          <w:i/>
          <w:sz w:val="24"/>
          <w:szCs w:val="24"/>
        </w:rPr>
        <w:t>Strategic Management Journal</w:t>
      </w:r>
      <w:r w:rsidRPr="00120A3E">
        <w:rPr>
          <w:rFonts w:ascii="Times New Roman" w:hAnsi="Times New Roman" w:cs="Times New Roman"/>
          <w:sz w:val="24"/>
          <w:szCs w:val="24"/>
        </w:rPr>
        <w:t xml:space="preserve"> </w:t>
      </w:r>
      <w:r w:rsidRPr="00120A3E">
        <w:rPr>
          <w:rFonts w:ascii="Times New Roman" w:hAnsi="Times New Roman" w:cs="Times New Roman"/>
          <w:b/>
          <w:sz w:val="24"/>
          <w:szCs w:val="24"/>
        </w:rPr>
        <w:t>38</w:t>
      </w:r>
      <w:r w:rsidRPr="00120A3E">
        <w:rPr>
          <w:rFonts w:ascii="Times New Roman" w:hAnsi="Times New Roman" w:cs="Times New Roman"/>
          <w:sz w:val="24"/>
          <w:szCs w:val="24"/>
        </w:rPr>
        <w:t>(11) 2310-2329.</w:t>
      </w:r>
    </w:p>
    <w:p w14:paraId="24F867CC" w14:textId="77777777" w:rsidR="00F3683A" w:rsidRPr="00120A3E" w:rsidRDefault="00F3683A" w:rsidP="00435B7D">
      <w:pPr>
        <w:tabs>
          <w:tab w:val="left" w:pos="720"/>
        </w:tabs>
        <w:autoSpaceDE w:val="0"/>
        <w:autoSpaceDN w:val="0"/>
        <w:adjustRightInd w:val="0"/>
        <w:ind w:left="720" w:hanging="720"/>
        <w:rPr>
          <w:rFonts w:ascii="Times New Roman" w:hAnsi="Times New Roman" w:cs="Times New Roman"/>
          <w:shd w:val="clear" w:color="auto" w:fill="FFFFFF"/>
        </w:rPr>
      </w:pPr>
      <w:r w:rsidRPr="00120A3E">
        <w:rPr>
          <w:rFonts w:ascii="Times New Roman" w:hAnsi="Times New Roman" w:cs="Times New Roman"/>
          <w:shd w:val="clear" w:color="auto" w:fill="FFFFFF"/>
        </w:rPr>
        <w:t xml:space="preserve">Marcus A. 1981. Policy Uncertainty and Technological Innovation. </w:t>
      </w:r>
      <w:r w:rsidRPr="00120A3E">
        <w:rPr>
          <w:rFonts w:ascii="Times New Roman" w:hAnsi="Times New Roman" w:cs="Times New Roman"/>
          <w:i/>
          <w:shd w:val="clear" w:color="auto" w:fill="FFFFFF"/>
        </w:rPr>
        <w:t>Academy of Management Review</w:t>
      </w:r>
      <w:r w:rsidRPr="00120A3E">
        <w:rPr>
          <w:rFonts w:ascii="Times New Roman" w:hAnsi="Times New Roman" w:cs="Times New Roman"/>
          <w:shd w:val="clear" w:color="auto" w:fill="FFFFFF"/>
        </w:rPr>
        <w:t xml:space="preserve"> </w:t>
      </w:r>
      <w:r w:rsidRPr="00120A3E">
        <w:rPr>
          <w:rFonts w:ascii="Times New Roman" w:hAnsi="Times New Roman" w:cs="Times New Roman"/>
          <w:b/>
          <w:shd w:val="clear" w:color="auto" w:fill="FFFFFF"/>
        </w:rPr>
        <w:t>6</w:t>
      </w:r>
      <w:r w:rsidRPr="00120A3E">
        <w:rPr>
          <w:rFonts w:ascii="Times New Roman" w:hAnsi="Times New Roman" w:cs="Times New Roman"/>
          <w:shd w:val="clear" w:color="auto" w:fill="FFFFFF"/>
        </w:rPr>
        <w:t>(3): 443-448.</w:t>
      </w:r>
    </w:p>
    <w:p w14:paraId="68B2BD2C" w14:textId="77777777" w:rsidR="00F3683A" w:rsidRPr="00120A3E" w:rsidRDefault="00F3683A" w:rsidP="00435B7D">
      <w:pPr>
        <w:tabs>
          <w:tab w:val="left" w:pos="720"/>
        </w:tabs>
        <w:autoSpaceDE w:val="0"/>
        <w:autoSpaceDN w:val="0"/>
        <w:adjustRightInd w:val="0"/>
        <w:ind w:left="720" w:hanging="720"/>
        <w:rPr>
          <w:rFonts w:ascii="Times New Roman" w:hAnsi="Times New Roman" w:cs="Times New Roman"/>
          <w:shd w:val="clear" w:color="auto" w:fill="FFFFFF"/>
        </w:rPr>
      </w:pPr>
      <w:r w:rsidRPr="00120A3E">
        <w:rPr>
          <w:rFonts w:ascii="Times New Roman" w:hAnsi="Times New Roman" w:cs="Times New Roman"/>
          <w:shd w:val="clear" w:color="auto" w:fill="FFFFFF"/>
        </w:rPr>
        <w:t xml:space="preserve">Marcus A, Kaufman A. 1986. Why It Is Difficult to Implement Industrial Policies. </w:t>
      </w:r>
      <w:r w:rsidRPr="00120A3E">
        <w:rPr>
          <w:rFonts w:ascii="Times New Roman" w:hAnsi="Times New Roman" w:cs="Times New Roman"/>
          <w:i/>
          <w:shd w:val="clear" w:color="auto" w:fill="FFFFFF"/>
        </w:rPr>
        <w:t xml:space="preserve">California Management Review </w:t>
      </w:r>
      <w:r w:rsidRPr="00120A3E">
        <w:rPr>
          <w:rFonts w:ascii="Times New Roman" w:hAnsi="Times New Roman" w:cs="Times New Roman"/>
          <w:b/>
          <w:shd w:val="clear" w:color="auto" w:fill="FFFFFF"/>
        </w:rPr>
        <w:t>28</w:t>
      </w:r>
      <w:r w:rsidRPr="00120A3E">
        <w:rPr>
          <w:rFonts w:ascii="Times New Roman" w:hAnsi="Times New Roman" w:cs="Times New Roman"/>
          <w:shd w:val="clear" w:color="auto" w:fill="FFFFFF"/>
        </w:rPr>
        <w:t>(4): 98-114.</w:t>
      </w:r>
    </w:p>
    <w:p w14:paraId="2C102670" w14:textId="77777777" w:rsidR="00F3683A" w:rsidRPr="00120A3E" w:rsidRDefault="00F3683A" w:rsidP="00435B7D">
      <w:pPr>
        <w:ind w:left="720" w:hanging="720"/>
        <w:rPr>
          <w:rFonts w:ascii="Times New Roman" w:eastAsia="Times New Roman" w:hAnsi="Times New Roman" w:cs="Times New Roman"/>
          <w:color w:val="222222"/>
          <w:shd w:val="clear" w:color="auto" w:fill="FFFFFF"/>
        </w:rPr>
      </w:pPr>
      <w:r w:rsidRPr="00120A3E">
        <w:rPr>
          <w:rFonts w:ascii="Times New Roman" w:eastAsia="Times New Roman" w:hAnsi="Times New Roman" w:cs="Times New Roman"/>
          <w:color w:val="222222"/>
          <w:shd w:val="clear" w:color="auto" w:fill="FFFFFF"/>
        </w:rPr>
        <w:t>Marquis, C., Toffel, M. W., &amp; Zhou, Y. 2016. Scrutiny, norms, and selective disclosure: A global study of greenwashing. </w:t>
      </w:r>
      <w:r w:rsidRPr="00120A3E">
        <w:rPr>
          <w:rFonts w:ascii="Times New Roman" w:eastAsia="Times New Roman" w:hAnsi="Times New Roman" w:cs="Times New Roman"/>
          <w:i/>
          <w:iCs/>
          <w:color w:val="222222"/>
        </w:rPr>
        <w:t>Organization Science</w:t>
      </w:r>
      <w:r w:rsidRPr="00120A3E">
        <w:rPr>
          <w:rFonts w:ascii="Times New Roman" w:eastAsia="Times New Roman" w:hAnsi="Times New Roman" w:cs="Times New Roman"/>
          <w:color w:val="222222"/>
          <w:shd w:val="clear" w:color="auto" w:fill="FFFFFF"/>
        </w:rPr>
        <w:t>, </w:t>
      </w:r>
      <w:r w:rsidRPr="00120A3E">
        <w:rPr>
          <w:rFonts w:ascii="Times New Roman" w:eastAsia="Times New Roman" w:hAnsi="Times New Roman" w:cs="Times New Roman"/>
          <w:i/>
          <w:iCs/>
          <w:color w:val="222222"/>
        </w:rPr>
        <w:t>27</w:t>
      </w:r>
      <w:r w:rsidRPr="00120A3E">
        <w:rPr>
          <w:rFonts w:ascii="Times New Roman" w:eastAsia="Times New Roman" w:hAnsi="Times New Roman" w:cs="Times New Roman"/>
          <w:color w:val="222222"/>
          <w:shd w:val="clear" w:color="auto" w:fill="FFFFFF"/>
        </w:rPr>
        <w:t>(2), 483-504.</w:t>
      </w:r>
    </w:p>
    <w:p w14:paraId="029F6E48" w14:textId="77777777" w:rsidR="00F3683A" w:rsidRDefault="00F3683A"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Maxwell, John W.M., Thomas P.L. Lyon, Steven C.H. Hackett. 2000. Self</w:t>
      </w:r>
      <w:r w:rsidRPr="00120A3E">
        <w:rPr>
          <w:rFonts w:ascii="Noteworthy Bold" w:hAnsi="Noteworthy Bold" w:cs="Noteworthy Bold"/>
          <w:sz w:val="24"/>
          <w:szCs w:val="24"/>
        </w:rPr>
        <w:t>‐</w:t>
      </w:r>
      <w:r w:rsidRPr="00120A3E">
        <w:rPr>
          <w:rFonts w:ascii="Times New Roman" w:hAnsi="Times New Roman" w:cs="Times New Roman"/>
          <w:sz w:val="24"/>
          <w:szCs w:val="24"/>
        </w:rPr>
        <w:t xml:space="preserve">Regulation and Social Welfare: The Political Economy of Corporate Environmentalism. </w:t>
      </w:r>
      <w:r w:rsidRPr="00120A3E">
        <w:rPr>
          <w:rFonts w:ascii="Times New Roman" w:hAnsi="Times New Roman" w:cs="Times New Roman"/>
          <w:i/>
          <w:sz w:val="24"/>
          <w:szCs w:val="24"/>
        </w:rPr>
        <w:t>Journal of Law and Economics</w:t>
      </w:r>
      <w:r w:rsidRPr="00120A3E">
        <w:rPr>
          <w:rFonts w:ascii="Times New Roman" w:hAnsi="Times New Roman" w:cs="Times New Roman"/>
          <w:sz w:val="24"/>
          <w:szCs w:val="24"/>
        </w:rPr>
        <w:t xml:space="preserve"> </w:t>
      </w:r>
      <w:r w:rsidRPr="00120A3E">
        <w:rPr>
          <w:rFonts w:ascii="Times New Roman" w:hAnsi="Times New Roman" w:cs="Times New Roman"/>
          <w:b/>
          <w:sz w:val="24"/>
          <w:szCs w:val="24"/>
        </w:rPr>
        <w:t>43</w:t>
      </w:r>
      <w:r w:rsidRPr="00120A3E">
        <w:rPr>
          <w:rFonts w:ascii="Times New Roman" w:hAnsi="Times New Roman" w:cs="Times New Roman"/>
          <w:sz w:val="24"/>
          <w:szCs w:val="24"/>
        </w:rPr>
        <w:t>(2) 583-618.</w:t>
      </w:r>
    </w:p>
    <w:p w14:paraId="7BACD8A7" w14:textId="385F5F3D" w:rsidR="00116CCE" w:rsidRPr="00116CCE" w:rsidRDefault="00116CCE" w:rsidP="00435B7D">
      <w:pPr>
        <w:pStyle w:val="EndNoteBibliography"/>
        <w:spacing w:after="0"/>
        <w:ind w:left="720" w:hanging="720"/>
        <w:rPr>
          <w:rFonts w:ascii="Times New Roman" w:hAnsi="Times New Roman" w:cs="Times New Roman"/>
          <w:sz w:val="24"/>
          <w:szCs w:val="24"/>
        </w:rPr>
      </w:pPr>
      <w:r w:rsidRPr="00116CCE">
        <w:rPr>
          <w:rFonts w:ascii="Times New Roman" w:hAnsi="Times New Roman" w:cs="Times New Roman"/>
          <w:sz w:val="24"/>
          <w:szCs w:val="24"/>
        </w:rPr>
        <w:t xml:space="preserve">Niskanen, William. 1971. Bureaucracy and Representative Government. Chicago: </w:t>
      </w:r>
      <w:r>
        <w:rPr>
          <w:rFonts w:ascii="Times New Roman" w:hAnsi="Times New Roman" w:cs="Times New Roman"/>
          <w:sz w:val="24"/>
          <w:szCs w:val="24"/>
        </w:rPr>
        <w:t>Aldine-Atherton.</w:t>
      </w:r>
    </w:p>
    <w:p w14:paraId="39568098" w14:textId="77777777" w:rsidR="00F3683A" w:rsidRPr="00120A3E" w:rsidRDefault="00F3683A"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 xml:space="preserve">Prendergast, C. 2007. The Motivation and Bias of Bureaucrats. </w:t>
      </w:r>
      <w:r w:rsidRPr="00120A3E">
        <w:rPr>
          <w:rFonts w:ascii="Times New Roman" w:hAnsi="Times New Roman" w:cs="Times New Roman"/>
          <w:i/>
          <w:sz w:val="24"/>
          <w:szCs w:val="24"/>
        </w:rPr>
        <w:t>American Economic Review</w:t>
      </w:r>
      <w:r w:rsidRPr="00120A3E">
        <w:rPr>
          <w:rFonts w:ascii="Times New Roman" w:hAnsi="Times New Roman" w:cs="Times New Roman"/>
          <w:sz w:val="24"/>
          <w:szCs w:val="24"/>
        </w:rPr>
        <w:t xml:space="preserve"> </w:t>
      </w:r>
      <w:r w:rsidRPr="00120A3E">
        <w:rPr>
          <w:rFonts w:ascii="Times New Roman" w:hAnsi="Times New Roman" w:cs="Times New Roman"/>
          <w:b/>
          <w:sz w:val="24"/>
          <w:szCs w:val="24"/>
        </w:rPr>
        <w:t>97</w:t>
      </w:r>
      <w:r w:rsidRPr="00120A3E">
        <w:rPr>
          <w:rFonts w:ascii="Times New Roman" w:hAnsi="Times New Roman" w:cs="Times New Roman"/>
          <w:sz w:val="24"/>
          <w:szCs w:val="24"/>
        </w:rPr>
        <w:t>(1) 180-196.</w:t>
      </w:r>
    </w:p>
    <w:p w14:paraId="46902927" w14:textId="77777777" w:rsidR="00F3683A" w:rsidRPr="00120A3E" w:rsidRDefault="00F3683A"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 xml:space="preserve">Reid, E.M., M.W. Toffel. 2009. Responding to Public and Private Politics: Corporate Disclosure of Climate Change Strategies. </w:t>
      </w:r>
      <w:r w:rsidRPr="00120A3E">
        <w:rPr>
          <w:rFonts w:ascii="Times New Roman" w:hAnsi="Times New Roman" w:cs="Times New Roman"/>
          <w:i/>
          <w:sz w:val="24"/>
          <w:szCs w:val="24"/>
        </w:rPr>
        <w:t>Strategic Management Journal</w:t>
      </w:r>
      <w:r w:rsidRPr="00120A3E">
        <w:rPr>
          <w:rFonts w:ascii="Times New Roman" w:hAnsi="Times New Roman" w:cs="Times New Roman"/>
          <w:sz w:val="24"/>
          <w:szCs w:val="24"/>
        </w:rPr>
        <w:t xml:space="preserve"> </w:t>
      </w:r>
      <w:r w:rsidRPr="00120A3E">
        <w:rPr>
          <w:rFonts w:ascii="Times New Roman" w:hAnsi="Times New Roman" w:cs="Times New Roman"/>
          <w:b/>
          <w:sz w:val="24"/>
          <w:szCs w:val="24"/>
        </w:rPr>
        <w:t>30</w:t>
      </w:r>
      <w:r w:rsidRPr="00120A3E">
        <w:rPr>
          <w:rFonts w:ascii="Times New Roman" w:hAnsi="Times New Roman" w:cs="Times New Roman"/>
          <w:sz w:val="24"/>
          <w:szCs w:val="24"/>
        </w:rPr>
        <w:t xml:space="preserve"> 1157-1178.</w:t>
      </w:r>
    </w:p>
    <w:p w14:paraId="7441C9AB" w14:textId="02830333" w:rsidR="00120A3E" w:rsidRDefault="00120A3E"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Rose-Ackerman. 1978. Corruption: A Study in Political Economy. New York.</w:t>
      </w:r>
    </w:p>
    <w:p w14:paraId="569D33B9" w14:textId="77777777" w:rsidR="003B1821" w:rsidRPr="003B1821" w:rsidRDefault="003B1821" w:rsidP="00435B7D">
      <w:pPr>
        <w:ind w:left="720" w:hanging="720"/>
        <w:rPr>
          <w:rFonts w:ascii="Times New Roman" w:eastAsia="Times New Roman" w:hAnsi="Times New Roman" w:cs="Times New Roman"/>
        </w:rPr>
      </w:pPr>
      <w:r w:rsidRPr="003B1821">
        <w:rPr>
          <w:rFonts w:ascii="Times New Roman" w:hAnsi="Times New Roman" w:cs="Times New Roman"/>
        </w:rPr>
        <w:t xml:space="preserve">Sabatier, P., Mazmanian, D. 1980. The Implementation of Public Policy: A Framework of Analysis. Policy Studies Journal. </w:t>
      </w:r>
      <w:hyperlink r:id="rId9" w:history="1">
        <w:r w:rsidRPr="003B1821">
          <w:rPr>
            <w:rStyle w:val="Hyperlink"/>
            <w:rFonts w:ascii="Times New Roman" w:eastAsia="Times New Roman" w:hAnsi="Times New Roman" w:cs="Times New Roman"/>
            <w:bCs/>
            <w:color w:val="auto"/>
            <w:u w:val="none"/>
          </w:rPr>
          <w:t>https://doi.org/10.1111/j.1541-0072.1980.tb01266.x</w:t>
        </w:r>
      </w:hyperlink>
    </w:p>
    <w:p w14:paraId="23879729" w14:textId="77777777" w:rsidR="00F3683A" w:rsidRPr="00120A3E" w:rsidRDefault="00F3683A" w:rsidP="00435B7D">
      <w:pPr>
        <w:tabs>
          <w:tab w:val="left" w:pos="0"/>
        </w:tabs>
        <w:ind w:left="720" w:hanging="720"/>
        <w:rPr>
          <w:rFonts w:ascii="Times New Roman" w:hAnsi="Times New Roman" w:cs="Times New Roman"/>
        </w:rPr>
      </w:pPr>
      <w:r w:rsidRPr="00120A3E">
        <w:rPr>
          <w:rFonts w:ascii="Times New Roman" w:hAnsi="Times New Roman" w:cs="Times New Roman"/>
        </w:rPr>
        <w:t xml:space="preserve">Shaffer, B. 1995. Firm-level responses to government regulation: Theoretical and research approaches. </w:t>
      </w:r>
      <w:r w:rsidRPr="00120A3E">
        <w:rPr>
          <w:rFonts w:ascii="Times New Roman" w:hAnsi="Times New Roman" w:cs="Times New Roman"/>
          <w:i/>
        </w:rPr>
        <w:t>Journal of Management</w:t>
      </w:r>
      <w:r w:rsidRPr="00120A3E">
        <w:rPr>
          <w:rFonts w:ascii="Times New Roman" w:hAnsi="Times New Roman" w:cs="Times New Roman"/>
        </w:rPr>
        <w:t xml:space="preserve"> </w:t>
      </w:r>
      <w:r w:rsidRPr="00120A3E">
        <w:rPr>
          <w:rFonts w:ascii="Times New Roman" w:hAnsi="Times New Roman" w:cs="Times New Roman"/>
          <w:b/>
        </w:rPr>
        <w:t>21</w:t>
      </w:r>
      <w:r w:rsidRPr="00120A3E">
        <w:rPr>
          <w:rFonts w:ascii="Times New Roman" w:hAnsi="Times New Roman" w:cs="Times New Roman"/>
        </w:rPr>
        <w:t>(3): 495-514.</w:t>
      </w:r>
    </w:p>
    <w:p w14:paraId="23BEB924" w14:textId="77777777" w:rsidR="00F3683A" w:rsidRPr="00120A3E" w:rsidRDefault="00F3683A" w:rsidP="00435B7D">
      <w:pPr>
        <w:tabs>
          <w:tab w:val="left" w:pos="720"/>
        </w:tabs>
        <w:ind w:left="720" w:hanging="720"/>
        <w:rPr>
          <w:rFonts w:ascii="Times New Roman" w:hAnsi="Times New Roman" w:cs="Times New Roman"/>
        </w:rPr>
      </w:pPr>
      <w:r w:rsidRPr="00120A3E">
        <w:rPr>
          <w:rFonts w:ascii="Times New Roman" w:hAnsi="Times New Roman" w:cs="Times New Roman"/>
        </w:rPr>
        <w:t xml:space="preserve">Shimshack, J.P. 2014. The Economics of Environmental Monitoring and Enforcement. </w:t>
      </w:r>
      <w:r w:rsidRPr="00120A3E">
        <w:rPr>
          <w:rFonts w:ascii="Times New Roman" w:hAnsi="Times New Roman" w:cs="Times New Roman"/>
          <w:i/>
        </w:rPr>
        <w:t>Annual Review of Resource Economics</w:t>
      </w:r>
      <w:r w:rsidRPr="00120A3E">
        <w:rPr>
          <w:rFonts w:ascii="Times New Roman" w:hAnsi="Times New Roman" w:cs="Times New Roman"/>
        </w:rPr>
        <w:t xml:space="preserve"> </w:t>
      </w:r>
      <w:r w:rsidRPr="00120A3E">
        <w:rPr>
          <w:rFonts w:ascii="Times New Roman" w:hAnsi="Times New Roman" w:cs="Times New Roman"/>
          <w:b/>
        </w:rPr>
        <w:t>6</w:t>
      </w:r>
      <w:r w:rsidRPr="00120A3E">
        <w:rPr>
          <w:rFonts w:ascii="Times New Roman" w:hAnsi="Times New Roman" w:cs="Times New Roman"/>
        </w:rPr>
        <w:t>: 339-360.</w:t>
      </w:r>
    </w:p>
    <w:p w14:paraId="66D16B39" w14:textId="77777777" w:rsidR="00F3683A" w:rsidRPr="00120A3E" w:rsidRDefault="00F3683A" w:rsidP="00435B7D">
      <w:pPr>
        <w:tabs>
          <w:tab w:val="left" w:pos="720"/>
        </w:tabs>
        <w:ind w:left="720" w:hanging="720"/>
        <w:rPr>
          <w:rFonts w:ascii="Times New Roman" w:hAnsi="Times New Roman" w:cs="Times New Roman"/>
        </w:rPr>
      </w:pPr>
      <w:r w:rsidRPr="00120A3E">
        <w:rPr>
          <w:rFonts w:ascii="Times New Roman" w:hAnsi="Times New Roman" w:cs="Times New Roman"/>
        </w:rPr>
        <w:t xml:space="preserve">Shleifer, A. 2005. Understanding Regulation. </w:t>
      </w:r>
      <w:r w:rsidRPr="00120A3E">
        <w:rPr>
          <w:rFonts w:ascii="Times New Roman" w:hAnsi="Times New Roman" w:cs="Times New Roman"/>
          <w:i/>
        </w:rPr>
        <w:t>European Financial Management</w:t>
      </w:r>
      <w:r w:rsidRPr="00120A3E">
        <w:rPr>
          <w:rFonts w:ascii="Times New Roman" w:hAnsi="Times New Roman" w:cs="Times New Roman"/>
        </w:rPr>
        <w:t xml:space="preserve"> </w:t>
      </w:r>
      <w:r w:rsidRPr="00120A3E">
        <w:rPr>
          <w:rFonts w:ascii="Times New Roman" w:hAnsi="Times New Roman" w:cs="Times New Roman"/>
          <w:b/>
        </w:rPr>
        <w:t>11</w:t>
      </w:r>
      <w:r w:rsidRPr="00120A3E">
        <w:rPr>
          <w:rFonts w:ascii="Times New Roman" w:hAnsi="Times New Roman" w:cs="Times New Roman"/>
        </w:rPr>
        <w:t>(4): 439-451.</w:t>
      </w:r>
    </w:p>
    <w:p w14:paraId="0B0B5F0C" w14:textId="77777777" w:rsidR="00F3683A" w:rsidRPr="00120A3E" w:rsidRDefault="00F3683A"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 xml:space="preserve">Sen, S., C.B. Bhattacharya. 2001. Does Doing Good Always Lead to Doing Better? Consumer Reactions to Corporate Social Responsibility. </w:t>
      </w:r>
      <w:r w:rsidRPr="00120A3E">
        <w:rPr>
          <w:rFonts w:ascii="Times New Roman" w:hAnsi="Times New Roman" w:cs="Times New Roman"/>
          <w:i/>
          <w:sz w:val="24"/>
          <w:szCs w:val="24"/>
        </w:rPr>
        <w:t>Journal of Marketing Research</w:t>
      </w:r>
      <w:r w:rsidRPr="00120A3E">
        <w:rPr>
          <w:rFonts w:ascii="Times New Roman" w:hAnsi="Times New Roman" w:cs="Times New Roman"/>
          <w:sz w:val="24"/>
          <w:szCs w:val="24"/>
        </w:rPr>
        <w:t xml:space="preserve"> </w:t>
      </w:r>
      <w:r w:rsidRPr="00120A3E">
        <w:rPr>
          <w:rFonts w:ascii="Times New Roman" w:hAnsi="Times New Roman" w:cs="Times New Roman"/>
          <w:b/>
          <w:sz w:val="24"/>
          <w:szCs w:val="24"/>
        </w:rPr>
        <w:t>38</w:t>
      </w:r>
      <w:r w:rsidRPr="00120A3E">
        <w:rPr>
          <w:rFonts w:ascii="Times New Roman" w:hAnsi="Times New Roman" w:cs="Times New Roman"/>
          <w:sz w:val="24"/>
          <w:szCs w:val="24"/>
        </w:rPr>
        <w:t>(2) 225-243.</w:t>
      </w:r>
    </w:p>
    <w:p w14:paraId="17384E31" w14:textId="5D79833E" w:rsidR="00120A3E" w:rsidRPr="00120A3E" w:rsidRDefault="00120A3E" w:rsidP="00435B7D">
      <w:pPr>
        <w:autoSpaceDE w:val="0"/>
        <w:autoSpaceDN w:val="0"/>
        <w:adjustRightInd w:val="0"/>
        <w:ind w:left="720" w:hanging="720"/>
        <w:rPr>
          <w:rFonts w:ascii="Times New Roman" w:hAnsi="Times New Roman" w:cs="Times New Roman"/>
        </w:rPr>
      </w:pPr>
      <w:r w:rsidRPr="00120A3E">
        <w:rPr>
          <w:rFonts w:ascii="Times New Roman" w:hAnsi="Times New Roman" w:cs="Times New Roman"/>
        </w:rPr>
        <w:t>Skocpol, T. 1979. States and Social Revolutions. Cambridge: Cambridge University Press.</w:t>
      </w:r>
    </w:p>
    <w:p w14:paraId="2B73C30A" w14:textId="130E180C" w:rsidR="00120A3E" w:rsidRPr="00120A3E" w:rsidRDefault="00120A3E"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lastRenderedPageBreak/>
        <w:t xml:space="preserve">Skocpol T. 1985. Bringing the State Back In: Strategies for Analysis in Current Research. P. Evans, D. Rueschemeyer, T. Skocpol, eds. </w:t>
      </w:r>
      <w:r w:rsidRPr="00120A3E">
        <w:rPr>
          <w:rFonts w:ascii="Times New Roman" w:hAnsi="Times New Roman" w:cs="Times New Roman"/>
          <w:i/>
          <w:iCs/>
          <w:sz w:val="24"/>
          <w:szCs w:val="24"/>
        </w:rPr>
        <w:t>Bringing the State Back In</w:t>
      </w:r>
      <w:r w:rsidRPr="00120A3E">
        <w:rPr>
          <w:rFonts w:ascii="Times New Roman" w:hAnsi="Times New Roman" w:cs="Times New Roman"/>
          <w:sz w:val="24"/>
          <w:szCs w:val="24"/>
        </w:rPr>
        <w:t>. Cambridge University Press, New York, 3-43.</w:t>
      </w:r>
    </w:p>
    <w:p w14:paraId="4E4A1411" w14:textId="77777777" w:rsidR="00F3683A" w:rsidRPr="00120A3E" w:rsidRDefault="00F3683A" w:rsidP="00435B7D">
      <w:pPr>
        <w:pStyle w:val="NormalWeb"/>
        <w:spacing w:before="0" w:beforeAutospacing="0" w:after="0" w:afterAutospacing="0"/>
        <w:ind w:left="720" w:hanging="720"/>
        <w:rPr>
          <w:rFonts w:eastAsiaTheme="minorHAnsi"/>
          <w:lang w:eastAsia="en-US"/>
        </w:rPr>
      </w:pPr>
      <w:r w:rsidRPr="00120A3E">
        <w:rPr>
          <w:rFonts w:eastAsiaTheme="minorHAnsi"/>
          <w:lang w:eastAsia="en-US"/>
        </w:rPr>
        <w:t xml:space="preserve">Skocpol, T., Finegold, K. 1982. State Capacity and Economic Intervention in the Early New Deal. </w:t>
      </w:r>
      <w:r w:rsidRPr="00120A3E">
        <w:rPr>
          <w:rFonts w:eastAsiaTheme="minorHAnsi"/>
          <w:i/>
          <w:lang w:eastAsia="en-US"/>
        </w:rPr>
        <w:t>Political Science Quarterly</w:t>
      </w:r>
      <w:r w:rsidRPr="00120A3E">
        <w:rPr>
          <w:rFonts w:eastAsiaTheme="minorHAnsi"/>
          <w:lang w:eastAsia="en-US"/>
        </w:rPr>
        <w:t>. 97(2): 255-278.</w:t>
      </w:r>
    </w:p>
    <w:p w14:paraId="0AF0BFAC" w14:textId="77777777" w:rsidR="00F3683A" w:rsidRPr="00120A3E" w:rsidRDefault="00F3683A" w:rsidP="00435B7D">
      <w:pPr>
        <w:ind w:left="720" w:hanging="720"/>
        <w:rPr>
          <w:rFonts w:ascii="Times New Roman" w:eastAsia="Times New Roman" w:hAnsi="Times New Roman" w:cs="Times New Roman"/>
        </w:rPr>
      </w:pPr>
      <w:r w:rsidRPr="00120A3E">
        <w:rPr>
          <w:rFonts w:ascii="Times New Roman" w:eastAsia="Times New Roman" w:hAnsi="Times New Roman" w:cs="Times New Roman"/>
        </w:rPr>
        <w:t>Sine, W.D., Lee, B.H. 2009. Tilting at windmills? The environmental movement and the emergence of the US wind energy sector, Administrative Science Quarterly 54(1): 123-155.</w:t>
      </w:r>
    </w:p>
    <w:p w14:paraId="50F5E7C0" w14:textId="77777777" w:rsidR="00F3683A" w:rsidRPr="00A626CA" w:rsidRDefault="00F3683A" w:rsidP="00435B7D">
      <w:pPr>
        <w:ind w:left="720" w:hanging="720"/>
        <w:rPr>
          <w:rFonts w:ascii="Times New Roman" w:eastAsia="Times New Roman" w:hAnsi="Times New Roman" w:cs="Times New Roman"/>
        </w:rPr>
      </w:pPr>
      <w:r w:rsidRPr="00A626CA">
        <w:rPr>
          <w:rFonts w:ascii="Times New Roman" w:eastAsia="Times New Roman" w:hAnsi="Times New Roman" w:cs="Times New Roman"/>
        </w:rPr>
        <w:t xml:space="preserve">Sine, W.D., Haveman, H.A., Tolbert, P.S. Risky business? Entrepreneurship in the new independent-power sector. Administrative Science Quarterly 50(2): 200-232. </w:t>
      </w:r>
    </w:p>
    <w:p w14:paraId="2627E06A" w14:textId="5047BA23" w:rsidR="00A626CA" w:rsidRPr="00120A3E" w:rsidRDefault="00A626CA" w:rsidP="00435B7D">
      <w:pPr>
        <w:ind w:left="720" w:hanging="720"/>
        <w:rPr>
          <w:rFonts w:ascii="Times New Roman" w:eastAsia="Times New Roman" w:hAnsi="Times New Roman" w:cs="Times New Roman"/>
        </w:rPr>
      </w:pPr>
      <w:r>
        <w:rPr>
          <w:rFonts w:ascii="Times New Roman" w:eastAsia="Times New Roman" w:hAnsi="Times New Roman" w:cs="Times New Roman"/>
          <w:shd w:val="clear" w:color="auto" w:fill="FFFFFF"/>
        </w:rPr>
        <w:t>Tilly, C. 1990</w:t>
      </w:r>
      <w:r w:rsidRPr="00A626CA">
        <w:rPr>
          <w:rFonts w:ascii="Times New Roman" w:eastAsia="Times New Roman" w:hAnsi="Times New Roman" w:cs="Times New Roman"/>
          <w:shd w:val="clear" w:color="auto" w:fill="FFFFFF"/>
        </w:rPr>
        <w:t>. </w:t>
      </w:r>
      <w:r w:rsidRPr="00A626CA">
        <w:rPr>
          <w:rFonts w:ascii="Times New Roman" w:eastAsia="Times New Roman" w:hAnsi="Times New Roman" w:cs="Times New Roman"/>
          <w:i/>
          <w:iCs/>
        </w:rPr>
        <w:t>Coercion, Capital, and European States, AD 990-1990</w:t>
      </w:r>
      <w:r w:rsidRPr="00A626CA">
        <w:rPr>
          <w:rFonts w:ascii="Times New Roman" w:eastAsia="Times New Roman" w:hAnsi="Times New Roman" w:cs="Times New Roman"/>
          <w:shd w:val="clear" w:color="auto" w:fill="FFFFFF"/>
        </w:rPr>
        <w:t>. Cambridge, Mass., USA: B. Blackwell. </w:t>
      </w:r>
    </w:p>
    <w:p w14:paraId="04C8886C" w14:textId="77777777" w:rsidR="00F3683A" w:rsidRPr="00120A3E" w:rsidRDefault="00F3683A" w:rsidP="00435B7D">
      <w:pPr>
        <w:ind w:left="720" w:hanging="720"/>
        <w:rPr>
          <w:rFonts w:ascii="Times New Roman" w:eastAsia="Times New Roman" w:hAnsi="Times New Roman" w:cs="Times New Roman"/>
        </w:rPr>
      </w:pPr>
      <w:r w:rsidRPr="00120A3E">
        <w:rPr>
          <w:rFonts w:ascii="Times New Roman" w:eastAsia="Times New Roman" w:hAnsi="Times New Roman" w:cs="Times New Roman"/>
        </w:rPr>
        <w:t>York, J.G., Vendula, S., Lenox, M.J. 2018. It's not easy building green: The impact of public policy, private actors, and regional logics on voluntary standards adoption. Academy of Management Journal 61(4): 1492-1523.</w:t>
      </w:r>
    </w:p>
    <w:p w14:paraId="1C263848" w14:textId="77777777" w:rsidR="00F3683A" w:rsidRPr="00120A3E" w:rsidRDefault="00F3683A" w:rsidP="00435B7D">
      <w:pPr>
        <w:pStyle w:val="EndNoteBibliography"/>
        <w:spacing w:after="0"/>
        <w:ind w:left="720" w:hanging="720"/>
        <w:rPr>
          <w:rFonts w:ascii="Times New Roman" w:hAnsi="Times New Roman" w:cs="Times New Roman"/>
          <w:sz w:val="24"/>
          <w:szCs w:val="24"/>
        </w:rPr>
      </w:pPr>
      <w:r w:rsidRPr="00120A3E">
        <w:rPr>
          <w:rFonts w:ascii="Times New Roman" w:hAnsi="Times New Roman" w:cs="Times New Roman"/>
          <w:sz w:val="24"/>
          <w:szCs w:val="24"/>
        </w:rPr>
        <w:t xml:space="preserve">Wade, J.B., A. Swaminathan, M.S. Saxon. 1998. Normative and Resource Flow Consequences of Local Regulations in the American Brewing Industry, 1845-1918. </w:t>
      </w:r>
      <w:r w:rsidRPr="00120A3E">
        <w:rPr>
          <w:rFonts w:ascii="Times New Roman" w:hAnsi="Times New Roman" w:cs="Times New Roman"/>
          <w:i/>
          <w:sz w:val="24"/>
          <w:szCs w:val="24"/>
        </w:rPr>
        <w:t>Administrative Science Quarterly</w:t>
      </w:r>
      <w:r w:rsidRPr="00120A3E">
        <w:rPr>
          <w:rFonts w:ascii="Times New Roman" w:hAnsi="Times New Roman" w:cs="Times New Roman"/>
          <w:sz w:val="24"/>
          <w:szCs w:val="24"/>
        </w:rPr>
        <w:t xml:space="preserve"> </w:t>
      </w:r>
      <w:r w:rsidRPr="00120A3E">
        <w:rPr>
          <w:rFonts w:ascii="Times New Roman" w:hAnsi="Times New Roman" w:cs="Times New Roman"/>
          <w:b/>
          <w:sz w:val="24"/>
          <w:szCs w:val="24"/>
        </w:rPr>
        <w:t>43</w:t>
      </w:r>
      <w:r w:rsidRPr="00120A3E">
        <w:rPr>
          <w:rFonts w:ascii="Times New Roman" w:hAnsi="Times New Roman" w:cs="Times New Roman"/>
          <w:sz w:val="24"/>
          <w:szCs w:val="24"/>
        </w:rPr>
        <w:t>(4) 905-935.</w:t>
      </w:r>
    </w:p>
    <w:p w14:paraId="0149D99B" w14:textId="6F759C54" w:rsidR="00F3683A" w:rsidRDefault="00F3683A" w:rsidP="00435B7D">
      <w:pPr>
        <w:pStyle w:val="NormalWeb"/>
        <w:spacing w:before="0" w:beforeAutospacing="0" w:after="0" w:afterAutospacing="0"/>
        <w:ind w:left="720" w:hanging="720"/>
      </w:pPr>
      <w:r w:rsidRPr="00120A3E">
        <w:fldChar w:fldCharType="end"/>
      </w:r>
      <w:r w:rsidR="00966C95" w:rsidRPr="00966C95">
        <w:t xml:space="preserve"> </w:t>
      </w:r>
      <w:proofErr w:type="spellStart"/>
      <w:r w:rsidR="00966C95">
        <w:t>Weingast</w:t>
      </w:r>
      <w:proofErr w:type="spellEnd"/>
      <w:r w:rsidR="00966C95">
        <w:t xml:space="preserve">, Barry. 1984. </w:t>
      </w:r>
      <w:r w:rsidR="00966C95" w:rsidRPr="00966C95">
        <w:t xml:space="preserve">The Congressional-Bureaucratic System: A Principal-Agent Perspective. </w:t>
      </w:r>
      <w:r w:rsidR="00966C95" w:rsidRPr="00966C95">
        <w:rPr>
          <w:i/>
        </w:rPr>
        <w:t>Public Choice</w:t>
      </w:r>
      <w:r w:rsidR="00966C95" w:rsidRPr="00966C95">
        <w:t xml:space="preserve"> 44:147-92.</w:t>
      </w:r>
    </w:p>
    <w:p w14:paraId="23040ECA" w14:textId="5D8E394B" w:rsidR="009A1DEF" w:rsidRPr="009A1DEF" w:rsidRDefault="009A1DEF" w:rsidP="00435B7D">
      <w:pPr>
        <w:pStyle w:val="NormalWeb"/>
        <w:spacing w:before="0" w:beforeAutospacing="0" w:after="0" w:afterAutospacing="0"/>
        <w:ind w:left="720" w:hanging="720"/>
        <w:rPr>
          <w:rFonts w:eastAsiaTheme="minorHAnsi"/>
          <w:lang w:eastAsia="en-US"/>
        </w:rPr>
      </w:pPr>
      <w:r w:rsidRPr="009A1DEF">
        <w:t xml:space="preserve">Weber, Max. </w:t>
      </w:r>
      <w:r>
        <w:t>1922/</w:t>
      </w:r>
      <w:r w:rsidRPr="009A1DEF">
        <w:t>1968. Economy and Society. Berkeley: University of California Press.</w:t>
      </w:r>
    </w:p>
    <w:p w14:paraId="092DD2AC" w14:textId="77777777" w:rsidR="00F3683A" w:rsidRPr="0009508B" w:rsidRDefault="00F3683A" w:rsidP="00F3683A">
      <w:pPr>
        <w:spacing w:line="480" w:lineRule="auto"/>
        <w:ind w:left="360" w:hanging="360"/>
      </w:pPr>
    </w:p>
    <w:p w14:paraId="3773E19F" w14:textId="387FF496" w:rsidR="00A22CF5" w:rsidRPr="009E1DF9" w:rsidRDefault="00A22CF5" w:rsidP="009E1DF9">
      <w:pPr>
        <w:pStyle w:val="NormalWeb"/>
        <w:tabs>
          <w:tab w:val="left" w:pos="720"/>
        </w:tabs>
        <w:spacing w:before="0" w:beforeAutospacing="0" w:after="0" w:afterAutospacing="0" w:line="480" w:lineRule="auto"/>
        <w:rPr>
          <w:iCs/>
          <w:color w:val="0C000F"/>
        </w:rPr>
      </w:pPr>
      <w:r w:rsidRPr="000A65D3">
        <w:t xml:space="preserve"> </w:t>
      </w:r>
    </w:p>
    <w:p w14:paraId="018B8FDA" w14:textId="77777777" w:rsidR="0026242D" w:rsidRPr="007215B1" w:rsidRDefault="0026242D" w:rsidP="00CC431A">
      <w:pPr>
        <w:spacing w:line="480" w:lineRule="auto"/>
        <w:rPr>
          <w:rFonts w:ascii="Times New Roman" w:hAnsi="Times New Roman" w:cs="Times New Roman"/>
        </w:rPr>
      </w:pPr>
    </w:p>
    <w:p w14:paraId="240887A2" w14:textId="2D8F386A" w:rsidR="003B3AEE" w:rsidRPr="0036033E" w:rsidRDefault="003B3AEE" w:rsidP="0036033E">
      <w:pPr>
        <w:pStyle w:val="NormalWeb"/>
        <w:tabs>
          <w:tab w:val="left" w:pos="720"/>
        </w:tabs>
        <w:spacing w:before="0" w:beforeAutospacing="0" w:after="0" w:afterAutospacing="0" w:line="480" w:lineRule="auto"/>
        <w:outlineLvl w:val="0"/>
        <w:rPr>
          <w:sz w:val="22"/>
        </w:rPr>
        <w:sectPr w:rsidR="003B3AEE" w:rsidRPr="0036033E" w:rsidSect="00141A78">
          <w:footerReference w:type="even" r:id="rId10"/>
          <w:footerReference w:type="default" r:id="rId11"/>
          <w:pgSz w:w="12240" w:h="15840"/>
          <w:pgMar w:top="1440" w:right="1440" w:bottom="1440" w:left="1440" w:header="720" w:footer="720" w:gutter="0"/>
          <w:pgNumType w:start="1"/>
          <w:cols w:space="720"/>
          <w:docGrid w:linePitch="360"/>
        </w:sectPr>
      </w:pPr>
    </w:p>
    <w:p w14:paraId="4EF28CEB" w14:textId="50B0004D" w:rsidR="00C91ECD" w:rsidRPr="00022238" w:rsidRDefault="00D60008" w:rsidP="00357C24">
      <w:pPr>
        <w:rPr>
          <w:rFonts w:ascii="Times New Roman" w:hAnsi="Times New Roman" w:cs="Times New Roman"/>
        </w:rPr>
      </w:pPr>
      <w:r w:rsidRPr="00022238">
        <w:rPr>
          <w:rFonts w:ascii="Times New Roman" w:hAnsi="Times New Roman" w:cs="Times New Roman"/>
        </w:rPr>
        <w:lastRenderedPageBreak/>
        <w:t>Table</w:t>
      </w:r>
      <w:r w:rsidR="00C91ECD" w:rsidRPr="00022238">
        <w:rPr>
          <w:rFonts w:ascii="Times New Roman" w:hAnsi="Times New Roman" w:cs="Times New Roman"/>
        </w:rPr>
        <w:t xml:space="preserve"> 1</w:t>
      </w:r>
      <w:r w:rsidRPr="00022238">
        <w:rPr>
          <w:rFonts w:ascii="Times New Roman" w:hAnsi="Times New Roman" w:cs="Times New Roman"/>
        </w:rPr>
        <w:t xml:space="preserve">. </w:t>
      </w:r>
      <w:r w:rsidR="00C91ECD" w:rsidRPr="00022238">
        <w:rPr>
          <w:rFonts w:ascii="Times New Roman" w:hAnsi="Times New Roman" w:cs="Times New Roman"/>
        </w:rPr>
        <w:t>Summary statistics and correlations at the country level</w:t>
      </w:r>
    </w:p>
    <w:p w14:paraId="219D6E1E" w14:textId="77777777" w:rsidR="00C91ECD" w:rsidRPr="00022238" w:rsidRDefault="00C91ECD" w:rsidP="00357C24">
      <w:pPr>
        <w:rPr>
          <w:rFonts w:ascii="Times New Roman" w:hAnsi="Times New Roman" w:cs="Times New Roman"/>
        </w:rPr>
      </w:pPr>
    </w:p>
    <w:p w14:paraId="186F736B" w14:textId="4A14F8E6" w:rsidR="00357C24" w:rsidRPr="00022238" w:rsidRDefault="00C91ECD" w:rsidP="00357C24">
      <w:pPr>
        <w:rPr>
          <w:rFonts w:ascii="Times New Roman" w:hAnsi="Times New Roman" w:cs="Times New Roman"/>
        </w:rPr>
      </w:pPr>
      <w:r w:rsidRPr="00022238">
        <w:rPr>
          <w:rFonts w:ascii="Times New Roman" w:hAnsi="Times New Roman" w:cs="Times New Roman"/>
        </w:rPr>
        <w:t xml:space="preserve">Panel A: </w:t>
      </w:r>
      <w:r w:rsidR="00357C24" w:rsidRPr="00022238">
        <w:rPr>
          <w:rFonts w:ascii="Times New Roman" w:hAnsi="Times New Roman" w:cs="Times New Roman"/>
        </w:rPr>
        <w:t>Correlations (N=27)</w:t>
      </w:r>
      <w:r w:rsidR="008573EC" w:rsidRPr="00022238">
        <w:rPr>
          <w:rFonts w:ascii="Times New Roman" w:hAnsi="Times New Roman" w:cs="Times New Roman"/>
        </w:rPr>
        <w:t>: Country-level</w:t>
      </w:r>
    </w:p>
    <w:p w14:paraId="06AB9017" w14:textId="77777777" w:rsidR="00357C24" w:rsidRDefault="00357C24" w:rsidP="00357C24"/>
    <w:tbl>
      <w:tblPr>
        <w:tblW w:w="0" w:type="auto"/>
        <w:tblInd w:w="108" w:type="dxa"/>
        <w:tblBorders>
          <w:top w:val="single" w:sz="4" w:space="0" w:color="auto"/>
          <w:bottom w:val="single" w:sz="4" w:space="0" w:color="auto"/>
        </w:tblBorders>
        <w:tblLayout w:type="fixed"/>
        <w:tblLook w:val="04A0" w:firstRow="1" w:lastRow="0" w:firstColumn="1" w:lastColumn="0" w:noHBand="0" w:noVBand="1"/>
      </w:tblPr>
      <w:tblGrid>
        <w:gridCol w:w="439"/>
        <w:gridCol w:w="3048"/>
        <w:gridCol w:w="772"/>
        <w:gridCol w:w="772"/>
        <w:gridCol w:w="772"/>
        <w:gridCol w:w="772"/>
        <w:gridCol w:w="773"/>
        <w:gridCol w:w="772"/>
        <w:gridCol w:w="772"/>
        <w:gridCol w:w="772"/>
        <w:gridCol w:w="773"/>
      </w:tblGrid>
      <w:tr w:rsidR="00254DC1" w:rsidRPr="00D973B7" w14:paraId="55AA6D4E" w14:textId="77777777" w:rsidTr="00254DC1">
        <w:trPr>
          <w:trHeight w:val="300"/>
        </w:trPr>
        <w:tc>
          <w:tcPr>
            <w:tcW w:w="439" w:type="dxa"/>
            <w:tcBorders>
              <w:top w:val="single" w:sz="4" w:space="0" w:color="auto"/>
              <w:bottom w:val="single" w:sz="4" w:space="0" w:color="auto"/>
            </w:tcBorders>
            <w:shd w:val="clear" w:color="auto" w:fill="auto"/>
            <w:noWrap/>
            <w:vAlign w:val="center"/>
          </w:tcPr>
          <w:p w14:paraId="7EC36904" w14:textId="77777777" w:rsidR="00254DC1" w:rsidRPr="00D973B7" w:rsidRDefault="00254DC1" w:rsidP="00254DC1">
            <w:pPr>
              <w:jc w:val="center"/>
              <w:rPr>
                <w:rFonts w:ascii="Calibri" w:eastAsia="Times New Roman" w:hAnsi="Calibri" w:cs="Times New Roman"/>
                <w:color w:val="000000"/>
                <w:sz w:val="20"/>
                <w:szCs w:val="20"/>
              </w:rPr>
            </w:pPr>
          </w:p>
        </w:tc>
        <w:tc>
          <w:tcPr>
            <w:tcW w:w="3048" w:type="dxa"/>
            <w:tcBorders>
              <w:top w:val="single" w:sz="4" w:space="0" w:color="auto"/>
              <w:bottom w:val="single" w:sz="4" w:space="0" w:color="auto"/>
            </w:tcBorders>
            <w:shd w:val="clear" w:color="auto" w:fill="auto"/>
            <w:noWrap/>
            <w:vAlign w:val="center"/>
          </w:tcPr>
          <w:p w14:paraId="29A0B42B" w14:textId="77777777" w:rsidR="00254DC1" w:rsidRPr="00D973B7" w:rsidRDefault="00254DC1" w:rsidP="00254DC1">
            <w:pPr>
              <w:jc w:val="center"/>
              <w:rPr>
                <w:rFonts w:ascii="Calibri" w:eastAsia="Times New Roman" w:hAnsi="Calibri" w:cs="Times New Roman"/>
                <w:color w:val="000000"/>
                <w:sz w:val="20"/>
                <w:szCs w:val="20"/>
              </w:rPr>
            </w:pPr>
          </w:p>
        </w:tc>
        <w:tc>
          <w:tcPr>
            <w:tcW w:w="772" w:type="dxa"/>
            <w:tcBorders>
              <w:top w:val="single" w:sz="4" w:space="0" w:color="auto"/>
              <w:bottom w:val="single" w:sz="4" w:space="0" w:color="auto"/>
            </w:tcBorders>
            <w:vAlign w:val="center"/>
          </w:tcPr>
          <w:p w14:paraId="152C96E3" w14:textId="0F7F5150" w:rsidR="00254DC1" w:rsidRPr="00D973B7" w:rsidRDefault="00763CD5" w:rsidP="00254DC1">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00254DC1">
              <w:rPr>
                <w:rFonts w:ascii="Calibri" w:eastAsia="Times New Roman" w:hAnsi="Calibri" w:cs="Times New Roman"/>
                <w:color w:val="000000"/>
                <w:sz w:val="20"/>
                <w:szCs w:val="20"/>
              </w:rPr>
              <w:t>ean</w:t>
            </w:r>
          </w:p>
        </w:tc>
        <w:tc>
          <w:tcPr>
            <w:tcW w:w="772" w:type="dxa"/>
            <w:tcBorders>
              <w:top w:val="single" w:sz="4" w:space="0" w:color="auto"/>
              <w:bottom w:val="single" w:sz="4" w:space="0" w:color="auto"/>
            </w:tcBorders>
            <w:vAlign w:val="center"/>
          </w:tcPr>
          <w:p w14:paraId="6B766058" w14:textId="2C5FC7D0" w:rsidR="00254DC1" w:rsidRPr="00D973B7" w:rsidRDefault="00763CD5" w:rsidP="00254DC1">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S.D</w:t>
            </w:r>
            <w:r w:rsidR="00254DC1">
              <w:rPr>
                <w:rFonts w:ascii="Calibri" w:eastAsia="Times New Roman" w:hAnsi="Calibri" w:cs="Times New Roman"/>
                <w:color w:val="000000"/>
                <w:sz w:val="20"/>
                <w:szCs w:val="20"/>
              </w:rPr>
              <w:t>.</w:t>
            </w:r>
          </w:p>
        </w:tc>
        <w:tc>
          <w:tcPr>
            <w:tcW w:w="772" w:type="dxa"/>
            <w:tcBorders>
              <w:top w:val="single" w:sz="4" w:space="0" w:color="auto"/>
              <w:bottom w:val="single" w:sz="4" w:space="0" w:color="auto"/>
            </w:tcBorders>
            <w:shd w:val="clear" w:color="auto" w:fill="auto"/>
            <w:noWrap/>
            <w:vAlign w:val="center"/>
          </w:tcPr>
          <w:p w14:paraId="6AA53DF5" w14:textId="2D5D32E6" w:rsidR="00254DC1" w:rsidRPr="00D973B7"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color w:val="000000"/>
                <w:sz w:val="20"/>
                <w:szCs w:val="20"/>
              </w:rPr>
              <w:t>(</w:t>
            </w:r>
            <w:r w:rsidRPr="00F007B9">
              <w:rPr>
                <w:rFonts w:ascii="Calibri" w:eastAsia="Times New Roman" w:hAnsi="Calibri" w:cs="Times New Roman"/>
                <w:color w:val="000000"/>
                <w:sz w:val="20"/>
                <w:szCs w:val="20"/>
              </w:rPr>
              <w:t>1</w:t>
            </w:r>
            <w:r w:rsidRPr="00D973B7">
              <w:rPr>
                <w:rFonts w:ascii="Calibri" w:eastAsia="Times New Roman" w:hAnsi="Calibri" w:cs="Times New Roman"/>
                <w:color w:val="000000"/>
                <w:sz w:val="20"/>
                <w:szCs w:val="20"/>
              </w:rPr>
              <w:t>)</w:t>
            </w:r>
          </w:p>
        </w:tc>
        <w:tc>
          <w:tcPr>
            <w:tcW w:w="772" w:type="dxa"/>
            <w:tcBorders>
              <w:top w:val="single" w:sz="4" w:space="0" w:color="auto"/>
              <w:bottom w:val="single" w:sz="4" w:space="0" w:color="auto"/>
            </w:tcBorders>
            <w:shd w:val="clear" w:color="auto" w:fill="auto"/>
            <w:noWrap/>
            <w:vAlign w:val="center"/>
          </w:tcPr>
          <w:p w14:paraId="6046C262" w14:textId="77777777" w:rsidR="00254DC1" w:rsidRPr="00D973B7"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color w:val="000000"/>
                <w:sz w:val="20"/>
                <w:szCs w:val="20"/>
              </w:rPr>
              <w:t>(2)</w:t>
            </w:r>
          </w:p>
        </w:tc>
        <w:tc>
          <w:tcPr>
            <w:tcW w:w="773" w:type="dxa"/>
            <w:tcBorders>
              <w:top w:val="single" w:sz="4" w:space="0" w:color="auto"/>
              <w:bottom w:val="single" w:sz="4" w:space="0" w:color="auto"/>
            </w:tcBorders>
            <w:shd w:val="clear" w:color="auto" w:fill="auto"/>
            <w:noWrap/>
            <w:vAlign w:val="center"/>
          </w:tcPr>
          <w:p w14:paraId="159C1666" w14:textId="77777777" w:rsidR="00254DC1" w:rsidRPr="00D973B7"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color w:val="000000"/>
                <w:sz w:val="20"/>
                <w:szCs w:val="20"/>
              </w:rPr>
              <w:t>(3)</w:t>
            </w:r>
          </w:p>
        </w:tc>
        <w:tc>
          <w:tcPr>
            <w:tcW w:w="772" w:type="dxa"/>
            <w:tcBorders>
              <w:top w:val="single" w:sz="4" w:space="0" w:color="auto"/>
              <w:bottom w:val="single" w:sz="4" w:space="0" w:color="auto"/>
            </w:tcBorders>
            <w:shd w:val="clear" w:color="auto" w:fill="auto"/>
            <w:noWrap/>
            <w:vAlign w:val="center"/>
          </w:tcPr>
          <w:p w14:paraId="20141701" w14:textId="77777777" w:rsidR="00254DC1" w:rsidRPr="00D973B7"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color w:val="000000"/>
                <w:sz w:val="20"/>
                <w:szCs w:val="20"/>
              </w:rPr>
              <w:t>(4)</w:t>
            </w:r>
          </w:p>
        </w:tc>
        <w:tc>
          <w:tcPr>
            <w:tcW w:w="772" w:type="dxa"/>
            <w:tcBorders>
              <w:top w:val="single" w:sz="4" w:space="0" w:color="auto"/>
              <w:bottom w:val="single" w:sz="4" w:space="0" w:color="auto"/>
            </w:tcBorders>
            <w:shd w:val="clear" w:color="auto" w:fill="auto"/>
            <w:noWrap/>
            <w:vAlign w:val="center"/>
          </w:tcPr>
          <w:p w14:paraId="3DC353EF" w14:textId="77777777" w:rsidR="00254DC1" w:rsidRPr="00D973B7"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color w:val="000000"/>
                <w:sz w:val="20"/>
                <w:szCs w:val="20"/>
              </w:rPr>
              <w:t>(5)</w:t>
            </w:r>
          </w:p>
        </w:tc>
        <w:tc>
          <w:tcPr>
            <w:tcW w:w="772" w:type="dxa"/>
            <w:tcBorders>
              <w:top w:val="single" w:sz="4" w:space="0" w:color="auto"/>
              <w:bottom w:val="single" w:sz="4" w:space="0" w:color="auto"/>
            </w:tcBorders>
            <w:vAlign w:val="center"/>
          </w:tcPr>
          <w:p w14:paraId="76AC6EF5" w14:textId="20CEF031" w:rsidR="00254DC1" w:rsidRPr="00D973B7"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color w:val="000000"/>
                <w:sz w:val="20"/>
                <w:szCs w:val="20"/>
              </w:rPr>
              <w:t>(6)</w:t>
            </w:r>
          </w:p>
        </w:tc>
        <w:tc>
          <w:tcPr>
            <w:tcW w:w="773" w:type="dxa"/>
            <w:tcBorders>
              <w:top w:val="single" w:sz="4" w:space="0" w:color="auto"/>
              <w:bottom w:val="single" w:sz="4" w:space="0" w:color="auto"/>
            </w:tcBorders>
            <w:shd w:val="clear" w:color="auto" w:fill="auto"/>
            <w:noWrap/>
            <w:vAlign w:val="center"/>
          </w:tcPr>
          <w:p w14:paraId="0977D81C" w14:textId="7BDBAD8E" w:rsidR="00254DC1" w:rsidRPr="00D973B7" w:rsidRDefault="00254DC1" w:rsidP="00254DC1">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r w:rsidRPr="00D973B7">
              <w:rPr>
                <w:rFonts w:ascii="Calibri" w:eastAsia="Times New Roman" w:hAnsi="Calibri" w:cs="Times New Roman"/>
                <w:color w:val="000000"/>
                <w:sz w:val="20"/>
                <w:szCs w:val="20"/>
              </w:rPr>
              <w:t>)</w:t>
            </w:r>
          </w:p>
        </w:tc>
      </w:tr>
      <w:tr w:rsidR="00254DC1" w:rsidRPr="00D973B7" w14:paraId="0C043ECB" w14:textId="77777777" w:rsidTr="00254DC1">
        <w:trPr>
          <w:trHeight w:val="300"/>
        </w:trPr>
        <w:tc>
          <w:tcPr>
            <w:tcW w:w="439" w:type="dxa"/>
            <w:tcBorders>
              <w:top w:val="single" w:sz="4" w:space="0" w:color="auto"/>
              <w:left w:val="nil"/>
              <w:bottom w:val="nil"/>
            </w:tcBorders>
            <w:shd w:val="clear" w:color="auto" w:fill="auto"/>
            <w:noWrap/>
            <w:vAlign w:val="center"/>
          </w:tcPr>
          <w:p w14:paraId="6FB228C5" w14:textId="3583620B" w:rsidR="00254DC1" w:rsidRPr="00D973B7" w:rsidRDefault="00254DC1" w:rsidP="00254DC1">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3048" w:type="dxa"/>
            <w:tcBorders>
              <w:top w:val="single" w:sz="4" w:space="0" w:color="auto"/>
              <w:bottom w:val="nil"/>
            </w:tcBorders>
            <w:shd w:val="clear" w:color="auto" w:fill="auto"/>
            <w:noWrap/>
            <w:vAlign w:val="center"/>
          </w:tcPr>
          <w:p w14:paraId="20D30767" w14:textId="0C550A7A" w:rsidR="00254DC1" w:rsidRPr="00D973B7" w:rsidRDefault="00254DC1" w:rsidP="00254DC1">
            <w:pPr>
              <w:jc w:val="center"/>
              <w:rPr>
                <w:rFonts w:ascii="Calibri" w:eastAsia="Times New Roman" w:hAnsi="Calibri" w:cs="Times New Roman"/>
                <w:sz w:val="20"/>
                <w:szCs w:val="20"/>
              </w:rPr>
            </w:pPr>
            <w:r>
              <w:rPr>
                <w:rFonts w:ascii="Calibri" w:eastAsia="Times New Roman" w:hAnsi="Calibri" w:cs="Times New Roman"/>
                <w:sz w:val="20"/>
                <w:szCs w:val="20"/>
              </w:rPr>
              <w:t>National transposition</w:t>
            </w:r>
          </w:p>
        </w:tc>
        <w:tc>
          <w:tcPr>
            <w:tcW w:w="772" w:type="dxa"/>
            <w:tcBorders>
              <w:top w:val="single" w:sz="4" w:space="0" w:color="auto"/>
              <w:bottom w:val="nil"/>
            </w:tcBorders>
            <w:vAlign w:val="center"/>
          </w:tcPr>
          <w:p w14:paraId="6E546495" w14:textId="14E53A58" w:rsidR="00254DC1" w:rsidRPr="00254DC1" w:rsidRDefault="00254DC1" w:rsidP="00254DC1">
            <w:pPr>
              <w:jc w:val="center"/>
              <w:rPr>
                <w:rFonts w:ascii="Calibri" w:eastAsia="Times New Roman" w:hAnsi="Calibri"/>
                <w:color w:val="000000"/>
                <w:sz w:val="18"/>
                <w:szCs w:val="18"/>
              </w:rPr>
            </w:pPr>
            <w:r w:rsidRPr="00254DC1">
              <w:rPr>
                <w:rFonts w:ascii="Calibri" w:eastAsia="Times New Roman" w:hAnsi="Calibri"/>
                <w:color w:val="000000"/>
                <w:sz w:val="18"/>
                <w:szCs w:val="18"/>
              </w:rPr>
              <w:t>5.704</w:t>
            </w:r>
          </w:p>
        </w:tc>
        <w:tc>
          <w:tcPr>
            <w:tcW w:w="772" w:type="dxa"/>
            <w:tcBorders>
              <w:top w:val="single" w:sz="4" w:space="0" w:color="auto"/>
              <w:bottom w:val="nil"/>
            </w:tcBorders>
            <w:vAlign w:val="center"/>
          </w:tcPr>
          <w:p w14:paraId="36A39AFF" w14:textId="38FC0C73" w:rsidR="00254DC1" w:rsidRPr="00254DC1" w:rsidRDefault="00254DC1" w:rsidP="00254DC1">
            <w:pPr>
              <w:jc w:val="center"/>
              <w:rPr>
                <w:rFonts w:ascii="Calibri" w:eastAsia="Times New Roman" w:hAnsi="Calibri"/>
                <w:color w:val="000000"/>
                <w:sz w:val="18"/>
                <w:szCs w:val="18"/>
              </w:rPr>
            </w:pPr>
            <w:r w:rsidRPr="00254DC1">
              <w:rPr>
                <w:rFonts w:ascii="Calibri" w:eastAsia="Times New Roman" w:hAnsi="Calibri"/>
                <w:color w:val="000000"/>
                <w:sz w:val="18"/>
                <w:szCs w:val="18"/>
              </w:rPr>
              <w:t>4.754</w:t>
            </w:r>
          </w:p>
        </w:tc>
        <w:tc>
          <w:tcPr>
            <w:tcW w:w="772" w:type="dxa"/>
            <w:tcBorders>
              <w:top w:val="single" w:sz="4" w:space="0" w:color="auto"/>
              <w:bottom w:val="nil"/>
            </w:tcBorders>
            <w:shd w:val="clear" w:color="auto" w:fill="auto"/>
            <w:noWrap/>
            <w:vAlign w:val="center"/>
          </w:tcPr>
          <w:p w14:paraId="3D7DEDA5" w14:textId="77777777" w:rsidR="00254DC1" w:rsidRPr="00254DC1" w:rsidRDefault="00254DC1" w:rsidP="00254DC1">
            <w:pPr>
              <w:jc w:val="center"/>
              <w:rPr>
                <w:rFonts w:ascii="Calibri" w:eastAsia="Times New Roman" w:hAnsi="Calibri" w:cs="Times New Roman"/>
                <w:color w:val="000000"/>
                <w:sz w:val="18"/>
                <w:szCs w:val="18"/>
              </w:rPr>
            </w:pPr>
          </w:p>
        </w:tc>
        <w:tc>
          <w:tcPr>
            <w:tcW w:w="772" w:type="dxa"/>
            <w:tcBorders>
              <w:top w:val="single" w:sz="4" w:space="0" w:color="auto"/>
              <w:bottom w:val="nil"/>
            </w:tcBorders>
            <w:shd w:val="clear" w:color="auto" w:fill="auto"/>
            <w:noWrap/>
            <w:vAlign w:val="center"/>
          </w:tcPr>
          <w:p w14:paraId="2312B7F2" w14:textId="77777777" w:rsidR="00254DC1" w:rsidRPr="00254DC1" w:rsidRDefault="00254DC1" w:rsidP="00254DC1">
            <w:pPr>
              <w:jc w:val="center"/>
              <w:rPr>
                <w:rFonts w:ascii="Calibri" w:eastAsia="Times New Roman" w:hAnsi="Calibri" w:cs="Times New Roman"/>
                <w:color w:val="000000"/>
                <w:sz w:val="18"/>
                <w:szCs w:val="18"/>
              </w:rPr>
            </w:pPr>
          </w:p>
        </w:tc>
        <w:tc>
          <w:tcPr>
            <w:tcW w:w="773" w:type="dxa"/>
            <w:tcBorders>
              <w:top w:val="single" w:sz="4" w:space="0" w:color="auto"/>
              <w:bottom w:val="nil"/>
            </w:tcBorders>
            <w:shd w:val="clear" w:color="auto" w:fill="auto"/>
            <w:noWrap/>
            <w:vAlign w:val="center"/>
          </w:tcPr>
          <w:p w14:paraId="20279310" w14:textId="77777777" w:rsidR="00254DC1" w:rsidRPr="00254DC1" w:rsidRDefault="00254DC1" w:rsidP="00254DC1">
            <w:pPr>
              <w:jc w:val="center"/>
              <w:rPr>
                <w:rFonts w:ascii="Calibri" w:eastAsia="Times New Roman" w:hAnsi="Calibri" w:cs="Times New Roman"/>
                <w:color w:val="000000"/>
                <w:sz w:val="18"/>
                <w:szCs w:val="18"/>
              </w:rPr>
            </w:pPr>
          </w:p>
        </w:tc>
        <w:tc>
          <w:tcPr>
            <w:tcW w:w="772" w:type="dxa"/>
            <w:tcBorders>
              <w:top w:val="single" w:sz="4" w:space="0" w:color="auto"/>
              <w:bottom w:val="nil"/>
            </w:tcBorders>
            <w:shd w:val="clear" w:color="auto" w:fill="auto"/>
            <w:noWrap/>
            <w:vAlign w:val="center"/>
          </w:tcPr>
          <w:p w14:paraId="29417F9E" w14:textId="77777777" w:rsidR="00254DC1" w:rsidRPr="00254DC1" w:rsidRDefault="00254DC1" w:rsidP="00254DC1">
            <w:pPr>
              <w:jc w:val="center"/>
              <w:rPr>
                <w:rFonts w:ascii="Calibri" w:eastAsia="Times New Roman" w:hAnsi="Calibri" w:cs="Times New Roman"/>
                <w:color w:val="000000"/>
                <w:sz w:val="18"/>
                <w:szCs w:val="18"/>
              </w:rPr>
            </w:pPr>
          </w:p>
        </w:tc>
        <w:tc>
          <w:tcPr>
            <w:tcW w:w="772" w:type="dxa"/>
            <w:tcBorders>
              <w:top w:val="single" w:sz="4" w:space="0" w:color="auto"/>
              <w:bottom w:val="nil"/>
            </w:tcBorders>
            <w:shd w:val="clear" w:color="auto" w:fill="auto"/>
            <w:noWrap/>
            <w:vAlign w:val="center"/>
          </w:tcPr>
          <w:p w14:paraId="50C989B8" w14:textId="77777777" w:rsidR="00254DC1" w:rsidRPr="00254DC1" w:rsidRDefault="00254DC1" w:rsidP="00254DC1">
            <w:pPr>
              <w:jc w:val="center"/>
              <w:rPr>
                <w:rFonts w:ascii="Calibri" w:eastAsia="Times New Roman" w:hAnsi="Calibri" w:cs="Times New Roman"/>
                <w:color w:val="000000"/>
                <w:sz w:val="18"/>
                <w:szCs w:val="18"/>
              </w:rPr>
            </w:pPr>
          </w:p>
        </w:tc>
        <w:tc>
          <w:tcPr>
            <w:tcW w:w="772" w:type="dxa"/>
            <w:tcBorders>
              <w:top w:val="single" w:sz="4" w:space="0" w:color="auto"/>
              <w:bottom w:val="nil"/>
            </w:tcBorders>
            <w:vAlign w:val="center"/>
          </w:tcPr>
          <w:p w14:paraId="5EB52FF5" w14:textId="77777777" w:rsidR="00254DC1" w:rsidRPr="00254DC1" w:rsidRDefault="00254DC1" w:rsidP="00254DC1">
            <w:pPr>
              <w:jc w:val="center"/>
              <w:rPr>
                <w:rFonts w:ascii="Calibri" w:eastAsia="Times New Roman" w:hAnsi="Calibri" w:cs="Times New Roman"/>
                <w:color w:val="000000"/>
                <w:sz w:val="18"/>
                <w:szCs w:val="18"/>
              </w:rPr>
            </w:pPr>
          </w:p>
        </w:tc>
        <w:tc>
          <w:tcPr>
            <w:tcW w:w="773" w:type="dxa"/>
            <w:tcBorders>
              <w:top w:val="single" w:sz="4" w:space="0" w:color="auto"/>
              <w:bottom w:val="nil"/>
              <w:right w:val="nil"/>
            </w:tcBorders>
            <w:shd w:val="clear" w:color="auto" w:fill="auto"/>
            <w:noWrap/>
            <w:vAlign w:val="center"/>
          </w:tcPr>
          <w:p w14:paraId="67FDBB38" w14:textId="77777777" w:rsidR="00254DC1" w:rsidRPr="00254DC1" w:rsidRDefault="00254DC1" w:rsidP="00254DC1">
            <w:pPr>
              <w:jc w:val="center"/>
              <w:rPr>
                <w:rFonts w:ascii="Calibri" w:eastAsia="Times New Roman" w:hAnsi="Calibri" w:cs="Times New Roman"/>
                <w:color w:val="000000"/>
                <w:sz w:val="18"/>
                <w:szCs w:val="18"/>
              </w:rPr>
            </w:pPr>
          </w:p>
        </w:tc>
      </w:tr>
      <w:tr w:rsidR="00254DC1" w:rsidRPr="00D973B7" w14:paraId="7BE3F034" w14:textId="77777777" w:rsidTr="00254DC1">
        <w:trPr>
          <w:trHeight w:val="300"/>
        </w:trPr>
        <w:tc>
          <w:tcPr>
            <w:tcW w:w="439" w:type="dxa"/>
            <w:tcBorders>
              <w:top w:val="nil"/>
            </w:tcBorders>
            <w:shd w:val="clear" w:color="auto" w:fill="auto"/>
            <w:noWrap/>
            <w:vAlign w:val="center"/>
            <w:hideMark/>
          </w:tcPr>
          <w:p w14:paraId="06303FF4" w14:textId="07393E20" w:rsidR="00254DC1" w:rsidRPr="00F007B9"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color w:val="000000"/>
                <w:sz w:val="20"/>
                <w:szCs w:val="20"/>
              </w:rPr>
              <w:t>(</w:t>
            </w:r>
            <w:r>
              <w:rPr>
                <w:rFonts w:ascii="Calibri" w:eastAsia="Times New Roman" w:hAnsi="Calibri" w:cs="Times New Roman"/>
                <w:color w:val="000000"/>
                <w:sz w:val="20"/>
                <w:szCs w:val="20"/>
              </w:rPr>
              <w:t>2</w:t>
            </w:r>
            <w:r w:rsidRPr="00D973B7">
              <w:rPr>
                <w:rFonts w:ascii="Calibri" w:eastAsia="Times New Roman" w:hAnsi="Calibri" w:cs="Times New Roman"/>
                <w:color w:val="000000"/>
                <w:sz w:val="20"/>
                <w:szCs w:val="20"/>
              </w:rPr>
              <w:t>)</w:t>
            </w:r>
          </w:p>
        </w:tc>
        <w:tc>
          <w:tcPr>
            <w:tcW w:w="3048" w:type="dxa"/>
            <w:tcBorders>
              <w:top w:val="nil"/>
            </w:tcBorders>
            <w:shd w:val="clear" w:color="auto" w:fill="auto"/>
            <w:noWrap/>
            <w:vAlign w:val="center"/>
            <w:hideMark/>
          </w:tcPr>
          <w:p w14:paraId="0412155D" w14:textId="77777777" w:rsidR="00254DC1" w:rsidRPr="00F007B9"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sz w:val="20"/>
                <w:szCs w:val="20"/>
              </w:rPr>
              <w:t>EU funding</w:t>
            </w:r>
          </w:p>
        </w:tc>
        <w:tc>
          <w:tcPr>
            <w:tcW w:w="772" w:type="dxa"/>
            <w:tcBorders>
              <w:top w:val="nil"/>
            </w:tcBorders>
            <w:vAlign w:val="center"/>
          </w:tcPr>
          <w:p w14:paraId="44CA3A38" w14:textId="305C69D1"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0.380</w:t>
            </w:r>
          </w:p>
        </w:tc>
        <w:tc>
          <w:tcPr>
            <w:tcW w:w="772" w:type="dxa"/>
            <w:tcBorders>
              <w:top w:val="nil"/>
            </w:tcBorders>
            <w:vAlign w:val="center"/>
          </w:tcPr>
          <w:p w14:paraId="3704ADB9" w14:textId="0FEAD50E"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2.575</w:t>
            </w:r>
          </w:p>
        </w:tc>
        <w:tc>
          <w:tcPr>
            <w:tcW w:w="772" w:type="dxa"/>
            <w:tcBorders>
              <w:top w:val="nil"/>
            </w:tcBorders>
            <w:shd w:val="clear" w:color="auto" w:fill="auto"/>
            <w:noWrap/>
            <w:vAlign w:val="center"/>
            <w:hideMark/>
          </w:tcPr>
          <w:p w14:paraId="1D286158" w14:textId="3EFC23D2"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0.074</w:t>
            </w:r>
          </w:p>
        </w:tc>
        <w:tc>
          <w:tcPr>
            <w:tcW w:w="772" w:type="dxa"/>
            <w:tcBorders>
              <w:top w:val="nil"/>
            </w:tcBorders>
            <w:shd w:val="clear" w:color="auto" w:fill="auto"/>
            <w:noWrap/>
            <w:vAlign w:val="center"/>
            <w:hideMark/>
          </w:tcPr>
          <w:p w14:paraId="312B2F22" w14:textId="77777777" w:rsidR="00254DC1" w:rsidRPr="00254DC1" w:rsidRDefault="00254DC1" w:rsidP="00254DC1">
            <w:pPr>
              <w:jc w:val="center"/>
              <w:rPr>
                <w:rFonts w:ascii="Calibri" w:eastAsia="Times New Roman" w:hAnsi="Calibri" w:cs="Times New Roman"/>
                <w:color w:val="000000"/>
                <w:sz w:val="18"/>
                <w:szCs w:val="18"/>
              </w:rPr>
            </w:pPr>
          </w:p>
        </w:tc>
        <w:tc>
          <w:tcPr>
            <w:tcW w:w="773" w:type="dxa"/>
            <w:tcBorders>
              <w:top w:val="nil"/>
            </w:tcBorders>
            <w:shd w:val="clear" w:color="auto" w:fill="auto"/>
            <w:noWrap/>
            <w:vAlign w:val="center"/>
            <w:hideMark/>
          </w:tcPr>
          <w:p w14:paraId="60BBEDBD" w14:textId="77777777" w:rsidR="00254DC1" w:rsidRPr="00254DC1" w:rsidRDefault="00254DC1" w:rsidP="00254DC1">
            <w:pPr>
              <w:jc w:val="center"/>
              <w:rPr>
                <w:rFonts w:ascii="Calibri" w:eastAsia="Times New Roman" w:hAnsi="Calibri" w:cs="Times New Roman"/>
                <w:color w:val="000000"/>
                <w:sz w:val="18"/>
                <w:szCs w:val="18"/>
              </w:rPr>
            </w:pPr>
          </w:p>
        </w:tc>
        <w:tc>
          <w:tcPr>
            <w:tcW w:w="772" w:type="dxa"/>
            <w:tcBorders>
              <w:top w:val="nil"/>
            </w:tcBorders>
            <w:shd w:val="clear" w:color="auto" w:fill="auto"/>
            <w:noWrap/>
            <w:vAlign w:val="center"/>
            <w:hideMark/>
          </w:tcPr>
          <w:p w14:paraId="249C42F4" w14:textId="77777777" w:rsidR="00254DC1" w:rsidRPr="00254DC1" w:rsidRDefault="00254DC1" w:rsidP="00254DC1">
            <w:pPr>
              <w:jc w:val="center"/>
              <w:rPr>
                <w:rFonts w:ascii="Calibri" w:eastAsia="Times New Roman" w:hAnsi="Calibri" w:cs="Times New Roman"/>
                <w:color w:val="000000"/>
                <w:sz w:val="18"/>
                <w:szCs w:val="18"/>
              </w:rPr>
            </w:pPr>
          </w:p>
        </w:tc>
        <w:tc>
          <w:tcPr>
            <w:tcW w:w="772" w:type="dxa"/>
            <w:tcBorders>
              <w:top w:val="nil"/>
            </w:tcBorders>
            <w:shd w:val="clear" w:color="auto" w:fill="auto"/>
            <w:noWrap/>
            <w:vAlign w:val="center"/>
            <w:hideMark/>
          </w:tcPr>
          <w:p w14:paraId="19C15592" w14:textId="77777777" w:rsidR="00254DC1" w:rsidRPr="00254DC1" w:rsidRDefault="00254DC1" w:rsidP="00254DC1">
            <w:pPr>
              <w:jc w:val="center"/>
              <w:rPr>
                <w:rFonts w:ascii="Calibri" w:eastAsia="Times New Roman" w:hAnsi="Calibri" w:cs="Times New Roman"/>
                <w:color w:val="000000"/>
                <w:sz w:val="18"/>
                <w:szCs w:val="18"/>
              </w:rPr>
            </w:pPr>
          </w:p>
        </w:tc>
        <w:tc>
          <w:tcPr>
            <w:tcW w:w="772" w:type="dxa"/>
            <w:tcBorders>
              <w:top w:val="nil"/>
            </w:tcBorders>
            <w:vAlign w:val="center"/>
          </w:tcPr>
          <w:p w14:paraId="6B2B6D4F" w14:textId="77777777" w:rsidR="00254DC1" w:rsidRPr="00254DC1" w:rsidRDefault="00254DC1" w:rsidP="00254DC1">
            <w:pPr>
              <w:jc w:val="center"/>
              <w:rPr>
                <w:rFonts w:ascii="Calibri" w:eastAsia="Times New Roman" w:hAnsi="Calibri" w:cs="Times New Roman"/>
                <w:color w:val="000000"/>
                <w:sz w:val="18"/>
                <w:szCs w:val="18"/>
              </w:rPr>
            </w:pPr>
          </w:p>
        </w:tc>
        <w:tc>
          <w:tcPr>
            <w:tcW w:w="773" w:type="dxa"/>
            <w:tcBorders>
              <w:top w:val="nil"/>
            </w:tcBorders>
            <w:shd w:val="clear" w:color="auto" w:fill="auto"/>
            <w:noWrap/>
            <w:vAlign w:val="center"/>
            <w:hideMark/>
          </w:tcPr>
          <w:p w14:paraId="28FC8E18" w14:textId="5029B5AC" w:rsidR="00254DC1" w:rsidRPr="00254DC1" w:rsidRDefault="00254DC1" w:rsidP="00254DC1">
            <w:pPr>
              <w:jc w:val="center"/>
              <w:rPr>
                <w:rFonts w:ascii="Calibri" w:eastAsia="Times New Roman" w:hAnsi="Calibri" w:cs="Times New Roman"/>
                <w:color w:val="000000"/>
                <w:sz w:val="18"/>
                <w:szCs w:val="18"/>
              </w:rPr>
            </w:pPr>
          </w:p>
        </w:tc>
      </w:tr>
      <w:tr w:rsidR="00254DC1" w:rsidRPr="00D973B7" w14:paraId="0E6F1E38" w14:textId="77777777" w:rsidTr="00254DC1">
        <w:trPr>
          <w:trHeight w:val="300"/>
        </w:trPr>
        <w:tc>
          <w:tcPr>
            <w:tcW w:w="439" w:type="dxa"/>
            <w:shd w:val="clear" w:color="auto" w:fill="auto"/>
            <w:noWrap/>
            <w:vAlign w:val="center"/>
            <w:hideMark/>
          </w:tcPr>
          <w:p w14:paraId="7282F1A6" w14:textId="397F0DCF" w:rsidR="00254DC1" w:rsidRPr="003B3AEE" w:rsidRDefault="00254DC1" w:rsidP="00254DC1">
            <w:pPr>
              <w:jc w:val="center"/>
              <w:rPr>
                <w:rFonts w:eastAsia="Times New Roman" w:cs="Times New Roman"/>
                <w:color w:val="000000"/>
                <w:sz w:val="20"/>
                <w:szCs w:val="20"/>
              </w:rPr>
            </w:pPr>
            <w:r w:rsidRPr="003B3AEE">
              <w:rPr>
                <w:rFonts w:eastAsia="Times New Roman" w:cs="Times New Roman"/>
                <w:color w:val="000000"/>
                <w:sz w:val="20"/>
                <w:szCs w:val="20"/>
              </w:rPr>
              <w:t>(</w:t>
            </w:r>
            <w:r>
              <w:rPr>
                <w:rFonts w:eastAsia="Times New Roman" w:cs="Times New Roman"/>
                <w:color w:val="000000"/>
                <w:sz w:val="20"/>
                <w:szCs w:val="20"/>
              </w:rPr>
              <w:t>3</w:t>
            </w:r>
            <w:r w:rsidRPr="003B3AEE">
              <w:rPr>
                <w:rFonts w:eastAsia="Times New Roman" w:cs="Times New Roman"/>
                <w:color w:val="000000"/>
                <w:sz w:val="20"/>
                <w:szCs w:val="20"/>
              </w:rPr>
              <w:t>)</w:t>
            </w:r>
          </w:p>
        </w:tc>
        <w:tc>
          <w:tcPr>
            <w:tcW w:w="3048" w:type="dxa"/>
            <w:shd w:val="clear" w:color="auto" w:fill="auto"/>
            <w:noWrap/>
            <w:vAlign w:val="center"/>
            <w:hideMark/>
          </w:tcPr>
          <w:p w14:paraId="247D69C3" w14:textId="77777777" w:rsidR="00254DC1" w:rsidRPr="003B3AEE" w:rsidRDefault="00254DC1" w:rsidP="00254DC1">
            <w:pPr>
              <w:jc w:val="center"/>
              <w:rPr>
                <w:rFonts w:eastAsia="Times New Roman" w:cs="Times New Roman"/>
                <w:color w:val="000000"/>
                <w:sz w:val="20"/>
                <w:szCs w:val="20"/>
              </w:rPr>
            </w:pPr>
            <w:r w:rsidRPr="003B3AEE">
              <w:rPr>
                <w:color w:val="000000"/>
                <w:sz w:val="20"/>
                <w:szCs w:val="20"/>
              </w:rPr>
              <w:t>EU support for sustainable growth</w:t>
            </w:r>
          </w:p>
        </w:tc>
        <w:tc>
          <w:tcPr>
            <w:tcW w:w="772" w:type="dxa"/>
            <w:vAlign w:val="center"/>
          </w:tcPr>
          <w:p w14:paraId="7A4F2C70" w14:textId="4625DD26"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0.001</w:t>
            </w:r>
          </w:p>
        </w:tc>
        <w:tc>
          <w:tcPr>
            <w:tcW w:w="772" w:type="dxa"/>
            <w:vAlign w:val="center"/>
          </w:tcPr>
          <w:p w14:paraId="344B64D7" w14:textId="1EDD134B"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0.002</w:t>
            </w:r>
          </w:p>
        </w:tc>
        <w:tc>
          <w:tcPr>
            <w:tcW w:w="772" w:type="dxa"/>
            <w:shd w:val="clear" w:color="auto" w:fill="auto"/>
            <w:noWrap/>
            <w:vAlign w:val="center"/>
            <w:hideMark/>
          </w:tcPr>
          <w:p w14:paraId="4A68B348" w14:textId="22BEE73B"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-0.215</w:t>
            </w:r>
          </w:p>
        </w:tc>
        <w:tc>
          <w:tcPr>
            <w:tcW w:w="772" w:type="dxa"/>
            <w:shd w:val="clear" w:color="auto" w:fill="auto"/>
            <w:noWrap/>
            <w:vAlign w:val="center"/>
            <w:hideMark/>
          </w:tcPr>
          <w:p w14:paraId="2DB2AEE5" w14:textId="10B98A38"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0.293</w:t>
            </w:r>
          </w:p>
        </w:tc>
        <w:tc>
          <w:tcPr>
            <w:tcW w:w="773" w:type="dxa"/>
            <w:shd w:val="clear" w:color="auto" w:fill="auto"/>
            <w:noWrap/>
            <w:vAlign w:val="center"/>
            <w:hideMark/>
          </w:tcPr>
          <w:p w14:paraId="3AEC4396" w14:textId="77777777" w:rsidR="00254DC1" w:rsidRPr="00254DC1" w:rsidRDefault="00254DC1" w:rsidP="00254DC1">
            <w:pPr>
              <w:jc w:val="center"/>
              <w:rPr>
                <w:rFonts w:ascii="Calibri" w:eastAsia="Times New Roman" w:hAnsi="Calibri" w:cs="Times New Roman"/>
                <w:color w:val="000000"/>
                <w:sz w:val="18"/>
                <w:szCs w:val="18"/>
              </w:rPr>
            </w:pPr>
          </w:p>
        </w:tc>
        <w:tc>
          <w:tcPr>
            <w:tcW w:w="772" w:type="dxa"/>
            <w:shd w:val="clear" w:color="auto" w:fill="auto"/>
            <w:noWrap/>
            <w:vAlign w:val="center"/>
            <w:hideMark/>
          </w:tcPr>
          <w:p w14:paraId="14E99468" w14:textId="77777777" w:rsidR="00254DC1" w:rsidRPr="00254DC1" w:rsidRDefault="00254DC1" w:rsidP="00254DC1">
            <w:pPr>
              <w:jc w:val="center"/>
              <w:rPr>
                <w:rFonts w:ascii="Calibri" w:eastAsia="Times New Roman" w:hAnsi="Calibri" w:cs="Times New Roman"/>
                <w:color w:val="000000"/>
                <w:sz w:val="18"/>
                <w:szCs w:val="18"/>
              </w:rPr>
            </w:pPr>
          </w:p>
        </w:tc>
        <w:tc>
          <w:tcPr>
            <w:tcW w:w="772" w:type="dxa"/>
            <w:shd w:val="clear" w:color="auto" w:fill="auto"/>
            <w:noWrap/>
            <w:vAlign w:val="center"/>
            <w:hideMark/>
          </w:tcPr>
          <w:p w14:paraId="5FEF151F" w14:textId="77777777" w:rsidR="00254DC1" w:rsidRPr="00254DC1" w:rsidRDefault="00254DC1" w:rsidP="00254DC1">
            <w:pPr>
              <w:jc w:val="center"/>
              <w:rPr>
                <w:rFonts w:ascii="Calibri" w:eastAsia="Times New Roman" w:hAnsi="Calibri" w:cs="Times New Roman"/>
                <w:color w:val="000000"/>
                <w:sz w:val="18"/>
                <w:szCs w:val="18"/>
              </w:rPr>
            </w:pPr>
          </w:p>
        </w:tc>
        <w:tc>
          <w:tcPr>
            <w:tcW w:w="772" w:type="dxa"/>
            <w:vAlign w:val="center"/>
          </w:tcPr>
          <w:p w14:paraId="29AD6CB3" w14:textId="77777777" w:rsidR="00254DC1" w:rsidRPr="00254DC1" w:rsidRDefault="00254DC1" w:rsidP="00254DC1">
            <w:pPr>
              <w:jc w:val="center"/>
              <w:rPr>
                <w:rFonts w:ascii="Calibri" w:eastAsia="Times New Roman" w:hAnsi="Calibri" w:cs="Times New Roman"/>
                <w:color w:val="000000"/>
                <w:sz w:val="18"/>
                <w:szCs w:val="18"/>
              </w:rPr>
            </w:pPr>
          </w:p>
        </w:tc>
        <w:tc>
          <w:tcPr>
            <w:tcW w:w="773" w:type="dxa"/>
            <w:shd w:val="clear" w:color="auto" w:fill="auto"/>
            <w:noWrap/>
            <w:vAlign w:val="center"/>
            <w:hideMark/>
          </w:tcPr>
          <w:p w14:paraId="720A4111" w14:textId="7C0D6A21" w:rsidR="00254DC1" w:rsidRPr="00254DC1" w:rsidRDefault="00254DC1" w:rsidP="00254DC1">
            <w:pPr>
              <w:jc w:val="center"/>
              <w:rPr>
                <w:rFonts w:ascii="Calibri" w:eastAsia="Times New Roman" w:hAnsi="Calibri" w:cs="Times New Roman"/>
                <w:color w:val="000000"/>
                <w:sz w:val="18"/>
                <w:szCs w:val="18"/>
              </w:rPr>
            </w:pPr>
          </w:p>
        </w:tc>
      </w:tr>
      <w:tr w:rsidR="00254DC1" w:rsidRPr="00D973B7" w14:paraId="2BEF21A9" w14:textId="77777777" w:rsidTr="00254DC1">
        <w:trPr>
          <w:trHeight w:val="300"/>
        </w:trPr>
        <w:tc>
          <w:tcPr>
            <w:tcW w:w="439" w:type="dxa"/>
            <w:shd w:val="clear" w:color="auto" w:fill="auto"/>
            <w:noWrap/>
            <w:vAlign w:val="center"/>
            <w:hideMark/>
          </w:tcPr>
          <w:p w14:paraId="57E6F354" w14:textId="1FCEDC30" w:rsidR="00254DC1" w:rsidRPr="003B3AEE" w:rsidRDefault="00254DC1" w:rsidP="00254DC1">
            <w:pPr>
              <w:jc w:val="center"/>
              <w:rPr>
                <w:rFonts w:eastAsia="Times New Roman" w:cs="Times New Roman"/>
                <w:color w:val="000000"/>
                <w:sz w:val="20"/>
                <w:szCs w:val="20"/>
              </w:rPr>
            </w:pPr>
            <w:r w:rsidRPr="003B3AEE">
              <w:rPr>
                <w:rFonts w:eastAsia="Times New Roman" w:cs="Times New Roman"/>
                <w:color w:val="000000"/>
                <w:sz w:val="20"/>
                <w:szCs w:val="20"/>
              </w:rPr>
              <w:t>(</w:t>
            </w:r>
            <w:r>
              <w:rPr>
                <w:rFonts w:eastAsia="Times New Roman" w:cs="Times New Roman"/>
                <w:color w:val="000000"/>
                <w:sz w:val="20"/>
                <w:szCs w:val="20"/>
              </w:rPr>
              <w:t>4</w:t>
            </w:r>
            <w:r w:rsidRPr="003B3AEE">
              <w:rPr>
                <w:rFonts w:eastAsia="Times New Roman" w:cs="Times New Roman"/>
                <w:color w:val="000000"/>
                <w:sz w:val="20"/>
                <w:szCs w:val="20"/>
              </w:rPr>
              <w:t>)</w:t>
            </w:r>
          </w:p>
        </w:tc>
        <w:tc>
          <w:tcPr>
            <w:tcW w:w="3048" w:type="dxa"/>
            <w:shd w:val="clear" w:color="auto" w:fill="auto"/>
            <w:noWrap/>
            <w:vAlign w:val="center"/>
            <w:hideMark/>
          </w:tcPr>
          <w:p w14:paraId="5211C511" w14:textId="0E02E06F" w:rsidR="00254DC1" w:rsidRPr="003B3AEE" w:rsidRDefault="00254DC1" w:rsidP="00254DC1">
            <w:pPr>
              <w:jc w:val="center"/>
              <w:rPr>
                <w:rFonts w:eastAsia="Times New Roman" w:cs="Times New Roman"/>
                <w:color w:val="000000"/>
                <w:sz w:val="20"/>
                <w:szCs w:val="20"/>
              </w:rPr>
            </w:pPr>
            <w:r w:rsidRPr="003B3AEE">
              <w:rPr>
                <w:rFonts w:eastAsia="Times New Roman" w:cs="Times New Roman"/>
                <w:sz w:val="20"/>
                <w:szCs w:val="20"/>
              </w:rPr>
              <w:t xml:space="preserve">Emissions </w:t>
            </w:r>
            <w:r w:rsidR="00A373F0">
              <w:rPr>
                <w:rFonts w:eastAsia="Times New Roman" w:cs="Times New Roman"/>
                <w:sz w:val="20"/>
                <w:szCs w:val="20"/>
              </w:rPr>
              <w:t>c</w:t>
            </w:r>
            <w:r w:rsidRPr="003B3AEE">
              <w:rPr>
                <w:rFonts w:eastAsia="Times New Roman" w:cs="Times New Roman"/>
                <w:sz w:val="20"/>
                <w:szCs w:val="20"/>
              </w:rPr>
              <w:t>ap over GDP</w:t>
            </w:r>
          </w:p>
        </w:tc>
        <w:tc>
          <w:tcPr>
            <w:tcW w:w="772" w:type="dxa"/>
            <w:vAlign w:val="center"/>
          </w:tcPr>
          <w:p w14:paraId="0EC1F811" w14:textId="25E03E30"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0.415</w:t>
            </w:r>
          </w:p>
        </w:tc>
        <w:tc>
          <w:tcPr>
            <w:tcW w:w="772" w:type="dxa"/>
            <w:vAlign w:val="center"/>
          </w:tcPr>
          <w:p w14:paraId="7C7E04B7" w14:textId="74124DEA"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0.435</w:t>
            </w:r>
          </w:p>
        </w:tc>
        <w:tc>
          <w:tcPr>
            <w:tcW w:w="772" w:type="dxa"/>
            <w:shd w:val="clear" w:color="auto" w:fill="auto"/>
            <w:noWrap/>
            <w:vAlign w:val="center"/>
            <w:hideMark/>
          </w:tcPr>
          <w:p w14:paraId="42566451" w14:textId="36C145EF"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-0.108</w:t>
            </w:r>
          </w:p>
        </w:tc>
        <w:tc>
          <w:tcPr>
            <w:tcW w:w="772" w:type="dxa"/>
            <w:shd w:val="clear" w:color="auto" w:fill="auto"/>
            <w:noWrap/>
            <w:vAlign w:val="center"/>
            <w:hideMark/>
          </w:tcPr>
          <w:p w14:paraId="07533D7D" w14:textId="5BCC10EE"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0.049</w:t>
            </w:r>
          </w:p>
        </w:tc>
        <w:tc>
          <w:tcPr>
            <w:tcW w:w="773" w:type="dxa"/>
            <w:shd w:val="clear" w:color="auto" w:fill="auto"/>
            <w:noWrap/>
            <w:vAlign w:val="center"/>
            <w:hideMark/>
          </w:tcPr>
          <w:p w14:paraId="1F6A9185" w14:textId="3EB26E60"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-0.328</w:t>
            </w:r>
          </w:p>
        </w:tc>
        <w:tc>
          <w:tcPr>
            <w:tcW w:w="772" w:type="dxa"/>
            <w:shd w:val="clear" w:color="auto" w:fill="auto"/>
            <w:noWrap/>
            <w:vAlign w:val="center"/>
            <w:hideMark/>
          </w:tcPr>
          <w:p w14:paraId="565D5C21" w14:textId="77777777" w:rsidR="00254DC1" w:rsidRPr="00254DC1" w:rsidRDefault="00254DC1" w:rsidP="00254DC1">
            <w:pPr>
              <w:jc w:val="center"/>
              <w:rPr>
                <w:rFonts w:ascii="Calibri" w:eastAsia="Times New Roman" w:hAnsi="Calibri" w:cs="Times New Roman"/>
                <w:color w:val="000000"/>
                <w:sz w:val="18"/>
                <w:szCs w:val="18"/>
              </w:rPr>
            </w:pPr>
          </w:p>
        </w:tc>
        <w:tc>
          <w:tcPr>
            <w:tcW w:w="772" w:type="dxa"/>
            <w:shd w:val="clear" w:color="auto" w:fill="auto"/>
            <w:noWrap/>
            <w:vAlign w:val="center"/>
            <w:hideMark/>
          </w:tcPr>
          <w:p w14:paraId="56A43C66" w14:textId="77777777" w:rsidR="00254DC1" w:rsidRPr="00254DC1" w:rsidRDefault="00254DC1" w:rsidP="00254DC1">
            <w:pPr>
              <w:jc w:val="center"/>
              <w:rPr>
                <w:rFonts w:ascii="Calibri" w:eastAsia="Times New Roman" w:hAnsi="Calibri" w:cs="Times New Roman"/>
                <w:color w:val="000000"/>
                <w:sz w:val="18"/>
                <w:szCs w:val="18"/>
              </w:rPr>
            </w:pPr>
          </w:p>
        </w:tc>
        <w:tc>
          <w:tcPr>
            <w:tcW w:w="772" w:type="dxa"/>
            <w:vAlign w:val="center"/>
          </w:tcPr>
          <w:p w14:paraId="2FDD7727" w14:textId="77777777" w:rsidR="00254DC1" w:rsidRPr="00254DC1" w:rsidRDefault="00254DC1" w:rsidP="00254DC1">
            <w:pPr>
              <w:jc w:val="center"/>
              <w:rPr>
                <w:rFonts w:ascii="Calibri" w:eastAsia="Times New Roman" w:hAnsi="Calibri" w:cs="Times New Roman"/>
                <w:color w:val="000000"/>
                <w:sz w:val="18"/>
                <w:szCs w:val="18"/>
              </w:rPr>
            </w:pPr>
          </w:p>
        </w:tc>
        <w:tc>
          <w:tcPr>
            <w:tcW w:w="773" w:type="dxa"/>
            <w:shd w:val="clear" w:color="auto" w:fill="auto"/>
            <w:noWrap/>
            <w:vAlign w:val="center"/>
            <w:hideMark/>
          </w:tcPr>
          <w:p w14:paraId="75ADE9CC" w14:textId="7D2FDA7A" w:rsidR="00254DC1" w:rsidRPr="00254DC1" w:rsidRDefault="00254DC1" w:rsidP="00254DC1">
            <w:pPr>
              <w:jc w:val="center"/>
              <w:rPr>
                <w:rFonts w:ascii="Calibri" w:eastAsia="Times New Roman" w:hAnsi="Calibri" w:cs="Times New Roman"/>
                <w:color w:val="000000"/>
                <w:sz w:val="18"/>
                <w:szCs w:val="18"/>
              </w:rPr>
            </w:pPr>
          </w:p>
        </w:tc>
      </w:tr>
      <w:tr w:rsidR="00254DC1" w:rsidRPr="00D973B7" w14:paraId="7663F2FD" w14:textId="77777777" w:rsidTr="00254DC1">
        <w:trPr>
          <w:trHeight w:val="300"/>
        </w:trPr>
        <w:tc>
          <w:tcPr>
            <w:tcW w:w="439" w:type="dxa"/>
            <w:shd w:val="clear" w:color="auto" w:fill="auto"/>
            <w:noWrap/>
            <w:vAlign w:val="center"/>
            <w:hideMark/>
          </w:tcPr>
          <w:p w14:paraId="0FEB0F43" w14:textId="3EF54631" w:rsidR="00254DC1" w:rsidRPr="00F007B9"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color w:val="000000"/>
                <w:sz w:val="20"/>
                <w:szCs w:val="20"/>
              </w:rPr>
              <w:t>(</w:t>
            </w:r>
            <w:r>
              <w:rPr>
                <w:rFonts w:ascii="Calibri" w:eastAsia="Times New Roman" w:hAnsi="Calibri" w:cs="Times New Roman"/>
                <w:color w:val="000000"/>
                <w:sz w:val="20"/>
                <w:szCs w:val="20"/>
              </w:rPr>
              <w:t>5</w:t>
            </w:r>
            <w:r w:rsidRPr="00D973B7">
              <w:rPr>
                <w:rFonts w:ascii="Calibri" w:eastAsia="Times New Roman" w:hAnsi="Calibri" w:cs="Times New Roman"/>
                <w:color w:val="000000"/>
                <w:sz w:val="20"/>
                <w:szCs w:val="20"/>
              </w:rPr>
              <w:t>)</w:t>
            </w:r>
          </w:p>
        </w:tc>
        <w:tc>
          <w:tcPr>
            <w:tcW w:w="3048" w:type="dxa"/>
            <w:shd w:val="clear" w:color="auto" w:fill="auto"/>
            <w:noWrap/>
            <w:vAlign w:val="center"/>
            <w:hideMark/>
          </w:tcPr>
          <w:p w14:paraId="47B54007" w14:textId="77777777" w:rsidR="00254DC1" w:rsidRPr="00F007B9"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sz w:val="20"/>
                <w:szCs w:val="20"/>
              </w:rPr>
              <w:t>International environmental treaty</w:t>
            </w:r>
          </w:p>
        </w:tc>
        <w:tc>
          <w:tcPr>
            <w:tcW w:w="772" w:type="dxa"/>
            <w:vAlign w:val="center"/>
          </w:tcPr>
          <w:p w14:paraId="0F661959" w14:textId="06408849"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25.667</w:t>
            </w:r>
          </w:p>
        </w:tc>
        <w:tc>
          <w:tcPr>
            <w:tcW w:w="772" w:type="dxa"/>
            <w:vAlign w:val="center"/>
          </w:tcPr>
          <w:p w14:paraId="3CDD4A15" w14:textId="7A9AE0F8"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2.370</w:t>
            </w:r>
          </w:p>
        </w:tc>
        <w:tc>
          <w:tcPr>
            <w:tcW w:w="772" w:type="dxa"/>
            <w:shd w:val="clear" w:color="auto" w:fill="auto"/>
            <w:noWrap/>
            <w:vAlign w:val="center"/>
            <w:hideMark/>
          </w:tcPr>
          <w:p w14:paraId="5AE725C6" w14:textId="27F4E977"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0.162</w:t>
            </w:r>
          </w:p>
        </w:tc>
        <w:tc>
          <w:tcPr>
            <w:tcW w:w="772" w:type="dxa"/>
            <w:shd w:val="clear" w:color="auto" w:fill="auto"/>
            <w:noWrap/>
            <w:vAlign w:val="center"/>
            <w:hideMark/>
          </w:tcPr>
          <w:p w14:paraId="70A110D7" w14:textId="04F2DC98"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0.184</w:t>
            </w:r>
          </w:p>
        </w:tc>
        <w:tc>
          <w:tcPr>
            <w:tcW w:w="773" w:type="dxa"/>
            <w:shd w:val="clear" w:color="auto" w:fill="auto"/>
            <w:noWrap/>
            <w:vAlign w:val="center"/>
            <w:hideMark/>
          </w:tcPr>
          <w:p w14:paraId="6E10083B" w14:textId="0B5BEDB5"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0.003</w:t>
            </w:r>
          </w:p>
        </w:tc>
        <w:tc>
          <w:tcPr>
            <w:tcW w:w="772" w:type="dxa"/>
            <w:shd w:val="clear" w:color="auto" w:fill="auto"/>
            <w:noWrap/>
            <w:vAlign w:val="center"/>
            <w:hideMark/>
          </w:tcPr>
          <w:p w14:paraId="7818B0A6" w14:textId="60BAE0D7"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0.419</w:t>
            </w:r>
          </w:p>
        </w:tc>
        <w:tc>
          <w:tcPr>
            <w:tcW w:w="772" w:type="dxa"/>
            <w:shd w:val="clear" w:color="auto" w:fill="auto"/>
            <w:noWrap/>
            <w:vAlign w:val="center"/>
            <w:hideMark/>
          </w:tcPr>
          <w:p w14:paraId="663DBBD3" w14:textId="77777777" w:rsidR="00254DC1" w:rsidRPr="00254DC1" w:rsidRDefault="00254DC1" w:rsidP="00254DC1">
            <w:pPr>
              <w:jc w:val="center"/>
              <w:rPr>
                <w:rFonts w:ascii="Calibri" w:eastAsia="Times New Roman" w:hAnsi="Calibri" w:cs="Times New Roman"/>
                <w:color w:val="000000"/>
                <w:sz w:val="18"/>
                <w:szCs w:val="18"/>
              </w:rPr>
            </w:pPr>
          </w:p>
        </w:tc>
        <w:tc>
          <w:tcPr>
            <w:tcW w:w="772" w:type="dxa"/>
            <w:vAlign w:val="center"/>
          </w:tcPr>
          <w:p w14:paraId="13CDD0C0" w14:textId="77777777" w:rsidR="00254DC1" w:rsidRPr="00254DC1" w:rsidRDefault="00254DC1" w:rsidP="00254DC1">
            <w:pPr>
              <w:jc w:val="center"/>
              <w:rPr>
                <w:rFonts w:ascii="Calibri" w:eastAsia="Times New Roman" w:hAnsi="Calibri" w:cs="Times New Roman"/>
                <w:color w:val="000000"/>
                <w:sz w:val="18"/>
                <w:szCs w:val="18"/>
              </w:rPr>
            </w:pPr>
          </w:p>
        </w:tc>
        <w:tc>
          <w:tcPr>
            <w:tcW w:w="773" w:type="dxa"/>
            <w:shd w:val="clear" w:color="auto" w:fill="auto"/>
            <w:noWrap/>
            <w:vAlign w:val="center"/>
            <w:hideMark/>
          </w:tcPr>
          <w:p w14:paraId="695B80AA" w14:textId="5E30DE52" w:rsidR="00254DC1" w:rsidRPr="00254DC1" w:rsidRDefault="00254DC1" w:rsidP="00254DC1">
            <w:pPr>
              <w:jc w:val="center"/>
              <w:rPr>
                <w:rFonts w:ascii="Calibri" w:eastAsia="Times New Roman" w:hAnsi="Calibri" w:cs="Times New Roman"/>
                <w:color w:val="000000"/>
                <w:sz w:val="18"/>
                <w:szCs w:val="18"/>
              </w:rPr>
            </w:pPr>
          </w:p>
        </w:tc>
      </w:tr>
      <w:tr w:rsidR="00254DC1" w:rsidRPr="00D973B7" w14:paraId="3BBE8FE3" w14:textId="77777777" w:rsidTr="00254DC1">
        <w:trPr>
          <w:trHeight w:val="300"/>
        </w:trPr>
        <w:tc>
          <w:tcPr>
            <w:tcW w:w="439" w:type="dxa"/>
            <w:shd w:val="clear" w:color="auto" w:fill="auto"/>
            <w:noWrap/>
            <w:vAlign w:val="center"/>
            <w:hideMark/>
          </w:tcPr>
          <w:p w14:paraId="736DD010" w14:textId="2E36E5EC" w:rsidR="00254DC1" w:rsidRPr="00F007B9"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color w:val="000000"/>
                <w:sz w:val="20"/>
                <w:szCs w:val="20"/>
              </w:rPr>
              <w:t>(</w:t>
            </w:r>
            <w:r>
              <w:rPr>
                <w:rFonts w:ascii="Calibri" w:eastAsia="Times New Roman" w:hAnsi="Calibri" w:cs="Times New Roman"/>
                <w:color w:val="000000"/>
                <w:sz w:val="20"/>
                <w:szCs w:val="20"/>
              </w:rPr>
              <w:t>6</w:t>
            </w:r>
            <w:r w:rsidRPr="00D973B7">
              <w:rPr>
                <w:rFonts w:ascii="Calibri" w:eastAsia="Times New Roman" w:hAnsi="Calibri" w:cs="Times New Roman"/>
                <w:color w:val="000000"/>
                <w:sz w:val="20"/>
                <w:szCs w:val="20"/>
              </w:rPr>
              <w:t>)</w:t>
            </w:r>
          </w:p>
        </w:tc>
        <w:tc>
          <w:tcPr>
            <w:tcW w:w="3048" w:type="dxa"/>
            <w:shd w:val="clear" w:color="auto" w:fill="auto"/>
            <w:noWrap/>
            <w:vAlign w:val="center"/>
            <w:hideMark/>
          </w:tcPr>
          <w:p w14:paraId="56D3F544" w14:textId="77777777" w:rsidR="00254DC1" w:rsidRPr="00F007B9"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sz w:val="20"/>
                <w:szCs w:val="20"/>
              </w:rPr>
              <w:t>Population growth</w:t>
            </w:r>
          </w:p>
        </w:tc>
        <w:tc>
          <w:tcPr>
            <w:tcW w:w="772" w:type="dxa"/>
            <w:vAlign w:val="center"/>
          </w:tcPr>
          <w:p w14:paraId="1C750A7F" w14:textId="3635B6D1"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0.301</w:t>
            </w:r>
          </w:p>
        </w:tc>
        <w:tc>
          <w:tcPr>
            <w:tcW w:w="772" w:type="dxa"/>
            <w:vAlign w:val="center"/>
          </w:tcPr>
          <w:p w14:paraId="2F4928D8" w14:textId="0B5DE7A7"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0.769</w:t>
            </w:r>
          </w:p>
        </w:tc>
        <w:tc>
          <w:tcPr>
            <w:tcW w:w="772" w:type="dxa"/>
            <w:shd w:val="clear" w:color="auto" w:fill="auto"/>
            <w:noWrap/>
            <w:vAlign w:val="center"/>
            <w:hideMark/>
          </w:tcPr>
          <w:p w14:paraId="512066FA" w14:textId="2BA542BC"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-0.343</w:t>
            </w:r>
          </w:p>
        </w:tc>
        <w:tc>
          <w:tcPr>
            <w:tcW w:w="772" w:type="dxa"/>
            <w:shd w:val="clear" w:color="auto" w:fill="auto"/>
            <w:noWrap/>
            <w:vAlign w:val="center"/>
            <w:hideMark/>
          </w:tcPr>
          <w:p w14:paraId="631B718A" w14:textId="11ABEF2B"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0.266</w:t>
            </w:r>
          </w:p>
        </w:tc>
        <w:tc>
          <w:tcPr>
            <w:tcW w:w="773" w:type="dxa"/>
            <w:shd w:val="clear" w:color="auto" w:fill="auto"/>
            <w:noWrap/>
            <w:vAlign w:val="center"/>
            <w:hideMark/>
          </w:tcPr>
          <w:p w14:paraId="2EDFAA7A" w14:textId="6C250406"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0.367</w:t>
            </w:r>
          </w:p>
        </w:tc>
        <w:tc>
          <w:tcPr>
            <w:tcW w:w="772" w:type="dxa"/>
            <w:shd w:val="clear" w:color="auto" w:fill="auto"/>
            <w:noWrap/>
            <w:vAlign w:val="center"/>
            <w:hideMark/>
          </w:tcPr>
          <w:p w14:paraId="559BE103" w14:textId="355395C0"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-0.523</w:t>
            </w:r>
          </w:p>
        </w:tc>
        <w:tc>
          <w:tcPr>
            <w:tcW w:w="772" w:type="dxa"/>
            <w:shd w:val="clear" w:color="auto" w:fill="auto"/>
            <w:noWrap/>
            <w:vAlign w:val="center"/>
            <w:hideMark/>
          </w:tcPr>
          <w:p w14:paraId="58140FFF" w14:textId="62A4B6C6"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-0.356</w:t>
            </w:r>
          </w:p>
        </w:tc>
        <w:tc>
          <w:tcPr>
            <w:tcW w:w="772" w:type="dxa"/>
            <w:vAlign w:val="center"/>
          </w:tcPr>
          <w:p w14:paraId="508404E5" w14:textId="77777777" w:rsidR="00254DC1" w:rsidRPr="00254DC1" w:rsidRDefault="00254DC1" w:rsidP="00254DC1">
            <w:pPr>
              <w:jc w:val="center"/>
              <w:rPr>
                <w:rFonts w:ascii="Calibri" w:eastAsia="Times New Roman" w:hAnsi="Calibri" w:cs="Times New Roman"/>
                <w:color w:val="000000"/>
                <w:sz w:val="18"/>
                <w:szCs w:val="18"/>
              </w:rPr>
            </w:pPr>
          </w:p>
        </w:tc>
        <w:tc>
          <w:tcPr>
            <w:tcW w:w="773" w:type="dxa"/>
            <w:shd w:val="clear" w:color="auto" w:fill="auto"/>
            <w:noWrap/>
            <w:vAlign w:val="center"/>
            <w:hideMark/>
          </w:tcPr>
          <w:p w14:paraId="14B696A9" w14:textId="59CE0ADF" w:rsidR="00254DC1" w:rsidRPr="00254DC1" w:rsidRDefault="00254DC1" w:rsidP="00254DC1">
            <w:pPr>
              <w:jc w:val="center"/>
              <w:rPr>
                <w:rFonts w:ascii="Calibri" w:eastAsia="Times New Roman" w:hAnsi="Calibri" w:cs="Times New Roman"/>
                <w:color w:val="000000"/>
                <w:sz w:val="18"/>
                <w:szCs w:val="18"/>
              </w:rPr>
            </w:pPr>
          </w:p>
        </w:tc>
      </w:tr>
      <w:tr w:rsidR="00254DC1" w:rsidRPr="00D973B7" w14:paraId="05CB9348" w14:textId="77777777" w:rsidTr="00254DC1">
        <w:trPr>
          <w:trHeight w:val="300"/>
        </w:trPr>
        <w:tc>
          <w:tcPr>
            <w:tcW w:w="439" w:type="dxa"/>
            <w:shd w:val="clear" w:color="auto" w:fill="auto"/>
            <w:noWrap/>
            <w:vAlign w:val="center"/>
            <w:hideMark/>
          </w:tcPr>
          <w:p w14:paraId="18A2BDAD" w14:textId="4F4C1D74" w:rsidR="00254DC1" w:rsidRPr="00F007B9"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color w:val="000000"/>
                <w:sz w:val="20"/>
                <w:szCs w:val="20"/>
              </w:rPr>
              <w:t>(</w:t>
            </w:r>
            <w:r>
              <w:rPr>
                <w:rFonts w:ascii="Calibri" w:eastAsia="Times New Roman" w:hAnsi="Calibri" w:cs="Times New Roman"/>
                <w:color w:val="000000"/>
                <w:sz w:val="20"/>
                <w:szCs w:val="20"/>
              </w:rPr>
              <w:t>7</w:t>
            </w:r>
            <w:r w:rsidRPr="00D973B7">
              <w:rPr>
                <w:rFonts w:ascii="Calibri" w:eastAsia="Times New Roman" w:hAnsi="Calibri" w:cs="Times New Roman"/>
                <w:color w:val="000000"/>
                <w:sz w:val="20"/>
                <w:szCs w:val="20"/>
              </w:rPr>
              <w:t>)</w:t>
            </w:r>
          </w:p>
        </w:tc>
        <w:tc>
          <w:tcPr>
            <w:tcW w:w="3048" w:type="dxa"/>
            <w:shd w:val="clear" w:color="auto" w:fill="auto"/>
            <w:noWrap/>
            <w:vAlign w:val="center"/>
            <w:hideMark/>
          </w:tcPr>
          <w:p w14:paraId="365350E4" w14:textId="77777777" w:rsidR="00254DC1" w:rsidRPr="00F007B9"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sz w:val="20"/>
                <w:szCs w:val="20"/>
              </w:rPr>
              <w:t>GDP per capita</w:t>
            </w:r>
          </w:p>
        </w:tc>
        <w:tc>
          <w:tcPr>
            <w:tcW w:w="772" w:type="dxa"/>
            <w:vAlign w:val="center"/>
          </w:tcPr>
          <w:p w14:paraId="355319C3" w14:textId="21000EC2"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16704</w:t>
            </w:r>
          </w:p>
        </w:tc>
        <w:tc>
          <w:tcPr>
            <w:tcW w:w="772" w:type="dxa"/>
            <w:vAlign w:val="center"/>
          </w:tcPr>
          <w:p w14:paraId="2AB1D52D" w14:textId="146415A4"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11712</w:t>
            </w:r>
          </w:p>
        </w:tc>
        <w:tc>
          <w:tcPr>
            <w:tcW w:w="772" w:type="dxa"/>
            <w:shd w:val="clear" w:color="auto" w:fill="auto"/>
            <w:noWrap/>
            <w:vAlign w:val="center"/>
            <w:hideMark/>
          </w:tcPr>
          <w:p w14:paraId="50102D00" w14:textId="113932C3"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-0.076</w:t>
            </w:r>
          </w:p>
        </w:tc>
        <w:tc>
          <w:tcPr>
            <w:tcW w:w="772" w:type="dxa"/>
            <w:shd w:val="clear" w:color="auto" w:fill="auto"/>
            <w:noWrap/>
            <w:vAlign w:val="center"/>
            <w:hideMark/>
          </w:tcPr>
          <w:p w14:paraId="179B26B4" w14:textId="401CB3E0"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-0.171</w:t>
            </w:r>
          </w:p>
        </w:tc>
        <w:tc>
          <w:tcPr>
            <w:tcW w:w="773" w:type="dxa"/>
            <w:shd w:val="clear" w:color="auto" w:fill="auto"/>
            <w:noWrap/>
            <w:vAlign w:val="center"/>
            <w:hideMark/>
          </w:tcPr>
          <w:p w14:paraId="362888BB" w14:textId="706711F7"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0.119</w:t>
            </w:r>
          </w:p>
        </w:tc>
        <w:tc>
          <w:tcPr>
            <w:tcW w:w="772" w:type="dxa"/>
            <w:shd w:val="clear" w:color="auto" w:fill="auto"/>
            <w:noWrap/>
            <w:vAlign w:val="center"/>
            <w:hideMark/>
          </w:tcPr>
          <w:p w14:paraId="4C123065" w14:textId="6B9588A0"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-0.663</w:t>
            </w:r>
          </w:p>
        </w:tc>
        <w:tc>
          <w:tcPr>
            <w:tcW w:w="772" w:type="dxa"/>
            <w:shd w:val="clear" w:color="auto" w:fill="auto"/>
            <w:noWrap/>
            <w:vAlign w:val="center"/>
            <w:hideMark/>
          </w:tcPr>
          <w:p w14:paraId="70D770F3" w14:textId="4ADE5D67"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-0.422</w:t>
            </w:r>
          </w:p>
        </w:tc>
        <w:tc>
          <w:tcPr>
            <w:tcW w:w="772" w:type="dxa"/>
            <w:vAlign w:val="center"/>
          </w:tcPr>
          <w:p w14:paraId="29C59E32" w14:textId="4FB212C8"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0.615</w:t>
            </w:r>
          </w:p>
        </w:tc>
        <w:tc>
          <w:tcPr>
            <w:tcW w:w="773" w:type="dxa"/>
            <w:shd w:val="clear" w:color="auto" w:fill="auto"/>
            <w:noWrap/>
            <w:vAlign w:val="center"/>
            <w:hideMark/>
          </w:tcPr>
          <w:p w14:paraId="14150773" w14:textId="73BCB701" w:rsidR="00254DC1" w:rsidRPr="00254DC1" w:rsidRDefault="00254DC1" w:rsidP="00254DC1">
            <w:pPr>
              <w:jc w:val="center"/>
              <w:rPr>
                <w:rFonts w:ascii="Calibri" w:eastAsia="Times New Roman" w:hAnsi="Calibri" w:cs="Times New Roman"/>
                <w:color w:val="000000"/>
                <w:sz w:val="18"/>
                <w:szCs w:val="18"/>
              </w:rPr>
            </w:pPr>
          </w:p>
        </w:tc>
      </w:tr>
      <w:tr w:rsidR="00254DC1" w:rsidRPr="00D973B7" w14:paraId="5ADEAFA0" w14:textId="77777777" w:rsidTr="00254DC1">
        <w:trPr>
          <w:trHeight w:val="300"/>
        </w:trPr>
        <w:tc>
          <w:tcPr>
            <w:tcW w:w="439" w:type="dxa"/>
            <w:shd w:val="clear" w:color="auto" w:fill="auto"/>
            <w:noWrap/>
            <w:vAlign w:val="center"/>
            <w:hideMark/>
          </w:tcPr>
          <w:p w14:paraId="6DDDF616" w14:textId="08FEE427" w:rsidR="00254DC1" w:rsidRPr="00F007B9"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color w:val="000000"/>
                <w:sz w:val="20"/>
                <w:szCs w:val="20"/>
              </w:rPr>
              <w:t>(</w:t>
            </w:r>
            <w:r>
              <w:rPr>
                <w:rFonts w:ascii="Calibri" w:eastAsia="Times New Roman" w:hAnsi="Calibri" w:cs="Times New Roman"/>
                <w:color w:val="000000"/>
                <w:sz w:val="20"/>
                <w:szCs w:val="20"/>
              </w:rPr>
              <w:t>8</w:t>
            </w:r>
            <w:r w:rsidRPr="00D973B7">
              <w:rPr>
                <w:rFonts w:ascii="Calibri" w:eastAsia="Times New Roman" w:hAnsi="Calibri" w:cs="Times New Roman"/>
                <w:color w:val="000000"/>
                <w:sz w:val="20"/>
                <w:szCs w:val="20"/>
              </w:rPr>
              <w:t>)</w:t>
            </w:r>
          </w:p>
        </w:tc>
        <w:tc>
          <w:tcPr>
            <w:tcW w:w="3048" w:type="dxa"/>
            <w:shd w:val="clear" w:color="auto" w:fill="auto"/>
            <w:noWrap/>
            <w:vAlign w:val="center"/>
            <w:hideMark/>
          </w:tcPr>
          <w:p w14:paraId="7736AE63" w14:textId="77777777" w:rsidR="00254DC1" w:rsidRPr="00F007B9" w:rsidRDefault="00254DC1" w:rsidP="00254DC1">
            <w:pPr>
              <w:jc w:val="center"/>
              <w:rPr>
                <w:rFonts w:ascii="Calibri" w:eastAsia="Times New Roman" w:hAnsi="Calibri" w:cs="Times New Roman"/>
                <w:color w:val="000000"/>
                <w:sz w:val="20"/>
                <w:szCs w:val="20"/>
              </w:rPr>
            </w:pPr>
            <w:r w:rsidRPr="00D973B7">
              <w:rPr>
                <w:rFonts w:ascii="Calibri" w:eastAsia="Times New Roman" w:hAnsi="Calibri" w:cs="Times New Roman"/>
                <w:sz w:val="20"/>
                <w:szCs w:val="20"/>
              </w:rPr>
              <w:t>Exports to EU countries</w:t>
            </w:r>
          </w:p>
        </w:tc>
        <w:tc>
          <w:tcPr>
            <w:tcW w:w="772" w:type="dxa"/>
            <w:vAlign w:val="center"/>
          </w:tcPr>
          <w:p w14:paraId="07CD0AAC" w14:textId="4D4A81EE"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0.077</w:t>
            </w:r>
          </w:p>
        </w:tc>
        <w:tc>
          <w:tcPr>
            <w:tcW w:w="772" w:type="dxa"/>
            <w:vAlign w:val="center"/>
          </w:tcPr>
          <w:p w14:paraId="1278B113" w14:textId="1DB3A82B"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0.099</w:t>
            </w:r>
          </w:p>
        </w:tc>
        <w:tc>
          <w:tcPr>
            <w:tcW w:w="772" w:type="dxa"/>
            <w:shd w:val="clear" w:color="auto" w:fill="auto"/>
            <w:noWrap/>
            <w:vAlign w:val="center"/>
            <w:hideMark/>
          </w:tcPr>
          <w:p w14:paraId="601F21F4" w14:textId="14E7B1C6"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-0.158</w:t>
            </w:r>
          </w:p>
        </w:tc>
        <w:tc>
          <w:tcPr>
            <w:tcW w:w="772" w:type="dxa"/>
            <w:shd w:val="clear" w:color="auto" w:fill="auto"/>
            <w:noWrap/>
            <w:vAlign w:val="center"/>
            <w:hideMark/>
          </w:tcPr>
          <w:p w14:paraId="256673B2" w14:textId="4DEC3884"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-0.425</w:t>
            </w:r>
          </w:p>
        </w:tc>
        <w:tc>
          <w:tcPr>
            <w:tcW w:w="773" w:type="dxa"/>
            <w:shd w:val="clear" w:color="auto" w:fill="auto"/>
            <w:noWrap/>
            <w:vAlign w:val="center"/>
            <w:hideMark/>
          </w:tcPr>
          <w:p w14:paraId="66713646" w14:textId="2B98DCF4"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0.629</w:t>
            </w:r>
          </w:p>
        </w:tc>
        <w:tc>
          <w:tcPr>
            <w:tcW w:w="772" w:type="dxa"/>
            <w:shd w:val="clear" w:color="auto" w:fill="auto"/>
            <w:noWrap/>
            <w:vAlign w:val="center"/>
            <w:hideMark/>
          </w:tcPr>
          <w:p w14:paraId="203C07A1" w14:textId="0665B63A"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-0.395</w:t>
            </w:r>
          </w:p>
        </w:tc>
        <w:tc>
          <w:tcPr>
            <w:tcW w:w="772" w:type="dxa"/>
            <w:shd w:val="clear" w:color="auto" w:fill="auto"/>
            <w:noWrap/>
            <w:vAlign w:val="center"/>
            <w:hideMark/>
          </w:tcPr>
          <w:p w14:paraId="39FD6A0E" w14:textId="083DAC69"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-0.145</w:t>
            </w:r>
          </w:p>
        </w:tc>
        <w:tc>
          <w:tcPr>
            <w:tcW w:w="772" w:type="dxa"/>
            <w:vAlign w:val="center"/>
          </w:tcPr>
          <w:p w14:paraId="081C9763" w14:textId="410BF6B6"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0.186</w:t>
            </w:r>
          </w:p>
        </w:tc>
        <w:tc>
          <w:tcPr>
            <w:tcW w:w="773" w:type="dxa"/>
            <w:shd w:val="clear" w:color="auto" w:fill="auto"/>
            <w:noWrap/>
            <w:vAlign w:val="center"/>
            <w:hideMark/>
          </w:tcPr>
          <w:p w14:paraId="49DA6843" w14:textId="5C7B2788" w:rsidR="00254DC1" w:rsidRPr="00254DC1" w:rsidRDefault="00254DC1" w:rsidP="00254DC1">
            <w:pPr>
              <w:jc w:val="center"/>
              <w:rPr>
                <w:rFonts w:ascii="Calibri" w:eastAsia="Times New Roman" w:hAnsi="Calibri" w:cs="Times New Roman"/>
                <w:color w:val="000000"/>
                <w:sz w:val="18"/>
                <w:szCs w:val="18"/>
              </w:rPr>
            </w:pPr>
            <w:r w:rsidRPr="00254DC1">
              <w:rPr>
                <w:rFonts w:ascii="Calibri" w:eastAsia="Times New Roman" w:hAnsi="Calibri"/>
                <w:color w:val="000000"/>
                <w:sz w:val="18"/>
                <w:szCs w:val="18"/>
              </w:rPr>
              <w:t>0.338</w:t>
            </w:r>
          </w:p>
        </w:tc>
      </w:tr>
    </w:tbl>
    <w:p w14:paraId="2C046C6F" w14:textId="77777777" w:rsidR="00357C24" w:rsidRDefault="00357C24" w:rsidP="00357C24">
      <w:pPr>
        <w:jc w:val="center"/>
      </w:pPr>
    </w:p>
    <w:p w14:paraId="3CAAF1D4" w14:textId="77777777" w:rsidR="00357C24" w:rsidRDefault="00357C24" w:rsidP="00C91ECD"/>
    <w:p w14:paraId="050C153B" w14:textId="6168ACD7" w:rsidR="00357C24" w:rsidRPr="00022238" w:rsidRDefault="00C91ECD" w:rsidP="00357C24">
      <w:pPr>
        <w:rPr>
          <w:rFonts w:ascii="Times New Roman" w:hAnsi="Times New Roman" w:cs="Times New Roman"/>
        </w:rPr>
      </w:pPr>
      <w:r w:rsidRPr="00022238">
        <w:rPr>
          <w:rFonts w:ascii="Times New Roman" w:hAnsi="Times New Roman" w:cs="Times New Roman"/>
        </w:rPr>
        <w:t xml:space="preserve">Panel B: </w:t>
      </w:r>
      <w:r w:rsidR="00357C24" w:rsidRPr="00022238">
        <w:rPr>
          <w:rFonts w:ascii="Times New Roman" w:hAnsi="Times New Roman" w:cs="Times New Roman"/>
        </w:rPr>
        <w:t>Correlations (N=23)</w:t>
      </w:r>
      <w:r w:rsidR="00497479" w:rsidRPr="00022238">
        <w:rPr>
          <w:rFonts w:ascii="Times New Roman" w:hAnsi="Times New Roman" w:cs="Times New Roman"/>
        </w:rPr>
        <w:t>: Country-level</w:t>
      </w:r>
    </w:p>
    <w:p w14:paraId="3B97294A" w14:textId="77777777" w:rsidR="00357C24" w:rsidRDefault="00357C24" w:rsidP="00357C24"/>
    <w:tbl>
      <w:tblPr>
        <w:tblW w:w="12224" w:type="dxa"/>
        <w:tblBorders>
          <w:top w:val="single" w:sz="4" w:space="0" w:color="auto"/>
          <w:bottom w:val="single" w:sz="4" w:space="0" w:color="auto"/>
        </w:tblBorders>
        <w:tblLayout w:type="fixed"/>
        <w:tblLook w:val="04A0" w:firstRow="1" w:lastRow="0" w:firstColumn="1" w:lastColumn="0" w:noHBand="0" w:noVBand="1"/>
      </w:tblPr>
      <w:tblGrid>
        <w:gridCol w:w="540"/>
        <w:gridCol w:w="2823"/>
        <w:gridCol w:w="738"/>
        <w:gridCol w:w="738"/>
        <w:gridCol w:w="739"/>
        <w:gridCol w:w="738"/>
        <w:gridCol w:w="739"/>
        <w:gridCol w:w="738"/>
        <w:gridCol w:w="738"/>
        <w:gridCol w:w="739"/>
        <w:gridCol w:w="738"/>
        <w:gridCol w:w="739"/>
        <w:gridCol w:w="738"/>
        <w:gridCol w:w="739"/>
      </w:tblGrid>
      <w:tr w:rsidR="00A266FE" w:rsidRPr="00D973B7" w14:paraId="7E29C550" w14:textId="77777777" w:rsidTr="000C56DF">
        <w:trPr>
          <w:trHeight w:val="300"/>
        </w:trPr>
        <w:tc>
          <w:tcPr>
            <w:tcW w:w="540" w:type="dxa"/>
            <w:tcBorders>
              <w:top w:val="single" w:sz="4" w:space="0" w:color="auto"/>
              <w:bottom w:val="single" w:sz="4" w:space="0" w:color="auto"/>
            </w:tcBorders>
            <w:shd w:val="clear" w:color="auto" w:fill="auto"/>
            <w:noWrap/>
            <w:vAlign w:val="center"/>
            <w:hideMark/>
          </w:tcPr>
          <w:p w14:paraId="3117BFD8" w14:textId="77777777" w:rsidR="00A266FE" w:rsidRPr="00A266FE" w:rsidRDefault="00A266FE" w:rsidP="00A266FE">
            <w:pPr>
              <w:jc w:val="center"/>
              <w:rPr>
                <w:rFonts w:ascii="Calibri" w:eastAsia="Times New Roman" w:hAnsi="Calibri" w:cs="Times New Roman"/>
                <w:color w:val="000000"/>
                <w:sz w:val="18"/>
                <w:szCs w:val="18"/>
              </w:rPr>
            </w:pPr>
          </w:p>
        </w:tc>
        <w:tc>
          <w:tcPr>
            <w:tcW w:w="2823" w:type="dxa"/>
            <w:tcBorders>
              <w:top w:val="single" w:sz="4" w:space="0" w:color="auto"/>
              <w:bottom w:val="single" w:sz="4" w:space="0" w:color="auto"/>
            </w:tcBorders>
            <w:shd w:val="clear" w:color="auto" w:fill="auto"/>
            <w:noWrap/>
            <w:vAlign w:val="center"/>
            <w:hideMark/>
          </w:tcPr>
          <w:p w14:paraId="772791A4"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tcBorders>
              <w:top w:val="single" w:sz="4" w:space="0" w:color="auto"/>
              <w:bottom w:val="single" w:sz="4" w:space="0" w:color="auto"/>
            </w:tcBorders>
            <w:vAlign w:val="center"/>
          </w:tcPr>
          <w:p w14:paraId="440B280E" w14:textId="2FAF0874" w:rsidR="00A266FE" w:rsidRPr="00A266FE" w:rsidRDefault="00763CD5" w:rsidP="00A266FE">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w:t>
            </w:r>
            <w:r w:rsidR="00A266FE" w:rsidRPr="00A266FE">
              <w:rPr>
                <w:rFonts w:ascii="Calibri" w:eastAsia="Times New Roman" w:hAnsi="Calibri" w:cs="Times New Roman"/>
                <w:color w:val="000000"/>
                <w:sz w:val="18"/>
                <w:szCs w:val="18"/>
              </w:rPr>
              <w:t>ean</w:t>
            </w:r>
          </w:p>
        </w:tc>
        <w:tc>
          <w:tcPr>
            <w:tcW w:w="738" w:type="dxa"/>
            <w:tcBorders>
              <w:top w:val="single" w:sz="4" w:space="0" w:color="auto"/>
              <w:bottom w:val="single" w:sz="4" w:space="0" w:color="auto"/>
            </w:tcBorders>
            <w:vAlign w:val="center"/>
          </w:tcPr>
          <w:p w14:paraId="71B6592A" w14:textId="356D8E7F" w:rsidR="00A266FE" w:rsidRPr="00A266FE" w:rsidRDefault="00763CD5" w:rsidP="00763CD5">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w:t>
            </w:r>
            <w:r w:rsidR="00A266FE" w:rsidRPr="00A266FE">
              <w:rPr>
                <w:rFonts w:ascii="Calibri" w:eastAsia="Times New Roman" w:hAnsi="Calibri" w:cs="Times New Roman"/>
                <w:color w:val="000000"/>
                <w:sz w:val="18"/>
                <w:szCs w:val="18"/>
              </w:rPr>
              <w:t>.</w:t>
            </w:r>
            <w:r>
              <w:rPr>
                <w:rFonts w:ascii="Calibri" w:eastAsia="Times New Roman" w:hAnsi="Calibri" w:cs="Times New Roman"/>
                <w:color w:val="000000"/>
                <w:sz w:val="18"/>
                <w:szCs w:val="18"/>
              </w:rPr>
              <w:t>D</w:t>
            </w:r>
            <w:r w:rsidR="00A266FE" w:rsidRPr="00A266FE">
              <w:rPr>
                <w:rFonts w:ascii="Calibri" w:eastAsia="Times New Roman" w:hAnsi="Calibri" w:cs="Times New Roman"/>
                <w:color w:val="000000"/>
                <w:sz w:val="18"/>
                <w:szCs w:val="18"/>
              </w:rPr>
              <w:t>.</w:t>
            </w:r>
          </w:p>
        </w:tc>
        <w:tc>
          <w:tcPr>
            <w:tcW w:w="739" w:type="dxa"/>
            <w:tcBorders>
              <w:top w:val="single" w:sz="4" w:space="0" w:color="auto"/>
              <w:bottom w:val="single" w:sz="4" w:space="0" w:color="auto"/>
            </w:tcBorders>
            <w:shd w:val="clear" w:color="auto" w:fill="auto"/>
            <w:noWrap/>
            <w:vAlign w:val="center"/>
            <w:hideMark/>
          </w:tcPr>
          <w:p w14:paraId="7B0C7514" w14:textId="312EF694"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(1)</w:t>
            </w:r>
          </w:p>
        </w:tc>
        <w:tc>
          <w:tcPr>
            <w:tcW w:w="738" w:type="dxa"/>
            <w:tcBorders>
              <w:top w:val="single" w:sz="4" w:space="0" w:color="auto"/>
              <w:bottom w:val="single" w:sz="4" w:space="0" w:color="auto"/>
            </w:tcBorders>
            <w:shd w:val="clear" w:color="auto" w:fill="auto"/>
            <w:noWrap/>
            <w:vAlign w:val="center"/>
            <w:hideMark/>
          </w:tcPr>
          <w:p w14:paraId="27F471DC"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(2)</w:t>
            </w:r>
          </w:p>
        </w:tc>
        <w:tc>
          <w:tcPr>
            <w:tcW w:w="739" w:type="dxa"/>
            <w:tcBorders>
              <w:top w:val="single" w:sz="4" w:space="0" w:color="auto"/>
              <w:bottom w:val="single" w:sz="4" w:space="0" w:color="auto"/>
            </w:tcBorders>
            <w:shd w:val="clear" w:color="auto" w:fill="auto"/>
            <w:noWrap/>
            <w:vAlign w:val="center"/>
            <w:hideMark/>
          </w:tcPr>
          <w:p w14:paraId="67C0C67B"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(3)</w:t>
            </w:r>
          </w:p>
        </w:tc>
        <w:tc>
          <w:tcPr>
            <w:tcW w:w="738" w:type="dxa"/>
            <w:tcBorders>
              <w:top w:val="single" w:sz="4" w:space="0" w:color="auto"/>
              <w:bottom w:val="single" w:sz="4" w:space="0" w:color="auto"/>
            </w:tcBorders>
            <w:shd w:val="clear" w:color="auto" w:fill="auto"/>
            <w:noWrap/>
            <w:vAlign w:val="center"/>
            <w:hideMark/>
          </w:tcPr>
          <w:p w14:paraId="698B5A69"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(4)</w:t>
            </w:r>
          </w:p>
        </w:tc>
        <w:tc>
          <w:tcPr>
            <w:tcW w:w="738" w:type="dxa"/>
            <w:tcBorders>
              <w:top w:val="single" w:sz="4" w:space="0" w:color="auto"/>
              <w:bottom w:val="single" w:sz="4" w:space="0" w:color="auto"/>
            </w:tcBorders>
            <w:shd w:val="clear" w:color="auto" w:fill="auto"/>
            <w:noWrap/>
            <w:vAlign w:val="center"/>
            <w:hideMark/>
          </w:tcPr>
          <w:p w14:paraId="22186668"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(5)</w:t>
            </w:r>
          </w:p>
        </w:tc>
        <w:tc>
          <w:tcPr>
            <w:tcW w:w="739" w:type="dxa"/>
            <w:tcBorders>
              <w:top w:val="single" w:sz="4" w:space="0" w:color="auto"/>
              <w:bottom w:val="single" w:sz="4" w:space="0" w:color="auto"/>
            </w:tcBorders>
            <w:shd w:val="clear" w:color="auto" w:fill="auto"/>
            <w:noWrap/>
            <w:vAlign w:val="center"/>
            <w:hideMark/>
          </w:tcPr>
          <w:p w14:paraId="1D1D6BB7"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(6)</w:t>
            </w:r>
          </w:p>
        </w:tc>
        <w:tc>
          <w:tcPr>
            <w:tcW w:w="738" w:type="dxa"/>
            <w:tcBorders>
              <w:top w:val="single" w:sz="4" w:space="0" w:color="auto"/>
              <w:bottom w:val="single" w:sz="4" w:space="0" w:color="auto"/>
            </w:tcBorders>
            <w:shd w:val="clear" w:color="auto" w:fill="auto"/>
            <w:noWrap/>
            <w:vAlign w:val="center"/>
            <w:hideMark/>
          </w:tcPr>
          <w:p w14:paraId="0CBA0D59"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(7)</w:t>
            </w:r>
          </w:p>
        </w:tc>
        <w:tc>
          <w:tcPr>
            <w:tcW w:w="739" w:type="dxa"/>
            <w:tcBorders>
              <w:top w:val="single" w:sz="4" w:space="0" w:color="auto"/>
              <w:bottom w:val="single" w:sz="4" w:space="0" w:color="auto"/>
            </w:tcBorders>
            <w:shd w:val="clear" w:color="auto" w:fill="auto"/>
            <w:noWrap/>
            <w:vAlign w:val="center"/>
            <w:hideMark/>
          </w:tcPr>
          <w:p w14:paraId="589EB5D8"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(8)</w:t>
            </w:r>
          </w:p>
        </w:tc>
        <w:tc>
          <w:tcPr>
            <w:tcW w:w="738" w:type="dxa"/>
            <w:tcBorders>
              <w:top w:val="single" w:sz="4" w:space="0" w:color="auto"/>
              <w:bottom w:val="single" w:sz="4" w:space="0" w:color="auto"/>
            </w:tcBorders>
            <w:vAlign w:val="center"/>
          </w:tcPr>
          <w:p w14:paraId="2462127B" w14:textId="3689D5B0"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(9)</w:t>
            </w:r>
          </w:p>
        </w:tc>
        <w:tc>
          <w:tcPr>
            <w:tcW w:w="739" w:type="dxa"/>
            <w:tcBorders>
              <w:top w:val="single" w:sz="4" w:space="0" w:color="auto"/>
              <w:bottom w:val="single" w:sz="4" w:space="0" w:color="auto"/>
            </w:tcBorders>
            <w:shd w:val="clear" w:color="auto" w:fill="auto"/>
            <w:noWrap/>
            <w:vAlign w:val="center"/>
            <w:hideMark/>
          </w:tcPr>
          <w:p w14:paraId="5BB3073E" w14:textId="4BB28672"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(10)</w:t>
            </w:r>
          </w:p>
        </w:tc>
      </w:tr>
      <w:tr w:rsidR="00A266FE" w:rsidRPr="00D973B7" w14:paraId="0D56B5F5" w14:textId="77777777" w:rsidTr="000C56DF">
        <w:trPr>
          <w:trHeight w:val="300"/>
        </w:trPr>
        <w:tc>
          <w:tcPr>
            <w:tcW w:w="540" w:type="dxa"/>
            <w:tcBorders>
              <w:top w:val="single" w:sz="4" w:space="0" w:color="auto"/>
              <w:bottom w:val="nil"/>
            </w:tcBorders>
            <w:shd w:val="clear" w:color="auto" w:fill="auto"/>
            <w:noWrap/>
            <w:vAlign w:val="center"/>
          </w:tcPr>
          <w:p w14:paraId="0E7ADDEB" w14:textId="528F3764"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(1)</w:t>
            </w:r>
          </w:p>
        </w:tc>
        <w:tc>
          <w:tcPr>
            <w:tcW w:w="2823" w:type="dxa"/>
            <w:tcBorders>
              <w:top w:val="single" w:sz="4" w:space="0" w:color="auto"/>
              <w:bottom w:val="nil"/>
            </w:tcBorders>
            <w:shd w:val="clear" w:color="auto" w:fill="auto"/>
            <w:noWrap/>
            <w:vAlign w:val="center"/>
          </w:tcPr>
          <w:p w14:paraId="1AA04A7A" w14:textId="5B4CEACB" w:rsidR="00A266FE" w:rsidRPr="00A266FE" w:rsidRDefault="00A266FE" w:rsidP="00A266FE">
            <w:pPr>
              <w:jc w:val="center"/>
              <w:rPr>
                <w:rFonts w:ascii="Calibri" w:eastAsia="Times New Roman" w:hAnsi="Calibri" w:cs="Times New Roman"/>
                <w:sz w:val="18"/>
                <w:szCs w:val="18"/>
              </w:rPr>
            </w:pPr>
            <w:r w:rsidRPr="00A266FE">
              <w:rPr>
                <w:rFonts w:ascii="Calibri" w:eastAsia="Times New Roman" w:hAnsi="Calibri" w:cs="Times New Roman"/>
                <w:sz w:val="18"/>
                <w:szCs w:val="18"/>
              </w:rPr>
              <w:t>National transposition</w:t>
            </w:r>
          </w:p>
        </w:tc>
        <w:tc>
          <w:tcPr>
            <w:tcW w:w="738" w:type="dxa"/>
            <w:tcBorders>
              <w:top w:val="single" w:sz="4" w:space="0" w:color="auto"/>
              <w:bottom w:val="nil"/>
            </w:tcBorders>
            <w:vAlign w:val="center"/>
          </w:tcPr>
          <w:p w14:paraId="1255F673" w14:textId="0ED54C99" w:rsidR="00A266FE" w:rsidRPr="00A266FE" w:rsidRDefault="00A266FE" w:rsidP="00A266FE">
            <w:pPr>
              <w:jc w:val="center"/>
              <w:rPr>
                <w:rFonts w:ascii="Calibri" w:eastAsia="Times New Roman" w:hAnsi="Calibri"/>
                <w:color w:val="000000"/>
                <w:sz w:val="18"/>
                <w:szCs w:val="18"/>
              </w:rPr>
            </w:pPr>
            <w:r w:rsidRPr="00A266FE">
              <w:rPr>
                <w:rFonts w:ascii="Calibri" w:eastAsia="Times New Roman" w:hAnsi="Calibri"/>
                <w:color w:val="000000"/>
                <w:sz w:val="18"/>
                <w:szCs w:val="18"/>
              </w:rPr>
              <w:t>6.174</w:t>
            </w:r>
          </w:p>
        </w:tc>
        <w:tc>
          <w:tcPr>
            <w:tcW w:w="738" w:type="dxa"/>
            <w:tcBorders>
              <w:top w:val="single" w:sz="4" w:space="0" w:color="auto"/>
              <w:bottom w:val="nil"/>
            </w:tcBorders>
            <w:vAlign w:val="center"/>
          </w:tcPr>
          <w:p w14:paraId="06DC623D" w14:textId="27E85363" w:rsidR="00A266FE" w:rsidRPr="00A266FE" w:rsidRDefault="00A266FE" w:rsidP="00A266FE">
            <w:pPr>
              <w:jc w:val="center"/>
              <w:rPr>
                <w:rFonts w:ascii="Calibri" w:eastAsia="Times New Roman" w:hAnsi="Calibri"/>
                <w:color w:val="000000"/>
                <w:sz w:val="18"/>
                <w:szCs w:val="18"/>
              </w:rPr>
            </w:pPr>
            <w:r w:rsidRPr="00A266FE">
              <w:rPr>
                <w:rFonts w:ascii="Calibri" w:eastAsia="Times New Roman" w:hAnsi="Calibri"/>
                <w:color w:val="000000"/>
                <w:sz w:val="18"/>
                <w:szCs w:val="18"/>
              </w:rPr>
              <w:t>4.933</w:t>
            </w:r>
          </w:p>
        </w:tc>
        <w:tc>
          <w:tcPr>
            <w:tcW w:w="739" w:type="dxa"/>
            <w:tcBorders>
              <w:top w:val="single" w:sz="4" w:space="0" w:color="auto"/>
              <w:bottom w:val="nil"/>
            </w:tcBorders>
            <w:shd w:val="clear" w:color="auto" w:fill="auto"/>
            <w:noWrap/>
            <w:vAlign w:val="center"/>
          </w:tcPr>
          <w:p w14:paraId="4FB16413"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tcBorders>
              <w:top w:val="single" w:sz="4" w:space="0" w:color="auto"/>
              <w:bottom w:val="nil"/>
            </w:tcBorders>
            <w:shd w:val="clear" w:color="auto" w:fill="auto"/>
            <w:noWrap/>
            <w:vAlign w:val="center"/>
          </w:tcPr>
          <w:p w14:paraId="6359034B"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tcBorders>
              <w:top w:val="single" w:sz="4" w:space="0" w:color="auto"/>
              <w:bottom w:val="nil"/>
            </w:tcBorders>
            <w:shd w:val="clear" w:color="auto" w:fill="auto"/>
            <w:noWrap/>
            <w:vAlign w:val="center"/>
          </w:tcPr>
          <w:p w14:paraId="68E03EA4"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tcBorders>
              <w:top w:val="single" w:sz="4" w:space="0" w:color="auto"/>
              <w:bottom w:val="nil"/>
            </w:tcBorders>
            <w:shd w:val="clear" w:color="auto" w:fill="auto"/>
            <w:noWrap/>
            <w:vAlign w:val="center"/>
          </w:tcPr>
          <w:p w14:paraId="7DD01714"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tcBorders>
              <w:top w:val="single" w:sz="4" w:space="0" w:color="auto"/>
              <w:bottom w:val="nil"/>
            </w:tcBorders>
            <w:shd w:val="clear" w:color="auto" w:fill="auto"/>
            <w:noWrap/>
            <w:vAlign w:val="center"/>
          </w:tcPr>
          <w:p w14:paraId="331263FC"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tcBorders>
              <w:top w:val="single" w:sz="4" w:space="0" w:color="auto"/>
              <w:bottom w:val="nil"/>
            </w:tcBorders>
            <w:shd w:val="clear" w:color="auto" w:fill="auto"/>
            <w:noWrap/>
            <w:vAlign w:val="center"/>
          </w:tcPr>
          <w:p w14:paraId="63928EFD"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tcBorders>
              <w:top w:val="single" w:sz="4" w:space="0" w:color="auto"/>
              <w:bottom w:val="nil"/>
            </w:tcBorders>
            <w:shd w:val="clear" w:color="auto" w:fill="auto"/>
            <w:noWrap/>
            <w:vAlign w:val="center"/>
          </w:tcPr>
          <w:p w14:paraId="088474F4"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tcBorders>
              <w:top w:val="single" w:sz="4" w:space="0" w:color="auto"/>
              <w:bottom w:val="nil"/>
            </w:tcBorders>
            <w:shd w:val="clear" w:color="auto" w:fill="auto"/>
            <w:noWrap/>
            <w:vAlign w:val="center"/>
          </w:tcPr>
          <w:p w14:paraId="5C875D7A"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tcBorders>
              <w:top w:val="single" w:sz="4" w:space="0" w:color="auto"/>
              <w:bottom w:val="nil"/>
            </w:tcBorders>
            <w:vAlign w:val="center"/>
          </w:tcPr>
          <w:p w14:paraId="7E2AEADC"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tcBorders>
              <w:top w:val="single" w:sz="4" w:space="0" w:color="auto"/>
              <w:bottom w:val="nil"/>
            </w:tcBorders>
            <w:shd w:val="clear" w:color="auto" w:fill="auto"/>
            <w:noWrap/>
            <w:vAlign w:val="center"/>
          </w:tcPr>
          <w:p w14:paraId="5019EAEF" w14:textId="616BC329" w:rsidR="00A266FE" w:rsidRPr="00A266FE" w:rsidRDefault="00A266FE" w:rsidP="00A266FE">
            <w:pPr>
              <w:jc w:val="center"/>
              <w:rPr>
                <w:rFonts w:ascii="Calibri" w:eastAsia="Times New Roman" w:hAnsi="Calibri" w:cs="Times New Roman"/>
                <w:color w:val="000000"/>
                <w:sz w:val="18"/>
                <w:szCs w:val="18"/>
              </w:rPr>
            </w:pPr>
          </w:p>
        </w:tc>
      </w:tr>
      <w:tr w:rsidR="00A266FE" w:rsidRPr="00D973B7" w14:paraId="44C3C0CF" w14:textId="77777777" w:rsidTr="000C56DF">
        <w:trPr>
          <w:trHeight w:val="300"/>
        </w:trPr>
        <w:tc>
          <w:tcPr>
            <w:tcW w:w="540" w:type="dxa"/>
            <w:tcBorders>
              <w:top w:val="nil"/>
            </w:tcBorders>
            <w:shd w:val="clear" w:color="auto" w:fill="auto"/>
            <w:noWrap/>
            <w:vAlign w:val="center"/>
            <w:hideMark/>
          </w:tcPr>
          <w:p w14:paraId="23838E91" w14:textId="73B7FD3D"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(2)</w:t>
            </w:r>
          </w:p>
        </w:tc>
        <w:tc>
          <w:tcPr>
            <w:tcW w:w="2823" w:type="dxa"/>
            <w:tcBorders>
              <w:top w:val="nil"/>
            </w:tcBorders>
            <w:shd w:val="clear" w:color="auto" w:fill="auto"/>
            <w:noWrap/>
            <w:vAlign w:val="center"/>
            <w:hideMark/>
          </w:tcPr>
          <w:p w14:paraId="090117F0"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sz w:val="18"/>
                <w:szCs w:val="18"/>
              </w:rPr>
              <w:t>EU funding</w:t>
            </w:r>
          </w:p>
        </w:tc>
        <w:tc>
          <w:tcPr>
            <w:tcW w:w="738" w:type="dxa"/>
            <w:tcBorders>
              <w:top w:val="nil"/>
            </w:tcBorders>
            <w:vAlign w:val="center"/>
          </w:tcPr>
          <w:p w14:paraId="09FFFBB4" w14:textId="5768D411"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0.376</w:t>
            </w:r>
          </w:p>
        </w:tc>
        <w:tc>
          <w:tcPr>
            <w:tcW w:w="738" w:type="dxa"/>
            <w:tcBorders>
              <w:top w:val="nil"/>
            </w:tcBorders>
            <w:vAlign w:val="center"/>
          </w:tcPr>
          <w:p w14:paraId="1B0A18BA" w14:textId="6E19E4E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2.795</w:t>
            </w:r>
          </w:p>
        </w:tc>
        <w:tc>
          <w:tcPr>
            <w:tcW w:w="739" w:type="dxa"/>
            <w:tcBorders>
              <w:top w:val="nil"/>
            </w:tcBorders>
            <w:shd w:val="clear" w:color="auto" w:fill="auto"/>
            <w:noWrap/>
            <w:vAlign w:val="center"/>
            <w:hideMark/>
          </w:tcPr>
          <w:p w14:paraId="3C67CDA1" w14:textId="726F6215"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0.079</w:t>
            </w:r>
          </w:p>
        </w:tc>
        <w:tc>
          <w:tcPr>
            <w:tcW w:w="738" w:type="dxa"/>
            <w:tcBorders>
              <w:top w:val="nil"/>
            </w:tcBorders>
            <w:shd w:val="clear" w:color="auto" w:fill="auto"/>
            <w:noWrap/>
            <w:vAlign w:val="center"/>
            <w:hideMark/>
          </w:tcPr>
          <w:p w14:paraId="75487DE4"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tcBorders>
              <w:top w:val="nil"/>
            </w:tcBorders>
            <w:shd w:val="clear" w:color="auto" w:fill="auto"/>
            <w:noWrap/>
            <w:vAlign w:val="center"/>
            <w:hideMark/>
          </w:tcPr>
          <w:p w14:paraId="79127CF3"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tcBorders>
              <w:top w:val="nil"/>
            </w:tcBorders>
            <w:shd w:val="clear" w:color="auto" w:fill="auto"/>
            <w:noWrap/>
            <w:vAlign w:val="center"/>
            <w:hideMark/>
          </w:tcPr>
          <w:p w14:paraId="5550707C"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tcBorders>
              <w:top w:val="nil"/>
            </w:tcBorders>
            <w:shd w:val="clear" w:color="auto" w:fill="auto"/>
            <w:noWrap/>
            <w:vAlign w:val="center"/>
            <w:hideMark/>
          </w:tcPr>
          <w:p w14:paraId="09F828C8"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tcBorders>
              <w:top w:val="nil"/>
            </w:tcBorders>
            <w:shd w:val="clear" w:color="auto" w:fill="auto"/>
            <w:noWrap/>
            <w:vAlign w:val="center"/>
            <w:hideMark/>
          </w:tcPr>
          <w:p w14:paraId="10412B12"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tcBorders>
              <w:top w:val="nil"/>
            </w:tcBorders>
            <w:shd w:val="clear" w:color="auto" w:fill="auto"/>
            <w:noWrap/>
            <w:vAlign w:val="center"/>
            <w:hideMark/>
          </w:tcPr>
          <w:p w14:paraId="2F1DFDAC"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tcBorders>
              <w:top w:val="nil"/>
            </w:tcBorders>
            <w:shd w:val="clear" w:color="auto" w:fill="auto"/>
            <w:noWrap/>
            <w:vAlign w:val="center"/>
            <w:hideMark/>
          </w:tcPr>
          <w:p w14:paraId="2C9988CD"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tcBorders>
              <w:top w:val="nil"/>
            </w:tcBorders>
            <w:vAlign w:val="center"/>
          </w:tcPr>
          <w:p w14:paraId="2216CEA7"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tcBorders>
              <w:top w:val="nil"/>
            </w:tcBorders>
            <w:shd w:val="clear" w:color="auto" w:fill="auto"/>
            <w:noWrap/>
            <w:vAlign w:val="center"/>
            <w:hideMark/>
          </w:tcPr>
          <w:p w14:paraId="1921E7BB" w14:textId="4F80FA80" w:rsidR="00A266FE" w:rsidRPr="00A266FE" w:rsidRDefault="00A266FE" w:rsidP="00A266FE">
            <w:pPr>
              <w:jc w:val="center"/>
              <w:rPr>
                <w:rFonts w:ascii="Calibri" w:eastAsia="Times New Roman" w:hAnsi="Calibri" w:cs="Times New Roman"/>
                <w:color w:val="000000"/>
                <w:sz w:val="18"/>
                <w:szCs w:val="18"/>
              </w:rPr>
            </w:pPr>
          </w:p>
        </w:tc>
      </w:tr>
      <w:tr w:rsidR="00A266FE" w:rsidRPr="00D973B7" w14:paraId="78D16284" w14:textId="77777777" w:rsidTr="000C56DF">
        <w:trPr>
          <w:trHeight w:val="300"/>
        </w:trPr>
        <w:tc>
          <w:tcPr>
            <w:tcW w:w="540" w:type="dxa"/>
            <w:shd w:val="clear" w:color="auto" w:fill="auto"/>
            <w:noWrap/>
            <w:vAlign w:val="center"/>
            <w:hideMark/>
          </w:tcPr>
          <w:p w14:paraId="24C890CE" w14:textId="2FF3182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(3)</w:t>
            </w:r>
          </w:p>
        </w:tc>
        <w:tc>
          <w:tcPr>
            <w:tcW w:w="2823" w:type="dxa"/>
            <w:shd w:val="clear" w:color="auto" w:fill="auto"/>
            <w:noWrap/>
            <w:vAlign w:val="center"/>
            <w:hideMark/>
          </w:tcPr>
          <w:p w14:paraId="3D67ECE1" w14:textId="77777777" w:rsidR="00A266FE" w:rsidRPr="00A266FE" w:rsidRDefault="00A266FE" w:rsidP="00A266FE">
            <w:pPr>
              <w:jc w:val="center"/>
              <w:rPr>
                <w:rFonts w:eastAsia="Times New Roman" w:cs="Times New Roman"/>
                <w:color w:val="000000"/>
                <w:sz w:val="18"/>
                <w:szCs w:val="18"/>
              </w:rPr>
            </w:pPr>
            <w:r w:rsidRPr="00A266FE">
              <w:rPr>
                <w:color w:val="000000"/>
                <w:sz w:val="18"/>
                <w:szCs w:val="18"/>
              </w:rPr>
              <w:t>EU support for sustainable growth</w:t>
            </w:r>
          </w:p>
        </w:tc>
        <w:tc>
          <w:tcPr>
            <w:tcW w:w="738" w:type="dxa"/>
            <w:vAlign w:val="center"/>
          </w:tcPr>
          <w:p w14:paraId="56F73680" w14:textId="07DD6590"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0.002</w:t>
            </w:r>
          </w:p>
        </w:tc>
        <w:tc>
          <w:tcPr>
            <w:tcW w:w="738" w:type="dxa"/>
            <w:vAlign w:val="center"/>
          </w:tcPr>
          <w:p w14:paraId="15B5D7DC" w14:textId="06B9A423"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0.002</w:t>
            </w:r>
          </w:p>
        </w:tc>
        <w:tc>
          <w:tcPr>
            <w:tcW w:w="739" w:type="dxa"/>
            <w:shd w:val="clear" w:color="auto" w:fill="auto"/>
            <w:noWrap/>
            <w:vAlign w:val="center"/>
            <w:hideMark/>
          </w:tcPr>
          <w:p w14:paraId="64F2A045" w14:textId="4F37D67E"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-0.301</w:t>
            </w:r>
          </w:p>
        </w:tc>
        <w:tc>
          <w:tcPr>
            <w:tcW w:w="738" w:type="dxa"/>
            <w:shd w:val="clear" w:color="auto" w:fill="auto"/>
            <w:noWrap/>
            <w:vAlign w:val="center"/>
            <w:hideMark/>
          </w:tcPr>
          <w:p w14:paraId="4AFB53C1" w14:textId="2C2C9078"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0.304</w:t>
            </w:r>
          </w:p>
        </w:tc>
        <w:tc>
          <w:tcPr>
            <w:tcW w:w="739" w:type="dxa"/>
            <w:shd w:val="clear" w:color="auto" w:fill="auto"/>
            <w:noWrap/>
            <w:vAlign w:val="center"/>
            <w:hideMark/>
          </w:tcPr>
          <w:p w14:paraId="26C8E10A"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shd w:val="clear" w:color="auto" w:fill="auto"/>
            <w:noWrap/>
            <w:vAlign w:val="center"/>
            <w:hideMark/>
          </w:tcPr>
          <w:p w14:paraId="036E12E1"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shd w:val="clear" w:color="auto" w:fill="auto"/>
            <w:noWrap/>
            <w:vAlign w:val="center"/>
            <w:hideMark/>
          </w:tcPr>
          <w:p w14:paraId="30D6F7D6"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41EEAC20"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shd w:val="clear" w:color="auto" w:fill="auto"/>
            <w:noWrap/>
            <w:vAlign w:val="center"/>
            <w:hideMark/>
          </w:tcPr>
          <w:p w14:paraId="7C4E2A3A"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5DB6F4C5"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vAlign w:val="center"/>
          </w:tcPr>
          <w:p w14:paraId="5FF8AF3D"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4ED91397" w14:textId="6002A173" w:rsidR="00A266FE" w:rsidRPr="00A266FE" w:rsidRDefault="00A266FE" w:rsidP="00A266FE">
            <w:pPr>
              <w:jc w:val="center"/>
              <w:rPr>
                <w:rFonts w:ascii="Calibri" w:eastAsia="Times New Roman" w:hAnsi="Calibri" w:cs="Times New Roman"/>
                <w:color w:val="000000"/>
                <w:sz w:val="18"/>
                <w:szCs w:val="18"/>
              </w:rPr>
            </w:pPr>
          </w:p>
        </w:tc>
      </w:tr>
      <w:tr w:rsidR="00A266FE" w:rsidRPr="00D973B7" w14:paraId="09F1C305" w14:textId="77777777" w:rsidTr="000C56DF">
        <w:trPr>
          <w:trHeight w:val="300"/>
        </w:trPr>
        <w:tc>
          <w:tcPr>
            <w:tcW w:w="540" w:type="dxa"/>
            <w:shd w:val="clear" w:color="auto" w:fill="auto"/>
            <w:noWrap/>
            <w:vAlign w:val="center"/>
            <w:hideMark/>
          </w:tcPr>
          <w:p w14:paraId="13BD59EB" w14:textId="39E5CDEC"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(4)</w:t>
            </w:r>
          </w:p>
        </w:tc>
        <w:tc>
          <w:tcPr>
            <w:tcW w:w="2823" w:type="dxa"/>
            <w:shd w:val="clear" w:color="auto" w:fill="auto"/>
            <w:noWrap/>
            <w:vAlign w:val="center"/>
            <w:hideMark/>
          </w:tcPr>
          <w:p w14:paraId="622F3881" w14:textId="1F68B461"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sz w:val="18"/>
                <w:szCs w:val="18"/>
              </w:rPr>
              <w:t xml:space="preserve">Emissions </w:t>
            </w:r>
            <w:r w:rsidR="00A373F0">
              <w:rPr>
                <w:rFonts w:ascii="Calibri" w:eastAsia="Times New Roman" w:hAnsi="Calibri" w:cs="Times New Roman"/>
                <w:sz w:val="18"/>
                <w:szCs w:val="18"/>
              </w:rPr>
              <w:t>c</w:t>
            </w:r>
            <w:r w:rsidRPr="00A266FE">
              <w:rPr>
                <w:rFonts w:ascii="Calibri" w:eastAsia="Times New Roman" w:hAnsi="Calibri" w:cs="Times New Roman"/>
                <w:sz w:val="18"/>
                <w:szCs w:val="18"/>
              </w:rPr>
              <w:t>ap over GDP</w:t>
            </w:r>
          </w:p>
        </w:tc>
        <w:tc>
          <w:tcPr>
            <w:tcW w:w="738" w:type="dxa"/>
            <w:vAlign w:val="center"/>
          </w:tcPr>
          <w:p w14:paraId="4897862D" w14:textId="09901ACD"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0.402</w:t>
            </w:r>
          </w:p>
        </w:tc>
        <w:tc>
          <w:tcPr>
            <w:tcW w:w="738" w:type="dxa"/>
            <w:vAlign w:val="center"/>
          </w:tcPr>
          <w:p w14:paraId="7A955AAF" w14:textId="35525A6B"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0.451</w:t>
            </w:r>
          </w:p>
        </w:tc>
        <w:tc>
          <w:tcPr>
            <w:tcW w:w="739" w:type="dxa"/>
            <w:shd w:val="clear" w:color="auto" w:fill="auto"/>
            <w:noWrap/>
            <w:vAlign w:val="center"/>
            <w:hideMark/>
          </w:tcPr>
          <w:p w14:paraId="780359F7" w14:textId="0D4467B1"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-0.151</w:t>
            </w:r>
          </w:p>
        </w:tc>
        <w:tc>
          <w:tcPr>
            <w:tcW w:w="738" w:type="dxa"/>
            <w:shd w:val="clear" w:color="auto" w:fill="auto"/>
            <w:noWrap/>
            <w:vAlign w:val="center"/>
            <w:hideMark/>
          </w:tcPr>
          <w:p w14:paraId="339F4EF8" w14:textId="0DE28081"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0.054</w:t>
            </w:r>
          </w:p>
        </w:tc>
        <w:tc>
          <w:tcPr>
            <w:tcW w:w="739" w:type="dxa"/>
            <w:shd w:val="clear" w:color="auto" w:fill="auto"/>
            <w:noWrap/>
            <w:vAlign w:val="center"/>
            <w:hideMark/>
          </w:tcPr>
          <w:p w14:paraId="01A54BDA" w14:textId="45688B56"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-0.334</w:t>
            </w:r>
          </w:p>
        </w:tc>
        <w:tc>
          <w:tcPr>
            <w:tcW w:w="738" w:type="dxa"/>
            <w:shd w:val="clear" w:color="auto" w:fill="auto"/>
            <w:noWrap/>
            <w:vAlign w:val="center"/>
            <w:hideMark/>
          </w:tcPr>
          <w:p w14:paraId="3D5B8FCF"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shd w:val="clear" w:color="auto" w:fill="auto"/>
            <w:noWrap/>
            <w:vAlign w:val="center"/>
            <w:hideMark/>
          </w:tcPr>
          <w:p w14:paraId="7CA8D914"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749CDA9C"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shd w:val="clear" w:color="auto" w:fill="auto"/>
            <w:noWrap/>
            <w:vAlign w:val="center"/>
            <w:hideMark/>
          </w:tcPr>
          <w:p w14:paraId="407B86BC"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5DECC212"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vAlign w:val="center"/>
          </w:tcPr>
          <w:p w14:paraId="3B32532A"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5EDE1C55" w14:textId="626797AB" w:rsidR="00A266FE" w:rsidRPr="00A266FE" w:rsidRDefault="00A266FE" w:rsidP="00A266FE">
            <w:pPr>
              <w:jc w:val="center"/>
              <w:rPr>
                <w:rFonts w:ascii="Calibri" w:eastAsia="Times New Roman" w:hAnsi="Calibri" w:cs="Times New Roman"/>
                <w:color w:val="000000"/>
                <w:sz w:val="18"/>
                <w:szCs w:val="18"/>
              </w:rPr>
            </w:pPr>
          </w:p>
        </w:tc>
      </w:tr>
      <w:tr w:rsidR="00A266FE" w:rsidRPr="00D973B7" w14:paraId="499008CC" w14:textId="77777777" w:rsidTr="000C56DF">
        <w:trPr>
          <w:trHeight w:val="300"/>
        </w:trPr>
        <w:tc>
          <w:tcPr>
            <w:tcW w:w="540" w:type="dxa"/>
            <w:shd w:val="clear" w:color="auto" w:fill="auto"/>
            <w:noWrap/>
            <w:vAlign w:val="center"/>
            <w:hideMark/>
          </w:tcPr>
          <w:p w14:paraId="1AD35E00" w14:textId="33729644"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(5)</w:t>
            </w:r>
          </w:p>
        </w:tc>
        <w:tc>
          <w:tcPr>
            <w:tcW w:w="2823" w:type="dxa"/>
            <w:shd w:val="clear" w:color="auto" w:fill="auto"/>
            <w:noWrap/>
            <w:vAlign w:val="center"/>
            <w:hideMark/>
          </w:tcPr>
          <w:p w14:paraId="39C9EEE8"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sz w:val="18"/>
                <w:szCs w:val="18"/>
              </w:rPr>
              <w:t>International environmental treaty</w:t>
            </w:r>
          </w:p>
        </w:tc>
        <w:tc>
          <w:tcPr>
            <w:tcW w:w="738" w:type="dxa"/>
            <w:vAlign w:val="center"/>
          </w:tcPr>
          <w:p w14:paraId="12DF0A02" w14:textId="28795FD0"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25.739</w:t>
            </w:r>
          </w:p>
        </w:tc>
        <w:tc>
          <w:tcPr>
            <w:tcW w:w="738" w:type="dxa"/>
            <w:vAlign w:val="center"/>
          </w:tcPr>
          <w:p w14:paraId="72261397" w14:textId="4108457C"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2.261</w:t>
            </w:r>
          </w:p>
        </w:tc>
        <w:tc>
          <w:tcPr>
            <w:tcW w:w="739" w:type="dxa"/>
            <w:shd w:val="clear" w:color="auto" w:fill="auto"/>
            <w:noWrap/>
            <w:vAlign w:val="center"/>
            <w:hideMark/>
          </w:tcPr>
          <w:p w14:paraId="118FAC65" w14:textId="46400EEB"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0.147</w:t>
            </w:r>
          </w:p>
        </w:tc>
        <w:tc>
          <w:tcPr>
            <w:tcW w:w="738" w:type="dxa"/>
            <w:shd w:val="clear" w:color="auto" w:fill="auto"/>
            <w:noWrap/>
            <w:vAlign w:val="center"/>
            <w:hideMark/>
          </w:tcPr>
          <w:p w14:paraId="4FD564F9" w14:textId="0597B2ED"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0.192</w:t>
            </w:r>
          </w:p>
        </w:tc>
        <w:tc>
          <w:tcPr>
            <w:tcW w:w="739" w:type="dxa"/>
            <w:shd w:val="clear" w:color="auto" w:fill="auto"/>
            <w:noWrap/>
            <w:vAlign w:val="center"/>
            <w:hideMark/>
          </w:tcPr>
          <w:p w14:paraId="488F8CD5" w14:textId="55E803F8"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-0.020</w:t>
            </w:r>
          </w:p>
        </w:tc>
        <w:tc>
          <w:tcPr>
            <w:tcW w:w="738" w:type="dxa"/>
            <w:shd w:val="clear" w:color="auto" w:fill="auto"/>
            <w:noWrap/>
            <w:vAlign w:val="center"/>
            <w:hideMark/>
          </w:tcPr>
          <w:p w14:paraId="461AA231" w14:textId="40ED18FC"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0.440</w:t>
            </w:r>
          </w:p>
        </w:tc>
        <w:tc>
          <w:tcPr>
            <w:tcW w:w="738" w:type="dxa"/>
            <w:shd w:val="clear" w:color="auto" w:fill="auto"/>
            <w:noWrap/>
            <w:vAlign w:val="center"/>
            <w:hideMark/>
          </w:tcPr>
          <w:p w14:paraId="06CD1157"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041EDA6D"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shd w:val="clear" w:color="auto" w:fill="auto"/>
            <w:noWrap/>
            <w:vAlign w:val="center"/>
            <w:hideMark/>
          </w:tcPr>
          <w:p w14:paraId="2EAE3455"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6C1A6536"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vAlign w:val="center"/>
          </w:tcPr>
          <w:p w14:paraId="5402F2A5"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4BA9BBA2" w14:textId="14AD3625" w:rsidR="00A266FE" w:rsidRPr="00A266FE" w:rsidRDefault="00A266FE" w:rsidP="00A266FE">
            <w:pPr>
              <w:jc w:val="center"/>
              <w:rPr>
                <w:rFonts w:ascii="Calibri" w:eastAsia="Times New Roman" w:hAnsi="Calibri" w:cs="Times New Roman"/>
                <w:color w:val="000000"/>
                <w:sz w:val="18"/>
                <w:szCs w:val="18"/>
              </w:rPr>
            </w:pPr>
          </w:p>
        </w:tc>
      </w:tr>
      <w:tr w:rsidR="00A266FE" w:rsidRPr="00D973B7" w14:paraId="32CDD3EB" w14:textId="77777777" w:rsidTr="000C56DF">
        <w:trPr>
          <w:trHeight w:val="300"/>
        </w:trPr>
        <w:tc>
          <w:tcPr>
            <w:tcW w:w="540" w:type="dxa"/>
            <w:shd w:val="clear" w:color="auto" w:fill="auto"/>
            <w:noWrap/>
            <w:vAlign w:val="center"/>
            <w:hideMark/>
          </w:tcPr>
          <w:p w14:paraId="35AE56DF" w14:textId="456191CA"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(6)</w:t>
            </w:r>
          </w:p>
        </w:tc>
        <w:tc>
          <w:tcPr>
            <w:tcW w:w="2823" w:type="dxa"/>
            <w:shd w:val="clear" w:color="auto" w:fill="auto"/>
            <w:noWrap/>
            <w:vAlign w:val="center"/>
            <w:hideMark/>
          </w:tcPr>
          <w:p w14:paraId="7C477DE7"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sz w:val="18"/>
                <w:szCs w:val="18"/>
              </w:rPr>
              <w:t>Population growth</w:t>
            </w:r>
          </w:p>
        </w:tc>
        <w:tc>
          <w:tcPr>
            <w:tcW w:w="738" w:type="dxa"/>
            <w:vAlign w:val="center"/>
          </w:tcPr>
          <w:p w14:paraId="5DB5FF67" w14:textId="6D0B645E"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0.211</w:t>
            </w:r>
          </w:p>
        </w:tc>
        <w:tc>
          <w:tcPr>
            <w:tcW w:w="738" w:type="dxa"/>
            <w:vAlign w:val="center"/>
          </w:tcPr>
          <w:p w14:paraId="295C9E93" w14:textId="18C79561"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0.704</w:t>
            </w:r>
          </w:p>
        </w:tc>
        <w:tc>
          <w:tcPr>
            <w:tcW w:w="739" w:type="dxa"/>
            <w:shd w:val="clear" w:color="auto" w:fill="auto"/>
            <w:noWrap/>
            <w:vAlign w:val="center"/>
            <w:hideMark/>
          </w:tcPr>
          <w:p w14:paraId="2A13EF41" w14:textId="77792959"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-0.243</w:t>
            </w:r>
          </w:p>
        </w:tc>
        <w:tc>
          <w:tcPr>
            <w:tcW w:w="738" w:type="dxa"/>
            <w:shd w:val="clear" w:color="auto" w:fill="auto"/>
            <w:noWrap/>
            <w:vAlign w:val="center"/>
            <w:hideMark/>
          </w:tcPr>
          <w:p w14:paraId="59CE6C79" w14:textId="33CBB4BA"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0.320</w:t>
            </w:r>
          </w:p>
        </w:tc>
        <w:tc>
          <w:tcPr>
            <w:tcW w:w="739" w:type="dxa"/>
            <w:shd w:val="clear" w:color="auto" w:fill="auto"/>
            <w:noWrap/>
            <w:vAlign w:val="center"/>
            <w:hideMark/>
          </w:tcPr>
          <w:p w14:paraId="5F245252" w14:textId="605189E2"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0.541</w:t>
            </w:r>
          </w:p>
        </w:tc>
        <w:tc>
          <w:tcPr>
            <w:tcW w:w="738" w:type="dxa"/>
            <w:shd w:val="clear" w:color="auto" w:fill="auto"/>
            <w:noWrap/>
            <w:vAlign w:val="center"/>
            <w:hideMark/>
          </w:tcPr>
          <w:p w14:paraId="0F76F101" w14:textId="74E72AED"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-0.526</w:t>
            </w:r>
          </w:p>
        </w:tc>
        <w:tc>
          <w:tcPr>
            <w:tcW w:w="738" w:type="dxa"/>
            <w:shd w:val="clear" w:color="auto" w:fill="auto"/>
            <w:noWrap/>
            <w:vAlign w:val="center"/>
            <w:hideMark/>
          </w:tcPr>
          <w:p w14:paraId="61086557" w14:textId="6366B151"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-0.328</w:t>
            </w:r>
          </w:p>
        </w:tc>
        <w:tc>
          <w:tcPr>
            <w:tcW w:w="739" w:type="dxa"/>
            <w:shd w:val="clear" w:color="auto" w:fill="auto"/>
            <w:noWrap/>
            <w:vAlign w:val="center"/>
            <w:hideMark/>
          </w:tcPr>
          <w:p w14:paraId="1A249A5E"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shd w:val="clear" w:color="auto" w:fill="auto"/>
            <w:noWrap/>
            <w:vAlign w:val="center"/>
            <w:hideMark/>
          </w:tcPr>
          <w:p w14:paraId="0942C0DF"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60EDF1BE"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vAlign w:val="center"/>
          </w:tcPr>
          <w:p w14:paraId="3F4674AE"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235FF1D9" w14:textId="10238F8B" w:rsidR="00A266FE" w:rsidRPr="00A266FE" w:rsidRDefault="00A266FE" w:rsidP="00A266FE">
            <w:pPr>
              <w:jc w:val="center"/>
              <w:rPr>
                <w:rFonts w:ascii="Calibri" w:eastAsia="Times New Roman" w:hAnsi="Calibri" w:cs="Times New Roman"/>
                <w:color w:val="000000"/>
                <w:sz w:val="18"/>
                <w:szCs w:val="18"/>
              </w:rPr>
            </w:pPr>
          </w:p>
        </w:tc>
      </w:tr>
      <w:tr w:rsidR="00A266FE" w:rsidRPr="00D973B7" w14:paraId="55BB0AE6" w14:textId="77777777" w:rsidTr="000C56DF">
        <w:trPr>
          <w:trHeight w:val="300"/>
        </w:trPr>
        <w:tc>
          <w:tcPr>
            <w:tcW w:w="540" w:type="dxa"/>
            <w:shd w:val="clear" w:color="auto" w:fill="auto"/>
            <w:noWrap/>
            <w:vAlign w:val="center"/>
            <w:hideMark/>
          </w:tcPr>
          <w:p w14:paraId="1D47C028" w14:textId="10FBB8A4"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(7)</w:t>
            </w:r>
          </w:p>
        </w:tc>
        <w:tc>
          <w:tcPr>
            <w:tcW w:w="2823" w:type="dxa"/>
            <w:shd w:val="clear" w:color="auto" w:fill="auto"/>
            <w:noWrap/>
            <w:vAlign w:val="center"/>
            <w:hideMark/>
          </w:tcPr>
          <w:p w14:paraId="64A37394"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sz w:val="18"/>
                <w:szCs w:val="18"/>
              </w:rPr>
              <w:t>GDP per capita</w:t>
            </w:r>
          </w:p>
        </w:tc>
        <w:tc>
          <w:tcPr>
            <w:tcW w:w="738" w:type="dxa"/>
            <w:vAlign w:val="center"/>
          </w:tcPr>
          <w:p w14:paraId="6D95E5AE" w14:textId="195F26D2"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16288</w:t>
            </w:r>
          </w:p>
        </w:tc>
        <w:tc>
          <w:tcPr>
            <w:tcW w:w="738" w:type="dxa"/>
            <w:vAlign w:val="center"/>
          </w:tcPr>
          <w:p w14:paraId="5F1E975C" w14:textId="0C8BAF31"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9969</w:t>
            </w:r>
          </w:p>
        </w:tc>
        <w:tc>
          <w:tcPr>
            <w:tcW w:w="739" w:type="dxa"/>
            <w:shd w:val="clear" w:color="auto" w:fill="auto"/>
            <w:noWrap/>
            <w:vAlign w:val="center"/>
            <w:hideMark/>
          </w:tcPr>
          <w:p w14:paraId="2A993A26" w14:textId="744E6D91"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0.031</w:t>
            </w:r>
          </w:p>
        </w:tc>
        <w:tc>
          <w:tcPr>
            <w:tcW w:w="738" w:type="dxa"/>
            <w:shd w:val="clear" w:color="auto" w:fill="auto"/>
            <w:noWrap/>
            <w:vAlign w:val="center"/>
            <w:hideMark/>
          </w:tcPr>
          <w:p w14:paraId="53589A0C" w14:textId="299CEEAD"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-0.249</w:t>
            </w:r>
          </w:p>
        </w:tc>
        <w:tc>
          <w:tcPr>
            <w:tcW w:w="739" w:type="dxa"/>
            <w:shd w:val="clear" w:color="auto" w:fill="auto"/>
            <w:noWrap/>
            <w:vAlign w:val="center"/>
            <w:hideMark/>
          </w:tcPr>
          <w:p w14:paraId="091A9AD3" w14:textId="51A55398"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0.184</w:t>
            </w:r>
          </w:p>
        </w:tc>
        <w:tc>
          <w:tcPr>
            <w:tcW w:w="738" w:type="dxa"/>
            <w:shd w:val="clear" w:color="auto" w:fill="auto"/>
            <w:noWrap/>
            <w:vAlign w:val="center"/>
            <w:hideMark/>
          </w:tcPr>
          <w:p w14:paraId="5CB249AC" w14:textId="586BA891"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-0.693</w:t>
            </w:r>
          </w:p>
        </w:tc>
        <w:tc>
          <w:tcPr>
            <w:tcW w:w="738" w:type="dxa"/>
            <w:shd w:val="clear" w:color="auto" w:fill="auto"/>
            <w:noWrap/>
            <w:vAlign w:val="center"/>
            <w:hideMark/>
          </w:tcPr>
          <w:p w14:paraId="3EC12E17" w14:textId="5995F5D9"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-0.604</w:t>
            </w:r>
          </w:p>
        </w:tc>
        <w:tc>
          <w:tcPr>
            <w:tcW w:w="739" w:type="dxa"/>
            <w:shd w:val="clear" w:color="auto" w:fill="auto"/>
            <w:noWrap/>
            <w:vAlign w:val="center"/>
            <w:hideMark/>
          </w:tcPr>
          <w:p w14:paraId="141203B2" w14:textId="69055B2C"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0.643</w:t>
            </w:r>
          </w:p>
        </w:tc>
        <w:tc>
          <w:tcPr>
            <w:tcW w:w="738" w:type="dxa"/>
            <w:shd w:val="clear" w:color="auto" w:fill="auto"/>
            <w:noWrap/>
            <w:vAlign w:val="center"/>
            <w:hideMark/>
          </w:tcPr>
          <w:p w14:paraId="12248741"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1E6575F3"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vAlign w:val="center"/>
          </w:tcPr>
          <w:p w14:paraId="7AA1308F"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356A9AA2" w14:textId="0CF6FEFF" w:rsidR="00A266FE" w:rsidRPr="00A266FE" w:rsidRDefault="00A266FE" w:rsidP="00A266FE">
            <w:pPr>
              <w:jc w:val="center"/>
              <w:rPr>
                <w:rFonts w:ascii="Calibri" w:eastAsia="Times New Roman" w:hAnsi="Calibri" w:cs="Times New Roman"/>
                <w:color w:val="000000"/>
                <w:sz w:val="18"/>
                <w:szCs w:val="18"/>
              </w:rPr>
            </w:pPr>
          </w:p>
        </w:tc>
      </w:tr>
      <w:tr w:rsidR="00A266FE" w:rsidRPr="00D973B7" w14:paraId="400AC109" w14:textId="77777777" w:rsidTr="000C56DF">
        <w:trPr>
          <w:trHeight w:val="300"/>
        </w:trPr>
        <w:tc>
          <w:tcPr>
            <w:tcW w:w="540" w:type="dxa"/>
            <w:shd w:val="clear" w:color="auto" w:fill="auto"/>
            <w:noWrap/>
            <w:vAlign w:val="center"/>
            <w:hideMark/>
          </w:tcPr>
          <w:p w14:paraId="039DEF6D" w14:textId="75CA204E"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(8)</w:t>
            </w:r>
          </w:p>
        </w:tc>
        <w:tc>
          <w:tcPr>
            <w:tcW w:w="2823" w:type="dxa"/>
            <w:shd w:val="clear" w:color="auto" w:fill="auto"/>
            <w:noWrap/>
            <w:vAlign w:val="center"/>
            <w:hideMark/>
          </w:tcPr>
          <w:p w14:paraId="5CF6E237"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sz w:val="18"/>
                <w:szCs w:val="18"/>
              </w:rPr>
              <w:t>Exports to EU countries</w:t>
            </w:r>
          </w:p>
        </w:tc>
        <w:tc>
          <w:tcPr>
            <w:tcW w:w="738" w:type="dxa"/>
            <w:vAlign w:val="center"/>
          </w:tcPr>
          <w:p w14:paraId="06514BF9" w14:textId="2781D57C"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0.088</w:t>
            </w:r>
          </w:p>
        </w:tc>
        <w:tc>
          <w:tcPr>
            <w:tcW w:w="738" w:type="dxa"/>
            <w:vAlign w:val="center"/>
          </w:tcPr>
          <w:p w14:paraId="57D9E677" w14:textId="650323FA"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0.103</w:t>
            </w:r>
          </w:p>
        </w:tc>
        <w:tc>
          <w:tcPr>
            <w:tcW w:w="739" w:type="dxa"/>
            <w:shd w:val="clear" w:color="auto" w:fill="auto"/>
            <w:noWrap/>
            <w:vAlign w:val="center"/>
            <w:hideMark/>
          </w:tcPr>
          <w:p w14:paraId="77DC49D3" w14:textId="369416C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-0.250</w:t>
            </w:r>
          </w:p>
        </w:tc>
        <w:tc>
          <w:tcPr>
            <w:tcW w:w="738" w:type="dxa"/>
            <w:shd w:val="clear" w:color="auto" w:fill="auto"/>
            <w:noWrap/>
            <w:vAlign w:val="center"/>
            <w:hideMark/>
          </w:tcPr>
          <w:p w14:paraId="59091099" w14:textId="642B33B9"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-0.444</w:t>
            </w:r>
          </w:p>
        </w:tc>
        <w:tc>
          <w:tcPr>
            <w:tcW w:w="739" w:type="dxa"/>
            <w:shd w:val="clear" w:color="auto" w:fill="auto"/>
            <w:noWrap/>
            <w:vAlign w:val="center"/>
            <w:hideMark/>
          </w:tcPr>
          <w:p w14:paraId="4BCE9B9E" w14:textId="1BBEF004"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0.600</w:t>
            </w:r>
          </w:p>
        </w:tc>
        <w:tc>
          <w:tcPr>
            <w:tcW w:w="738" w:type="dxa"/>
            <w:shd w:val="clear" w:color="auto" w:fill="auto"/>
            <w:noWrap/>
            <w:vAlign w:val="center"/>
            <w:hideMark/>
          </w:tcPr>
          <w:p w14:paraId="5034D4AA" w14:textId="3D163234"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-0.412</w:t>
            </w:r>
          </w:p>
        </w:tc>
        <w:tc>
          <w:tcPr>
            <w:tcW w:w="738" w:type="dxa"/>
            <w:shd w:val="clear" w:color="auto" w:fill="auto"/>
            <w:noWrap/>
            <w:vAlign w:val="center"/>
            <w:hideMark/>
          </w:tcPr>
          <w:p w14:paraId="15CF568D" w14:textId="2A7440CE"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-0.211</w:t>
            </w:r>
          </w:p>
        </w:tc>
        <w:tc>
          <w:tcPr>
            <w:tcW w:w="739" w:type="dxa"/>
            <w:shd w:val="clear" w:color="auto" w:fill="auto"/>
            <w:noWrap/>
            <w:vAlign w:val="center"/>
            <w:hideMark/>
          </w:tcPr>
          <w:p w14:paraId="4E381C10" w14:textId="5C276153"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0.341</w:t>
            </w:r>
          </w:p>
        </w:tc>
        <w:tc>
          <w:tcPr>
            <w:tcW w:w="738" w:type="dxa"/>
            <w:shd w:val="clear" w:color="auto" w:fill="auto"/>
            <w:noWrap/>
            <w:vAlign w:val="center"/>
            <w:hideMark/>
          </w:tcPr>
          <w:p w14:paraId="59997E88" w14:textId="6DCD9BE5"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0.480</w:t>
            </w:r>
          </w:p>
        </w:tc>
        <w:tc>
          <w:tcPr>
            <w:tcW w:w="739" w:type="dxa"/>
            <w:shd w:val="clear" w:color="auto" w:fill="auto"/>
            <w:noWrap/>
            <w:vAlign w:val="center"/>
            <w:hideMark/>
          </w:tcPr>
          <w:p w14:paraId="709816BF" w14:textId="77777777" w:rsidR="00A266FE" w:rsidRPr="00A266FE" w:rsidRDefault="00A266FE" w:rsidP="00A266FE">
            <w:pPr>
              <w:jc w:val="center"/>
              <w:rPr>
                <w:rFonts w:ascii="Calibri" w:eastAsia="Times New Roman" w:hAnsi="Calibri" w:cs="Times New Roman"/>
                <w:color w:val="000000"/>
                <w:sz w:val="18"/>
                <w:szCs w:val="18"/>
              </w:rPr>
            </w:pPr>
          </w:p>
        </w:tc>
        <w:tc>
          <w:tcPr>
            <w:tcW w:w="738" w:type="dxa"/>
            <w:vAlign w:val="center"/>
          </w:tcPr>
          <w:p w14:paraId="2B3237FD"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15AD9A72" w14:textId="14D0D96F" w:rsidR="00A266FE" w:rsidRPr="00A266FE" w:rsidRDefault="00A266FE" w:rsidP="00A266FE">
            <w:pPr>
              <w:jc w:val="center"/>
              <w:rPr>
                <w:rFonts w:ascii="Calibri" w:eastAsia="Times New Roman" w:hAnsi="Calibri" w:cs="Times New Roman"/>
                <w:color w:val="000000"/>
                <w:sz w:val="18"/>
                <w:szCs w:val="18"/>
              </w:rPr>
            </w:pPr>
          </w:p>
        </w:tc>
      </w:tr>
      <w:tr w:rsidR="00A266FE" w:rsidRPr="00D973B7" w14:paraId="421E47A5" w14:textId="77777777" w:rsidTr="000C56DF">
        <w:trPr>
          <w:trHeight w:val="300"/>
        </w:trPr>
        <w:tc>
          <w:tcPr>
            <w:tcW w:w="540" w:type="dxa"/>
            <w:shd w:val="clear" w:color="auto" w:fill="auto"/>
            <w:noWrap/>
            <w:vAlign w:val="center"/>
            <w:hideMark/>
          </w:tcPr>
          <w:p w14:paraId="779C43E4" w14:textId="317E5C0A"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(9)</w:t>
            </w:r>
          </w:p>
        </w:tc>
        <w:tc>
          <w:tcPr>
            <w:tcW w:w="2823" w:type="dxa"/>
            <w:shd w:val="clear" w:color="auto" w:fill="auto"/>
            <w:noWrap/>
            <w:vAlign w:val="center"/>
            <w:hideMark/>
          </w:tcPr>
          <w:p w14:paraId="40E588ED" w14:textId="1471B42E" w:rsidR="00A266FE" w:rsidRPr="00A266FE" w:rsidRDefault="00594231" w:rsidP="00A266FE">
            <w:pPr>
              <w:jc w:val="center"/>
              <w:rPr>
                <w:rFonts w:ascii="Calibri" w:eastAsia="Times New Roman" w:hAnsi="Calibri" w:cs="Times New Roman"/>
                <w:color w:val="000000"/>
                <w:sz w:val="18"/>
                <w:szCs w:val="18"/>
              </w:rPr>
            </w:pPr>
            <w:r w:rsidRPr="00A266FE">
              <w:rPr>
                <w:rFonts w:ascii="Calibri" w:eastAsia="Times New Roman" w:hAnsi="Calibri" w:cs="Times New Roman"/>
                <w:sz w:val="18"/>
                <w:szCs w:val="18"/>
              </w:rPr>
              <w:t>Environmental</w:t>
            </w:r>
            <w:r>
              <w:rPr>
                <w:rFonts w:ascii="Calibri" w:eastAsia="Times New Roman" w:hAnsi="Calibri" w:cs="Times New Roman"/>
                <w:sz w:val="18"/>
                <w:szCs w:val="18"/>
              </w:rPr>
              <w:t xml:space="preserve"> NGO pressure</w:t>
            </w:r>
          </w:p>
        </w:tc>
        <w:tc>
          <w:tcPr>
            <w:tcW w:w="738" w:type="dxa"/>
            <w:vAlign w:val="center"/>
          </w:tcPr>
          <w:p w14:paraId="40C2B2C1" w14:textId="251C77E0"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0.766</w:t>
            </w:r>
          </w:p>
        </w:tc>
        <w:tc>
          <w:tcPr>
            <w:tcW w:w="738" w:type="dxa"/>
            <w:vAlign w:val="center"/>
          </w:tcPr>
          <w:p w14:paraId="76B0C618" w14:textId="4CC0D7E8"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0.445</w:t>
            </w:r>
          </w:p>
        </w:tc>
        <w:tc>
          <w:tcPr>
            <w:tcW w:w="739" w:type="dxa"/>
            <w:shd w:val="clear" w:color="auto" w:fill="auto"/>
            <w:noWrap/>
            <w:vAlign w:val="center"/>
            <w:hideMark/>
          </w:tcPr>
          <w:p w14:paraId="08507AF8" w14:textId="16C7D984"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0.091</w:t>
            </w:r>
          </w:p>
        </w:tc>
        <w:tc>
          <w:tcPr>
            <w:tcW w:w="738" w:type="dxa"/>
            <w:shd w:val="clear" w:color="auto" w:fill="auto"/>
            <w:noWrap/>
            <w:vAlign w:val="center"/>
            <w:hideMark/>
          </w:tcPr>
          <w:p w14:paraId="128A424E" w14:textId="1ED42BEB"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0.005</w:t>
            </w:r>
          </w:p>
        </w:tc>
        <w:tc>
          <w:tcPr>
            <w:tcW w:w="739" w:type="dxa"/>
            <w:shd w:val="clear" w:color="auto" w:fill="auto"/>
            <w:noWrap/>
            <w:vAlign w:val="center"/>
            <w:hideMark/>
          </w:tcPr>
          <w:p w14:paraId="5D1E6561" w14:textId="0735A988"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-0.179</w:t>
            </w:r>
          </w:p>
        </w:tc>
        <w:tc>
          <w:tcPr>
            <w:tcW w:w="738" w:type="dxa"/>
            <w:shd w:val="clear" w:color="auto" w:fill="auto"/>
            <w:noWrap/>
            <w:vAlign w:val="center"/>
            <w:hideMark/>
          </w:tcPr>
          <w:p w14:paraId="7224192B" w14:textId="3D650106"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-0.128</w:t>
            </w:r>
          </w:p>
        </w:tc>
        <w:tc>
          <w:tcPr>
            <w:tcW w:w="738" w:type="dxa"/>
            <w:shd w:val="clear" w:color="auto" w:fill="auto"/>
            <w:noWrap/>
            <w:vAlign w:val="center"/>
            <w:hideMark/>
          </w:tcPr>
          <w:p w14:paraId="6DE68C24" w14:textId="7DDC42E4"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-0.333</w:t>
            </w:r>
          </w:p>
        </w:tc>
        <w:tc>
          <w:tcPr>
            <w:tcW w:w="739" w:type="dxa"/>
            <w:shd w:val="clear" w:color="auto" w:fill="auto"/>
            <w:noWrap/>
            <w:vAlign w:val="center"/>
            <w:hideMark/>
          </w:tcPr>
          <w:p w14:paraId="409B354B" w14:textId="28115785"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0.167</w:t>
            </w:r>
          </w:p>
        </w:tc>
        <w:tc>
          <w:tcPr>
            <w:tcW w:w="738" w:type="dxa"/>
            <w:shd w:val="clear" w:color="auto" w:fill="auto"/>
            <w:noWrap/>
            <w:vAlign w:val="center"/>
            <w:hideMark/>
          </w:tcPr>
          <w:p w14:paraId="1D584D99" w14:textId="7D3681B6"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0.436</w:t>
            </w:r>
          </w:p>
        </w:tc>
        <w:tc>
          <w:tcPr>
            <w:tcW w:w="739" w:type="dxa"/>
            <w:shd w:val="clear" w:color="auto" w:fill="auto"/>
            <w:noWrap/>
            <w:vAlign w:val="center"/>
            <w:hideMark/>
          </w:tcPr>
          <w:p w14:paraId="5FA5A7C5" w14:textId="2F1B23B2"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-0.057</w:t>
            </w:r>
          </w:p>
        </w:tc>
        <w:tc>
          <w:tcPr>
            <w:tcW w:w="738" w:type="dxa"/>
            <w:vAlign w:val="center"/>
          </w:tcPr>
          <w:p w14:paraId="0A2D4D97" w14:textId="77777777" w:rsidR="00A266FE" w:rsidRPr="00A266FE" w:rsidRDefault="00A266FE" w:rsidP="00A266FE">
            <w:pPr>
              <w:jc w:val="center"/>
              <w:rPr>
                <w:rFonts w:ascii="Calibri" w:eastAsia="Times New Roman" w:hAnsi="Calibri" w:cs="Times New Roman"/>
                <w:color w:val="000000"/>
                <w:sz w:val="18"/>
                <w:szCs w:val="18"/>
              </w:rPr>
            </w:pPr>
          </w:p>
        </w:tc>
        <w:tc>
          <w:tcPr>
            <w:tcW w:w="739" w:type="dxa"/>
            <w:shd w:val="clear" w:color="auto" w:fill="auto"/>
            <w:noWrap/>
            <w:vAlign w:val="center"/>
            <w:hideMark/>
          </w:tcPr>
          <w:p w14:paraId="71220B74" w14:textId="409AB562" w:rsidR="00A266FE" w:rsidRPr="00A266FE" w:rsidRDefault="00A266FE" w:rsidP="00A266FE">
            <w:pPr>
              <w:jc w:val="center"/>
              <w:rPr>
                <w:rFonts w:ascii="Calibri" w:eastAsia="Times New Roman" w:hAnsi="Calibri" w:cs="Times New Roman"/>
                <w:color w:val="000000"/>
                <w:sz w:val="18"/>
                <w:szCs w:val="18"/>
              </w:rPr>
            </w:pPr>
          </w:p>
        </w:tc>
      </w:tr>
      <w:tr w:rsidR="00A266FE" w:rsidRPr="00D973B7" w14:paraId="7E78FA55" w14:textId="77777777" w:rsidTr="000C56DF">
        <w:trPr>
          <w:trHeight w:val="300"/>
        </w:trPr>
        <w:tc>
          <w:tcPr>
            <w:tcW w:w="540" w:type="dxa"/>
            <w:shd w:val="clear" w:color="auto" w:fill="auto"/>
            <w:noWrap/>
            <w:vAlign w:val="center"/>
            <w:hideMark/>
          </w:tcPr>
          <w:p w14:paraId="1EAF4B00" w14:textId="56779520"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(10)</w:t>
            </w:r>
          </w:p>
        </w:tc>
        <w:tc>
          <w:tcPr>
            <w:tcW w:w="2823" w:type="dxa"/>
            <w:shd w:val="clear" w:color="auto" w:fill="auto"/>
            <w:noWrap/>
            <w:vAlign w:val="center"/>
            <w:hideMark/>
          </w:tcPr>
          <w:p w14:paraId="45DD1278"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sz w:val="18"/>
                <w:szCs w:val="18"/>
              </w:rPr>
              <w:t>Environmental stress</w:t>
            </w:r>
          </w:p>
        </w:tc>
        <w:tc>
          <w:tcPr>
            <w:tcW w:w="738" w:type="dxa"/>
            <w:vAlign w:val="center"/>
          </w:tcPr>
          <w:p w14:paraId="4D1A6CC5" w14:textId="76C4E3B5"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42.778</w:t>
            </w:r>
          </w:p>
        </w:tc>
        <w:tc>
          <w:tcPr>
            <w:tcW w:w="738" w:type="dxa"/>
            <w:vAlign w:val="center"/>
          </w:tcPr>
          <w:p w14:paraId="5436B81A" w14:textId="65165790"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11.828</w:t>
            </w:r>
          </w:p>
        </w:tc>
        <w:tc>
          <w:tcPr>
            <w:tcW w:w="739" w:type="dxa"/>
            <w:shd w:val="clear" w:color="auto" w:fill="auto"/>
            <w:noWrap/>
            <w:vAlign w:val="center"/>
            <w:hideMark/>
          </w:tcPr>
          <w:p w14:paraId="09CB9FFB" w14:textId="597725C9"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0.254</w:t>
            </w:r>
          </w:p>
        </w:tc>
        <w:tc>
          <w:tcPr>
            <w:tcW w:w="738" w:type="dxa"/>
            <w:shd w:val="clear" w:color="auto" w:fill="auto"/>
            <w:noWrap/>
            <w:vAlign w:val="center"/>
            <w:hideMark/>
          </w:tcPr>
          <w:p w14:paraId="63C50E90" w14:textId="2D28CF8F"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0.054</w:t>
            </w:r>
          </w:p>
        </w:tc>
        <w:tc>
          <w:tcPr>
            <w:tcW w:w="739" w:type="dxa"/>
            <w:shd w:val="clear" w:color="auto" w:fill="auto"/>
            <w:noWrap/>
            <w:vAlign w:val="center"/>
            <w:hideMark/>
          </w:tcPr>
          <w:p w14:paraId="19CC94DD" w14:textId="0F775D90"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-0.342</w:t>
            </w:r>
          </w:p>
        </w:tc>
        <w:tc>
          <w:tcPr>
            <w:tcW w:w="738" w:type="dxa"/>
            <w:shd w:val="clear" w:color="auto" w:fill="auto"/>
            <w:noWrap/>
            <w:vAlign w:val="center"/>
            <w:hideMark/>
          </w:tcPr>
          <w:p w14:paraId="5877A100" w14:textId="37FF3F39"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0.406</w:t>
            </w:r>
          </w:p>
        </w:tc>
        <w:tc>
          <w:tcPr>
            <w:tcW w:w="738" w:type="dxa"/>
            <w:shd w:val="clear" w:color="auto" w:fill="auto"/>
            <w:noWrap/>
            <w:vAlign w:val="center"/>
            <w:hideMark/>
          </w:tcPr>
          <w:p w14:paraId="0068581E" w14:textId="08209DBE"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0.128</w:t>
            </w:r>
          </w:p>
        </w:tc>
        <w:tc>
          <w:tcPr>
            <w:tcW w:w="739" w:type="dxa"/>
            <w:shd w:val="clear" w:color="auto" w:fill="auto"/>
            <w:noWrap/>
            <w:vAlign w:val="center"/>
            <w:hideMark/>
          </w:tcPr>
          <w:p w14:paraId="3E092594" w14:textId="2EF5F79A"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-0.561</w:t>
            </w:r>
          </w:p>
        </w:tc>
        <w:tc>
          <w:tcPr>
            <w:tcW w:w="738" w:type="dxa"/>
            <w:shd w:val="clear" w:color="auto" w:fill="auto"/>
            <w:noWrap/>
            <w:vAlign w:val="center"/>
            <w:hideMark/>
          </w:tcPr>
          <w:p w14:paraId="7FF37ED2" w14:textId="0C19761C"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-0.500</w:t>
            </w:r>
          </w:p>
        </w:tc>
        <w:tc>
          <w:tcPr>
            <w:tcW w:w="739" w:type="dxa"/>
            <w:shd w:val="clear" w:color="auto" w:fill="auto"/>
            <w:noWrap/>
            <w:vAlign w:val="center"/>
            <w:hideMark/>
          </w:tcPr>
          <w:p w14:paraId="3B5547A2" w14:textId="4776D395"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-0.571</w:t>
            </w:r>
          </w:p>
        </w:tc>
        <w:tc>
          <w:tcPr>
            <w:tcW w:w="738" w:type="dxa"/>
            <w:vAlign w:val="center"/>
          </w:tcPr>
          <w:p w14:paraId="1A35CC02" w14:textId="349FCD2D"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-0.241</w:t>
            </w:r>
          </w:p>
        </w:tc>
        <w:tc>
          <w:tcPr>
            <w:tcW w:w="739" w:type="dxa"/>
            <w:shd w:val="clear" w:color="auto" w:fill="auto"/>
            <w:noWrap/>
            <w:vAlign w:val="center"/>
            <w:hideMark/>
          </w:tcPr>
          <w:p w14:paraId="51A9E9BE" w14:textId="07065D4B" w:rsidR="00A266FE" w:rsidRPr="00A266FE" w:rsidRDefault="00A266FE" w:rsidP="00A266FE">
            <w:pPr>
              <w:jc w:val="center"/>
              <w:rPr>
                <w:rFonts w:ascii="Calibri" w:eastAsia="Times New Roman" w:hAnsi="Calibri" w:cs="Times New Roman"/>
                <w:color w:val="000000"/>
                <w:sz w:val="18"/>
                <w:szCs w:val="18"/>
              </w:rPr>
            </w:pPr>
          </w:p>
        </w:tc>
      </w:tr>
      <w:tr w:rsidR="00A266FE" w:rsidRPr="00D973B7" w14:paraId="3DE1B711" w14:textId="77777777" w:rsidTr="000C56DF">
        <w:trPr>
          <w:trHeight w:val="300"/>
        </w:trPr>
        <w:tc>
          <w:tcPr>
            <w:tcW w:w="540" w:type="dxa"/>
            <w:shd w:val="clear" w:color="auto" w:fill="auto"/>
            <w:noWrap/>
            <w:vAlign w:val="center"/>
            <w:hideMark/>
          </w:tcPr>
          <w:p w14:paraId="022886B1" w14:textId="687A22ED"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color w:val="000000"/>
                <w:sz w:val="18"/>
                <w:szCs w:val="18"/>
              </w:rPr>
              <w:t>(11)</w:t>
            </w:r>
          </w:p>
        </w:tc>
        <w:tc>
          <w:tcPr>
            <w:tcW w:w="2823" w:type="dxa"/>
            <w:shd w:val="clear" w:color="auto" w:fill="auto"/>
            <w:noWrap/>
            <w:vAlign w:val="center"/>
            <w:hideMark/>
          </w:tcPr>
          <w:p w14:paraId="67C3F8DC" w14:textId="777777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s="Times New Roman"/>
                <w:sz w:val="18"/>
                <w:szCs w:val="18"/>
              </w:rPr>
              <w:t>Democracy Index</w:t>
            </w:r>
          </w:p>
        </w:tc>
        <w:tc>
          <w:tcPr>
            <w:tcW w:w="738" w:type="dxa"/>
            <w:vAlign w:val="center"/>
          </w:tcPr>
          <w:p w14:paraId="642EF17B" w14:textId="17FAD6F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9.609</w:t>
            </w:r>
          </w:p>
        </w:tc>
        <w:tc>
          <w:tcPr>
            <w:tcW w:w="738" w:type="dxa"/>
            <w:vAlign w:val="center"/>
          </w:tcPr>
          <w:p w14:paraId="3CB3F665" w14:textId="0F2C56AA"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0.941</w:t>
            </w:r>
          </w:p>
        </w:tc>
        <w:tc>
          <w:tcPr>
            <w:tcW w:w="739" w:type="dxa"/>
            <w:shd w:val="clear" w:color="auto" w:fill="auto"/>
            <w:noWrap/>
            <w:vAlign w:val="center"/>
            <w:hideMark/>
          </w:tcPr>
          <w:p w14:paraId="77F2D931" w14:textId="742E949A"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0.094</w:t>
            </w:r>
          </w:p>
        </w:tc>
        <w:tc>
          <w:tcPr>
            <w:tcW w:w="738" w:type="dxa"/>
            <w:shd w:val="clear" w:color="auto" w:fill="auto"/>
            <w:noWrap/>
            <w:vAlign w:val="center"/>
            <w:hideMark/>
          </w:tcPr>
          <w:p w14:paraId="3A832104" w14:textId="5721DC66"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0.066</w:t>
            </w:r>
          </w:p>
        </w:tc>
        <w:tc>
          <w:tcPr>
            <w:tcW w:w="739" w:type="dxa"/>
            <w:shd w:val="clear" w:color="auto" w:fill="auto"/>
            <w:noWrap/>
            <w:vAlign w:val="center"/>
            <w:hideMark/>
          </w:tcPr>
          <w:p w14:paraId="539665CD" w14:textId="3112FABB"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0.232</w:t>
            </w:r>
          </w:p>
        </w:tc>
        <w:tc>
          <w:tcPr>
            <w:tcW w:w="738" w:type="dxa"/>
            <w:shd w:val="clear" w:color="auto" w:fill="auto"/>
            <w:noWrap/>
            <w:vAlign w:val="center"/>
            <w:hideMark/>
          </w:tcPr>
          <w:p w14:paraId="4BCC5106" w14:textId="1A596D52"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-0.606</w:t>
            </w:r>
          </w:p>
        </w:tc>
        <w:tc>
          <w:tcPr>
            <w:tcW w:w="738" w:type="dxa"/>
            <w:shd w:val="clear" w:color="auto" w:fill="auto"/>
            <w:noWrap/>
            <w:vAlign w:val="center"/>
            <w:hideMark/>
          </w:tcPr>
          <w:p w14:paraId="784D2E11" w14:textId="32CFD036"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-0.029</w:t>
            </w:r>
          </w:p>
        </w:tc>
        <w:tc>
          <w:tcPr>
            <w:tcW w:w="739" w:type="dxa"/>
            <w:shd w:val="clear" w:color="auto" w:fill="auto"/>
            <w:noWrap/>
            <w:vAlign w:val="center"/>
            <w:hideMark/>
          </w:tcPr>
          <w:p w14:paraId="43ED28AE" w14:textId="0CB65426"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0.432</w:t>
            </w:r>
          </w:p>
        </w:tc>
        <w:tc>
          <w:tcPr>
            <w:tcW w:w="738" w:type="dxa"/>
            <w:shd w:val="clear" w:color="auto" w:fill="auto"/>
            <w:noWrap/>
            <w:vAlign w:val="center"/>
            <w:hideMark/>
          </w:tcPr>
          <w:p w14:paraId="7C3E6144" w14:textId="6F3AFD77"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0.411</w:t>
            </w:r>
          </w:p>
        </w:tc>
        <w:tc>
          <w:tcPr>
            <w:tcW w:w="739" w:type="dxa"/>
            <w:shd w:val="clear" w:color="auto" w:fill="auto"/>
            <w:noWrap/>
            <w:vAlign w:val="center"/>
            <w:hideMark/>
          </w:tcPr>
          <w:p w14:paraId="0026678A" w14:textId="29682F5B"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0.218</w:t>
            </w:r>
          </w:p>
        </w:tc>
        <w:tc>
          <w:tcPr>
            <w:tcW w:w="738" w:type="dxa"/>
            <w:vAlign w:val="center"/>
          </w:tcPr>
          <w:p w14:paraId="5D44E173" w14:textId="1CED79F2"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-0.183</w:t>
            </w:r>
          </w:p>
        </w:tc>
        <w:tc>
          <w:tcPr>
            <w:tcW w:w="739" w:type="dxa"/>
            <w:shd w:val="clear" w:color="auto" w:fill="auto"/>
            <w:noWrap/>
            <w:vAlign w:val="center"/>
            <w:hideMark/>
          </w:tcPr>
          <w:p w14:paraId="5C5EDA18" w14:textId="139A2480" w:rsidR="00A266FE" w:rsidRPr="00A266FE" w:rsidRDefault="00A266FE" w:rsidP="00A266FE">
            <w:pPr>
              <w:jc w:val="center"/>
              <w:rPr>
                <w:rFonts w:ascii="Calibri" w:eastAsia="Times New Roman" w:hAnsi="Calibri" w:cs="Times New Roman"/>
                <w:color w:val="000000"/>
                <w:sz w:val="18"/>
                <w:szCs w:val="18"/>
              </w:rPr>
            </w:pPr>
            <w:r w:rsidRPr="00A266FE">
              <w:rPr>
                <w:rFonts w:ascii="Calibri" w:eastAsia="Times New Roman" w:hAnsi="Calibri"/>
                <w:color w:val="000000"/>
                <w:sz w:val="18"/>
                <w:szCs w:val="18"/>
              </w:rPr>
              <w:t>-0.451</w:t>
            </w:r>
          </w:p>
        </w:tc>
      </w:tr>
    </w:tbl>
    <w:p w14:paraId="1738E211" w14:textId="77777777" w:rsidR="00357C24" w:rsidRDefault="00357C24" w:rsidP="00357C24"/>
    <w:p w14:paraId="7C456650" w14:textId="77777777" w:rsidR="00357C24" w:rsidRDefault="00357C24"/>
    <w:p w14:paraId="0D72F77D" w14:textId="77777777" w:rsidR="00357C24" w:rsidRDefault="00357C24"/>
    <w:p w14:paraId="7AD94849" w14:textId="70F0606C" w:rsidR="002563B1" w:rsidRPr="00022238" w:rsidRDefault="00C91ECD">
      <w:pPr>
        <w:rPr>
          <w:rFonts w:ascii="Times New Roman" w:hAnsi="Times New Roman" w:cs="Times New Roman"/>
        </w:rPr>
      </w:pPr>
      <w:r w:rsidRPr="00022238">
        <w:rPr>
          <w:rFonts w:ascii="Times New Roman" w:hAnsi="Times New Roman" w:cs="Times New Roman"/>
        </w:rPr>
        <w:t xml:space="preserve">Panel C: </w:t>
      </w:r>
      <w:r w:rsidR="002563B1" w:rsidRPr="00022238">
        <w:rPr>
          <w:rFonts w:ascii="Times New Roman" w:hAnsi="Times New Roman" w:cs="Times New Roman"/>
        </w:rPr>
        <w:t>Correlations (N=422): Firm-level</w:t>
      </w:r>
    </w:p>
    <w:p w14:paraId="7CB713FF" w14:textId="77777777" w:rsidR="002563B1" w:rsidRDefault="002563B1"/>
    <w:tbl>
      <w:tblPr>
        <w:tblW w:w="13320" w:type="dxa"/>
        <w:tblInd w:w="198" w:type="dxa"/>
        <w:tblLayout w:type="fixed"/>
        <w:tblLook w:val="04A0" w:firstRow="1" w:lastRow="0" w:firstColumn="1" w:lastColumn="0" w:noHBand="0" w:noVBand="1"/>
      </w:tblPr>
      <w:tblGrid>
        <w:gridCol w:w="540"/>
        <w:gridCol w:w="2970"/>
        <w:gridCol w:w="720"/>
        <w:gridCol w:w="744"/>
        <w:gridCol w:w="642"/>
        <w:gridCol w:w="642"/>
        <w:gridCol w:w="642"/>
        <w:gridCol w:w="642"/>
        <w:gridCol w:w="642"/>
        <w:gridCol w:w="642"/>
        <w:gridCol w:w="642"/>
        <w:gridCol w:w="642"/>
        <w:gridCol w:w="642"/>
        <w:gridCol w:w="642"/>
        <w:gridCol w:w="642"/>
        <w:gridCol w:w="642"/>
        <w:gridCol w:w="642"/>
      </w:tblGrid>
      <w:tr w:rsidR="008B335B" w:rsidRPr="002563B1" w14:paraId="1CB5E3E6" w14:textId="77777777" w:rsidTr="0058215F">
        <w:trPr>
          <w:trHeight w:val="300"/>
        </w:trPr>
        <w:tc>
          <w:tcPr>
            <w:tcW w:w="540" w:type="dxa"/>
            <w:tcBorders>
              <w:top w:val="single" w:sz="4" w:space="0" w:color="auto"/>
              <w:left w:val="nil"/>
              <w:bottom w:val="single" w:sz="4" w:space="0" w:color="auto"/>
              <w:right w:val="nil"/>
            </w:tcBorders>
            <w:vAlign w:val="center"/>
          </w:tcPr>
          <w:p w14:paraId="16872B07" w14:textId="77777777" w:rsidR="008B335B" w:rsidRPr="002B572D" w:rsidRDefault="008B335B" w:rsidP="00E06D5D">
            <w:pPr>
              <w:jc w:val="center"/>
              <w:rPr>
                <w:rFonts w:eastAsia="Times New Roman" w:cs="Times New Roman"/>
                <w:color w:val="000000"/>
                <w:sz w:val="16"/>
                <w:szCs w:val="16"/>
              </w:rPr>
            </w:pPr>
          </w:p>
        </w:tc>
        <w:tc>
          <w:tcPr>
            <w:tcW w:w="2970" w:type="dxa"/>
            <w:tcBorders>
              <w:top w:val="single" w:sz="4" w:space="0" w:color="auto"/>
              <w:left w:val="nil"/>
              <w:bottom w:val="single" w:sz="4" w:space="0" w:color="auto"/>
              <w:right w:val="nil"/>
            </w:tcBorders>
            <w:shd w:val="clear" w:color="auto" w:fill="auto"/>
            <w:noWrap/>
            <w:vAlign w:val="center"/>
          </w:tcPr>
          <w:p w14:paraId="5A8A7C17" w14:textId="77777777" w:rsidR="008B335B" w:rsidRPr="002B572D" w:rsidRDefault="008B335B" w:rsidP="00E06D5D">
            <w:pPr>
              <w:jc w:val="center"/>
              <w:rPr>
                <w:rFonts w:eastAsia="Times New Roman" w:cs="Times New Roman"/>
                <w:color w:val="000000"/>
                <w:sz w:val="16"/>
                <w:szCs w:val="16"/>
              </w:rPr>
            </w:pPr>
          </w:p>
        </w:tc>
        <w:tc>
          <w:tcPr>
            <w:tcW w:w="720" w:type="dxa"/>
            <w:tcBorders>
              <w:top w:val="single" w:sz="4" w:space="0" w:color="auto"/>
              <w:left w:val="nil"/>
              <w:bottom w:val="single" w:sz="4" w:space="0" w:color="auto"/>
              <w:right w:val="nil"/>
            </w:tcBorders>
            <w:vAlign w:val="center"/>
          </w:tcPr>
          <w:p w14:paraId="4CCEEF12" w14:textId="516FB39D" w:rsidR="008B335B" w:rsidRDefault="008B335B" w:rsidP="00485372">
            <w:pPr>
              <w:jc w:val="center"/>
              <w:rPr>
                <w:rFonts w:ascii="Calibri" w:eastAsia="Times New Roman" w:hAnsi="Calibri" w:cs="Times New Roman"/>
                <w:color w:val="000000"/>
                <w:sz w:val="16"/>
                <w:szCs w:val="16"/>
              </w:rPr>
            </w:pPr>
            <w:r>
              <w:rPr>
                <w:rFonts w:ascii="Calibri" w:eastAsia="Times New Roman" w:hAnsi="Calibri" w:cs="Times New Roman"/>
                <w:color w:val="000000"/>
                <w:sz w:val="18"/>
                <w:szCs w:val="18"/>
              </w:rPr>
              <w:t>M</w:t>
            </w:r>
            <w:r w:rsidRPr="00A266FE">
              <w:rPr>
                <w:rFonts w:ascii="Calibri" w:eastAsia="Times New Roman" w:hAnsi="Calibri" w:cs="Times New Roman"/>
                <w:color w:val="000000"/>
                <w:sz w:val="18"/>
                <w:szCs w:val="18"/>
              </w:rPr>
              <w:t>ean</w:t>
            </w:r>
          </w:p>
        </w:tc>
        <w:tc>
          <w:tcPr>
            <w:tcW w:w="744" w:type="dxa"/>
            <w:tcBorders>
              <w:top w:val="single" w:sz="4" w:space="0" w:color="auto"/>
              <w:left w:val="nil"/>
              <w:bottom w:val="single" w:sz="4" w:space="0" w:color="auto"/>
              <w:right w:val="nil"/>
            </w:tcBorders>
            <w:vAlign w:val="center"/>
          </w:tcPr>
          <w:p w14:paraId="46C55829" w14:textId="55822B63" w:rsidR="008B335B" w:rsidRDefault="008B335B" w:rsidP="00485372">
            <w:pPr>
              <w:jc w:val="center"/>
              <w:rPr>
                <w:rFonts w:ascii="Calibri" w:eastAsia="Times New Roman" w:hAnsi="Calibri" w:cs="Times New Roman"/>
                <w:color w:val="000000"/>
                <w:sz w:val="16"/>
                <w:szCs w:val="16"/>
              </w:rPr>
            </w:pPr>
            <w:r>
              <w:rPr>
                <w:rFonts w:ascii="Calibri" w:eastAsia="Times New Roman" w:hAnsi="Calibri" w:cs="Times New Roman"/>
                <w:color w:val="000000"/>
                <w:sz w:val="18"/>
                <w:szCs w:val="18"/>
              </w:rPr>
              <w:t>S</w:t>
            </w:r>
            <w:r w:rsidRPr="00A266FE">
              <w:rPr>
                <w:rFonts w:ascii="Calibri" w:eastAsia="Times New Roman" w:hAnsi="Calibri" w:cs="Times New Roman"/>
                <w:color w:val="000000"/>
                <w:sz w:val="18"/>
                <w:szCs w:val="18"/>
              </w:rPr>
              <w:t>.</w:t>
            </w:r>
            <w:r>
              <w:rPr>
                <w:rFonts w:ascii="Calibri" w:eastAsia="Times New Roman" w:hAnsi="Calibri" w:cs="Times New Roman"/>
                <w:color w:val="000000"/>
                <w:sz w:val="18"/>
                <w:szCs w:val="18"/>
              </w:rPr>
              <w:t>D</w:t>
            </w:r>
            <w:r w:rsidRPr="00A266FE">
              <w:rPr>
                <w:rFonts w:ascii="Calibri" w:eastAsia="Times New Roman" w:hAnsi="Calibri" w:cs="Times New Roman"/>
                <w:color w:val="000000"/>
                <w:sz w:val="18"/>
                <w:szCs w:val="18"/>
              </w:rPr>
              <w:t>.</w:t>
            </w:r>
          </w:p>
        </w:tc>
        <w:tc>
          <w:tcPr>
            <w:tcW w:w="642" w:type="dxa"/>
            <w:tcBorders>
              <w:top w:val="single" w:sz="4" w:space="0" w:color="auto"/>
              <w:left w:val="nil"/>
              <w:bottom w:val="single" w:sz="4" w:space="0" w:color="auto"/>
              <w:right w:val="nil"/>
            </w:tcBorders>
            <w:shd w:val="clear" w:color="auto" w:fill="auto"/>
            <w:noWrap/>
            <w:vAlign w:val="center"/>
          </w:tcPr>
          <w:p w14:paraId="0DC76250" w14:textId="4683BBB8" w:rsidR="008B335B" w:rsidRPr="002563B1" w:rsidRDefault="008B335B" w:rsidP="00E06D5D">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642" w:type="dxa"/>
            <w:tcBorders>
              <w:top w:val="single" w:sz="4" w:space="0" w:color="auto"/>
              <w:left w:val="nil"/>
              <w:bottom w:val="single" w:sz="4" w:space="0" w:color="auto"/>
              <w:right w:val="nil"/>
            </w:tcBorders>
            <w:shd w:val="clear" w:color="auto" w:fill="auto"/>
            <w:noWrap/>
            <w:vAlign w:val="center"/>
          </w:tcPr>
          <w:p w14:paraId="35135661" w14:textId="77777777" w:rsidR="008B335B" w:rsidRPr="002563B1" w:rsidRDefault="008B335B" w:rsidP="00E06D5D">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c>
          <w:tcPr>
            <w:tcW w:w="642" w:type="dxa"/>
            <w:tcBorders>
              <w:top w:val="single" w:sz="4" w:space="0" w:color="auto"/>
              <w:left w:val="nil"/>
              <w:bottom w:val="single" w:sz="4" w:space="0" w:color="auto"/>
              <w:right w:val="nil"/>
            </w:tcBorders>
            <w:shd w:val="clear" w:color="auto" w:fill="auto"/>
            <w:noWrap/>
            <w:vAlign w:val="center"/>
          </w:tcPr>
          <w:p w14:paraId="41E58D5F" w14:textId="77777777" w:rsidR="008B335B" w:rsidRPr="002563B1" w:rsidRDefault="008B335B" w:rsidP="00E06D5D">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642" w:type="dxa"/>
            <w:tcBorders>
              <w:top w:val="single" w:sz="4" w:space="0" w:color="auto"/>
              <w:left w:val="nil"/>
              <w:bottom w:val="single" w:sz="4" w:space="0" w:color="auto"/>
              <w:right w:val="nil"/>
            </w:tcBorders>
            <w:shd w:val="clear" w:color="auto" w:fill="auto"/>
            <w:noWrap/>
            <w:vAlign w:val="center"/>
          </w:tcPr>
          <w:p w14:paraId="1E6D4FF4" w14:textId="77777777" w:rsidR="008B335B" w:rsidRPr="002563B1" w:rsidRDefault="008B335B" w:rsidP="00E06D5D">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c>
          <w:tcPr>
            <w:tcW w:w="642" w:type="dxa"/>
            <w:tcBorders>
              <w:top w:val="single" w:sz="4" w:space="0" w:color="auto"/>
              <w:left w:val="nil"/>
              <w:bottom w:val="single" w:sz="4" w:space="0" w:color="auto"/>
              <w:right w:val="nil"/>
            </w:tcBorders>
            <w:shd w:val="clear" w:color="auto" w:fill="auto"/>
            <w:noWrap/>
            <w:vAlign w:val="center"/>
          </w:tcPr>
          <w:p w14:paraId="62A10055" w14:textId="77777777" w:rsidR="008B335B" w:rsidRPr="002563B1" w:rsidRDefault="008B335B" w:rsidP="00E06D5D">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c>
          <w:tcPr>
            <w:tcW w:w="642" w:type="dxa"/>
            <w:tcBorders>
              <w:top w:val="single" w:sz="4" w:space="0" w:color="auto"/>
              <w:left w:val="nil"/>
              <w:bottom w:val="single" w:sz="4" w:space="0" w:color="auto"/>
              <w:right w:val="nil"/>
            </w:tcBorders>
            <w:shd w:val="clear" w:color="auto" w:fill="auto"/>
            <w:noWrap/>
            <w:vAlign w:val="center"/>
          </w:tcPr>
          <w:p w14:paraId="55969BAA" w14:textId="77777777" w:rsidR="008B335B" w:rsidRPr="002563B1" w:rsidRDefault="008B335B" w:rsidP="00E06D5D">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642" w:type="dxa"/>
            <w:tcBorders>
              <w:top w:val="single" w:sz="4" w:space="0" w:color="auto"/>
              <w:left w:val="nil"/>
              <w:bottom w:val="single" w:sz="4" w:space="0" w:color="auto"/>
              <w:right w:val="nil"/>
            </w:tcBorders>
            <w:shd w:val="clear" w:color="auto" w:fill="auto"/>
            <w:noWrap/>
            <w:vAlign w:val="center"/>
          </w:tcPr>
          <w:p w14:paraId="0DDE99FC" w14:textId="77777777" w:rsidR="008B335B" w:rsidRPr="002563B1" w:rsidRDefault="008B335B" w:rsidP="00E06D5D">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w:t>
            </w:r>
          </w:p>
        </w:tc>
        <w:tc>
          <w:tcPr>
            <w:tcW w:w="642" w:type="dxa"/>
            <w:tcBorders>
              <w:top w:val="single" w:sz="4" w:space="0" w:color="auto"/>
              <w:left w:val="nil"/>
              <w:bottom w:val="single" w:sz="4" w:space="0" w:color="auto"/>
              <w:right w:val="nil"/>
            </w:tcBorders>
            <w:shd w:val="clear" w:color="auto" w:fill="auto"/>
            <w:noWrap/>
            <w:vAlign w:val="center"/>
          </w:tcPr>
          <w:p w14:paraId="2FC60821" w14:textId="77777777" w:rsidR="008B335B" w:rsidRPr="002563B1" w:rsidRDefault="008B335B" w:rsidP="00E06D5D">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p>
        </w:tc>
        <w:tc>
          <w:tcPr>
            <w:tcW w:w="642" w:type="dxa"/>
            <w:tcBorders>
              <w:top w:val="single" w:sz="4" w:space="0" w:color="auto"/>
              <w:left w:val="nil"/>
              <w:bottom w:val="single" w:sz="4" w:space="0" w:color="auto"/>
              <w:right w:val="nil"/>
            </w:tcBorders>
            <w:shd w:val="clear" w:color="auto" w:fill="auto"/>
            <w:noWrap/>
            <w:vAlign w:val="center"/>
          </w:tcPr>
          <w:p w14:paraId="5B329A93" w14:textId="77777777" w:rsidR="008B335B" w:rsidRPr="002563B1" w:rsidRDefault="008B335B" w:rsidP="00E06D5D">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642" w:type="dxa"/>
            <w:tcBorders>
              <w:top w:val="single" w:sz="4" w:space="0" w:color="auto"/>
              <w:left w:val="nil"/>
              <w:bottom w:val="single" w:sz="4" w:space="0" w:color="auto"/>
              <w:right w:val="nil"/>
            </w:tcBorders>
            <w:shd w:val="clear" w:color="auto" w:fill="auto"/>
            <w:noWrap/>
            <w:vAlign w:val="center"/>
          </w:tcPr>
          <w:p w14:paraId="3F60E945" w14:textId="77777777" w:rsidR="008B335B" w:rsidRPr="002563B1" w:rsidRDefault="008B335B" w:rsidP="00E06D5D">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642" w:type="dxa"/>
            <w:tcBorders>
              <w:top w:val="single" w:sz="4" w:space="0" w:color="auto"/>
              <w:left w:val="nil"/>
              <w:bottom w:val="single" w:sz="4" w:space="0" w:color="auto"/>
              <w:right w:val="nil"/>
            </w:tcBorders>
            <w:shd w:val="clear" w:color="auto" w:fill="auto"/>
            <w:noWrap/>
            <w:vAlign w:val="center"/>
          </w:tcPr>
          <w:p w14:paraId="03E1DD2D" w14:textId="77777777" w:rsidR="008B335B" w:rsidRPr="002563B1" w:rsidRDefault="008B335B" w:rsidP="00E06D5D">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642" w:type="dxa"/>
            <w:tcBorders>
              <w:top w:val="single" w:sz="4" w:space="0" w:color="auto"/>
              <w:left w:val="nil"/>
              <w:bottom w:val="single" w:sz="4" w:space="0" w:color="auto"/>
              <w:right w:val="nil"/>
            </w:tcBorders>
            <w:shd w:val="clear" w:color="auto" w:fill="auto"/>
            <w:noWrap/>
            <w:vAlign w:val="center"/>
          </w:tcPr>
          <w:p w14:paraId="0AEECA69" w14:textId="77777777" w:rsidR="008B335B" w:rsidRPr="002563B1" w:rsidRDefault="008B335B" w:rsidP="00E06D5D">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642" w:type="dxa"/>
            <w:tcBorders>
              <w:top w:val="single" w:sz="4" w:space="0" w:color="auto"/>
              <w:left w:val="nil"/>
              <w:bottom w:val="single" w:sz="4" w:space="0" w:color="auto"/>
              <w:right w:val="nil"/>
            </w:tcBorders>
            <w:shd w:val="clear" w:color="auto" w:fill="auto"/>
            <w:noWrap/>
            <w:vAlign w:val="center"/>
          </w:tcPr>
          <w:p w14:paraId="05D7E76E" w14:textId="77777777" w:rsidR="008B335B" w:rsidRPr="002563B1" w:rsidRDefault="008B335B" w:rsidP="00E06D5D">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r>
      <w:tr w:rsidR="000829FA" w:rsidRPr="002563B1" w14:paraId="0B6BECC7" w14:textId="77777777" w:rsidTr="000829FA">
        <w:trPr>
          <w:trHeight w:val="300"/>
        </w:trPr>
        <w:tc>
          <w:tcPr>
            <w:tcW w:w="540" w:type="dxa"/>
            <w:tcBorders>
              <w:top w:val="single" w:sz="4" w:space="0" w:color="auto"/>
              <w:left w:val="nil"/>
              <w:bottom w:val="nil"/>
              <w:right w:val="nil"/>
            </w:tcBorders>
            <w:vAlign w:val="bottom"/>
          </w:tcPr>
          <w:p w14:paraId="08F4B6B7"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(1)</w:t>
            </w:r>
          </w:p>
        </w:tc>
        <w:tc>
          <w:tcPr>
            <w:tcW w:w="2970" w:type="dxa"/>
            <w:tcBorders>
              <w:top w:val="single" w:sz="4" w:space="0" w:color="auto"/>
              <w:left w:val="nil"/>
              <w:bottom w:val="nil"/>
              <w:right w:val="nil"/>
            </w:tcBorders>
            <w:shd w:val="clear" w:color="auto" w:fill="auto"/>
            <w:noWrap/>
            <w:vAlign w:val="bottom"/>
            <w:hideMark/>
          </w:tcPr>
          <w:p w14:paraId="2F123AE3" w14:textId="5D147EB8" w:rsidR="000829FA" w:rsidRPr="002B572D" w:rsidRDefault="000829FA" w:rsidP="002563B1">
            <w:pPr>
              <w:rPr>
                <w:rFonts w:eastAsia="Times New Roman" w:cs="Times New Roman"/>
                <w:color w:val="000000"/>
                <w:sz w:val="16"/>
                <w:szCs w:val="16"/>
              </w:rPr>
            </w:pPr>
            <w:r>
              <w:rPr>
                <w:rFonts w:eastAsia="Times New Roman" w:cs="Times New Roman"/>
                <w:color w:val="000000"/>
                <w:sz w:val="16"/>
                <w:szCs w:val="16"/>
              </w:rPr>
              <w:t>Changes in Carbon emissions (2009-2004)</w:t>
            </w:r>
            <w:r w:rsidRPr="002B572D">
              <w:rPr>
                <w:rFonts w:eastAsia="Times New Roman" w:cs="Times New Roman"/>
                <w:color w:val="000000"/>
                <w:sz w:val="16"/>
                <w:szCs w:val="16"/>
              </w:rPr>
              <w:t xml:space="preserve"> </w:t>
            </w:r>
          </w:p>
        </w:tc>
        <w:tc>
          <w:tcPr>
            <w:tcW w:w="720" w:type="dxa"/>
            <w:tcBorders>
              <w:top w:val="single" w:sz="4" w:space="0" w:color="auto"/>
              <w:left w:val="nil"/>
              <w:bottom w:val="nil"/>
              <w:right w:val="nil"/>
            </w:tcBorders>
            <w:vAlign w:val="bottom"/>
          </w:tcPr>
          <w:p w14:paraId="24000337" w14:textId="190F1E08"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-22847</w:t>
            </w:r>
          </w:p>
        </w:tc>
        <w:tc>
          <w:tcPr>
            <w:tcW w:w="744" w:type="dxa"/>
            <w:tcBorders>
              <w:top w:val="single" w:sz="4" w:space="0" w:color="auto"/>
              <w:left w:val="nil"/>
              <w:bottom w:val="nil"/>
              <w:right w:val="nil"/>
            </w:tcBorders>
            <w:vAlign w:val="bottom"/>
          </w:tcPr>
          <w:p w14:paraId="2F1D4B6B" w14:textId="39532620"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182859</w:t>
            </w:r>
          </w:p>
        </w:tc>
        <w:tc>
          <w:tcPr>
            <w:tcW w:w="642" w:type="dxa"/>
            <w:tcBorders>
              <w:top w:val="single" w:sz="4" w:space="0" w:color="auto"/>
              <w:left w:val="nil"/>
              <w:bottom w:val="nil"/>
              <w:right w:val="nil"/>
            </w:tcBorders>
            <w:shd w:val="clear" w:color="auto" w:fill="auto"/>
            <w:noWrap/>
            <w:vAlign w:val="bottom"/>
            <w:hideMark/>
          </w:tcPr>
          <w:p w14:paraId="6969D6FA" w14:textId="1BD40054" w:rsidR="000829FA" w:rsidRPr="000829FA" w:rsidRDefault="000829FA" w:rsidP="002563B1">
            <w:pPr>
              <w:rPr>
                <w:rFonts w:ascii="Calibri" w:eastAsia="Times New Roman" w:hAnsi="Calibri" w:cs="Times New Roman"/>
                <w:color w:val="000000"/>
                <w:sz w:val="16"/>
                <w:szCs w:val="16"/>
              </w:rPr>
            </w:pPr>
          </w:p>
        </w:tc>
        <w:tc>
          <w:tcPr>
            <w:tcW w:w="642" w:type="dxa"/>
            <w:tcBorders>
              <w:top w:val="single" w:sz="4" w:space="0" w:color="auto"/>
              <w:left w:val="nil"/>
              <w:bottom w:val="nil"/>
              <w:right w:val="nil"/>
            </w:tcBorders>
            <w:shd w:val="clear" w:color="auto" w:fill="auto"/>
            <w:noWrap/>
            <w:vAlign w:val="bottom"/>
            <w:hideMark/>
          </w:tcPr>
          <w:p w14:paraId="1C691DB9"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single" w:sz="4" w:space="0" w:color="auto"/>
              <w:left w:val="nil"/>
              <w:bottom w:val="nil"/>
              <w:right w:val="nil"/>
            </w:tcBorders>
            <w:shd w:val="clear" w:color="auto" w:fill="auto"/>
            <w:noWrap/>
            <w:vAlign w:val="bottom"/>
            <w:hideMark/>
          </w:tcPr>
          <w:p w14:paraId="07A60113"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single" w:sz="4" w:space="0" w:color="auto"/>
              <w:left w:val="nil"/>
              <w:bottom w:val="nil"/>
              <w:right w:val="nil"/>
            </w:tcBorders>
            <w:shd w:val="clear" w:color="auto" w:fill="auto"/>
            <w:noWrap/>
            <w:vAlign w:val="bottom"/>
            <w:hideMark/>
          </w:tcPr>
          <w:p w14:paraId="0683F898"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single" w:sz="4" w:space="0" w:color="auto"/>
              <w:left w:val="nil"/>
              <w:bottom w:val="nil"/>
              <w:right w:val="nil"/>
            </w:tcBorders>
            <w:shd w:val="clear" w:color="auto" w:fill="auto"/>
            <w:noWrap/>
            <w:vAlign w:val="bottom"/>
            <w:hideMark/>
          </w:tcPr>
          <w:p w14:paraId="0FE485A9"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single" w:sz="4" w:space="0" w:color="auto"/>
              <w:left w:val="nil"/>
              <w:bottom w:val="nil"/>
              <w:right w:val="nil"/>
            </w:tcBorders>
            <w:shd w:val="clear" w:color="auto" w:fill="auto"/>
            <w:noWrap/>
            <w:vAlign w:val="bottom"/>
            <w:hideMark/>
          </w:tcPr>
          <w:p w14:paraId="4CE85ED7"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single" w:sz="4" w:space="0" w:color="auto"/>
              <w:left w:val="nil"/>
              <w:bottom w:val="nil"/>
              <w:right w:val="nil"/>
            </w:tcBorders>
            <w:shd w:val="clear" w:color="auto" w:fill="auto"/>
            <w:noWrap/>
            <w:vAlign w:val="bottom"/>
            <w:hideMark/>
          </w:tcPr>
          <w:p w14:paraId="098B2BA9"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single" w:sz="4" w:space="0" w:color="auto"/>
              <w:left w:val="nil"/>
              <w:bottom w:val="nil"/>
              <w:right w:val="nil"/>
            </w:tcBorders>
            <w:shd w:val="clear" w:color="auto" w:fill="auto"/>
            <w:noWrap/>
            <w:vAlign w:val="bottom"/>
            <w:hideMark/>
          </w:tcPr>
          <w:p w14:paraId="3B16A5CC"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single" w:sz="4" w:space="0" w:color="auto"/>
              <w:left w:val="nil"/>
              <w:bottom w:val="nil"/>
              <w:right w:val="nil"/>
            </w:tcBorders>
            <w:shd w:val="clear" w:color="auto" w:fill="auto"/>
            <w:noWrap/>
            <w:vAlign w:val="bottom"/>
            <w:hideMark/>
          </w:tcPr>
          <w:p w14:paraId="6EE34DCF"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single" w:sz="4" w:space="0" w:color="auto"/>
              <w:left w:val="nil"/>
              <w:bottom w:val="nil"/>
              <w:right w:val="nil"/>
            </w:tcBorders>
            <w:shd w:val="clear" w:color="auto" w:fill="auto"/>
            <w:noWrap/>
            <w:vAlign w:val="bottom"/>
            <w:hideMark/>
          </w:tcPr>
          <w:p w14:paraId="212D0213"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single" w:sz="4" w:space="0" w:color="auto"/>
              <w:left w:val="nil"/>
              <w:bottom w:val="nil"/>
              <w:right w:val="nil"/>
            </w:tcBorders>
            <w:shd w:val="clear" w:color="auto" w:fill="auto"/>
            <w:noWrap/>
            <w:vAlign w:val="bottom"/>
            <w:hideMark/>
          </w:tcPr>
          <w:p w14:paraId="56B560C0"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single" w:sz="4" w:space="0" w:color="auto"/>
              <w:left w:val="nil"/>
              <w:bottom w:val="nil"/>
              <w:right w:val="nil"/>
            </w:tcBorders>
            <w:shd w:val="clear" w:color="auto" w:fill="auto"/>
            <w:noWrap/>
            <w:vAlign w:val="bottom"/>
            <w:hideMark/>
          </w:tcPr>
          <w:p w14:paraId="074D9B64"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single" w:sz="4" w:space="0" w:color="auto"/>
              <w:left w:val="nil"/>
              <w:bottom w:val="nil"/>
              <w:right w:val="nil"/>
            </w:tcBorders>
            <w:shd w:val="clear" w:color="auto" w:fill="auto"/>
            <w:noWrap/>
            <w:vAlign w:val="bottom"/>
            <w:hideMark/>
          </w:tcPr>
          <w:p w14:paraId="474F058C" w14:textId="77777777" w:rsidR="000829FA" w:rsidRPr="000829FA" w:rsidRDefault="000829FA" w:rsidP="002563B1">
            <w:pPr>
              <w:rPr>
                <w:rFonts w:ascii="Calibri" w:eastAsia="Times New Roman" w:hAnsi="Calibri" w:cs="Times New Roman"/>
                <w:color w:val="000000"/>
                <w:sz w:val="16"/>
                <w:szCs w:val="16"/>
              </w:rPr>
            </w:pPr>
          </w:p>
        </w:tc>
      </w:tr>
      <w:tr w:rsidR="000829FA" w:rsidRPr="002563B1" w14:paraId="66B5187E" w14:textId="77777777" w:rsidTr="000829FA">
        <w:trPr>
          <w:trHeight w:val="300"/>
        </w:trPr>
        <w:tc>
          <w:tcPr>
            <w:tcW w:w="540" w:type="dxa"/>
            <w:tcBorders>
              <w:top w:val="nil"/>
              <w:left w:val="nil"/>
              <w:bottom w:val="nil"/>
              <w:right w:val="nil"/>
            </w:tcBorders>
            <w:vAlign w:val="bottom"/>
          </w:tcPr>
          <w:p w14:paraId="466757DF"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(2)</w:t>
            </w:r>
          </w:p>
        </w:tc>
        <w:tc>
          <w:tcPr>
            <w:tcW w:w="2970" w:type="dxa"/>
            <w:tcBorders>
              <w:top w:val="nil"/>
              <w:left w:val="nil"/>
              <w:bottom w:val="nil"/>
              <w:right w:val="nil"/>
            </w:tcBorders>
            <w:shd w:val="clear" w:color="auto" w:fill="auto"/>
            <w:noWrap/>
            <w:vAlign w:val="bottom"/>
            <w:hideMark/>
          </w:tcPr>
          <w:p w14:paraId="05A2EE17" w14:textId="1296B05D" w:rsidR="000829FA" w:rsidRPr="002B572D" w:rsidRDefault="000829FA" w:rsidP="002563B1">
            <w:pPr>
              <w:rPr>
                <w:rFonts w:eastAsia="Times New Roman" w:cs="Times New Roman"/>
                <w:color w:val="000000"/>
                <w:sz w:val="16"/>
                <w:szCs w:val="16"/>
              </w:rPr>
            </w:pPr>
            <w:r w:rsidRPr="002B572D">
              <w:rPr>
                <w:rFonts w:eastAsia="Times New Roman" w:cs="Times New Roman"/>
                <w:color w:val="000000"/>
                <w:sz w:val="16"/>
                <w:szCs w:val="16"/>
              </w:rPr>
              <w:t xml:space="preserve">Firm size </w:t>
            </w:r>
          </w:p>
        </w:tc>
        <w:tc>
          <w:tcPr>
            <w:tcW w:w="720" w:type="dxa"/>
            <w:tcBorders>
              <w:top w:val="nil"/>
              <w:left w:val="nil"/>
              <w:bottom w:val="nil"/>
              <w:right w:val="nil"/>
            </w:tcBorders>
            <w:vAlign w:val="bottom"/>
          </w:tcPr>
          <w:p w14:paraId="12FB082F" w14:textId="4CFDBDAE"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10.231</w:t>
            </w:r>
          </w:p>
        </w:tc>
        <w:tc>
          <w:tcPr>
            <w:tcW w:w="744" w:type="dxa"/>
            <w:tcBorders>
              <w:top w:val="nil"/>
              <w:left w:val="nil"/>
              <w:bottom w:val="nil"/>
              <w:right w:val="nil"/>
            </w:tcBorders>
            <w:vAlign w:val="bottom"/>
          </w:tcPr>
          <w:p w14:paraId="4D30073A" w14:textId="0AAD3C31"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2.542</w:t>
            </w:r>
          </w:p>
        </w:tc>
        <w:tc>
          <w:tcPr>
            <w:tcW w:w="642" w:type="dxa"/>
            <w:tcBorders>
              <w:top w:val="nil"/>
              <w:left w:val="nil"/>
              <w:bottom w:val="nil"/>
              <w:right w:val="nil"/>
            </w:tcBorders>
            <w:shd w:val="clear" w:color="auto" w:fill="auto"/>
            <w:noWrap/>
            <w:vAlign w:val="bottom"/>
            <w:hideMark/>
          </w:tcPr>
          <w:p w14:paraId="5694A74B" w14:textId="755A5B95"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-0.265</w:t>
            </w:r>
          </w:p>
        </w:tc>
        <w:tc>
          <w:tcPr>
            <w:tcW w:w="642" w:type="dxa"/>
            <w:tcBorders>
              <w:top w:val="nil"/>
              <w:left w:val="nil"/>
              <w:bottom w:val="nil"/>
              <w:right w:val="nil"/>
            </w:tcBorders>
            <w:shd w:val="clear" w:color="auto" w:fill="auto"/>
            <w:noWrap/>
            <w:vAlign w:val="bottom"/>
            <w:hideMark/>
          </w:tcPr>
          <w:p w14:paraId="1FE2D844"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5C8F7162"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05FD9DCA"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6D9AF20C"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6C44A1E1"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200327C1"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3418EA0F"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3AD81E36"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00BD284"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3097BDB6"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4855CBF4"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E7E2B81" w14:textId="77777777" w:rsidR="000829FA" w:rsidRPr="000829FA" w:rsidRDefault="000829FA" w:rsidP="002563B1">
            <w:pPr>
              <w:rPr>
                <w:rFonts w:ascii="Calibri" w:eastAsia="Times New Roman" w:hAnsi="Calibri" w:cs="Times New Roman"/>
                <w:color w:val="000000"/>
                <w:sz w:val="16"/>
                <w:szCs w:val="16"/>
              </w:rPr>
            </w:pPr>
          </w:p>
        </w:tc>
      </w:tr>
      <w:tr w:rsidR="000829FA" w:rsidRPr="002563B1" w14:paraId="07258783" w14:textId="77777777" w:rsidTr="000829FA">
        <w:trPr>
          <w:trHeight w:val="300"/>
        </w:trPr>
        <w:tc>
          <w:tcPr>
            <w:tcW w:w="540" w:type="dxa"/>
            <w:tcBorders>
              <w:top w:val="nil"/>
              <w:left w:val="nil"/>
              <w:bottom w:val="nil"/>
              <w:right w:val="nil"/>
            </w:tcBorders>
            <w:vAlign w:val="bottom"/>
          </w:tcPr>
          <w:p w14:paraId="4C79987A"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(3)</w:t>
            </w:r>
          </w:p>
        </w:tc>
        <w:tc>
          <w:tcPr>
            <w:tcW w:w="2970" w:type="dxa"/>
            <w:tcBorders>
              <w:top w:val="nil"/>
              <w:left w:val="nil"/>
              <w:bottom w:val="nil"/>
              <w:right w:val="nil"/>
            </w:tcBorders>
            <w:shd w:val="clear" w:color="auto" w:fill="auto"/>
            <w:noWrap/>
            <w:vAlign w:val="bottom"/>
            <w:hideMark/>
          </w:tcPr>
          <w:p w14:paraId="6FDB6013" w14:textId="114D1678" w:rsidR="000829FA" w:rsidRPr="002B572D" w:rsidRDefault="000829FA" w:rsidP="002563B1">
            <w:pPr>
              <w:rPr>
                <w:rFonts w:eastAsia="Times New Roman" w:cs="Times New Roman"/>
                <w:color w:val="000000"/>
                <w:sz w:val="16"/>
                <w:szCs w:val="16"/>
              </w:rPr>
            </w:pPr>
            <w:r w:rsidRPr="002B572D">
              <w:rPr>
                <w:rFonts w:eastAsia="Times New Roman" w:cs="Times New Roman"/>
                <w:color w:val="000000"/>
                <w:sz w:val="16"/>
                <w:szCs w:val="16"/>
              </w:rPr>
              <w:t>Carbon intensity</w:t>
            </w:r>
          </w:p>
        </w:tc>
        <w:tc>
          <w:tcPr>
            <w:tcW w:w="720" w:type="dxa"/>
            <w:tcBorders>
              <w:top w:val="nil"/>
              <w:left w:val="nil"/>
              <w:bottom w:val="nil"/>
              <w:right w:val="nil"/>
            </w:tcBorders>
            <w:vAlign w:val="bottom"/>
          </w:tcPr>
          <w:p w14:paraId="15CAC6A5" w14:textId="74D4F69F"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615.89</w:t>
            </w:r>
          </w:p>
        </w:tc>
        <w:tc>
          <w:tcPr>
            <w:tcW w:w="744" w:type="dxa"/>
            <w:tcBorders>
              <w:top w:val="nil"/>
              <w:left w:val="nil"/>
              <w:bottom w:val="nil"/>
              <w:right w:val="nil"/>
            </w:tcBorders>
            <w:vAlign w:val="bottom"/>
          </w:tcPr>
          <w:p w14:paraId="6CB2E513" w14:textId="6C0B55D2"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314.03</w:t>
            </w:r>
          </w:p>
        </w:tc>
        <w:tc>
          <w:tcPr>
            <w:tcW w:w="642" w:type="dxa"/>
            <w:tcBorders>
              <w:top w:val="nil"/>
              <w:left w:val="nil"/>
              <w:bottom w:val="nil"/>
              <w:right w:val="nil"/>
            </w:tcBorders>
            <w:shd w:val="clear" w:color="auto" w:fill="auto"/>
            <w:noWrap/>
            <w:vAlign w:val="bottom"/>
            <w:hideMark/>
          </w:tcPr>
          <w:p w14:paraId="4E01BE59" w14:textId="2E0C5325"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-0.151</w:t>
            </w:r>
          </w:p>
        </w:tc>
        <w:tc>
          <w:tcPr>
            <w:tcW w:w="642" w:type="dxa"/>
            <w:tcBorders>
              <w:top w:val="nil"/>
              <w:left w:val="nil"/>
              <w:bottom w:val="nil"/>
              <w:right w:val="nil"/>
            </w:tcBorders>
            <w:shd w:val="clear" w:color="auto" w:fill="auto"/>
            <w:noWrap/>
            <w:vAlign w:val="bottom"/>
            <w:hideMark/>
          </w:tcPr>
          <w:p w14:paraId="33F04981" w14:textId="57F52C22"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0.044</w:t>
            </w:r>
          </w:p>
        </w:tc>
        <w:tc>
          <w:tcPr>
            <w:tcW w:w="642" w:type="dxa"/>
            <w:tcBorders>
              <w:top w:val="nil"/>
              <w:left w:val="nil"/>
              <w:bottom w:val="nil"/>
              <w:right w:val="nil"/>
            </w:tcBorders>
            <w:shd w:val="clear" w:color="auto" w:fill="auto"/>
            <w:noWrap/>
            <w:vAlign w:val="bottom"/>
            <w:hideMark/>
          </w:tcPr>
          <w:p w14:paraId="2440A64B"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5F384936"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0D5D7EC7"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56D549D2"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4F7DD99A"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2A11BA65"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0528792E"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7CBD8DEF"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0EFAFAD2"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4D74FA78"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BB99F91" w14:textId="77777777" w:rsidR="000829FA" w:rsidRPr="000829FA" w:rsidRDefault="000829FA" w:rsidP="002563B1">
            <w:pPr>
              <w:rPr>
                <w:rFonts w:ascii="Calibri" w:eastAsia="Times New Roman" w:hAnsi="Calibri" w:cs="Times New Roman"/>
                <w:color w:val="000000"/>
                <w:sz w:val="16"/>
                <w:szCs w:val="16"/>
              </w:rPr>
            </w:pPr>
          </w:p>
        </w:tc>
      </w:tr>
      <w:tr w:rsidR="000829FA" w:rsidRPr="002563B1" w14:paraId="4514DDCB" w14:textId="77777777" w:rsidTr="000829FA">
        <w:trPr>
          <w:trHeight w:val="300"/>
        </w:trPr>
        <w:tc>
          <w:tcPr>
            <w:tcW w:w="540" w:type="dxa"/>
            <w:tcBorders>
              <w:top w:val="nil"/>
              <w:left w:val="nil"/>
              <w:bottom w:val="nil"/>
              <w:right w:val="nil"/>
            </w:tcBorders>
            <w:vAlign w:val="bottom"/>
          </w:tcPr>
          <w:p w14:paraId="45CC537A"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(4)</w:t>
            </w:r>
          </w:p>
        </w:tc>
        <w:tc>
          <w:tcPr>
            <w:tcW w:w="2970" w:type="dxa"/>
            <w:tcBorders>
              <w:top w:val="nil"/>
              <w:left w:val="nil"/>
              <w:bottom w:val="nil"/>
              <w:right w:val="nil"/>
            </w:tcBorders>
            <w:shd w:val="clear" w:color="auto" w:fill="auto"/>
            <w:noWrap/>
            <w:vAlign w:val="bottom"/>
            <w:hideMark/>
          </w:tcPr>
          <w:p w14:paraId="4AAB5393" w14:textId="6F37D793" w:rsidR="000829FA" w:rsidRPr="002B572D" w:rsidRDefault="000829FA" w:rsidP="002563B1">
            <w:pPr>
              <w:rPr>
                <w:rFonts w:eastAsia="Times New Roman" w:cs="Times New Roman"/>
                <w:color w:val="000000"/>
                <w:sz w:val="16"/>
                <w:szCs w:val="16"/>
              </w:rPr>
            </w:pPr>
            <w:r w:rsidRPr="002B572D">
              <w:rPr>
                <w:rFonts w:eastAsia="Times New Roman" w:cs="Times New Roman"/>
                <w:color w:val="000000"/>
                <w:sz w:val="16"/>
                <w:szCs w:val="16"/>
              </w:rPr>
              <w:t>Fossil fuel</w:t>
            </w:r>
          </w:p>
        </w:tc>
        <w:tc>
          <w:tcPr>
            <w:tcW w:w="720" w:type="dxa"/>
            <w:tcBorders>
              <w:top w:val="nil"/>
              <w:left w:val="nil"/>
              <w:bottom w:val="nil"/>
              <w:right w:val="nil"/>
            </w:tcBorders>
            <w:vAlign w:val="bottom"/>
          </w:tcPr>
          <w:p w14:paraId="11523D85" w14:textId="7EA9092B"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0.896</w:t>
            </w:r>
          </w:p>
        </w:tc>
        <w:tc>
          <w:tcPr>
            <w:tcW w:w="744" w:type="dxa"/>
            <w:tcBorders>
              <w:top w:val="nil"/>
              <w:left w:val="nil"/>
              <w:bottom w:val="nil"/>
              <w:right w:val="nil"/>
            </w:tcBorders>
            <w:vAlign w:val="bottom"/>
          </w:tcPr>
          <w:p w14:paraId="0D4DE510" w14:textId="49A48B4C"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0.259</w:t>
            </w:r>
          </w:p>
        </w:tc>
        <w:tc>
          <w:tcPr>
            <w:tcW w:w="642" w:type="dxa"/>
            <w:tcBorders>
              <w:top w:val="nil"/>
              <w:left w:val="nil"/>
              <w:bottom w:val="nil"/>
              <w:right w:val="nil"/>
            </w:tcBorders>
            <w:shd w:val="clear" w:color="auto" w:fill="auto"/>
            <w:noWrap/>
            <w:vAlign w:val="bottom"/>
            <w:hideMark/>
          </w:tcPr>
          <w:p w14:paraId="29B20997" w14:textId="0B71947B"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-0.026</w:t>
            </w:r>
          </w:p>
        </w:tc>
        <w:tc>
          <w:tcPr>
            <w:tcW w:w="642" w:type="dxa"/>
            <w:tcBorders>
              <w:top w:val="nil"/>
              <w:left w:val="nil"/>
              <w:bottom w:val="nil"/>
              <w:right w:val="nil"/>
            </w:tcBorders>
            <w:shd w:val="clear" w:color="auto" w:fill="auto"/>
            <w:noWrap/>
            <w:vAlign w:val="bottom"/>
            <w:hideMark/>
          </w:tcPr>
          <w:p w14:paraId="2E26C1DE" w14:textId="59664778"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-0.154</w:t>
            </w:r>
          </w:p>
        </w:tc>
        <w:tc>
          <w:tcPr>
            <w:tcW w:w="642" w:type="dxa"/>
            <w:tcBorders>
              <w:top w:val="nil"/>
              <w:left w:val="nil"/>
              <w:bottom w:val="nil"/>
              <w:right w:val="nil"/>
            </w:tcBorders>
            <w:shd w:val="clear" w:color="auto" w:fill="auto"/>
            <w:noWrap/>
            <w:vAlign w:val="bottom"/>
            <w:hideMark/>
          </w:tcPr>
          <w:p w14:paraId="1FE83D96" w14:textId="349C4006"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0.522</w:t>
            </w:r>
          </w:p>
        </w:tc>
        <w:tc>
          <w:tcPr>
            <w:tcW w:w="642" w:type="dxa"/>
            <w:tcBorders>
              <w:top w:val="nil"/>
              <w:left w:val="nil"/>
              <w:bottom w:val="nil"/>
              <w:right w:val="nil"/>
            </w:tcBorders>
            <w:shd w:val="clear" w:color="auto" w:fill="auto"/>
            <w:noWrap/>
            <w:vAlign w:val="bottom"/>
            <w:hideMark/>
          </w:tcPr>
          <w:p w14:paraId="2B8F7876"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3A0D1FF5"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248FD2B9"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3C93B915"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0A30251C"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740C6BC6"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B8F8B82"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6CE7C860"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2FEF607"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5A31146D" w14:textId="77777777" w:rsidR="000829FA" w:rsidRPr="000829FA" w:rsidRDefault="000829FA" w:rsidP="002563B1">
            <w:pPr>
              <w:rPr>
                <w:rFonts w:ascii="Calibri" w:eastAsia="Times New Roman" w:hAnsi="Calibri" w:cs="Times New Roman"/>
                <w:color w:val="000000"/>
                <w:sz w:val="16"/>
                <w:szCs w:val="16"/>
              </w:rPr>
            </w:pPr>
          </w:p>
        </w:tc>
      </w:tr>
      <w:tr w:rsidR="000829FA" w:rsidRPr="002563B1" w14:paraId="05066740" w14:textId="77777777" w:rsidTr="000829FA">
        <w:trPr>
          <w:trHeight w:val="300"/>
        </w:trPr>
        <w:tc>
          <w:tcPr>
            <w:tcW w:w="540" w:type="dxa"/>
            <w:tcBorders>
              <w:top w:val="nil"/>
              <w:left w:val="nil"/>
              <w:bottom w:val="nil"/>
              <w:right w:val="nil"/>
            </w:tcBorders>
            <w:vAlign w:val="bottom"/>
          </w:tcPr>
          <w:p w14:paraId="4C8D9FBE"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(5)</w:t>
            </w:r>
          </w:p>
        </w:tc>
        <w:tc>
          <w:tcPr>
            <w:tcW w:w="2970" w:type="dxa"/>
            <w:tcBorders>
              <w:top w:val="nil"/>
              <w:left w:val="nil"/>
              <w:bottom w:val="nil"/>
              <w:right w:val="nil"/>
            </w:tcBorders>
            <w:shd w:val="clear" w:color="auto" w:fill="auto"/>
            <w:noWrap/>
            <w:vAlign w:val="bottom"/>
            <w:hideMark/>
          </w:tcPr>
          <w:p w14:paraId="7036248C" w14:textId="1DEAD7F6" w:rsidR="000829FA" w:rsidRPr="002B572D" w:rsidRDefault="000829FA" w:rsidP="002563B1">
            <w:pPr>
              <w:rPr>
                <w:rFonts w:eastAsia="Times New Roman" w:cs="Times New Roman"/>
                <w:color w:val="000000"/>
                <w:sz w:val="16"/>
                <w:szCs w:val="16"/>
              </w:rPr>
            </w:pPr>
            <w:r w:rsidRPr="002B572D">
              <w:rPr>
                <w:rFonts w:eastAsia="Times New Roman" w:cs="Times New Roman"/>
                <w:color w:val="000000"/>
                <w:sz w:val="16"/>
                <w:szCs w:val="16"/>
              </w:rPr>
              <w:t>Competition</w:t>
            </w:r>
          </w:p>
        </w:tc>
        <w:tc>
          <w:tcPr>
            <w:tcW w:w="720" w:type="dxa"/>
            <w:tcBorders>
              <w:top w:val="nil"/>
              <w:left w:val="nil"/>
              <w:bottom w:val="nil"/>
              <w:right w:val="nil"/>
            </w:tcBorders>
            <w:vAlign w:val="bottom"/>
          </w:tcPr>
          <w:p w14:paraId="2183BF8D" w14:textId="635AF2E9"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0.051</w:t>
            </w:r>
          </w:p>
        </w:tc>
        <w:tc>
          <w:tcPr>
            <w:tcW w:w="744" w:type="dxa"/>
            <w:tcBorders>
              <w:top w:val="nil"/>
              <w:left w:val="nil"/>
              <w:bottom w:val="nil"/>
              <w:right w:val="nil"/>
            </w:tcBorders>
            <w:vAlign w:val="bottom"/>
          </w:tcPr>
          <w:p w14:paraId="7E5E1536" w14:textId="489DB178"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0.040</w:t>
            </w:r>
          </w:p>
        </w:tc>
        <w:tc>
          <w:tcPr>
            <w:tcW w:w="642" w:type="dxa"/>
            <w:tcBorders>
              <w:top w:val="nil"/>
              <w:left w:val="nil"/>
              <w:bottom w:val="nil"/>
              <w:right w:val="nil"/>
            </w:tcBorders>
            <w:shd w:val="clear" w:color="auto" w:fill="auto"/>
            <w:noWrap/>
            <w:vAlign w:val="bottom"/>
            <w:hideMark/>
          </w:tcPr>
          <w:p w14:paraId="6824F79B" w14:textId="055DC5AB"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-0.067</w:t>
            </w:r>
          </w:p>
        </w:tc>
        <w:tc>
          <w:tcPr>
            <w:tcW w:w="642" w:type="dxa"/>
            <w:tcBorders>
              <w:top w:val="nil"/>
              <w:left w:val="nil"/>
              <w:bottom w:val="nil"/>
              <w:right w:val="nil"/>
            </w:tcBorders>
            <w:shd w:val="clear" w:color="auto" w:fill="auto"/>
            <w:noWrap/>
            <w:vAlign w:val="bottom"/>
            <w:hideMark/>
          </w:tcPr>
          <w:p w14:paraId="6D3BF31C" w14:textId="126A4AAA"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-0.029</w:t>
            </w:r>
          </w:p>
        </w:tc>
        <w:tc>
          <w:tcPr>
            <w:tcW w:w="642" w:type="dxa"/>
            <w:tcBorders>
              <w:top w:val="nil"/>
              <w:left w:val="nil"/>
              <w:bottom w:val="nil"/>
              <w:right w:val="nil"/>
            </w:tcBorders>
            <w:shd w:val="clear" w:color="auto" w:fill="auto"/>
            <w:noWrap/>
            <w:vAlign w:val="bottom"/>
            <w:hideMark/>
          </w:tcPr>
          <w:p w14:paraId="2FEA7867" w14:textId="493665C2"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0.016</w:t>
            </w:r>
          </w:p>
        </w:tc>
        <w:tc>
          <w:tcPr>
            <w:tcW w:w="642" w:type="dxa"/>
            <w:tcBorders>
              <w:top w:val="nil"/>
              <w:left w:val="nil"/>
              <w:bottom w:val="nil"/>
              <w:right w:val="nil"/>
            </w:tcBorders>
            <w:shd w:val="clear" w:color="auto" w:fill="auto"/>
            <w:noWrap/>
            <w:vAlign w:val="bottom"/>
            <w:hideMark/>
          </w:tcPr>
          <w:p w14:paraId="5119CB61" w14:textId="3270F4CA"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0.097</w:t>
            </w:r>
          </w:p>
        </w:tc>
        <w:tc>
          <w:tcPr>
            <w:tcW w:w="642" w:type="dxa"/>
            <w:tcBorders>
              <w:top w:val="nil"/>
              <w:left w:val="nil"/>
              <w:bottom w:val="nil"/>
              <w:right w:val="nil"/>
            </w:tcBorders>
            <w:shd w:val="clear" w:color="auto" w:fill="auto"/>
            <w:noWrap/>
            <w:vAlign w:val="bottom"/>
            <w:hideMark/>
          </w:tcPr>
          <w:p w14:paraId="659C1869"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30615B9F"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2204B6AF"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29E11BD6"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3BF5A66D"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59FE7A97"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2B1C847"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495D01F7"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0214716" w14:textId="77777777" w:rsidR="000829FA" w:rsidRPr="000829FA" w:rsidRDefault="000829FA" w:rsidP="002563B1">
            <w:pPr>
              <w:rPr>
                <w:rFonts w:ascii="Calibri" w:eastAsia="Times New Roman" w:hAnsi="Calibri" w:cs="Times New Roman"/>
                <w:color w:val="000000"/>
                <w:sz w:val="16"/>
                <w:szCs w:val="16"/>
              </w:rPr>
            </w:pPr>
          </w:p>
        </w:tc>
      </w:tr>
      <w:tr w:rsidR="000829FA" w:rsidRPr="002563B1" w14:paraId="7638CD03" w14:textId="77777777" w:rsidTr="000829FA">
        <w:trPr>
          <w:trHeight w:val="300"/>
        </w:trPr>
        <w:tc>
          <w:tcPr>
            <w:tcW w:w="540" w:type="dxa"/>
            <w:tcBorders>
              <w:top w:val="nil"/>
              <w:left w:val="nil"/>
              <w:bottom w:val="nil"/>
              <w:right w:val="nil"/>
            </w:tcBorders>
            <w:vAlign w:val="bottom"/>
          </w:tcPr>
          <w:p w14:paraId="61B3C250"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(6)</w:t>
            </w:r>
          </w:p>
        </w:tc>
        <w:tc>
          <w:tcPr>
            <w:tcW w:w="2970" w:type="dxa"/>
            <w:tcBorders>
              <w:top w:val="nil"/>
              <w:left w:val="nil"/>
              <w:bottom w:val="nil"/>
              <w:right w:val="nil"/>
            </w:tcBorders>
            <w:shd w:val="clear" w:color="auto" w:fill="auto"/>
            <w:noWrap/>
            <w:vAlign w:val="bottom"/>
            <w:hideMark/>
          </w:tcPr>
          <w:p w14:paraId="48325C84" w14:textId="1E367472" w:rsidR="000829FA" w:rsidRPr="002B572D" w:rsidRDefault="000829FA" w:rsidP="002563B1">
            <w:pPr>
              <w:rPr>
                <w:rFonts w:eastAsia="Times New Roman" w:cs="Times New Roman"/>
                <w:color w:val="000000"/>
                <w:sz w:val="16"/>
                <w:szCs w:val="16"/>
              </w:rPr>
            </w:pPr>
            <w:r w:rsidRPr="002B572D">
              <w:rPr>
                <w:rFonts w:eastAsia="Times New Roman" w:cs="Times New Roman"/>
                <w:color w:val="000000"/>
                <w:sz w:val="16"/>
                <w:szCs w:val="16"/>
              </w:rPr>
              <w:t>Return on total assets</w:t>
            </w:r>
          </w:p>
        </w:tc>
        <w:tc>
          <w:tcPr>
            <w:tcW w:w="720" w:type="dxa"/>
            <w:tcBorders>
              <w:top w:val="nil"/>
              <w:left w:val="nil"/>
              <w:bottom w:val="nil"/>
              <w:right w:val="nil"/>
            </w:tcBorders>
            <w:vAlign w:val="bottom"/>
          </w:tcPr>
          <w:p w14:paraId="11EA795E" w14:textId="66E324C8"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4.426</w:t>
            </w:r>
          </w:p>
        </w:tc>
        <w:tc>
          <w:tcPr>
            <w:tcW w:w="744" w:type="dxa"/>
            <w:tcBorders>
              <w:top w:val="nil"/>
              <w:left w:val="nil"/>
              <w:bottom w:val="nil"/>
              <w:right w:val="nil"/>
            </w:tcBorders>
            <w:vAlign w:val="bottom"/>
          </w:tcPr>
          <w:p w14:paraId="6D233EE3" w14:textId="2AE7E642"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10.068</w:t>
            </w:r>
          </w:p>
        </w:tc>
        <w:tc>
          <w:tcPr>
            <w:tcW w:w="642" w:type="dxa"/>
            <w:tcBorders>
              <w:top w:val="nil"/>
              <w:left w:val="nil"/>
              <w:bottom w:val="nil"/>
              <w:right w:val="nil"/>
            </w:tcBorders>
            <w:shd w:val="clear" w:color="auto" w:fill="auto"/>
            <w:noWrap/>
            <w:vAlign w:val="bottom"/>
            <w:hideMark/>
          </w:tcPr>
          <w:p w14:paraId="4F140B8B" w14:textId="4FA3B683"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-0.006</w:t>
            </w:r>
          </w:p>
        </w:tc>
        <w:tc>
          <w:tcPr>
            <w:tcW w:w="642" w:type="dxa"/>
            <w:tcBorders>
              <w:top w:val="nil"/>
              <w:left w:val="nil"/>
              <w:bottom w:val="nil"/>
              <w:right w:val="nil"/>
            </w:tcBorders>
            <w:shd w:val="clear" w:color="auto" w:fill="auto"/>
            <w:noWrap/>
            <w:vAlign w:val="bottom"/>
            <w:hideMark/>
          </w:tcPr>
          <w:p w14:paraId="4F0BBA4C" w14:textId="7A21BF74"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-0.106</w:t>
            </w:r>
          </w:p>
        </w:tc>
        <w:tc>
          <w:tcPr>
            <w:tcW w:w="642" w:type="dxa"/>
            <w:tcBorders>
              <w:top w:val="nil"/>
              <w:left w:val="nil"/>
              <w:bottom w:val="nil"/>
              <w:right w:val="nil"/>
            </w:tcBorders>
            <w:shd w:val="clear" w:color="auto" w:fill="auto"/>
            <w:noWrap/>
            <w:vAlign w:val="bottom"/>
            <w:hideMark/>
          </w:tcPr>
          <w:p w14:paraId="0FF6D78B" w14:textId="45DE61FA"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-0.005</w:t>
            </w:r>
          </w:p>
        </w:tc>
        <w:tc>
          <w:tcPr>
            <w:tcW w:w="642" w:type="dxa"/>
            <w:tcBorders>
              <w:top w:val="nil"/>
              <w:left w:val="nil"/>
              <w:bottom w:val="nil"/>
              <w:right w:val="nil"/>
            </w:tcBorders>
            <w:shd w:val="clear" w:color="auto" w:fill="auto"/>
            <w:noWrap/>
            <w:vAlign w:val="bottom"/>
            <w:hideMark/>
          </w:tcPr>
          <w:p w14:paraId="0BB7B27C" w14:textId="5BA42827"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-0.025</w:t>
            </w:r>
          </w:p>
        </w:tc>
        <w:tc>
          <w:tcPr>
            <w:tcW w:w="642" w:type="dxa"/>
            <w:tcBorders>
              <w:top w:val="nil"/>
              <w:left w:val="nil"/>
              <w:bottom w:val="nil"/>
              <w:right w:val="nil"/>
            </w:tcBorders>
            <w:shd w:val="clear" w:color="auto" w:fill="auto"/>
            <w:noWrap/>
            <w:vAlign w:val="bottom"/>
            <w:hideMark/>
          </w:tcPr>
          <w:p w14:paraId="2147015C" w14:textId="36CB9816"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0.013</w:t>
            </w:r>
          </w:p>
        </w:tc>
        <w:tc>
          <w:tcPr>
            <w:tcW w:w="642" w:type="dxa"/>
            <w:tcBorders>
              <w:top w:val="nil"/>
              <w:left w:val="nil"/>
              <w:bottom w:val="nil"/>
              <w:right w:val="nil"/>
            </w:tcBorders>
            <w:shd w:val="clear" w:color="auto" w:fill="auto"/>
            <w:noWrap/>
            <w:vAlign w:val="bottom"/>
            <w:hideMark/>
          </w:tcPr>
          <w:p w14:paraId="3C0BF6BF"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3205CC70"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2380B05E"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AFACB29"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2250A289"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0A7835EB"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40B92B2C"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ABA16AC" w14:textId="77777777" w:rsidR="000829FA" w:rsidRPr="000829FA" w:rsidRDefault="000829FA" w:rsidP="002563B1">
            <w:pPr>
              <w:rPr>
                <w:rFonts w:ascii="Calibri" w:eastAsia="Times New Roman" w:hAnsi="Calibri" w:cs="Times New Roman"/>
                <w:color w:val="000000"/>
                <w:sz w:val="16"/>
                <w:szCs w:val="16"/>
              </w:rPr>
            </w:pPr>
          </w:p>
        </w:tc>
      </w:tr>
      <w:tr w:rsidR="000829FA" w:rsidRPr="002563B1" w14:paraId="430B0E26" w14:textId="77777777" w:rsidTr="000829FA">
        <w:trPr>
          <w:trHeight w:val="300"/>
        </w:trPr>
        <w:tc>
          <w:tcPr>
            <w:tcW w:w="540" w:type="dxa"/>
            <w:tcBorders>
              <w:top w:val="nil"/>
              <w:left w:val="nil"/>
              <w:bottom w:val="nil"/>
              <w:right w:val="nil"/>
            </w:tcBorders>
            <w:vAlign w:val="bottom"/>
          </w:tcPr>
          <w:p w14:paraId="7C1DD79C"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(7)</w:t>
            </w:r>
          </w:p>
        </w:tc>
        <w:tc>
          <w:tcPr>
            <w:tcW w:w="2970" w:type="dxa"/>
            <w:tcBorders>
              <w:top w:val="nil"/>
              <w:left w:val="nil"/>
              <w:bottom w:val="nil"/>
              <w:right w:val="nil"/>
            </w:tcBorders>
            <w:shd w:val="clear" w:color="auto" w:fill="auto"/>
            <w:noWrap/>
            <w:vAlign w:val="bottom"/>
            <w:hideMark/>
          </w:tcPr>
          <w:p w14:paraId="1FE56EB0" w14:textId="5B577E81" w:rsidR="000829FA" w:rsidRPr="002B572D" w:rsidRDefault="000829FA" w:rsidP="002563B1">
            <w:pPr>
              <w:rPr>
                <w:rFonts w:eastAsia="Times New Roman" w:cs="Times New Roman"/>
                <w:color w:val="000000"/>
                <w:sz w:val="16"/>
                <w:szCs w:val="16"/>
              </w:rPr>
            </w:pPr>
            <w:r w:rsidRPr="002B572D">
              <w:rPr>
                <w:rFonts w:eastAsia="Times New Roman" w:cs="Times New Roman"/>
                <w:color w:val="000000"/>
                <w:sz w:val="16"/>
                <w:szCs w:val="16"/>
              </w:rPr>
              <w:t>Cash flow</w:t>
            </w:r>
          </w:p>
        </w:tc>
        <w:tc>
          <w:tcPr>
            <w:tcW w:w="720" w:type="dxa"/>
            <w:tcBorders>
              <w:top w:val="nil"/>
              <w:left w:val="nil"/>
              <w:bottom w:val="nil"/>
              <w:right w:val="nil"/>
            </w:tcBorders>
            <w:vAlign w:val="bottom"/>
          </w:tcPr>
          <w:p w14:paraId="5F8E8408" w14:textId="1169D3C3"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0.194</w:t>
            </w:r>
          </w:p>
        </w:tc>
        <w:tc>
          <w:tcPr>
            <w:tcW w:w="744" w:type="dxa"/>
            <w:tcBorders>
              <w:top w:val="nil"/>
              <w:left w:val="nil"/>
              <w:bottom w:val="nil"/>
              <w:right w:val="nil"/>
            </w:tcBorders>
            <w:vAlign w:val="bottom"/>
          </w:tcPr>
          <w:p w14:paraId="699B7E07" w14:textId="6E614344"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1.364</w:t>
            </w:r>
          </w:p>
        </w:tc>
        <w:tc>
          <w:tcPr>
            <w:tcW w:w="642" w:type="dxa"/>
            <w:tcBorders>
              <w:top w:val="nil"/>
              <w:left w:val="nil"/>
              <w:bottom w:val="nil"/>
              <w:right w:val="nil"/>
            </w:tcBorders>
            <w:shd w:val="clear" w:color="auto" w:fill="auto"/>
            <w:noWrap/>
            <w:vAlign w:val="bottom"/>
            <w:hideMark/>
          </w:tcPr>
          <w:p w14:paraId="3FD428E2" w14:textId="55E78B30"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-0.305</w:t>
            </w:r>
          </w:p>
        </w:tc>
        <w:tc>
          <w:tcPr>
            <w:tcW w:w="642" w:type="dxa"/>
            <w:tcBorders>
              <w:top w:val="nil"/>
              <w:left w:val="nil"/>
              <w:bottom w:val="nil"/>
              <w:right w:val="nil"/>
            </w:tcBorders>
            <w:shd w:val="clear" w:color="auto" w:fill="auto"/>
            <w:noWrap/>
            <w:vAlign w:val="bottom"/>
            <w:hideMark/>
          </w:tcPr>
          <w:p w14:paraId="493142DD" w14:textId="05836AED"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0.265</w:t>
            </w:r>
          </w:p>
        </w:tc>
        <w:tc>
          <w:tcPr>
            <w:tcW w:w="642" w:type="dxa"/>
            <w:tcBorders>
              <w:top w:val="nil"/>
              <w:left w:val="nil"/>
              <w:bottom w:val="nil"/>
              <w:right w:val="nil"/>
            </w:tcBorders>
            <w:shd w:val="clear" w:color="auto" w:fill="auto"/>
            <w:noWrap/>
            <w:vAlign w:val="bottom"/>
            <w:hideMark/>
          </w:tcPr>
          <w:p w14:paraId="01DEED2F" w14:textId="10C5CAA9"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0.022</w:t>
            </w:r>
          </w:p>
        </w:tc>
        <w:tc>
          <w:tcPr>
            <w:tcW w:w="642" w:type="dxa"/>
            <w:tcBorders>
              <w:top w:val="nil"/>
              <w:left w:val="nil"/>
              <w:bottom w:val="nil"/>
              <w:right w:val="nil"/>
            </w:tcBorders>
            <w:shd w:val="clear" w:color="auto" w:fill="auto"/>
            <w:noWrap/>
            <w:vAlign w:val="bottom"/>
            <w:hideMark/>
          </w:tcPr>
          <w:p w14:paraId="603DCFD5" w14:textId="02C076AA"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-0.062</w:t>
            </w:r>
          </w:p>
        </w:tc>
        <w:tc>
          <w:tcPr>
            <w:tcW w:w="642" w:type="dxa"/>
            <w:tcBorders>
              <w:top w:val="nil"/>
              <w:left w:val="nil"/>
              <w:bottom w:val="nil"/>
              <w:right w:val="nil"/>
            </w:tcBorders>
            <w:shd w:val="clear" w:color="auto" w:fill="auto"/>
            <w:noWrap/>
            <w:vAlign w:val="bottom"/>
            <w:hideMark/>
          </w:tcPr>
          <w:p w14:paraId="3E5AFB38" w14:textId="6C66F3C5"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0.026</w:t>
            </w:r>
          </w:p>
        </w:tc>
        <w:tc>
          <w:tcPr>
            <w:tcW w:w="642" w:type="dxa"/>
            <w:tcBorders>
              <w:top w:val="nil"/>
              <w:left w:val="nil"/>
              <w:bottom w:val="nil"/>
              <w:right w:val="nil"/>
            </w:tcBorders>
            <w:shd w:val="clear" w:color="auto" w:fill="auto"/>
            <w:noWrap/>
            <w:vAlign w:val="bottom"/>
            <w:hideMark/>
          </w:tcPr>
          <w:p w14:paraId="43645FD8" w14:textId="348AF3D5"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0.098</w:t>
            </w:r>
          </w:p>
        </w:tc>
        <w:tc>
          <w:tcPr>
            <w:tcW w:w="642" w:type="dxa"/>
            <w:tcBorders>
              <w:top w:val="nil"/>
              <w:left w:val="nil"/>
              <w:bottom w:val="nil"/>
              <w:right w:val="nil"/>
            </w:tcBorders>
            <w:shd w:val="clear" w:color="auto" w:fill="auto"/>
            <w:noWrap/>
            <w:vAlign w:val="bottom"/>
            <w:hideMark/>
          </w:tcPr>
          <w:p w14:paraId="7CBDCCC3"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865593E"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031D5181"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6CC7B43"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3DA17210"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75A1AD8B"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568BB69D" w14:textId="77777777" w:rsidR="000829FA" w:rsidRPr="000829FA" w:rsidRDefault="000829FA" w:rsidP="002563B1">
            <w:pPr>
              <w:rPr>
                <w:rFonts w:ascii="Calibri" w:eastAsia="Times New Roman" w:hAnsi="Calibri" w:cs="Times New Roman"/>
                <w:color w:val="000000"/>
                <w:sz w:val="16"/>
                <w:szCs w:val="16"/>
              </w:rPr>
            </w:pPr>
          </w:p>
        </w:tc>
      </w:tr>
      <w:tr w:rsidR="000829FA" w:rsidRPr="002563B1" w14:paraId="7E18F20A" w14:textId="77777777" w:rsidTr="000829FA">
        <w:trPr>
          <w:trHeight w:val="300"/>
        </w:trPr>
        <w:tc>
          <w:tcPr>
            <w:tcW w:w="540" w:type="dxa"/>
            <w:tcBorders>
              <w:top w:val="nil"/>
              <w:left w:val="nil"/>
              <w:bottom w:val="nil"/>
              <w:right w:val="nil"/>
            </w:tcBorders>
            <w:vAlign w:val="bottom"/>
          </w:tcPr>
          <w:p w14:paraId="1A2A9402"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(8)</w:t>
            </w:r>
          </w:p>
        </w:tc>
        <w:tc>
          <w:tcPr>
            <w:tcW w:w="2970" w:type="dxa"/>
            <w:tcBorders>
              <w:top w:val="nil"/>
              <w:left w:val="nil"/>
              <w:bottom w:val="nil"/>
              <w:right w:val="nil"/>
            </w:tcBorders>
            <w:shd w:val="clear" w:color="auto" w:fill="auto"/>
            <w:noWrap/>
            <w:vAlign w:val="bottom"/>
            <w:hideMark/>
          </w:tcPr>
          <w:p w14:paraId="6E7CE026" w14:textId="6EB926C1" w:rsidR="000829FA" w:rsidRPr="002B572D" w:rsidRDefault="00956386" w:rsidP="002563B1">
            <w:pPr>
              <w:rPr>
                <w:rFonts w:eastAsia="Times New Roman" w:cs="Times New Roman"/>
                <w:color w:val="000000"/>
                <w:sz w:val="16"/>
                <w:szCs w:val="16"/>
              </w:rPr>
            </w:pPr>
            <w:r>
              <w:rPr>
                <w:rFonts w:eastAsia="Times New Roman" w:cs="Times New Roman"/>
                <w:color w:val="000000"/>
                <w:sz w:val="16"/>
                <w:szCs w:val="16"/>
              </w:rPr>
              <w:t>National transpositions</w:t>
            </w:r>
          </w:p>
        </w:tc>
        <w:tc>
          <w:tcPr>
            <w:tcW w:w="720" w:type="dxa"/>
            <w:tcBorders>
              <w:top w:val="nil"/>
              <w:left w:val="nil"/>
              <w:bottom w:val="nil"/>
              <w:right w:val="nil"/>
            </w:tcBorders>
            <w:vAlign w:val="bottom"/>
          </w:tcPr>
          <w:p w14:paraId="402EA802" w14:textId="40C94C87"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4.363</w:t>
            </w:r>
          </w:p>
        </w:tc>
        <w:tc>
          <w:tcPr>
            <w:tcW w:w="744" w:type="dxa"/>
            <w:tcBorders>
              <w:top w:val="nil"/>
              <w:left w:val="nil"/>
              <w:bottom w:val="nil"/>
              <w:right w:val="nil"/>
            </w:tcBorders>
            <w:vAlign w:val="bottom"/>
          </w:tcPr>
          <w:p w14:paraId="3981B09A" w14:textId="0E61FF21"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4.358</w:t>
            </w:r>
          </w:p>
        </w:tc>
        <w:tc>
          <w:tcPr>
            <w:tcW w:w="642" w:type="dxa"/>
            <w:tcBorders>
              <w:top w:val="nil"/>
              <w:left w:val="nil"/>
              <w:bottom w:val="nil"/>
              <w:right w:val="nil"/>
            </w:tcBorders>
            <w:shd w:val="clear" w:color="auto" w:fill="auto"/>
            <w:noWrap/>
            <w:vAlign w:val="bottom"/>
            <w:hideMark/>
          </w:tcPr>
          <w:p w14:paraId="47B00053" w14:textId="76D1D106"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-0.057</w:t>
            </w:r>
          </w:p>
        </w:tc>
        <w:tc>
          <w:tcPr>
            <w:tcW w:w="642" w:type="dxa"/>
            <w:tcBorders>
              <w:top w:val="nil"/>
              <w:left w:val="nil"/>
              <w:bottom w:val="nil"/>
              <w:right w:val="nil"/>
            </w:tcBorders>
            <w:shd w:val="clear" w:color="auto" w:fill="auto"/>
            <w:noWrap/>
            <w:vAlign w:val="bottom"/>
            <w:hideMark/>
          </w:tcPr>
          <w:p w14:paraId="460946FF" w14:textId="2155FCC4"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0.160</w:t>
            </w:r>
          </w:p>
        </w:tc>
        <w:tc>
          <w:tcPr>
            <w:tcW w:w="642" w:type="dxa"/>
            <w:tcBorders>
              <w:top w:val="nil"/>
              <w:left w:val="nil"/>
              <w:bottom w:val="nil"/>
              <w:right w:val="nil"/>
            </w:tcBorders>
            <w:shd w:val="clear" w:color="auto" w:fill="auto"/>
            <w:noWrap/>
            <w:vAlign w:val="bottom"/>
            <w:hideMark/>
          </w:tcPr>
          <w:p w14:paraId="6CF56C1E" w14:textId="661FCE8F"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-0.140</w:t>
            </w:r>
          </w:p>
        </w:tc>
        <w:tc>
          <w:tcPr>
            <w:tcW w:w="642" w:type="dxa"/>
            <w:tcBorders>
              <w:top w:val="nil"/>
              <w:left w:val="nil"/>
              <w:bottom w:val="nil"/>
              <w:right w:val="nil"/>
            </w:tcBorders>
            <w:shd w:val="clear" w:color="auto" w:fill="auto"/>
            <w:noWrap/>
            <w:vAlign w:val="bottom"/>
            <w:hideMark/>
          </w:tcPr>
          <w:p w14:paraId="1E419FAE" w14:textId="6BE3C146"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-0.214</w:t>
            </w:r>
          </w:p>
        </w:tc>
        <w:tc>
          <w:tcPr>
            <w:tcW w:w="642" w:type="dxa"/>
            <w:tcBorders>
              <w:top w:val="nil"/>
              <w:left w:val="nil"/>
              <w:bottom w:val="nil"/>
              <w:right w:val="nil"/>
            </w:tcBorders>
            <w:shd w:val="clear" w:color="auto" w:fill="auto"/>
            <w:noWrap/>
            <w:vAlign w:val="bottom"/>
            <w:hideMark/>
          </w:tcPr>
          <w:p w14:paraId="56979586" w14:textId="463830E1"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-0.136</w:t>
            </w:r>
          </w:p>
        </w:tc>
        <w:tc>
          <w:tcPr>
            <w:tcW w:w="642" w:type="dxa"/>
            <w:tcBorders>
              <w:top w:val="nil"/>
              <w:left w:val="nil"/>
              <w:bottom w:val="nil"/>
              <w:right w:val="nil"/>
            </w:tcBorders>
            <w:shd w:val="clear" w:color="auto" w:fill="auto"/>
            <w:noWrap/>
            <w:vAlign w:val="bottom"/>
            <w:hideMark/>
          </w:tcPr>
          <w:p w14:paraId="1050222E" w14:textId="51F07EA3"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0.013</w:t>
            </w:r>
          </w:p>
        </w:tc>
        <w:tc>
          <w:tcPr>
            <w:tcW w:w="642" w:type="dxa"/>
            <w:tcBorders>
              <w:top w:val="nil"/>
              <w:left w:val="nil"/>
              <w:bottom w:val="nil"/>
              <w:right w:val="nil"/>
            </w:tcBorders>
            <w:shd w:val="clear" w:color="auto" w:fill="auto"/>
            <w:noWrap/>
            <w:vAlign w:val="bottom"/>
            <w:hideMark/>
          </w:tcPr>
          <w:p w14:paraId="6D3BF2C9" w14:textId="63EE6FEA"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0.053</w:t>
            </w:r>
          </w:p>
        </w:tc>
        <w:tc>
          <w:tcPr>
            <w:tcW w:w="642" w:type="dxa"/>
            <w:tcBorders>
              <w:top w:val="nil"/>
              <w:left w:val="nil"/>
              <w:bottom w:val="nil"/>
              <w:right w:val="nil"/>
            </w:tcBorders>
            <w:shd w:val="clear" w:color="auto" w:fill="auto"/>
            <w:noWrap/>
            <w:vAlign w:val="bottom"/>
            <w:hideMark/>
          </w:tcPr>
          <w:p w14:paraId="2FDDEC13"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6FB673D5"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4586B7E7"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5C49E6C4"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A26E2D8"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60D932B0" w14:textId="77777777" w:rsidR="000829FA" w:rsidRPr="000829FA" w:rsidRDefault="000829FA" w:rsidP="002563B1">
            <w:pPr>
              <w:rPr>
                <w:rFonts w:ascii="Calibri" w:eastAsia="Times New Roman" w:hAnsi="Calibri" w:cs="Times New Roman"/>
                <w:color w:val="000000"/>
                <w:sz w:val="16"/>
                <w:szCs w:val="16"/>
              </w:rPr>
            </w:pPr>
          </w:p>
        </w:tc>
      </w:tr>
      <w:tr w:rsidR="000829FA" w:rsidRPr="002563B1" w14:paraId="3704E22D" w14:textId="77777777" w:rsidTr="000829FA">
        <w:trPr>
          <w:trHeight w:val="300"/>
        </w:trPr>
        <w:tc>
          <w:tcPr>
            <w:tcW w:w="540" w:type="dxa"/>
            <w:tcBorders>
              <w:top w:val="nil"/>
              <w:left w:val="nil"/>
              <w:bottom w:val="nil"/>
              <w:right w:val="nil"/>
            </w:tcBorders>
            <w:vAlign w:val="bottom"/>
          </w:tcPr>
          <w:p w14:paraId="1E0A5994"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(9)</w:t>
            </w:r>
          </w:p>
        </w:tc>
        <w:tc>
          <w:tcPr>
            <w:tcW w:w="2970" w:type="dxa"/>
            <w:tcBorders>
              <w:top w:val="nil"/>
              <w:left w:val="nil"/>
              <w:bottom w:val="nil"/>
              <w:right w:val="nil"/>
            </w:tcBorders>
            <w:shd w:val="clear" w:color="auto" w:fill="auto"/>
            <w:noWrap/>
            <w:vAlign w:val="bottom"/>
            <w:hideMark/>
          </w:tcPr>
          <w:p w14:paraId="0E1B44A2" w14:textId="0EDCAD9B" w:rsidR="000829FA" w:rsidRPr="002B572D" w:rsidRDefault="000829FA" w:rsidP="002563B1">
            <w:pPr>
              <w:rPr>
                <w:rFonts w:eastAsia="Times New Roman" w:cs="Times New Roman"/>
                <w:color w:val="000000"/>
                <w:sz w:val="16"/>
                <w:szCs w:val="16"/>
              </w:rPr>
            </w:pPr>
            <w:r w:rsidRPr="002B572D">
              <w:rPr>
                <w:rFonts w:eastAsia="Times New Roman" w:cs="Times New Roman"/>
                <w:sz w:val="16"/>
                <w:szCs w:val="16"/>
              </w:rPr>
              <w:t xml:space="preserve">Emissions </w:t>
            </w:r>
            <w:r w:rsidR="00A373F0">
              <w:rPr>
                <w:rFonts w:eastAsia="Times New Roman" w:cs="Times New Roman"/>
                <w:sz w:val="16"/>
                <w:szCs w:val="16"/>
              </w:rPr>
              <w:t>c</w:t>
            </w:r>
            <w:r w:rsidRPr="002B572D">
              <w:rPr>
                <w:rFonts w:eastAsia="Times New Roman" w:cs="Times New Roman"/>
                <w:sz w:val="16"/>
                <w:szCs w:val="16"/>
              </w:rPr>
              <w:t>ap over GDP</w:t>
            </w:r>
          </w:p>
        </w:tc>
        <w:tc>
          <w:tcPr>
            <w:tcW w:w="720" w:type="dxa"/>
            <w:tcBorders>
              <w:top w:val="nil"/>
              <w:left w:val="nil"/>
              <w:bottom w:val="nil"/>
              <w:right w:val="nil"/>
            </w:tcBorders>
            <w:vAlign w:val="bottom"/>
          </w:tcPr>
          <w:p w14:paraId="0E296587" w14:textId="67F7F9D0"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0.200</w:t>
            </w:r>
          </w:p>
        </w:tc>
        <w:tc>
          <w:tcPr>
            <w:tcW w:w="744" w:type="dxa"/>
            <w:tcBorders>
              <w:top w:val="nil"/>
              <w:left w:val="nil"/>
              <w:bottom w:val="nil"/>
              <w:right w:val="nil"/>
            </w:tcBorders>
            <w:vAlign w:val="bottom"/>
          </w:tcPr>
          <w:p w14:paraId="7F0FDD62" w14:textId="7FE0C1C2"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0.199</w:t>
            </w:r>
          </w:p>
        </w:tc>
        <w:tc>
          <w:tcPr>
            <w:tcW w:w="642" w:type="dxa"/>
            <w:tcBorders>
              <w:top w:val="nil"/>
              <w:left w:val="nil"/>
              <w:bottom w:val="nil"/>
              <w:right w:val="nil"/>
            </w:tcBorders>
            <w:shd w:val="clear" w:color="auto" w:fill="auto"/>
            <w:noWrap/>
            <w:vAlign w:val="bottom"/>
            <w:hideMark/>
          </w:tcPr>
          <w:p w14:paraId="4724A15D" w14:textId="0ABA12DC"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-0.008</w:t>
            </w:r>
          </w:p>
        </w:tc>
        <w:tc>
          <w:tcPr>
            <w:tcW w:w="642" w:type="dxa"/>
            <w:tcBorders>
              <w:top w:val="nil"/>
              <w:left w:val="nil"/>
              <w:bottom w:val="nil"/>
              <w:right w:val="nil"/>
            </w:tcBorders>
            <w:shd w:val="clear" w:color="auto" w:fill="auto"/>
            <w:noWrap/>
            <w:vAlign w:val="bottom"/>
            <w:hideMark/>
          </w:tcPr>
          <w:p w14:paraId="634F548F" w14:textId="7E6E3995"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0.051</w:t>
            </w:r>
          </w:p>
        </w:tc>
        <w:tc>
          <w:tcPr>
            <w:tcW w:w="642" w:type="dxa"/>
            <w:tcBorders>
              <w:top w:val="nil"/>
              <w:left w:val="nil"/>
              <w:bottom w:val="nil"/>
              <w:right w:val="nil"/>
            </w:tcBorders>
            <w:shd w:val="clear" w:color="auto" w:fill="auto"/>
            <w:noWrap/>
            <w:vAlign w:val="bottom"/>
            <w:hideMark/>
          </w:tcPr>
          <w:p w14:paraId="756BE1BD" w14:textId="5EE4AC32"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0.262</w:t>
            </w:r>
          </w:p>
        </w:tc>
        <w:tc>
          <w:tcPr>
            <w:tcW w:w="642" w:type="dxa"/>
            <w:tcBorders>
              <w:top w:val="nil"/>
              <w:left w:val="nil"/>
              <w:bottom w:val="nil"/>
              <w:right w:val="nil"/>
            </w:tcBorders>
            <w:shd w:val="clear" w:color="auto" w:fill="auto"/>
            <w:noWrap/>
            <w:vAlign w:val="bottom"/>
            <w:hideMark/>
          </w:tcPr>
          <w:p w14:paraId="46C01029" w14:textId="225DB5A1"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0.006</w:t>
            </w:r>
          </w:p>
        </w:tc>
        <w:tc>
          <w:tcPr>
            <w:tcW w:w="642" w:type="dxa"/>
            <w:tcBorders>
              <w:top w:val="nil"/>
              <w:left w:val="nil"/>
              <w:bottom w:val="nil"/>
              <w:right w:val="nil"/>
            </w:tcBorders>
            <w:shd w:val="clear" w:color="auto" w:fill="auto"/>
            <w:noWrap/>
            <w:vAlign w:val="bottom"/>
            <w:hideMark/>
          </w:tcPr>
          <w:p w14:paraId="5138E284" w14:textId="249433D8"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0.077</w:t>
            </w:r>
          </w:p>
        </w:tc>
        <w:tc>
          <w:tcPr>
            <w:tcW w:w="642" w:type="dxa"/>
            <w:tcBorders>
              <w:top w:val="nil"/>
              <w:left w:val="nil"/>
              <w:bottom w:val="nil"/>
              <w:right w:val="nil"/>
            </w:tcBorders>
            <w:shd w:val="clear" w:color="auto" w:fill="auto"/>
            <w:noWrap/>
            <w:vAlign w:val="bottom"/>
            <w:hideMark/>
          </w:tcPr>
          <w:p w14:paraId="0E56B1D4" w14:textId="5C38A2C7"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0.028</w:t>
            </w:r>
          </w:p>
        </w:tc>
        <w:tc>
          <w:tcPr>
            <w:tcW w:w="642" w:type="dxa"/>
            <w:tcBorders>
              <w:top w:val="nil"/>
              <w:left w:val="nil"/>
              <w:bottom w:val="nil"/>
              <w:right w:val="nil"/>
            </w:tcBorders>
            <w:shd w:val="clear" w:color="auto" w:fill="auto"/>
            <w:noWrap/>
            <w:vAlign w:val="bottom"/>
            <w:hideMark/>
          </w:tcPr>
          <w:p w14:paraId="2EF0DD9F" w14:textId="6972C6BF"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0.137</w:t>
            </w:r>
          </w:p>
        </w:tc>
        <w:tc>
          <w:tcPr>
            <w:tcW w:w="642" w:type="dxa"/>
            <w:tcBorders>
              <w:top w:val="nil"/>
              <w:left w:val="nil"/>
              <w:bottom w:val="nil"/>
              <w:right w:val="nil"/>
            </w:tcBorders>
            <w:shd w:val="clear" w:color="auto" w:fill="auto"/>
            <w:noWrap/>
            <w:vAlign w:val="bottom"/>
            <w:hideMark/>
          </w:tcPr>
          <w:p w14:paraId="6972DACD" w14:textId="6880C784"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0.031</w:t>
            </w:r>
          </w:p>
        </w:tc>
        <w:tc>
          <w:tcPr>
            <w:tcW w:w="642" w:type="dxa"/>
            <w:tcBorders>
              <w:top w:val="nil"/>
              <w:left w:val="nil"/>
              <w:bottom w:val="nil"/>
              <w:right w:val="nil"/>
            </w:tcBorders>
            <w:shd w:val="clear" w:color="auto" w:fill="auto"/>
            <w:noWrap/>
            <w:vAlign w:val="bottom"/>
            <w:hideMark/>
          </w:tcPr>
          <w:p w14:paraId="7640D398"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3002685A"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676A2188"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6D953A44"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0E93712" w14:textId="77777777" w:rsidR="000829FA" w:rsidRPr="000829FA" w:rsidRDefault="000829FA" w:rsidP="002563B1">
            <w:pPr>
              <w:rPr>
                <w:rFonts w:ascii="Calibri" w:eastAsia="Times New Roman" w:hAnsi="Calibri" w:cs="Times New Roman"/>
                <w:color w:val="000000"/>
                <w:sz w:val="16"/>
                <w:szCs w:val="16"/>
              </w:rPr>
            </w:pPr>
          </w:p>
        </w:tc>
      </w:tr>
      <w:tr w:rsidR="000829FA" w:rsidRPr="002563B1" w14:paraId="028270DB" w14:textId="77777777" w:rsidTr="000829FA">
        <w:trPr>
          <w:trHeight w:val="300"/>
        </w:trPr>
        <w:tc>
          <w:tcPr>
            <w:tcW w:w="540" w:type="dxa"/>
            <w:tcBorders>
              <w:top w:val="nil"/>
              <w:left w:val="nil"/>
              <w:bottom w:val="nil"/>
              <w:right w:val="nil"/>
            </w:tcBorders>
            <w:vAlign w:val="bottom"/>
          </w:tcPr>
          <w:p w14:paraId="5165B3FC"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(10)</w:t>
            </w:r>
          </w:p>
        </w:tc>
        <w:tc>
          <w:tcPr>
            <w:tcW w:w="2970" w:type="dxa"/>
            <w:tcBorders>
              <w:top w:val="nil"/>
              <w:left w:val="nil"/>
              <w:bottom w:val="nil"/>
              <w:right w:val="nil"/>
            </w:tcBorders>
            <w:shd w:val="clear" w:color="auto" w:fill="auto"/>
            <w:noWrap/>
            <w:vAlign w:val="bottom"/>
            <w:hideMark/>
          </w:tcPr>
          <w:p w14:paraId="45B6AA01" w14:textId="6FCDBDA6" w:rsidR="000829FA" w:rsidRPr="002B572D" w:rsidRDefault="000829FA" w:rsidP="002563B1">
            <w:pPr>
              <w:rPr>
                <w:rFonts w:eastAsia="Times New Roman" w:cs="Times New Roman"/>
                <w:color w:val="000000"/>
                <w:sz w:val="16"/>
                <w:szCs w:val="16"/>
              </w:rPr>
            </w:pPr>
            <w:r w:rsidRPr="002B572D">
              <w:rPr>
                <w:color w:val="000000"/>
                <w:sz w:val="16"/>
                <w:szCs w:val="16"/>
              </w:rPr>
              <w:t>EU support for sustainable growth</w:t>
            </w:r>
          </w:p>
        </w:tc>
        <w:tc>
          <w:tcPr>
            <w:tcW w:w="720" w:type="dxa"/>
            <w:tcBorders>
              <w:top w:val="nil"/>
              <w:left w:val="nil"/>
              <w:bottom w:val="nil"/>
              <w:right w:val="nil"/>
            </w:tcBorders>
            <w:vAlign w:val="bottom"/>
          </w:tcPr>
          <w:p w14:paraId="63AD3547" w14:textId="6ABE8DB4"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0.005</w:t>
            </w:r>
          </w:p>
        </w:tc>
        <w:tc>
          <w:tcPr>
            <w:tcW w:w="744" w:type="dxa"/>
            <w:tcBorders>
              <w:top w:val="nil"/>
              <w:left w:val="nil"/>
              <w:bottom w:val="nil"/>
              <w:right w:val="nil"/>
            </w:tcBorders>
            <w:vAlign w:val="bottom"/>
          </w:tcPr>
          <w:p w14:paraId="6ABB20A3" w14:textId="167D581A"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0.003</w:t>
            </w:r>
          </w:p>
        </w:tc>
        <w:tc>
          <w:tcPr>
            <w:tcW w:w="642" w:type="dxa"/>
            <w:tcBorders>
              <w:top w:val="nil"/>
              <w:left w:val="nil"/>
              <w:bottom w:val="nil"/>
              <w:right w:val="nil"/>
            </w:tcBorders>
            <w:shd w:val="clear" w:color="auto" w:fill="auto"/>
            <w:noWrap/>
            <w:vAlign w:val="bottom"/>
            <w:hideMark/>
          </w:tcPr>
          <w:p w14:paraId="0BA4D1F1" w14:textId="44A49751"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-0.011</w:t>
            </w:r>
          </w:p>
        </w:tc>
        <w:tc>
          <w:tcPr>
            <w:tcW w:w="642" w:type="dxa"/>
            <w:tcBorders>
              <w:top w:val="nil"/>
              <w:left w:val="nil"/>
              <w:bottom w:val="nil"/>
              <w:right w:val="nil"/>
            </w:tcBorders>
            <w:shd w:val="clear" w:color="auto" w:fill="auto"/>
            <w:noWrap/>
            <w:vAlign w:val="bottom"/>
            <w:hideMark/>
          </w:tcPr>
          <w:p w14:paraId="4D16BB67" w14:textId="38A28F11"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-0.050</w:t>
            </w:r>
          </w:p>
        </w:tc>
        <w:tc>
          <w:tcPr>
            <w:tcW w:w="642" w:type="dxa"/>
            <w:tcBorders>
              <w:top w:val="nil"/>
              <w:left w:val="nil"/>
              <w:bottom w:val="nil"/>
              <w:right w:val="nil"/>
            </w:tcBorders>
            <w:shd w:val="clear" w:color="auto" w:fill="auto"/>
            <w:noWrap/>
            <w:vAlign w:val="bottom"/>
            <w:hideMark/>
          </w:tcPr>
          <w:p w14:paraId="7C2048BD" w14:textId="6607343A"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-0.086</w:t>
            </w:r>
          </w:p>
        </w:tc>
        <w:tc>
          <w:tcPr>
            <w:tcW w:w="642" w:type="dxa"/>
            <w:tcBorders>
              <w:top w:val="nil"/>
              <w:left w:val="nil"/>
              <w:bottom w:val="nil"/>
              <w:right w:val="nil"/>
            </w:tcBorders>
            <w:shd w:val="clear" w:color="auto" w:fill="auto"/>
            <w:noWrap/>
            <w:vAlign w:val="bottom"/>
            <w:hideMark/>
          </w:tcPr>
          <w:p w14:paraId="7D937131" w14:textId="5E25EB55"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0.180</w:t>
            </w:r>
          </w:p>
        </w:tc>
        <w:tc>
          <w:tcPr>
            <w:tcW w:w="642" w:type="dxa"/>
            <w:tcBorders>
              <w:top w:val="nil"/>
              <w:left w:val="nil"/>
              <w:bottom w:val="nil"/>
              <w:right w:val="nil"/>
            </w:tcBorders>
            <w:shd w:val="clear" w:color="auto" w:fill="auto"/>
            <w:noWrap/>
            <w:vAlign w:val="bottom"/>
            <w:hideMark/>
          </w:tcPr>
          <w:p w14:paraId="1C6A72CB" w14:textId="0010591B"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0.010</w:t>
            </w:r>
          </w:p>
        </w:tc>
        <w:tc>
          <w:tcPr>
            <w:tcW w:w="642" w:type="dxa"/>
            <w:tcBorders>
              <w:top w:val="nil"/>
              <w:left w:val="nil"/>
              <w:bottom w:val="nil"/>
              <w:right w:val="nil"/>
            </w:tcBorders>
            <w:shd w:val="clear" w:color="auto" w:fill="auto"/>
            <w:noWrap/>
            <w:vAlign w:val="bottom"/>
            <w:hideMark/>
          </w:tcPr>
          <w:p w14:paraId="3AC29151" w14:textId="703A9B66"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-0.039</w:t>
            </w:r>
          </w:p>
        </w:tc>
        <w:tc>
          <w:tcPr>
            <w:tcW w:w="642" w:type="dxa"/>
            <w:tcBorders>
              <w:top w:val="nil"/>
              <w:left w:val="nil"/>
              <w:bottom w:val="nil"/>
              <w:right w:val="nil"/>
            </w:tcBorders>
            <w:shd w:val="clear" w:color="auto" w:fill="auto"/>
            <w:noWrap/>
            <w:vAlign w:val="bottom"/>
            <w:hideMark/>
          </w:tcPr>
          <w:p w14:paraId="554D9369" w14:textId="2E6D2856"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-0.106</w:t>
            </w:r>
          </w:p>
        </w:tc>
        <w:tc>
          <w:tcPr>
            <w:tcW w:w="642" w:type="dxa"/>
            <w:tcBorders>
              <w:top w:val="nil"/>
              <w:left w:val="nil"/>
              <w:bottom w:val="nil"/>
              <w:right w:val="nil"/>
            </w:tcBorders>
            <w:shd w:val="clear" w:color="auto" w:fill="auto"/>
            <w:noWrap/>
            <w:vAlign w:val="bottom"/>
            <w:hideMark/>
          </w:tcPr>
          <w:p w14:paraId="1C1D0BD2" w14:textId="2469CE32"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-0.305</w:t>
            </w:r>
          </w:p>
        </w:tc>
        <w:tc>
          <w:tcPr>
            <w:tcW w:w="642" w:type="dxa"/>
            <w:tcBorders>
              <w:top w:val="nil"/>
              <w:left w:val="nil"/>
              <w:bottom w:val="nil"/>
              <w:right w:val="nil"/>
            </w:tcBorders>
            <w:shd w:val="clear" w:color="auto" w:fill="auto"/>
            <w:noWrap/>
            <w:vAlign w:val="bottom"/>
            <w:hideMark/>
          </w:tcPr>
          <w:p w14:paraId="215B479D" w14:textId="59933199"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-0.261</w:t>
            </w:r>
          </w:p>
        </w:tc>
        <w:tc>
          <w:tcPr>
            <w:tcW w:w="642" w:type="dxa"/>
            <w:tcBorders>
              <w:top w:val="nil"/>
              <w:left w:val="nil"/>
              <w:bottom w:val="nil"/>
              <w:right w:val="nil"/>
            </w:tcBorders>
            <w:shd w:val="clear" w:color="auto" w:fill="auto"/>
            <w:noWrap/>
            <w:vAlign w:val="bottom"/>
            <w:hideMark/>
          </w:tcPr>
          <w:p w14:paraId="45D72116"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691D14AB"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BAECF7F"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1C5AF9C7" w14:textId="77777777" w:rsidR="000829FA" w:rsidRPr="000829FA" w:rsidRDefault="000829FA" w:rsidP="002563B1">
            <w:pPr>
              <w:rPr>
                <w:rFonts w:ascii="Calibri" w:eastAsia="Times New Roman" w:hAnsi="Calibri" w:cs="Times New Roman"/>
                <w:color w:val="000000"/>
                <w:sz w:val="16"/>
                <w:szCs w:val="16"/>
              </w:rPr>
            </w:pPr>
          </w:p>
        </w:tc>
      </w:tr>
      <w:tr w:rsidR="000829FA" w:rsidRPr="002563B1" w14:paraId="5F51C85A" w14:textId="77777777" w:rsidTr="000829FA">
        <w:trPr>
          <w:trHeight w:val="300"/>
        </w:trPr>
        <w:tc>
          <w:tcPr>
            <w:tcW w:w="540" w:type="dxa"/>
            <w:tcBorders>
              <w:top w:val="nil"/>
              <w:left w:val="nil"/>
              <w:bottom w:val="nil"/>
              <w:right w:val="nil"/>
            </w:tcBorders>
            <w:vAlign w:val="bottom"/>
          </w:tcPr>
          <w:p w14:paraId="61303AE1"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(11)</w:t>
            </w:r>
          </w:p>
        </w:tc>
        <w:tc>
          <w:tcPr>
            <w:tcW w:w="2970" w:type="dxa"/>
            <w:tcBorders>
              <w:top w:val="nil"/>
              <w:left w:val="nil"/>
              <w:bottom w:val="nil"/>
              <w:right w:val="nil"/>
            </w:tcBorders>
            <w:shd w:val="clear" w:color="auto" w:fill="auto"/>
            <w:noWrap/>
            <w:vAlign w:val="bottom"/>
            <w:hideMark/>
          </w:tcPr>
          <w:p w14:paraId="124FA1DC" w14:textId="47C4CB82" w:rsidR="000829FA" w:rsidRPr="002B572D" w:rsidRDefault="000829FA" w:rsidP="002563B1">
            <w:pPr>
              <w:rPr>
                <w:rFonts w:eastAsia="Times New Roman" w:cs="Times New Roman"/>
                <w:color w:val="000000"/>
                <w:sz w:val="16"/>
                <w:szCs w:val="16"/>
              </w:rPr>
            </w:pPr>
            <w:r w:rsidRPr="002B572D">
              <w:rPr>
                <w:rFonts w:eastAsia="Times New Roman" w:cs="Times New Roman"/>
                <w:sz w:val="16"/>
                <w:szCs w:val="16"/>
              </w:rPr>
              <w:t>International environmental treaty</w:t>
            </w:r>
          </w:p>
        </w:tc>
        <w:tc>
          <w:tcPr>
            <w:tcW w:w="720" w:type="dxa"/>
            <w:tcBorders>
              <w:top w:val="nil"/>
              <w:left w:val="nil"/>
              <w:bottom w:val="nil"/>
              <w:right w:val="nil"/>
            </w:tcBorders>
            <w:vAlign w:val="bottom"/>
          </w:tcPr>
          <w:p w14:paraId="20D076B1" w14:textId="586FC1DC"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25.263</w:t>
            </w:r>
          </w:p>
        </w:tc>
        <w:tc>
          <w:tcPr>
            <w:tcW w:w="744" w:type="dxa"/>
            <w:tcBorders>
              <w:top w:val="nil"/>
              <w:left w:val="nil"/>
              <w:bottom w:val="nil"/>
              <w:right w:val="nil"/>
            </w:tcBorders>
            <w:vAlign w:val="bottom"/>
          </w:tcPr>
          <w:p w14:paraId="548D2BCC" w14:textId="375E4888"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1.821</w:t>
            </w:r>
          </w:p>
        </w:tc>
        <w:tc>
          <w:tcPr>
            <w:tcW w:w="642" w:type="dxa"/>
            <w:tcBorders>
              <w:top w:val="nil"/>
              <w:left w:val="nil"/>
              <w:bottom w:val="nil"/>
              <w:right w:val="nil"/>
            </w:tcBorders>
            <w:shd w:val="clear" w:color="auto" w:fill="auto"/>
            <w:noWrap/>
            <w:vAlign w:val="bottom"/>
            <w:hideMark/>
          </w:tcPr>
          <w:p w14:paraId="1401306B" w14:textId="2F13D0D7"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-0.052</w:t>
            </w:r>
          </w:p>
        </w:tc>
        <w:tc>
          <w:tcPr>
            <w:tcW w:w="642" w:type="dxa"/>
            <w:tcBorders>
              <w:top w:val="nil"/>
              <w:left w:val="nil"/>
              <w:bottom w:val="nil"/>
              <w:right w:val="nil"/>
            </w:tcBorders>
            <w:shd w:val="clear" w:color="auto" w:fill="auto"/>
            <w:noWrap/>
            <w:vAlign w:val="bottom"/>
            <w:hideMark/>
          </w:tcPr>
          <w:p w14:paraId="0CAB34E4" w14:textId="6E51FF55"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0.135</w:t>
            </w:r>
          </w:p>
        </w:tc>
        <w:tc>
          <w:tcPr>
            <w:tcW w:w="642" w:type="dxa"/>
            <w:tcBorders>
              <w:top w:val="nil"/>
              <w:left w:val="nil"/>
              <w:bottom w:val="nil"/>
              <w:right w:val="nil"/>
            </w:tcBorders>
            <w:shd w:val="clear" w:color="auto" w:fill="auto"/>
            <w:noWrap/>
            <w:vAlign w:val="bottom"/>
            <w:hideMark/>
          </w:tcPr>
          <w:p w14:paraId="1F18D543" w14:textId="29420F3F"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-0.003</w:t>
            </w:r>
          </w:p>
        </w:tc>
        <w:tc>
          <w:tcPr>
            <w:tcW w:w="642" w:type="dxa"/>
            <w:tcBorders>
              <w:top w:val="nil"/>
              <w:left w:val="nil"/>
              <w:bottom w:val="nil"/>
              <w:right w:val="nil"/>
            </w:tcBorders>
            <w:shd w:val="clear" w:color="auto" w:fill="auto"/>
            <w:noWrap/>
            <w:vAlign w:val="bottom"/>
            <w:hideMark/>
          </w:tcPr>
          <w:p w14:paraId="16BA3B4B" w14:textId="19BE964F"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0.132</w:t>
            </w:r>
          </w:p>
        </w:tc>
        <w:tc>
          <w:tcPr>
            <w:tcW w:w="642" w:type="dxa"/>
            <w:tcBorders>
              <w:top w:val="nil"/>
              <w:left w:val="nil"/>
              <w:bottom w:val="nil"/>
              <w:right w:val="nil"/>
            </w:tcBorders>
            <w:shd w:val="clear" w:color="auto" w:fill="auto"/>
            <w:noWrap/>
            <w:vAlign w:val="bottom"/>
            <w:hideMark/>
          </w:tcPr>
          <w:p w14:paraId="01815875" w14:textId="6E93443B"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0.011</w:t>
            </w:r>
          </w:p>
        </w:tc>
        <w:tc>
          <w:tcPr>
            <w:tcW w:w="642" w:type="dxa"/>
            <w:tcBorders>
              <w:top w:val="nil"/>
              <w:left w:val="nil"/>
              <w:bottom w:val="nil"/>
              <w:right w:val="nil"/>
            </w:tcBorders>
            <w:shd w:val="clear" w:color="auto" w:fill="auto"/>
            <w:noWrap/>
            <w:vAlign w:val="bottom"/>
            <w:hideMark/>
          </w:tcPr>
          <w:p w14:paraId="5A2B3A6C" w14:textId="74407BA6"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-0.072</w:t>
            </w:r>
          </w:p>
        </w:tc>
        <w:tc>
          <w:tcPr>
            <w:tcW w:w="642" w:type="dxa"/>
            <w:tcBorders>
              <w:top w:val="nil"/>
              <w:left w:val="nil"/>
              <w:bottom w:val="nil"/>
              <w:right w:val="nil"/>
            </w:tcBorders>
            <w:shd w:val="clear" w:color="auto" w:fill="auto"/>
            <w:noWrap/>
            <w:vAlign w:val="bottom"/>
            <w:hideMark/>
          </w:tcPr>
          <w:p w14:paraId="476D2ABC" w14:textId="3D4A6348"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0.131</w:t>
            </w:r>
          </w:p>
        </w:tc>
        <w:tc>
          <w:tcPr>
            <w:tcW w:w="642" w:type="dxa"/>
            <w:tcBorders>
              <w:top w:val="nil"/>
              <w:left w:val="nil"/>
              <w:bottom w:val="nil"/>
              <w:right w:val="nil"/>
            </w:tcBorders>
            <w:shd w:val="clear" w:color="auto" w:fill="auto"/>
            <w:noWrap/>
            <w:vAlign w:val="bottom"/>
            <w:hideMark/>
          </w:tcPr>
          <w:p w14:paraId="420D4A02" w14:textId="5CB097DA"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0.329</w:t>
            </w:r>
          </w:p>
        </w:tc>
        <w:tc>
          <w:tcPr>
            <w:tcW w:w="642" w:type="dxa"/>
            <w:tcBorders>
              <w:top w:val="nil"/>
              <w:left w:val="nil"/>
              <w:bottom w:val="nil"/>
              <w:right w:val="nil"/>
            </w:tcBorders>
            <w:shd w:val="clear" w:color="auto" w:fill="auto"/>
            <w:noWrap/>
            <w:vAlign w:val="bottom"/>
            <w:hideMark/>
          </w:tcPr>
          <w:p w14:paraId="12DD1528" w14:textId="0B296E70"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0.245</w:t>
            </w:r>
          </w:p>
        </w:tc>
        <w:tc>
          <w:tcPr>
            <w:tcW w:w="642" w:type="dxa"/>
            <w:tcBorders>
              <w:top w:val="nil"/>
              <w:left w:val="nil"/>
              <w:bottom w:val="nil"/>
              <w:right w:val="nil"/>
            </w:tcBorders>
            <w:shd w:val="clear" w:color="auto" w:fill="auto"/>
            <w:noWrap/>
            <w:vAlign w:val="bottom"/>
            <w:hideMark/>
          </w:tcPr>
          <w:p w14:paraId="46815E9F" w14:textId="404D8E2C"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0.357</w:t>
            </w:r>
          </w:p>
        </w:tc>
        <w:tc>
          <w:tcPr>
            <w:tcW w:w="642" w:type="dxa"/>
            <w:tcBorders>
              <w:top w:val="nil"/>
              <w:left w:val="nil"/>
              <w:bottom w:val="nil"/>
              <w:right w:val="nil"/>
            </w:tcBorders>
            <w:shd w:val="clear" w:color="auto" w:fill="auto"/>
            <w:noWrap/>
            <w:vAlign w:val="bottom"/>
            <w:hideMark/>
          </w:tcPr>
          <w:p w14:paraId="6C17D15A"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68C7507F"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4167FA11" w14:textId="77777777" w:rsidR="000829FA" w:rsidRPr="000829FA" w:rsidRDefault="000829FA" w:rsidP="002563B1">
            <w:pPr>
              <w:rPr>
                <w:rFonts w:ascii="Calibri" w:eastAsia="Times New Roman" w:hAnsi="Calibri" w:cs="Times New Roman"/>
                <w:color w:val="000000"/>
                <w:sz w:val="16"/>
                <w:szCs w:val="16"/>
              </w:rPr>
            </w:pPr>
          </w:p>
        </w:tc>
      </w:tr>
      <w:tr w:rsidR="000829FA" w:rsidRPr="002563B1" w14:paraId="34314BE4" w14:textId="77777777" w:rsidTr="000829FA">
        <w:trPr>
          <w:trHeight w:val="300"/>
        </w:trPr>
        <w:tc>
          <w:tcPr>
            <w:tcW w:w="540" w:type="dxa"/>
            <w:tcBorders>
              <w:top w:val="nil"/>
              <w:left w:val="nil"/>
              <w:bottom w:val="nil"/>
              <w:right w:val="nil"/>
            </w:tcBorders>
            <w:vAlign w:val="bottom"/>
          </w:tcPr>
          <w:p w14:paraId="5F801B61"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(12)</w:t>
            </w:r>
          </w:p>
        </w:tc>
        <w:tc>
          <w:tcPr>
            <w:tcW w:w="2970" w:type="dxa"/>
            <w:tcBorders>
              <w:top w:val="nil"/>
              <w:left w:val="nil"/>
              <w:bottom w:val="nil"/>
              <w:right w:val="nil"/>
            </w:tcBorders>
            <w:shd w:val="clear" w:color="auto" w:fill="auto"/>
            <w:noWrap/>
            <w:vAlign w:val="bottom"/>
            <w:hideMark/>
          </w:tcPr>
          <w:p w14:paraId="50A74DA6" w14:textId="59A68F2B" w:rsidR="000829FA" w:rsidRPr="002B572D" w:rsidRDefault="000829FA" w:rsidP="002563B1">
            <w:pPr>
              <w:rPr>
                <w:rFonts w:eastAsia="Times New Roman" w:cs="Times New Roman"/>
                <w:color w:val="000000"/>
                <w:sz w:val="16"/>
                <w:szCs w:val="16"/>
              </w:rPr>
            </w:pPr>
            <w:r w:rsidRPr="002B572D">
              <w:rPr>
                <w:rFonts w:eastAsia="Times New Roman" w:cs="Times New Roman"/>
                <w:sz w:val="16"/>
                <w:szCs w:val="16"/>
              </w:rPr>
              <w:t>Population growth</w:t>
            </w:r>
          </w:p>
        </w:tc>
        <w:tc>
          <w:tcPr>
            <w:tcW w:w="720" w:type="dxa"/>
            <w:tcBorders>
              <w:top w:val="nil"/>
              <w:left w:val="nil"/>
              <w:bottom w:val="nil"/>
              <w:right w:val="nil"/>
            </w:tcBorders>
            <w:vAlign w:val="bottom"/>
          </w:tcPr>
          <w:p w14:paraId="04DB0338" w14:textId="04C2BB12"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0.489</w:t>
            </w:r>
          </w:p>
        </w:tc>
        <w:tc>
          <w:tcPr>
            <w:tcW w:w="744" w:type="dxa"/>
            <w:tcBorders>
              <w:top w:val="nil"/>
              <w:left w:val="nil"/>
              <w:bottom w:val="nil"/>
              <w:right w:val="nil"/>
            </w:tcBorders>
            <w:vAlign w:val="bottom"/>
          </w:tcPr>
          <w:p w14:paraId="208DCE7D" w14:textId="3D6FDB21"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0.607</w:t>
            </w:r>
          </w:p>
        </w:tc>
        <w:tc>
          <w:tcPr>
            <w:tcW w:w="642" w:type="dxa"/>
            <w:tcBorders>
              <w:top w:val="nil"/>
              <w:left w:val="nil"/>
              <w:bottom w:val="nil"/>
              <w:right w:val="nil"/>
            </w:tcBorders>
            <w:shd w:val="clear" w:color="auto" w:fill="auto"/>
            <w:noWrap/>
            <w:vAlign w:val="bottom"/>
            <w:hideMark/>
          </w:tcPr>
          <w:p w14:paraId="3D5ACB59" w14:textId="481CAD28"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0.040</w:t>
            </w:r>
          </w:p>
        </w:tc>
        <w:tc>
          <w:tcPr>
            <w:tcW w:w="642" w:type="dxa"/>
            <w:tcBorders>
              <w:top w:val="nil"/>
              <w:left w:val="nil"/>
              <w:bottom w:val="nil"/>
              <w:right w:val="nil"/>
            </w:tcBorders>
            <w:shd w:val="clear" w:color="auto" w:fill="auto"/>
            <w:noWrap/>
            <w:vAlign w:val="bottom"/>
            <w:hideMark/>
          </w:tcPr>
          <w:p w14:paraId="5F37DA57" w14:textId="1BDE4890"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0.097</w:t>
            </w:r>
          </w:p>
        </w:tc>
        <w:tc>
          <w:tcPr>
            <w:tcW w:w="642" w:type="dxa"/>
            <w:tcBorders>
              <w:top w:val="nil"/>
              <w:left w:val="nil"/>
              <w:bottom w:val="nil"/>
              <w:right w:val="nil"/>
            </w:tcBorders>
            <w:shd w:val="clear" w:color="auto" w:fill="auto"/>
            <w:noWrap/>
            <w:vAlign w:val="bottom"/>
            <w:hideMark/>
          </w:tcPr>
          <w:p w14:paraId="7CC0209B" w14:textId="44D407A7"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-0.206</w:t>
            </w:r>
          </w:p>
        </w:tc>
        <w:tc>
          <w:tcPr>
            <w:tcW w:w="642" w:type="dxa"/>
            <w:tcBorders>
              <w:top w:val="nil"/>
              <w:left w:val="nil"/>
              <w:bottom w:val="nil"/>
              <w:right w:val="nil"/>
            </w:tcBorders>
            <w:shd w:val="clear" w:color="auto" w:fill="auto"/>
            <w:noWrap/>
            <w:vAlign w:val="bottom"/>
            <w:hideMark/>
          </w:tcPr>
          <w:p w14:paraId="71AFD4D0" w14:textId="6628907B"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0.145</w:t>
            </w:r>
          </w:p>
        </w:tc>
        <w:tc>
          <w:tcPr>
            <w:tcW w:w="642" w:type="dxa"/>
            <w:tcBorders>
              <w:top w:val="nil"/>
              <w:left w:val="nil"/>
              <w:bottom w:val="nil"/>
              <w:right w:val="nil"/>
            </w:tcBorders>
            <w:shd w:val="clear" w:color="auto" w:fill="auto"/>
            <w:noWrap/>
            <w:vAlign w:val="bottom"/>
            <w:hideMark/>
          </w:tcPr>
          <w:p w14:paraId="01842F2B" w14:textId="33935020"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-0.206</w:t>
            </w:r>
          </w:p>
        </w:tc>
        <w:tc>
          <w:tcPr>
            <w:tcW w:w="642" w:type="dxa"/>
            <w:tcBorders>
              <w:top w:val="nil"/>
              <w:left w:val="nil"/>
              <w:bottom w:val="nil"/>
              <w:right w:val="nil"/>
            </w:tcBorders>
            <w:shd w:val="clear" w:color="auto" w:fill="auto"/>
            <w:noWrap/>
            <w:vAlign w:val="bottom"/>
            <w:hideMark/>
          </w:tcPr>
          <w:p w14:paraId="471244FC" w14:textId="00BC5C87"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-0.101</w:t>
            </w:r>
          </w:p>
        </w:tc>
        <w:tc>
          <w:tcPr>
            <w:tcW w:w="642" w:type="dxa"/>
            <w:tcBorders>
              <w:top w:val="nil"/>
              <w:left w:val="nil"/>
              <w:bottom w:val="nil"/>
              <w:right w:val="nil"/>
            </w:tcBorders>
            <w:shd w:val="clear" w:color="auto" w:fill="auto"/>
            <w:noWrap/>
            <w:vAlign w:val="bottom"/>
            <w:hideMark/>
          </w:tcPr>
          <w:p w14:paraId="22ED5283" w14:textId="1E8F50C5"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-0.048</w:t>
            </w:r>
          </w:p>
        </w:tc>
        <w:tc>
          <w:tcPr>
            <w:tcW w:w="642" w:type="dxa"/>
            <w:tcBorders>
              <w:top w:val="nil"/>
              <w:left w:val="nil"/>
              <w:bottom w:val="nil"/>
              <w:right w:val="nil"/>
            </w:tcBorders>
            <w:shd w:val="clear" w:color="auto" w:fill="auto"/>
            <w:noWrap/>
            <w:vAlign w:val="bottom"/>
            <w:hideMark/>
          </w:tcPr>
          <w:p w14:paraId="05833E2A" w14:textId="3F592427"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0.230</w:t>
            </w:r>
          </w:p>
        </w:tc>
        <w:tc>
          <w:tcPr>
            <w:tcW w:w="642" w:type="dxa"/>
            <w:tcBorders>
              <w:top w:val="nil"/>
              <w:left w:val="nil"/>
              <w:bottom w:val="nil"/>
              <w:right w:val="nil"/>
            </w:tcBorders>
            <w:shd w:val="clear" w:color="auto" w:fill="auto"/>
            <w:noWrap/>
            <w:vAlign w:val="bottom"/>
            <w:hideMark/>
          </w:tcPr>
          <w:p w14:paraId="16F48B2E" w14:textId="201A094C"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-0.304</w:t>
            </w:r>
          </w:p>
        </w:tc>
        <w:tc>
          <w:tcPr>
            <w:tcW w:w="642" w:type="dxa"/>
            <w:tcBorders>
              <w:top w:val="nil"/>
              <w:left w:val="nil"/>
              <w:bottom w:val="nil"/>
              <w:right w:val="nil"/>
            </w:tcBorders>
            <w:shd w:val="clear" w:color="auto" w:fill="auto"/>
            <w:noWrap/>
            <w:vAlign w:val="bottom"/>
            <w:hideMark/>
          </w:tcPr>
          <w:p w14:paraId="3E8C26D9" w14:textId="2CAC2E82"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0.613</w:t>
            </w:r>
          </w:p>
        </w:tc>
        <w:tc>
          <w:tcPr>
            <w:tcW w:w="642" w:type="dxa"/>
            <w:tcBorders>
              <w:top w:val="nil"/>
              <w:left w:val="nil"/>
              <w:bottom w:val="nil"/>
              <w:right w:val="nil"/>
            </w:tcBorders>
            <w:shd w:val="clear" w:color="auto" w:fill="auto"/>
            <w:noWrap/>
            <w:vAlign w:val="bottom"/>
            <w:hideMark/>
          </w:tcPr>
          <w:p w14:paraId="21BB2315" w14:textId="424B029C"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0.601</w:t>
            </w:r>
          </w:p>
        </w:tc>
        <w:tc>
          <w:tcPr>
            <w:tcW w:w="642" w:type="dxa"/>
            <w:tcBorders>
              <w:top w:val="nil"/>
              <w:left w:val="nil"/>
              <w:bottom w:val="nil"/>
              <w:right w:val="nil"/>
            </w:tcBorders>
            <w:shd w:val="clear" w:color="auto" w:fill="auto"/>
            <w:noWrap/>
            <w:vAlign w:val="bottom"/>
            <w:hideMark/>
          </w:tcPr>
          <w:p w14:paraId="233DA4B6" w14:textId="77777777" w:rsidR="000829FA" w:rsidRPr="000829FA" w:rsidRDefault="000829FA" w:rsidP="002563B1">
            <w:pPr>
              <w:rPr>
                <w:rFonts w:ascii="Calibri" w:eastAsia="Times New Roman" w:hAnsi="Calibri" w:cs="Times New Roman"/>
                <w:color w:val="000000"/>
                <w:sz w:val="16"/>
                <w:szCs w:val="16"/>
              </w:rPr>
            </w:pPr>
          </w:p>
        </w:tc>
        <w:tc>
          <w:tcPr>
            <w:tcW w:w="642" w:type="dxa"/>
            <w:tcBorders>
              <w:top w:val="nil"/>
              <w:left w:val="nil"/>
              <w:bottom w:val="nil"/>
              <w:right w:val="nil"/>
            </w:tcBorders>
            <w:shd w:val="clear" w:color="auto" w:fill="auto"/>
            <w:noWrap/>
            <w:vAlign w:val="bottom"/>
            <w:hideMark/>
          </w:tcPr>
          <w:p w14:paraId="0EE4A9EB" w14:textId="77777777" w:rsidR="000829FA" w:rsidRPr="000829FA" w:rsidRDefault="000829FA" w:rsidP="002563B1">
            <w:pPr>
              <w:rPr>
                <w:rFonts w:ascii="Calibri" w:eastAsia="Times New Roman" w:hAnsi="Calibri" w:cs="Times New Roman"/>
                <w:color w:val="000000"/>
                <w:sz w:val="16"/>
                <w:szCs w:val="16"/>
              </w:rPr>
            </w:pPr>
          </w:p>
        </w:tc>
      </w:tr>
      <w:tr w:rsidR="000829FA" w:rsidRPr="002563B1" w14:paraId="3E41D381" w14:textId="77777777" w:rsidTr="000829FA">
        <w:trPr>
          <w:trHeight w:val="300"/>
        </w:trPr>
        <w:tc>
          <w:tcPr>
            <w:tcW w:w="540" w:type="dxa"/>
            <w:tcBorders>
              <w:top w:val="nil"/>
              <w:left w:val="nil"/>
              <w:right w:val="nil"/>
            </w:tcBorders>
            <w:vAlign w:val="bottom"/>
          </w:tcPr>
          <w:p w14:paraId="62392C4A"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(13)</w:t>
            </w:r>
          </w:p>
        </w:tc>
        <w:tc>
          <w:tcPr>
            <w:tcW w:w="2970" w:type="dxa"/>
            <w:tcBorders>
              <w:top w:val="nil"/>
              <w:left w:val="nil"/>
              <w:right w:val="nil"/>
            </w:tcBorders>
            <w:shd w:val="clear" w:color="auto" w:fill="auto"/>
            <w:noWrap/>
            <w:vAlign w:val="bottom"/>
            <w:hideMark/>
          </w:tcPr>
          <w:p w14:paraId="4664F124" w14:textId="5AE9A30C" w:rsidR="000829FA" w:rsidRPr="002B572D" w:rsidRDefault="000829FA" w:rsidP="002563B1">
            <w:pPr>
              <w:rPr>
                <w:rFonts w:eastAsia="Times New Roman" w:cs="Times New Roman"/>
                <w:color w:val="000000"/>
                <w:sz w:val="16"/>
                <w:szCs w:val="16"/>
              </w:rPr>
            </w:pPr>
            <w:r w:rsidRPr="002B572D">
              <w:rPr>
                <w:rFonts w:eastAsia="Times New Roman" w:cs="Times New Roman"/>
                <w:sz w:val="16"/>
                <w:szCs w:val="16"/>
              </w:rPr>
              <w:t>GDP per capita</w:t>
            </w:r>
          </w:p>
        </w:tc>
        <w:tc>
          <w:tcPr>
            <w:tcW w:w="720" w:type="dxa"/>
            <w:tcBorders>
              <w:top w:val="nil"/>
              <w:left w:val="nil"/>
              <w:right w:val="nil"/>
            </w:tcBorders>
            <w:vAlign w:val="bottom"/>
          </w:tcPr>
          <w:p w14:paraId="537CE82A" w14:textId="454F3FB9"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20911</w:t>
            </w:r>
          </w:p>
        </w:tc>
        <w:tc>
          <w:tcPr>
            <w:tcW w:w="744" w:type="dxa"/>
            <w:tcBorders>
              <w:top w:val="nil"/>
              <w:left w:val="nil"/>
              <w:right w:val="nil"/>
            </w:tcBorders>
            <w:vAlign w:val="bottom"/>
          </w:tcPr>
          <w:p w14:paraId="159944C4" w14:textId="6EDD5F0F"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6299.9</w:t>
            </w:r>
          </w:p>
        </w:tc>
        <w:tc>
          <w:tcPr>
            <w:tcW w:w="642" w:type="dxa"/>
            <w:tcBorders>
              <w:top w:val="nil"/>
              <w:left w:val="nil"/>
              <w:right w:val="nil"/>
            </w:tcBorders>
            <w:shd w:val="clear" w:color="auto" w:fill="auto"/>
            <w:noWrap/>
            <w:vAlign w:val="bottom"/>
            <w:hideMark/>
          </w:tcPr>
          <w:p w14:paraId="2983DF40" w14:textId="0E8F1755"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-0.004</w:t>
            </w:r>
          </w:p>
        </w:tc>
        <w:tc>
          <w:tcPr>
            <w:tcW w:w="642" w:type="dxa"/>
            <w:tcBorders>
              <w:top w:val="nil"/>
              <w:left w:val="nil"/>
              <w:right w:val="nil"/>
            </w:tcBorders>
            <w:shd w:val="clear" w:color="auto" w:fill="auto"/>
            <w:noWrap/>
            <w:vAlign w:val="bottom"/>
            <w:hideMark/>
          </w:tcPr>
          <w:p w14:paraId="431866AD" w14:textId="76BF030B"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-0.101</w:t>
            </w:r>
          </w:p>
        </w:tc>
        <w:tc>
          <w:tcPr>
            <w:tcW w:w="642" w:type="dxa"/>
            <w:tcBorders>
              <w:top w:val="nil"/>
              <w:left w:val="nil"/>
              <w:right w:val="nil"/>
            </w:tcBorders>
            <w:shd w:val="clear" w:color="auto" w:fill="auto"/>
            <w:noWrap/>
            <w:vAlign w:val="bottom"/>
            <w:hideMark/>
          </w:tcPr>
          <w:p w14:paraId="1A27DF2E" w14:textId="1AFBB6B0"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-0.102</w:t>
            </w:r>
          </w:p>
        </w:tc>
        <w:tc>
          <w:tcPr>
            <w:tcW w:w="642" w:type="dxa"/>
            <w:tcBorders>
              <w:top w:val="nil"/>
              <w:left w:val="nil"/>
              <w:right w:val="nil"/>
            </w:tcBorders>
            <w:shd w:val="clear" w:color="auto" w:fill="auto"/>
            <w:noWrap/>
            <w:vAlign w:val="bottom"/>
            <w:hideMark/>
          </w:tcPr>
          <w:p w14:paraId="06A9A382" w14:textId="150396F7"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-0.127</w:t>
            </w:r>
          </w:p>
        </w:tc>
        <w:tc>
          <w:tcPr>
            <w:tcW w:w="642" w:type="dxa"/>
            <w:tcBorders>
              <w:top w:val="nil"/>
              <w:left w:val="nil"/>
              <w:right w:val="nil"/>
            </w:tcBorders>
            <w:shd w:val="clear" w:color="auto" w:fill="auto"/>
            <w:noWrap/>
            <w:vAlign w:val="bottom"/>
            <w:hideMark/>
          </w:tcPr>
          <w:p w14:paraId="34F263C1" w14:textId="6FBFC2B0"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-0.348</w:t>
            </w:r>
          </w:p>
        </w:tc>
        <w:tc>
          <w:tcPr>
            <w:tcW w:w="642" w:type="dxa"/>
            <w:tcBorders>
              <w:top w:val="nil"/>
              <w:left w:val="nil"/>
              <w:right w:val="nil"/>
            </w:tcBorders>
            <w:shd w:val="clear" w:color="auto" w:fill="auto"/>
            <w:noWrap/>
            <w:vAlign w:val="bottom"/>
            <w:hideMark/>
          </w:tcPr>
          <w:p w14:paraId="51E9BF6D" w14:textId="5ADA31E5"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0.105</w:t>
            </w:r>
          </w:p>
        </w:tc>
        <w:tc>
          <w:tcPr>
            <w:tcW w:w="642" w:type="dxa"/>
            <w:tcBorders>
              <w:top w:val="nil"/>
              <w:left w:val="nil"/>
              <w:right w:val="nil"/>
            </w:tcBorders>
            <w:shd w:val="clear" w:color="auto" w:fill="auto"/>
            <w:noWrap/>
            <w:vAlign w:val="bottom"/>
            <w:hideMark/>
          </w:tcPr>
          <w:p w14:paraId="0F618A0C" w14:textId="786321CE"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-0.158</w:t>
            </w:r>
          </w:p>
        </w:tc>
        <w:tc>
          <w:tcPr>
            <w:tcW w:w="642" w:type="dxa"/>
            <w:tcBorders>
              <w:top w:val="nil"/>
              <w:left w:val="nil"/>
              <w:right w:val="nil"/>
            </w:tcBorders>
            <w:shd w:val="clear" w:color="auto" w:fill="auto"/>
            <w:noWrap/>
            <w:vAlign w:val="bottom"/>
            <w:hideMark/>
          </w:tcPr>
          <w:p w14:paraId="2BF9B2D8" w14:textId="4FE00DAD"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-0.017</w:t>
            </w:r>
          </w:p>
        </w:tc>
        <w:tc>
          <w:tcPr>
            <w:tcW w:w="642" w:type="dxa"/>
            <w:tcBorders>
              <w:top w:val="nil"/>
              <w:left w:val="nil"/>
              <w:right w:val="nil"/>
            </w:tcBorders>
            <w:shd w:val="clear" w:color="auto" w:fill="auto"/>
            <w:noWrap/>
            <w:vAlign w:val="bottom"/>
            <w:hideMark/>
          </w:tcPr>
          <w:p w14:paraId="254EE30F" w14:textId="0B724824"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-0.537</w:t>
            </w:r>
          </w:p>
        </w:tc>
        <w:tc>
          <w:tcPr>
            <w:tcW w:w="642" w:type="dxa"/>
            <w:tcBorders>
              <w:top w:val="nil"/>
              <w:left w:val="nil"/>
              <w:right w:val="nil"/>
            </w:tcBorders>
            <w:shd w:val="clear" w:color="auto" w:fill="auto"/>
            <w:noWrap/>
            <w:vAlign w:val="bottom"/>
            <w:hideMark/>
          </w:tcPr>
          <w:p w14:paraId="5E698114" w14:textId="355AEB6C"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-0.245</w:t>
            </w:r>
          </w:p>
        </w:tc>
        <w:tc>
          <w:tcPr>
            <w:tcW w:w="642" w:type="dxa"/>
            <w:tcBorders>
              <w:top w:val="nil"/>
              <w:left w:val="nil"/>
              <w:right w:val="nil"/>
            </w:tcBorders>
            <w:shd w:val="clear" w:color="auto" w:fill="auto"/>
            <w:noWrap/>
            <w:vAlign w:val="bottom"/>
            <w:hideMark/>
          </w:tcPr>
          <w:p w14:paraId="1089B2D0" w14:textId="19EAF412"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-0.625</w:t>
            </w:r>
          </w:p>
        </w:tc>
        <w:tc>
          <w:tcPr>
            <w:tcW w:w="642" w:type="dxa"/>
            <w:tcBorders>
              <w:top w:val="nil"/>
              <w:left w:val="nil"/>
              <w:right w:val="nil"/>
            </w:tcBorders>
            <w:shd w:val="clear" w:color="auto" w:fill="auto"/>
            <w:noWrap/>
            <w:vAlign w:val="bottom"/>
            <w:hideMark/>
          </w:tcPr>
          <w:p w14:paraId="0D9D812D" w14:textId="1912D754"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-0.136</w:t>
            </w:r>
          </w:p>
        </w:tc>
        <w:tc>
          <w:tcPr>
            <w:tcW w:w="642" w:type="dxa"/>
            <w:tcBorders>
              <w:top w:val="nil"/>
              <w:left w:val="nil"/>
              <w:right w:val="nil"/>
            </w:tcBorders>
            <w:shd w:val="clear" w:color="auto" w:fill="auto"/>
            <w:noWrap/>
            <w:vAlign w:val="bottom"/>
            <w:hideMark/>
          </w:tcPr>
          <w:p w14:paraId="6E7143E2" w14:textId="77777777" w:rsidR="000829FA" w:rsidRPr="000829FA" w:rsidRDefault="000829FA" w:rsidP="002563B1">
            <w:pPr>
              <w:rPr>
                <w:rFonts w:ascii="Calibri" w:eastAsia="Times New Roman" w:hAnsi="Calibri" w:cs="Times New Roman"/>
                <w:color w:val="000000"/>
                <w:sz w:val="16"/>
                <w:szCs w:val="16"/>
              </w:rPr>
            </w:pPr>
          </w:p>
        </w:tc>
      </w:tr>
      <w:tr w:rsidR="000829FA" w:rsidRPr="002563B1" w14:paraId="4968A583" w14:textId="77777777" w:rsidTr="000829FA">
        <w:trPr>
          <w:trHeight w:val="300"/>
        </w:trPr>
        <w:tc>
          <w:tcPr>
            <w:tcW w:w="540" w:type="dxa"/>
            <w:tcBorders>
              <w:top w:val="nil"/>
              <w:left w:val="nil"/>
              <w:bottom w:val="single" w:sz="4" w:space="0" w:color="auto"/>
              <w:right w:val="nil"/>
            </w:tcBorders>
            <w:vAlign w:val="bottom"/>
          </w:tcPr>
          <w:p w14:paraId="7E5BE01D" w14:textId="77777777" w:rsidR="000829FA" w:rsidRPr="002B572D" w:rsidRDefault="000829FA" w:rsidP="00E06D5D">
            <w:pPr>
              <w:jc w:val="center"/>
              <w:rPr>
                <w:rFonts w:eastAsia="Times New Roman" w:cs="Times New Roman"/>
                <w:color w:val="000000"/>
                <w:sz w:val="16"/>
                <w:szCs w:val="16"/>
              </w:rPr>
            </w:pPr>
            <w:r w:rsidRPr="002B572D">
              <w:rPr>
                <w:rFonts w:eastAsia="Times New Roman" w:cs="Times New Roman"/>
                <w:color w:val="000000"/>
                <w:sz w:val="16"/>
                <w:szCs w:val="16"/>
              </w:rPr>
              <w:t>(14)</w:t>
            </w:r>
          </w:p>
        </w:tc>
        <w:tc>
          <w:tcPr>
            <w:tcW w:w="2970" w:type="dxa"/>
            <w:tcBorders>
              <w:top w:val="nil"/>
              <w:left w:val="nil"/>
              <w:bottom w:val="single" w:sz="4" w:space="0" w:color="auto"/>
              <w:right w:val="nil"/>
            </w:tcBorders>
            <w:shd w:val="clear" w:color="auto" w:fill="auto"/>
            <w:noWrap/>
            <w:vAlign w:val="bottom"/>
            <w:hideMark/>
          </w:tcPr>
          <w:p w14:paraId="25B1BA17" w14:textId="18541962" w:rsidR="000829FA" w:rsidRPr="002B572D" w:rsidRDefault="000829FA" w:rsidP="002B572D">
            <w:pPr>
              <w:rPr>
                <w:rFonts w:eastAsia="Times New Roman" w:cs="Times New Roman"/>
                <w:color w:val="000000"/>
                <w:sz w:val="16"/>
                <w:szCs w:val="16"/>
              </w:rPr>
            </w:pPr>
            <w:r w:rsidRPr="002B572D">
              <w:rPr>
                <w:rFonts w:eastAsia="Times New Roman" w:cs="Times New Roman"/>
                <w:sz w:val="16"/>
                <w:szCs w:val="16"/>
              </w:rPr>
              <w:t>Exports to EU countries</w:t>
            </w:r>
          </w:p>
        </w:tc>
        <w:tc>
          <w:tcPr>
            <w:tcW w:w="720" w:type="dxa"/>
            <w:tcBorders>
              <w:top w:val="nil"/>
              <w:left w:val="nil"/>
              <w:bottom w:val="single" w:sz="4" w:space="0" w:color="auto"/>
              <w:right w:val="nil"/>
            </w:tcBorders>
            <w:vAlign w:val="bottom"/>
          </w:tcPr>
          <w:p w14:paraId="2624DB03" w14:textId="3778E208"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0.222</w:t>
            </w:r>
          </w:p>
        </w:tc>
        <w:tc>
          <w:tcPr>
            <w:tcW w:w="744" w:type="dxa"/>
            <w:tcBorders>
              <w:top w:val="nil"/>
              <w:left w:val="nil"/>
              <w:bottom w:val="single" w:sz="4" w:space="0" w:color="auto"/>
              <w:right w:val="nil"/>
            </w:tcBorders>
            <w:vAlign w:val="bottom"/>
          </w:tcPr>
          <w:p w14:paraId="10555682" w14:textId="6C9EFACA" w:rsidR="000829FA" w:rsidRPr="000829FA" w:rsidRDefault="000829FA" w:rsidP="00485372">
            <w:pPr>
              <w:jc w:val="center"/>
              <w:rPr>
                <w:rFonts w:ascii="Calibri" w:eastAsia="Times New Roman" w:hAnsi="Calibri" w:cs="Times New Roman"/>
                <w:color w:val="000000"/>
                <w:sz w:val="16"/>
                <w:szCs w:val="16"/>
              </w:rPr>
            </w:pPr>
            <w:r w:rsidRPr="000829FA">
              <w:rPr>
                <w:rFonts w:ascii="Calibri" w:eastAsia="Times New Roman" w:hAnsi="Calibri"/>
                <w:color w:val="000000"/>
                <w:sz w:val="16"/>
                <w:szCs w:val="16"/>
              </w:rPr>
              <w:t>0.140</w:t>
            </w:r>
          </w:p>
        </w:tc>
        <w:tc>
          <w:tcPr>
            <w:tcW w:w="642" w:type="dxa"/>
            <w:tcBorders>
              <w:top w:val="nil"/>
              <w:left w:val="nil"/>
              <w:bottom w:val="single" w:sz="4" w:space="0" w:color="auto"/>
              <w:right w:val="nil"/>
            </w:tcBorders>
            <w:shd w:val="clear" w:color="auto" w:fill="auto"/>
            <w:noWrap/>
            <w:vAlign w:val="bottom"/>
            <w:hideMark/>
          </w:tcPr>
          <w:p w14:paraId="2E3CBA15" w14:textId="0F3C382F"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-0.064</w:t>
            </w:r>
          </w:p>
        </w:tc>
        <w:tc>
          <w:tcPr>
            <w:tcW w:w="642" w:type="dxa"/>
            <w:tcBorders>
              <w:top w:val="nil"/>
              <w:left w:val="nil"/>
              <w:bottom w:val="single" w:sz="4" w:space="0" w:color="auto"/>
              <w:right w:val="nil"/>
            </w:tcBorders>
            <w:shd w:val="clear" w:color="auto" w:fill="auto"/>
            <w:noWrap/>
            <w:vAlign w:val="bottom"/>
            <w:hideMark/>
          </w:tcPr>
          <w:p w14:paraId="6ABB742B" w14:textId="116A24AF"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-0.203</w:t>
            </w:r>
          </w:p>
        </w:tc>
        <w:tc>
          <w:tcPr>
            <w:tcW w:w="642" w:type="dxa"/>
            <w:tcBorders>
              <w:top w:val="nil"/>
              <w:left w:val="nil"/>
              <w:bottom w:val="single" w:sz="4" w:space="0" w:color="auto"/>
              <w:right w:val="nil"/>
            </w:tcBorders>
            <w:shd w:val="clear" w:color="auto" w:fill="auto"/>
            <w:noWrap/>
            <w:vAlign w:val="bottom"/>
            <w:hideMark/>
          </w:tcPr>
          <w:p w14:paraId="34648CD5" w14:textId="26BAE555"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0.123</w:t>
            </w:r>
          </w:p>
        </w:tc>
        <w:tc>
          <w:tcPr>
            <w:tcW w:w="642" w:type="dxa"/>
            <w:tcBorders>
              <w:top w:val="nil"/>
              <w:left w:val="nil"/>
              <w:bottom w:val="single" w:sz="4" w:space="0" w:color="auto"/>
              <w:right w:val="nil"/>
            </w:tcBorders>
            <w:shd w:val="clear" w:color="auto" w:fill="auto"/>
            <w:noWrap/>
            <w:vAlign w:val="bottom"/>
            <w:hideMark/>
          </w:tcPr>
          <w:p w14:paraId="107BA0D9" w14:textId="7CAC64DA"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0.084</w:t>
            </w:r>
          </w:p>
        </w:tc>
        <w:tc>
          <w:tcPr>
            <w:tcW w:w="642" w:type="dxa"/>
            <w:tcBorders>
              <w:top w:val="nil"/>
              <w:left w:val="nil"/>
              <w:bottom w:val="single" w:sz="4" w:space="0" w:color="auto"/>
              <w:right w:val="nil"/>
            </w:tcBorders>
            <w:shd w:val="clear" w:color="auto" w:fill="auto"/>
            <w:noWrap/>
            <w:vAlign w:val="bottom"/>
            <w:hideMark/>
          </w:tcPr>
          <w:p w14:paraId="71D653A9" w14:textId="05A010B0"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-0.030</w:t>
            </w:r>
          </w:p>
        </w:tc>
        <w:tc>
          <w:tcPr>
            <w:tcW w:w="642" w:type="dxa"/>
            <w:tcBorders>
              <w:top w:val="nil"/>
              <w:left w:val="nil"/>
              <w:bottom w:val="single" w:sz="4" w:space="0" w:color="auto"/>
              <w:right w:val="nil"/>
            </w:tcBorders>
            <w:shd w:val="clear" w:color="auto" w:fill="auto"/>
            <w:noWrap/>
            <w:vAlign w:val="bottom"/>
            <w:hideMark/>
          </w:tcPr>
          <w:p w14:paraId="46546864" w14:textId="4AC874C0"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0.059</w:t>
            </w:r>
          </w:p>
        </w:tc>
        <w:tc>
          <w:tcPr>
            <w:tcW w:w="642" w:type="dxa"/>
            <w:tcBorders>
              <w:top w:val="nil"/>
              <w:left w:val="nil"/>
              <w:bottom w:val="single" w:sz="4" w:space="0" w:color="auto"/>
              <w:right w:val="nil"/>
            </w:tcBorders>
            <w:shd w:val="clear" w:color="auto" w:fill="auto"/>
            <w:noWrap/>
            <w:vAlign w:val="bottom"/>
            <w:hideMark/>
          </w:tcPr>
          <w:p w14:paraId="2F3590AE" w14:textId="67874DAA"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-0.102</w:t>
            </w:r>
          </w:p>
        </w:tc>
        <w:tc>
          <w:tcPr>
            <w:tcW w:w="642" w:type="dxa"/>
            <w:tcBorders>
              <w:top w:val="nil"/>
              <w:left w:val="nil"/>
              <w:bottom w:val="single" w:sz="4" w:space="0" w:color="auto"/>
              <w:right w:val="nil"/>
            </w:tcBorders>
            <w:shd w:val="clear" w:color="auto" w:fill="auto"/>
            <w:noWrap/>
            <w:vAlign w:val="bottom"/>
            <w:hideMark/>
          </w:tcPr>
          <w:p w14:paraId="34FC4093" w14:textId="4AE8FF0F"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-0.631</w:t>
            </w:r>
          </w:p>
        </w:tc>
        <w:tc>
          <w:tcPr>
            <w:tcW w:w="642" w:type="dxa"/>
            <w:tcBorders>
              <w:top w:val="nil"/>
              <w:left w:val="nil"/>
              <w:bottom w:val="single" w:sz="4" w:space="0" w:color="auto"/>
              <w:right w:val="nil"/>
            </w:tcBorders>
            <w:shd w:val="clear" w:color="auto" w:fill="auto"/>
            <w:noWrap/>
            <w:vAlign w:val="bottom"/>
            <w:hideMark/>
          </w:tcPr>
          <w:p w14:paraId="4C460751" w14:textId="46C48ECB"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-0.283</w:t>
            </w:r>
          </w:p>
        </w:tc>
        <w:tc>
          <w:tcPr>
            <w:tcW w:w="642" w:type="dxa"/>
            <w:tcBorders>
              <w:top w:val="nil"/>
              <w:left w:val="nil"/>
              <w:bottom w:val="single" w:sz="4" w:space="0" w:color="auto"/>
              <w:right w:val="nil"/>
            </w:tcBorders>
            <w:shd w:val="clear" w:color="auto" w:fill="auto"/>
            <w:noWrap/>
            <w:vAlign w:val="bottom"/>
            <w:hideMark/>
          </w:tcPr>
          <w:p w14:paraId="359385F1" w14:textId="03153442"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0.328</w:t>
            </w:r>
          </w:p>
        </w:tc>
        <w:tc>
          <w:tcPr>
            <w:tcW w:w="642" w:type="dxa"/>
            <w:tcBorders>
              <w:top w:val="nil"/>
              <w:left w:val="nil"/>
              <w:bottom w:val="single" w:sz="4" w:space="0" w:color="auto"/>
              <w:right w:val="nil"/>
            </w:tcBorders>
            <w:shd w:val="clear" w:color="auto" w:fill="auto"/>
            <w:noWrap/>
            <w:vAlign w:val="bottom"/>
            <w:hideMark/>
          </w:tcPr>
          <w:p w14:paraId="77864E62" w14:textId="2AC9EE32"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-0.462</w:t>
            </w:r>
          </w:p>
        </w:tc>
        <w:tc>
          <w:tcPr>
            <w:tcW w:w="642" w:type="dxa"/>
            <w:tcBorders>
              <w:top w:val="nil"/>
              <w:left w:val="nil"/>
              <w:bottom w:val="single" w:sz="4" w:space="0" w:color="auto"/>
              <w:right w:val="nil"/>
            </w:tcBorders>
            <w:shd w:val="clear" w:color="auto" w:fill="auto"/>
            <w:noWrap/>
            <w:vAlign w:val="bottom"/>
            <w:hideMark/>
          </w:tcPr>
          <w:p w14:paraId="7679EBA7" w14:textId="35FF2B52"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-0.350</w:t>
            </w:r>
          </w:p>
        </w:tc>
        <w:tc>
          <w:tcPr>
            <w:tcW w:w="642" w:type="dxa"/>
            <w:tcBorders>
              <w:top w:val="nil"/>
              <w:left w:val="nil"/>
              <w:bottom w:val="single" w:sz="4" w:space="0" w:color="auto"/>
              <w:right w:val="nil"/>
            </w:tcBorders>
            <w:shd w:val="clear" w:color="auto" w:fill="auto"/>
            <w:noWrap/>
            <w:vAlign w:val="bottom"/>
            <w:hideMark/>
          </w:tcPr>
          <w:p w14:paraId="3E524ECB" w14:textId="0A069DE2" w:rsidR="000829FA" w:rsidRPr="000829FA" w:rsidRDefault="000829FA" w:rsidP="002563B1">
            <w:pPr>
              <w:jc w:val="right"/>
              <w:rPr>
                <w:rFonts w:ascii="Calibri" w:eastAsia="Times New Roman" w:hAnsi="Calibri" w:cs="Times New Roman"/>
                <w:color w:val="000000"/>
                <w:sz w:val="16"/>
                <w:szCs w:val="16"/>
              </w:rPr>
            </w:pPr>
            <w:r w:rsidRPr="000829FA">
              <w:rPr>
                <w:rFonts w:ascii="Calibri" w:eastAsia="Times New Roman" w:hAnsi="Calibri"/>
                <w:color w:val="000000"/>
                <w:sz w:val="16"/>
                <w:szCs w:val="16"/>
              </w:rPr>
              <w:t>0.377</w:t>
            </w:r>
          </w:p>
        </w:tc>
      </w:tr>
    </w:tbl>
    <w:p w14:paraId="7C1EDECA" w14:textId="77777777" w:rsidR="002563B1" w:rsidRDefault="002563B1">
      <w:pPr>
        <w:sectPr w:rsidR="002563B1" w:rsidSect="002563B1">
          <w:pgSz w:w="15840" w:h="12240" w:orient="landscape"/>
          <w:pgMar w:top="1440" w:right="1440" w:bottom="1440" w:left="1440" w:header="720" w:footer="720" w:gutter="0"/>
          <w:cols w:space="720"/>
          <w:docGrid w:linePitch="360"/>
        </w:sectPr>
      </w:pPr>
    </w:p>
    <w:p w14:paraId="4755DE9F" w14:textId="42074F41" w:rsidR="00F26FFC" w:rsidRPr="00022238" w:rsidRDefault="00F26FFC">
      <w:pPr>
        <w:rPr>
          <w:rFonts w:ascii="Times New Roman" w:hAnsi="Times New Roman" w:cs="Times New Roman"/>
        </w:rPr>
      </w:pPr>
      <w:r w:rsidRPr="00022238">
        <w:rPr>
          <w:rFonts w:ascii="Times New Roman" w:hAnsi="Times New Roman" w:cs="Times New Roman"/>
        </w:rPr>
        <w:lastRenderedPageBreak/>
        <w:t>Table</w:t>
      </w:r>
      <w:r w:rsidR="00A06399" w:rsidRPr="00022238">
        <w:rPr>
          <w:rFonts w:ascii="Times New Roman" w:hAnsi="Times New Roman" w:cs="Times New Roman"/>
        </w:rPr>
        <w:t xml:space="preserve"> 2</w:t>
      </w:r>
      <w:r w:rsidRPr="00022238">
        <w:rPr>
          <w:rFonts w:ascii="Times New Roman" w:hAnsi="Times New Roman" w:cs="Times New Roman"/>
        </w:rPr>
        <w:t xml:space="preserve">. National </w:t>
      </w:r>
      <w:r w:rsidR="00DB5334">
        <w:rPr>
          <w:rFonts w:ascii="Times New Roman" w:hAnsi="Times New Roman" w:cs="Times New Roman"/>
        </w:rPr>
        <w:t>t</w:t>
      </w:r>
      <w:r w:rsidRPr="00022238">
        <w:rPr>
          <w:rFonts w:ascii="Times New Roman" w:hAnsi="Times New Roman" w:cs="Times New Roman"/>
        </w:rPr>
        <w:t xml:space="preserve">ranspositions of the EU </w:t>
      </w:r>
      <w:r w:rsidR="00DB5334">
        <w:rPr>
          <w:rFonts w:ascii="Times New Roman" w:hAnsi="Times New Roman" w:cs="Times New Roman"/>
        </w:rPr>
        <w:t xml:space="preserve">climate change </w:t>
      </w:r>
      <w:r w:rsidRPr="00022238">
        <w:rPr>
          <w:rFonts w:ascii="Times New Roman" w:hAnsi="Times New Roman" w:cs="Times New Roman"/>
        </w:rPr>
        <w:t>directive as determined by</w:t>
      </w:r>
      <w:r w:rsidR="00DB5334">
        <w:rPr>
          <w:rFonts w:ascii="Times New Roman" w:hAnsi="Times New Roman" w:cs="Times New Roman"/>
        </w:rPr>
        <w:t xml:space="preserve"> resource dependence</w:t>
      </w:r>
      <w:r w:rsidR="00F917D7">
        <w:rPr>
          <w:rFonts w:ascii="Times New Roman" w:hAnsi="Times New Roman" w:cs="Times New Roman"/>
        </w:rPr>
        <w:t xml:space="preserve"> at the country level</w:t>
      </w:r>
    </w:p>
    <w:p w14:paraId="444A61B0" w14:textId="77777777" w:rsidR="00E207E0" w:rsidRDefault="00E207E0"/>
    <w:tbl>
      <w:tblPr>
        <w:tblW w:w="13916" w:type="dxa"/>
        <w:jc w:val="center"/>
        <w:tblLayout w:type="fixed"/>
        <w:tblLook w:val="04A0" w:firstRow="1" w:lastRow="0" w:firstColumn="1" w:lastColumn="0" w:noHBand="0" w:noVBand="1"/>
      </w:tblPr>
      <w:tblGrid>
        <w:gridCol w:w="2486"/>
        <w:gridCol w:w="1143"/>
        <w:gridCol w:w="1143"/>
        <w:gridCol w:w="1143"/>
        <w:gridCol w:w="1143"/>
        <w:gridCol w:w="1143"/>
        <w:gridCol w:w="1143"/>
        <w:gridCol w:w="1143"/>
        <w:gridCol w:w="1143"/>
        <w:gridCol w:w="1143"/>
        <w:gridCol w:w="1143"/>
      </w:tblGrid>
      <w:tr w:rsidR="005C208A" w:rsidRPr="00F26FFC" w14:paraId="35B09EF9" w14:textId="77777777" w:rsidTr="005C208A">
        <w:trPr>
          <w:trHeight w:val="245"/>
          <w:jc w:val="center"/>
        </w:trPr>
        <w:tc>
          <w:tcPr>
            <w:tcW w:w="2486" w:type="dxa"/>
            <w:tcBorders>
              <w:top w:val="single" w:sz="4" w:space="0" w:color="auto"/>
              <w:left w:val="nil"/>
              <w:right w:val="nil"/>
            </w:tcBorders>
            <w:shd w:val="clear" w:color="auto" w:fill="auto"/>
            <w:noWrap/>
          </w:tcPr>
          <w:p w14:paraId="130B7290" w14:textId="77777777" w:rsidR="005C208A" w:rsidRPr="00F26FFC" w:rsidRDefault="005C208A" w:rsidP="00F26FFC">
            <w:pPr>
              <w:rPr>
                <w:rFonts w:eastAsia="Times New Roman" w:cstheme="minorHAnsi"/>
                <w:sz w:val="16"/>
                <w:szCs w:val="16"/>
              </w:rPr>
            </w:pPr>
          </w:p>
        </w:tc>
        <w:tc>
          <w:tcPr>
            <w:tcW w:w="11430" w:type="dxa"/>
            <w:gridSpan w:val="10"/>
            <w:tcBorders>
              <w:top w:val="single" w:sz="4" w:space="0" w:color="auto"/>
              <w:left w:val="nil"/>
              <w:right w:val="nil"/>
            </w:tcBorders>
            <w:shd w:val="clear" w:color="auto" w:fill="auto"/>
            <w:noWrap/>
          </w:tcPr>
          <w:p w14:paraId="530303AB" w14:textId="1FCF6D28" w:rsidR="005C208A" w:rsidRPr="00F26FFC" w:rsidRDefault="005C208A" w:rsidP="00F26FFC">
            <w:pPr>
              <w:jc w:val="center"/>
              <w:rPr>
                <w:rFonts w:eastAsia="Times New Roman" w:cstheme="minorHAnsi"/>
                <w:sz w:val="16"/>
                <w:szCs w:val="16"/>
              </w:rPr>
            </w:pPr>
            <w:r>
              <w:rPr>
                <w:rFonts w:ascii="Calibri" w:eastAsia="Times New Roman" w:hAnsi="Calibri" w:cs="Times New Roman"/>
                <w:sz w:val="20"/>
                <w:szCs w:val="20"/>
              </w:rPr>
              <w:t>DV: National Transpositions</w:t>
            </w:r>
          </w:p>
        </w:tc>
      </w:tr>
      <w:tr w:rsidR="00F26FFC" w:rsidRPr="00F26FFC" w14:paraId="6056812B" w14:textId="77777777" w:rsidTr="005C208A">
        <w:trPr>
          <w:trHeight w:val="245"/>
          <w:jc w:val="center"/>
        </w:trPr>
        <w:tc>
          <w:tcPr>
            <w:tcW w:w="2486" w:type="dxa"/>
            <w:tcBorders>
              <w:left w:val="nil"/>
              <w:right w:val="nil"/>
            </w:tcBorders>
            <w:shd w:val="clear" w:color="auto" w:fill="auto"/>
            <w:noWrap/>
          </w:tcPr>
          <w:p w14:paraId="7492744D" w14:textId="77777777" w:rsidR="00F26FFC" w:rsidRPr="00F26FFC" w:rsidRDefault="00F26FFC" w:rsidP="00F26FFC">
            <w:pPr>
              <w:rPr>
                <w:rFonts w:eastAsia="Times New Roman" w:cstheme="minorHAnsi"/>
                <w:sz w:val="16"/>
                <w:szCs w:val="16"/>
              </w:rPr>
            </w:pPr>
          </w:p>
        </w:tc>
        <w:tc>
          <w:tcPr>
            <w:tcW w:w="1143" w:type="dxa"/>
            <w:tcBorders>
              <w:top w:val="single" w:sz="4" w:space="0" w:color="auto"/>
              <w:left w:val="nil"/>
              <w:right w:val="nil"/>
            </w:tcBorders>
            <w:shd w:val="clear" w:color="auto" w:fill="auto"/>
            <w:noWrap/>
          </w:tcPr>
          <w:p w14:paraId="3184A63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Poisson</w:t>
            </w:r>
          </w:p>
        </w:tc>
        <w:tc>
          <w:tcPr>
            <w:tcW w:w="1143" w:type="dxa"/>
            <w:tcBorders>
              <w:top w:val="single" w:sz="4" w:space="0" w:color="auto"/>
              <w:left w:val="nil"/>
              <w:right w:val="nil"/>
            </w:tcBorders>
            <w:shd w:val="clear" w:color="auto" w:fill="auto"/>
            <w:noWrap/>
          </w:tcPr>
          <w:p w14:paraId="48EA13C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Poisson</w:t>
            </w:r>
          </w:p>
        </w:tc>
        <w:tc>
          <w:tcPr>
            <w:tcW w:w="1143" w:type="dxa"/>
            <w:tcBorders>
              <w:top w:val="single" w:sz="4" w:space="0" w:color="auto"/>
              <w:left w:val="nil"/>
              <w:right w:val="nil"/>
            </w:tcBorders>
            <w:shd w:val="clear" w:color="auto" w:fill="auto"/>
            <w:noWrap/>
          </w:tcPr>
          <w:p w14:paraId="57068EAA"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Poisson</w:t>
            </w:r>
          </w:p>
        </w:tc>
        <w:tc>
          <w:tcPr>
            <w:tcW w:w="1143" w:type="dxa"/>
            <w:tcBorders>
              <w:top w:val="single" w:sz="4" w:space="0" w:color="auto"/>
              <w:left w:val="nil"/>
              <w:right w:val="nil"/>
            </w:tcBorders>
            <w:shd w:val="clear" w:color="auto" w:fill="auto"/>
            <w:noWrap/>
          </w:tcPr>
          <w:p w14:paraId="319BFEE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Poisson</w:t>
            </w:r>
          </w:p>
        </w:tc>
        <w:tc>
          <w:tcPr>
            <w:tcW w:w="1143" w:type="dxa"/>
            <w:tcBorders>
              <w:top w:val="single" w:sz="4" w:space="0" w:color="auto"/>
              <w:left w:val="nil"/>
              <w:right w:val="nil"/>
            </w:tcBorders>
            <w:shd w:val="clear" w:color="auto" w:fill="auto"/>
            <w:noWrap/>
          </w:tcPr>
          <w:p w14:paraId="488DBF8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Poisson</w:t>
            </w:r>
          </w:p>
        </w:tc>
        <w:tc>
          <w:tcPr>
            <w:tcW w:w="1143" w:type="dxa"/>
            <w:tcBorders>
              <w:top w:val="single" w:sz="4" w:space="0" w:color="auto"/>
              <w:left w:val="nil"/>
              <w:right w:val="nil"/>
            </w:tcBorders>
            <w:shd w:val="clear" w:color="auto" w:fill="auto"/>
            <w:noWrap/>
          </w:tcPr>
          <w:p w14:paraId="00F963F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Negative binomial</w:t>
            </w:r>
          </w:p>
        </w:tc>
        <w:tc>
          <w:tcPr>
            <w:tcW w:w="1143" w:type="dxa"/>
            <w:tcBorders>
              <w:top w:val="single" w:sz="4" w:space="0" w:color="auto"/>
              <w:left w:val="nil"/>
              <w:right w:val="nil"/>
            </w:tcBorders>
            <w:shd w:val="clear" w:color="auto" w:fill="auto"/>
            <w:noWrap/>
          </w:tcPr>
          <w:p w14:paraId="7A7C4D2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Negative binomial</w:t>
            </w:r>
          </w:p>
        </w:tc>
        <w:tc>
          <w:tcPr>
            <w:tcW w:w="1143" w:type="dxa"/>
            <w:tcBorders>
              <w:top w:val="single" w:sz="4" w:space="0" w:color="auto"/>
              <w:left w:val="nil"/>
              <w:right w:val="nil"/>
            </w:tcBorders>
            <w:shd w:val="clear" w:color="auto" w:fill="auto"/>
            <w:noWrap/>
          </w:tcPr>
          <w:p w14:paraId="0DA98068"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Negative binomial</w:t>
            </w:r>
          </w:p>
        </w:tc>
        <w:tc>
          <w:tcPr>
            <w:tcW w:w="1143" w:type="dxa"/>
            <w:tcBorders>
              <w:top w:val="single" w:sz="4" w:space="0" w:color="auto"/>
              <w:left w:val="nil"/>
              <w:right w:val="nil"/>
            </w:tcBorders>
            <w:shd w:val="clear" w:color="auto" w:fill="auto"/>
            <w:noWrap/>
          </w:tcPr>
          <w:p w14:paraId="3AAFD8B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Negative binomial</w:t>
            </w:r>
          </w:p>
        </w:tc>
        <w:tc>
          <w:tcPr>
            <w:tcW w:w="1143" w:type="dxa"/>
            <w:tcBorders>
              <w:top w:val="single" w:sz="4" w:space="0" w:color="auto"/>
              <w:left w:val="nil"/>
              <w:right w:val="nil"/>
            </w:tcBorders>
            <w:shd w:val="clear" w:color="auto" w:fill="auto"/>
            <w:noWrap/>
          </w:tcPr>
          <w:p w14:paraId="0718E00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Negative binomial</w:t>
            </w:r>
          </w:p>
        </w:tc>
      </w:tr>
      <w:tr w:rsidR="00F26FFC" w:rsidRPr="00F26FFC" w14:paraId="1A87EC1D" w14:textId="77777777" w:rsidTr="009E712B">
        <w:trPr>
          <w:trHeight w:val="245"/>
          <w:jc w:val="center"/>
        </w:trPr>
        <w:tc>
          <w:tcPr>
            <w:tcW w:w="2486" w:type="dxa"/>
            <w:tcBorders>
              <w:left w:val="nil"/>
              <w:bottom w:val="nil"/>
              <w:right w:val="nil"/>
            </w:tcBorders>
            <w:shd w:val="clear" w:color="auto" w:fill="auto"/>
            <w:noWrap/>
            <w:hideMark/>
          </w:tcPr>
          <w:p w14:paraId="71A643A8" w14:textId="77777777" w:rsidR="00F26FFC" w:rsidRPr="00F26FFC" w:rsidRDefault="00F26FFC" w:rsidP="00F26FFC">
            <w:pPr>
              <w:rPr>
                <w:rFonts w:eastAsia="Times New Roman" w:cstheme="minorHAnsi"/>
                <w:sz w:val="16"/>
                <w:szCs w:val="16"/>
              </w:rPr>
            </w:pPr>
            <w:r w:rsidRPr="00F26FFC">
              <w:rPr>
                <w:rFonts w:eastAsia="Times New Roman" w:cstheme="minorHAnsi"/>
                <w:sz w:val="16"/>
                <w:szCs w:val="16"/>
              </w:rPr>
              <w:t> </w:t>
            </w:r>
          </w:p>
        </w:tc>
        <w:tc>
          <w:tcPr>
            <w:tcW w:w="1143" w:type="dxa"/>
            <w:tcBorders>
              <w:left w:val="nil"/>
              <w:bottom w:val="nil"/>
              <w:right w:val="nil"/>
            </w:tcBorders>
            <w:shd w:val="clear" w:color="auto" w:fill="auto"/>
            <w:noWrap/>
            <w:hideMark/>
          </w:tcPr>
          <w:p w14:paraId="127E7999"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w:t>
            </w:r>
          </w:p>
        </w:tc>
        <w:tc>
          <w:tcPr>
            <w:tcW w:w="1143" w:type="dxa"/>
            <w:tcBorders>
              <w:left w:val="nil"/>
              <w:bottom w:val="nil"/>
              <w:right w:val="nil"/>
            </w:tcBorders>
            <w:shd w:val="clear" w:color="auto" w:fill="auto"/>
            <w:noWrap/>
            <w:hideMark/>
          </w:tcPr>
          <w:p w14:paraId="190B95E9"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w:t>
            </w:r>
          </w:p>
        </w:tc>
        <w:tc>
          <w:tcPr>
            <w:tcW w:w="1143" w:type="dxa"/>
            <w:tcBorders>
              <w:left w:val="nil"/>
              <w:bottom w:val="nil"/>
              <w:right w:val="nil"/>
            </w:tcBorders>
            <w:shd w:val="clear" w:color="auto" w:fill="auto"/>
            <w:noWrap/>
            <w:hideMark/>
          </w:tcPr>
          <w:p w14:paraId="6C82CF6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(3)</w:t>
            </w:r>
          </w:p>
        </w:tc>
        <w:tc>
          <w:tcPr>
            <w:tcW w:w="1143" w:type="dxa"/>
            <w:tcBorders>
              <w:left w:val="nil"/>
              <w:bottom w:val="nil"/>
              <w:right w:val="nil"/>
            </w:tcBorders>
            <w:shd w:val="clear" w:color="auto" w:fill="auto"/>
            <w:noWrap/>
            <w:hideMark/>
          </w:tcPr>
          <w:p w14:paraId="715A9DD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(4)</w:t>
            </w:r>
          </w:p>
        </w:tc>
        <w:tc>
          <w:tcPr>
            <w:tcW w:w="1143" w:type="dxa"/>
            <w:tcBorders>
              <w:left w:val="nil"/>
              <w:bottom w:val="nil"/>
              <w:right w:val="nil"/>
            </w:tcBorders>
            <w:shd w:val="clear" w:color="auto" w:fill="auto"/>
            <w:noWrap/>
            <w:hideMark/>
          </w:tcPr>
          <w:p w14:paraId="3C67419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(5)</w:t>
            </w:r>
          </w:p>
        </w:tc>
        <w:tc>
          <w:tcPr>
            <w:tcW w:w="1143" w:type="dxa"/>
            <w:tcBorders>
              <w:left w:val="nil"/>
              <w:bottom w:val="nil"/>
              <w:right w:val="nil"/>
            </w:tcBorders>
            <w:shd w:val="clear" w:color="auto" w:fill="auto"/>
            <w:noWrap/>
            <w:hideMark/>
          </w:tcPr>
          <w:p w14:paraId="604B0B2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(6)</w:t>
            </w:r>
          </w:p>
        </w:tc>
        <w:tc>
          <w:tcPr>
            <w:tcW w:w="1143" w:type="dxa"/>
            <w:tcBorders>
              <w:left w:val="nil"/>
              <w:bottom w:val="nil"/>
              <w:right w:val="nil"/>
            </w:tcBorders>
            <w:shd w:val="clear" w:color="auto" w:fill="auto"/>
            <w:noWrap/>
            <w:hideMark/>
          </w:tcPr>
          <w:p w14:paraId="39F7A8D7"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(7)</w:t>
            </w:r>
          </w:p>
        </w:tc>
        <w:tc>
          <w:tcPr>
            <w:tcW w:w="1143" w:type="dxa"/>
            <w:tcBorders>
              <w:left w:val="nil"/>
              <w:bottom w:val="nil"/>
              <w:right w:val="nil"/>
            </w:tcBorders>
            <w:shd w:val="clear" w:color="auto" w:fill="auto"/>
            <w:noWrap/>
            <w:hideMark/>
          </w:tcPr>
          <w:p w14:paraId="6D15197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(8)</w:t>
            </w:r>
          </w:p>
        </w:tc>
        <w:tc>
          <w:tcPr>
            <w:tcW w:w="1143" w:type="dxa"/>
            <w:tcBorders>
              <w:left w:val="nil"/>
              <w:bottom w:val="nil"/>
              <w:right w:val="nil"/>
            </w:tcBorders>
            <w:shd w:val="clear" w:color="auto" w:fill="auto"/>
            <w:noWrap/>
            <w:hideMark/>
          </w:tcPr>
          <w:p w14:paraId="5D7FEB5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(9)</w:t>
            </w:r>
          </w:p>
        </w:tc>
        <w:tc>
          <w:tcPr>
            <w:tcW w:w="1143" w:type="dxa"/>
            <w:tcBorders>
              <w:left w:val="nil"/>
              <w:bottom w:val="nil"/>
              <w:right w:val="nil"/>
            </w:tcBorders>
            <w:shd w:val="clear" w:color="auto" w:fill="auto"/>
            <w:noWrap/>
            <w:hideMark/>
          </w:tcPr>
          <w:p w14:paraId="0F751A8A"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(10)</w:t>
            </w:r>
          </w:p>
        </w:tc>
      </w:tr>
      <w:tr w:rsidR="00F26FFC" w:rsidRPr="00F26FFC" w14:paraId="52DE209B" w14:textId="77777777" w:rsidTr="009E712B">
        <w:trPr>
          <w:trHeight w:val="245"/>
          <w:jc w:val="center"/>
        </w:trPr>
        <w:tc>
          <w:tcPr>
            <w:tcW w:w="2486" w:type="dxa"/>
            <w:tcBorders>
              <w:top w:val="single" w:sz="4" w:space="0" w:color="000000"/>
              <w:left w:val="nil"/>
              <w:bottom w:val="nil"/>
              <w:right w:val="nil"/>
            </w:tcBorders>
            <w:shd w:val="clear" w:color="auto" w:fill="auto"/>
            <w:noWrap/>
            <w:hideMark/>
          </w:tcPr>
          <w:p w14:paraId="6B79CF0D" w14:textId="77777777" w:rsidR="00F26FFC" w:rsidRPr="00F26FFC" w:rsidRDefault="00F26FFC" w:rsidP="00F26FFC">
            <w:pPr>
              <w:rPr>
                <w:rFonts w:eastAsia="Times New Roman" w:cstheme="minorHAnsi"/>
                <w:sz w:val="16"/>
                <w:szCs w:val="16"/>
              </w:rPr>
            </w:pPr>
            <w:r w:rsidRPr="00F26FFC">
              <w:rPr>
                <w:rFonts w:eastAsia="Times New Roman" w:cstheme="minorHAnsi"/>
                <w:sz w:val="16"/>
                <w:szCs w:val="16"/>
              </w:rPr>
              <w:t> </w:t>
            </w:r>
          </w:p>
        </w:tc>
        <w:tc>
          <w:tcPr>
            <w:tcW w:w="1143" w:type="dxa"/>
            <w:tcBorders>
              <w:top w:val="single" w:sz="4" w:space="0" w:color="000000"/>
              <w:left w:val="nil"/>
              <w:bottom w:val="nil"/>
              <w:right w:val="nil"/>
            </w:tcBorders>
            <w:shd w:val="clear" w:color="auto" w:fill="auto"/>
            <w:noWrap/>
            <w:hideMark/>
          </w:tcPr>
          <w:p w14:paraId="3B09209B"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 </w:t>
            </w:r>
          </w:p>
        </w:tc>
        <w:tc>
          <w:tcPr>
            <w:tcW w:w="1143" w:type="dxa"/>
            <w:tcBorders>
              <w:top w:val="single" w:sz="4" w:space="0" w:color="000000"/>
              <w:left w:val="nil"/>
              <w:bottom w:val="nil"/>
              <w:right w:val="nil"/>
            </w:tcBorders>
            <w:shd w:val="clear" w:color="auto" w:fill="auto"/>
            <w:noWrap/>
            <w:hideMark/>
          </w:tcPr>
          <w:p w14:paraId="6834AFF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 </w:t>
            </w:r>
          </w:p>
        </w:tc>
        <w:tc>
          <w:tcPr>
            <w:tcW w:w="1143" w:type="dxa"/>
            <w:tcBorders>
              <w:top w:val="single" w:sz="4" w:space="0" w:color="000000"/>
              <w:left w:val="nil"/>
              <w:bottom w:val="nil"/>
              <w:right w:val="nil"/>
            </w:tcBorders>
            <w:shd w:val="clear" w:color="auto" w:fill="auto"/>
            <w:noWrap/>
            <w:hideMark/>
          </w:tcPr>
          <w:p w14:paraId="484EEEB8"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 </w:t>
            </w:r>
          </w:p>
        </w:tc>
        <w:tc>
          <w:tcPr>
            <w:tcW w:w="1143" w:type="dxa"/>
            <w:tcBorders>
              <w:top w:val="single" w:sz="4" w:space="0" w:color="000000"/>
              <w:left w:val="nil"/>
              <w:bottom w:val="nil"/>
              <w:right w:val="nil"/>
            </w:tcBorders>
            <w:shd w:val="clear" w:color="auto" w:fill="auto"/>
            <w:noWrap/>
            <w:hideMark/>
          </w:tcPr>
          <w:p w14:paraId="1728E2D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 </w:t>
            </w:r>
          </w:p>
        </w:tc>
        <w:tc>
          <w:tcPr>
            <w:tcW w:w="1143" w:type="dxa"/>
            <w:tcBorders>
              <w:top w:val="single" w:sz="4" w:space="0" w:color="000000"/>
              <w:left w:val="nil"/>
              <w:bottom w:val="nil"/>
              <w:right w:val="nil"/>
            </w:tcBorders>
            <w:shd w:val="clear" w:color="auto" w:fill="auto"/>
            <w:noWrap/>
            <w:hideMark/>
          </w:tcPr>
          <w:p w14:paraId="1692E4F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 </w:t>
            </w:r>
          </w:p>
        </w:tc>
        <w:tc>
          <w:tcPr>
            <w:tcW w:w="1143" w:type="dxa"/>
            <w:tcBorders>
              <w:top w:val="single" w:sz="4" w:space="0" w:color="000000"/>
              <w:left w:val="nil"/>
              <w:bottom w:val="nil"/>
              <w:right w:val="nil"/>
            </w:tcBorders>
            <w:shd w:val="clear" w:color="auto" w:fill="auto"/>
            <w:noWrap/>
            <w:hideMark/>
          </w:tcPr>
          <w:p w14:paraId="1C678F0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 </w:t>
            </w:r>
          </w:p>
        </w:tc>
        <w:tc>
          <w:tcPr>
            <w:tcW w:w="1143" w:type="dxa"/>
            <w:tcBorders>
              <w:top w:val="single" w:sz="4" w:space="0" w:color="000000"/>
              <w:left w:val="nil"/>
              <w:bottom w:val="nil"/>
              <w:right w:val="nil"/>
            </w:tcBorders>
            <w:shd w:val="clear" w:color="auto" w:fill="auto"/>
            <w:noWrap/>
            <w:hideMark/>
          </w:tcPr>
          <w:p w14:paraId="4BE8016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 </w:t>
            </w:r>
          </w:p>
        </w:tc>
        <w:tc>
          <w:tcPr>
            <w:tcW w:w="1143" w:type="dxa"/>
            <w:tcBorders>
              <w:top w:val="single" w:sz="4" w:space="0" w:color="000000"/>
              <w:left w:val="nil"/>
              <w:bottom w:val="nil"/>
              <w:right w:val="nil"/>
            </w:tcBorders>
            <w:shd w:val="clear" w:color="auto" w:fill="auto"/>
            <w:noWrap/>
            <w:hideMark/>
          </w:tcPr>
          <w:p w14:paraId="1E8B774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 </w:t>
            </w:r>
          </w:p>
        </w:tc>
        <w:tc>
          <w:tcPr>
            <w:tcW w:w="1143" w:type="dxa"/>
            <w:tcBorders>
              <w:top w:val="single" w:sz="4" w:space="0" w:color="000000"/>
              <w:left w:val="nil"/>
              <w:bottom w:val="nil"/>
              <w:right w:val="nil"/>
            </w:tcBorders>
            <w:shd w:val="clear" w:color="auto" w:fill="auto"/>
            <w:noWrap/>
            <w:hideMark/>
          </w:tcPr>
          <w:p w14:paraId="676CDAD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 </w:t>
            </w:r>
          </w:p>
        </w:tc>
        <w:tc>
          <w:tcPr>
            <w:tcW w:w="1143" w:type="dxa"/>
            <w:tcBorders>
              <w:top w:val="single" w:sz="4" w:space="0" w:color="000000"/>
              <w:left w:val="nil"/>
              <w:bottom w:val="nil"/>
              <w:right w:val="nil"/>
            </w:tcBorders>
            <w:shd w:val="clear" w:color="auto" w:fill="auto"/>
            <w:noWrap/>
            <w:hideMark/>
          </w:tcPr>
          <w:p w14:paraId="5613DBA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 </w:t>
            </w:r>
          </w:p>
        </w:tc>
      </w:tr>
      <w:tr w:rsidR="00F26FFC" w:rsidRPr="00F26FFC" w14:paraId="60DF4D3C" w14:textId="77777777" w:rsidTr="009E712B">
        <w:trPr>
          <w:trHeight w:val="245"/>
          <w:jc w:val="center"/>
        </w:trPr>
        <w:tc>
          <w:tcPr>
            <w:tcW w:w="2486" w:type="dxa"/>
            <w:tcBorders>
              <w:top w:val="nil"/>
              <w:left w:val="nil"/>
              <w:bottom w:val="nil"/>
              <w:right w:val="nil"/>
            </w:tcBorders>
            <w:shd w:val="clear" w:color="auto" w:fill="auto"/>
            <w:noWrap/>
            <w:hideMark/>
          </w:tcPr>
          <w:p w14:paraId="2E95C814" w14:textId="77777777" w:rsidR="00F26FFC" w:rsidRPr="00F26FFC" w:rsidRDefault="00F26FFC" w:rsidP="00F26FFC">
            <w:pPr>
              <w:rPr>
                <w:rFonts w:eastAsia="Times New Roman" w:cstheme="minorHAnsi"/>
                <w:sz w:val="16"/>
                <w:szCs w:val="16"/>
              </w:rPr>
            </w:pPr>
            <w:r w:rsidRPr="00F26FFC">
              <w:rPr>
                <w:rFonts w:eastAsia="Times New Roman" w:cstheme="minorHAnsi"/>
                <w:sz w:val="16"/>
                <w:szCs w:val="16"/>
              </w:rPr>
              <w:t>Dependence: EU funding</w:t>
            </w:r>
          </w:p>
        </w:tc>
        <w:tc>
          <w:tcPr>
            <w:tcW w:w="1143" w:type="dxa"/>
            <w:tcBorders>
              <w:top w:val="nil"/>
              <w:left w:val="nil"/>
              <w:bottom w:val="nil"/>
              <w:right w:val="nil"/>
            </w:tcBorders>
            <w:shd w:val="clear" w:color="auto" w:fill="auto"/>
            <w:noWrap/>
            <w:hideMark/>
          </w:tcPr>
          <w:p w14:paraId="4329851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0.108**</w:t>
            </w:r>
          </w:p>
        </w:tc>
        <w:tc>
          <w:tcPr>
            <w:tcW w:w="1143" w:type="dxa"/>
            <w:tcBorders>
              <w:top w:val="nil"/>
              <w:left w:val="nil"/>
              <w:bottom w:val="nil"/>
              <w:right w:val="nil"/>
            </w:tcBorders>
            <w:shd w:val="clear" w:color="auto" w:fill="auto"/>
            <w:noWrap/>
            <w:hideMark/>
          </w:tcPr>
          <w:p w14:paraId="2AE313A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0.175***</w:t>
            </w:r>
          </w:p>
        </w:tc>
        <w:tc>
          <w:tcPr>
            <w:tcW w:w="1143" w:type="dxa"/>
            <w:tcBorders>
              <w:top w:val="nil"/>
              <w:left w:val="nil"/>
              <w:bottom w:val="nil"/>
              <w:right w:val="nil"/>
            </w:tcBorders>
            <w:shd w:val="clear" w:color="auto" w:fill="auto"/>
            <w:noWrap/>
            <w:hideMark/>
          </w:tcPr>
          <w:p w14:paraId="6474C647"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0.245***</w:t>
            </w:r>
          </w:p>
        </w:tc>
        <w:tc>
          <w:tcPr>
            <w:tcW w:w="1143" w:type="dxa"/>
            <w:tcBorders>
              <w:top w:val="nil"/>
              <w:left w:val="nil"/>
              <w:bottom w:val="nil"/>
              <w:right w:val="nil"/>
            </w:tcBorders>
            <w:shd w:val="clear" w:color="auto" w:fill="auto"/>
            <w:noWrap/>
            <w:hideMark/>
          </w:tcPr>
          <w:p w14:paraId="6EE773D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-0.0549</w:t>
            </w:r>
          </w:p>
        </w:tc>
        <w:tc>
          <w:tcPr>
            <w:tcW w:w="1143" w:type="dxa"/>
            <w:tcBorders>
              <w:top w:val="nil"/>
              <w:left w:val="nil"/>
              <w:bottom w:val="nil"/>
              <w:right w:val="nil"/>
            </w:tcBorders>
            <w:shd w:val="clear" w:color="auto" w:fill="auto"/>
            <w:noWrap/>
            <w:hideMark/>
          </w:tcPr>
          <w:p w14:paraId="4055294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1.170***</w:t>
            </w:r>
          </w:p>
        </w:tc>
        <w:tc>
          <w:tcPr>
            <w:tcW w:w="1143" w:type="dxa"/>
            <w:tcBorders>
              <w:top w:val="nil"/>
              <w:left w:val="nil"/>
              <w:bottom w:val="nil"/>
              <w:right w:val="nil"/>
            </w:tcBorders>
            <w:shd w:val="clear" w:color="auto" w:fill="auto"/>
            <w:noWrap/>
            <w:hideMark/>
          </w:tcPr>
          <w:p w14:paraId="1E1E290B"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0.120*</w:t>
            </w:r>
          </w:p>
        </w:tc>
        <w:tc>
          <w:tcPr>
            <w:tcW w:w="1143" w:type="dxa"/>
            <w:tcBorders>
              <w:top w:val="nil"/>
              <w:left w:val="nil"/>
              <w:bottom w:val="nil"/>
              <w:right w:val="nil"/>
            </w:tcBorders>
            <w:shd w:val="clear" w:color="auto" w:fill="auto"/>
            <w:noWrap/>
            <w:hideMark/>
          </w:tcPr>
          <w:p w14:paraId="06195C1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0.166*</w:t>
            </w:r>
          </w:p>
        </w:tc>
        <w:tc>
          <w:tcPr>
            <w:tcW w:w="1143" w:type="dxa"/>
            <w:tcBorders>
              <w:top w:val="nil"/>
              <w:left w:val="nil"/>
              <w:bottom w:val="nil"/>
              <w:right w:val="nil"/>
            </w:tcBorders>
            <w:shd w:val="clear" w:color="auto" w:fill="auto"/>
            <w:noWrap/>
            <w:hideMark/>
          </w:tcPr>
          <w:p w14:paraId="15EDE68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0.214**</w:t>
            </w:r>
          </w:p>
        </w:tc>
        <w:tc>
          <w:tcPr>
            <w:tcW w:w="1143" w:type="dxa"/>
            <w:tcBorders>
              <w:top w:val="nil"/>
              <w:left w:val="nil"/>
              <w:bottom w:val="nil"/>
              <w:right w:val="nil"/>
            </w:tcBorders>
            <w:shd w:val="clear" w:color="auto" w:fill="auto"/>
            <w:noWrap/>
            <w:hideMark/>
          </w:tcPr>
          <w:p w14:paraId="62B251B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-0.0704</w:t>
            </w:r>
          </w:p>
        </w:tc>
        <w:tc>
          <w:tcPr>
            <w:tcW w:w="1143" w:type="dxa"/>
            <w:tcBorders>
              <w:top w:val="nil"/>
              <w:left w:val="nil"/>
              <w:bottom w:val="nil"/>
              <w:right w:val="nil"/>
            </w:tcBorders>
            <w:shd w:val="clear" w:color="auto" w:fill="auto"/>
            <w:noWrap/>
            <w:hideMark/>
          </w:tcPr>
          <w:p w14:paraId="6DF4BC0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1.239***</w:t>
            </w:r>
          </w:p>
        </w:tc>
      </w:tr>
      <w:tr w:rsidR="00F26FFC" w:rsidRPr="00F26FFC" w14:paraId="3633C4F6" w14:textId="77777777" w:rsidTr="009E712B">
        <w:trPr>
          <w:trHeight w:val="245"/>
          <w:jc w:val="center"/>
        </w:trPr>
        <w:tc>
          <w:tcPr>
            <w:tcW w:w="2486" w:type="dxa"/>
            <w:tcBorders>
              <w:top w:val="nil"/>
              <w:left w:val="nil"/>
              <w:bottom w:val="nil"/>
              <w:right w:val="nil"/>
            </w:tcBorders>
            <w:shd w:val="clear" w:color="auto" w:fill="auto"/>
            <w:noWrap/>
            <w:hideMark/>
          </w:tcPr>
          <w:p w14:paraId="71A2E337"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0F3AED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(0.0450)</w:t>
            </w:r>
          </w:p>
        </w:tc>
        <w:tc>
          <w:tcPr>
            <w:tcW w:w="1143" w:type="dxa"/>
            <w:tcBorders>
              <w:top w:val="nil"/>
              <w:left w:val="nil"/>
              <w:bottom w:val="nil"/>
              <w:right w:val="nil"/>
            </w:tcBorders>
            <w:shd w:val="clear" w:color="auto" w:fill="auto"/>
            <w:noWrap/>
            <w:hideMark/>
          </w:tcPr>
          <w:p w14:paraId="6F8648E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(0.0588)</w:t>
            </w:r>
          </w:p>
        </w:tc>
        <w:tc>
          <w:tcPr>
            <w:tcW w:w="1143" w:type="dxa"/>
            <w:tcBorders>
              <w:top w:val="nil"/>
              <w:left w:val="nil"/>
              <w:bottom w:val="nil"/>
              <w:right w:val="nil"/>
            </w:tcBorders>
            <w:shd w:val="clear" w:color="auto" w:fill="auto"/>
            <w:noWrap/>
            <w:hideMark/>
          </w:tcPr>
          <w:p w14:paraId="0DA718D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(0.0695)</w:t>
            </w:r>
          </w:p>
        </w:tc>
        <w:tc>
          <w:tcPr>
            <w:tcW w:w="1143" w:type="dxa"/>
            <w:tcBorders>
              <w:top w:val="nil"/>
              <w:left w:val="nil"/>
              <w:bottom w:val="nil"/>
              <w:right w:val="nil"/>
            </w:tcBorders>
            <w:shd w:val="clear" w:color="auto" w:fill="auto"/>
            <w:noWrap/>
            <w:hideMark/>
          </w:tcPr>
          <w:p w14:paraId="5E6FB03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(0.154)</w:t>
            </w:r>
          </w:p>
        </w:tc>
        <w:tc>
          <w:tcPr>
            <w:tcW w:w="1143" w:type="dxa"/>
            <w:tcBorders>
              <w:top w:val="nil"/>
              <w:left w:val="nil"/>
              <w:bottom w:val="nil"/>
              <w:right w:val="nil"/>
            </w:tcBorders>
            <w:shd w:val="clear" w:color="auto" w:fill="auto"/>
            <w:noWrap/>
            <w:hideMark/>
          </w:tcPr>
          <w:p w14:paraId="7DC800D9"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(0.332)</w:t>
            </w:r>
          </w:p>
        </w:tc>
        <w:tc>
          <w:tcPr>
            <w:tcW w:w="1143" w:type="dxa"/>
            <w:tcBorders>
              <w:top w:val="nil"/>
              <w:left w:val="nil"/>
              <w:bottom w:val="nil"/>
              <w:right w:val="nil"/>
            </w:tcBorders>
            <w:shd w:val="clear" w:color="auto" w:fill="auto"/>
            <w:noWrap/>
            <w:hideMark/>
          </w:tcPr>
          <w:p w14:paraId="7CD580F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(0.0636)</w:t>
            </w:r>
          </w:p>
        </w:tc>
        <w:tc>
          <w:tcPr>
            <w:tcW w:w="1143" w:type="dxa"/>
            <w:tcBorders>
              <w:top w:val="nil"/>
              <w:left w:val="nil"/>
              <w:bottom w:val="nil"/>
              <w:right w:val="nil"/>
            </w:tcBorders>
            <w:shd w:val="clear" w:color="auto" w:fill="auto"/>
            <w:noWrap/>
            <w:hideMark/>
          </w:tcPr>
          <w:p w14:paraId="25C2430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(0.0872)</w:t>
            </w:r>
          </w:p>
        </w:tc>
        <w:tc>
          <w:tcPr>
            <w:tcW w:w="1143" w:type="dxa"/>
            <w:tcBorders>
              <w:top w:val="nil"/>
              <w:left w:val="nil"/>
              <w:bottom w:val="nil"/>
              <w:right w:val="nil"/>
            </w:tcBorders>
            <w:shd w:val="clear" w:color="auto" w:fill="auto"/>
            <w:noWrap/>
            <w:hideMark/>
          </w:tcPr>
          <w:p w14:paraId="28912FCB"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(0.0873)</w:t>
            </w:r>
          </w:p>
        </w:tc>
        <w:tc>
          <w:tcPr>
            <w:tcW w:w="1143" w:type="dxa"/>
            <w:tcBorders>
              <w:top w:val="nil"/>
              <w:left w:val="nil"/>
              <w:bottom w:val="nil"/>
              <w:right w:val="nil"/>
            </w:tcBorders>
            <w:shd w:val="clear" w:color="auto" w:fill="auto"/>
            <w:noWrap/>
            <w:hideMark/>
          </w:tcPr>
          <w:p w14:paraId="64E33B9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(0.176)</w:t>
            </w:r>
          </w:p>
        </w:tc>
        <w:tc>
          <w:tcPr>
            <w:tcW w:w="1143" w:type="dxa"/>
            <w:tcBorders>
              <w:top w:val="nil"/>
              <w:left w:val="nil"/>
              <w:bottom w:val="nil"/>
              <w:right w:val="nil"/>
            </w:tcBorders>
            <w:shd w:val="clear" w:color="auto" w:fill="auto"/>
            <w:noWrap/>
            <w:hideMark/>
          </w:tcPr>
          <w:p w14:paraId="7C71D63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(0.389)</w:t>
            </w:r>
          </w:p>
        </w:tc>
      </w:tr>
      <w:tr w:rsidR="00F26FFC" w:rsidRPr="00F26FFC" w14:paraId="1C67665C" w14:textId="77777777" w:rsidTr="009E712B">
        <w:trPr>
          <w:trHeight w:val="245"/>
          <w:jc w:val="center"/>
        </w:trPr>
        <w:tc>
          <w:tcPr>
            <w:tcW w:w="2486" w:type="dxa"/>
            <w:tcBorders>
              <w:top w:val="nil"/>
              <w:left w:val="nil"/>
              <w:bottom w:val="nil"/>
              <w:right w:val="nil"/>
            </w:tcBorders>
            <w:shd w:val="clear" w:color="auto" w:fill="auto"/>
            <w:noWrap/>
            <w:hideMark/>
          </w:tcPr>
          <w:p w14:paraId="7B17E835" w14:textId="77777777" w:rsidR="00F26FFC" w:rsidRPr="00F26FFC" w:rsidRDefault="00F26FFC" w:rsidP="00F26FFC">
            <w:pPr>
              <w:rPr>
                <w:rFonts w:eastAsia="Times New Roman" w:cstheme="minorHAnsi"/>
                <w:sz w:val="16"/>
                <w:szCs w:val="16"/>
              </w:rPr>
            </w:pPr>
            <w:r w:rsidRPr="00F26FFC">
              <w:rPr>
                <w:rFonts w:cstheme="minorHAnsi"/>
                <w:color w:val="000000"/>
                <w:sz w:val="16"/>
                <w:szCs w:val="16"/>
              </w:rPr>
              <w:t>EU support for sustainable growth</w:t>
            </w:r>
          </w:p>
        </w:tc>
        <w:tc>
          <w:tcPr>
            <w:tcW w:w="1143" w:type="dxa"/>
            <w:tcBorders>
              <w:top w:val="nil"/>
              <w:left w:val="nil"/>
              <w:bottom w:val="nil"/>
              <w:right w:val="nil"/>
            </w:tcBorders>
            <w:shd w:val="clear" w:color="auto" w:fill="auto"/>
            <w:noWrap/>
            <w:hideMark/>
          </w:tcPr>
          <w:p w14:paraId="5F342719"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-121.3**</w:t>
            </w:r>
          </w:p>
        </w:tc>
        <w:tc>
          <w:tcPr>
            <w:tcW w:w="1143" w:type="dxa"/>
            <w:tcBorders>
              <w:top w:val="nil"/>
              <w:left w:val="nil"/>
              <w:bottom w:val="nil"/>
              <w:right w:val="nil"/>
            </w:tcBorders>
            <w:shd w:val="clear" w:color="auto" w:fill="auto"/>
            <w:noWrap/>
            <w:hideMark/>
          </w:tcPr>
          <w:p w14:paraId="6ECCCF02"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-179.0**</w:t>
            </w:r>
          </w:p>
        </w:tc>
        <w:tc>
          <w:tcPr>
            <w:tcW w:w="1143" w:type="dxa"/>
            <w:tcBorders>
              <w:top w:val="nil"/>
              <w:left w:val="nil"/>
              <w:bottom w:val="nil"/>
              <w:right w:val="nil"/>
            </w:tcBorders>
            <w:shd w:val="clear" w:color="auto" w:fill="auto"/>
            <w:noWrap/>
            <w:hideMark/>
          </w:tcPr>
          <w:p w14:paraId="422E734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-244.7**</w:t>
            </w:r>
          </w:p>
        </w:tc>
        <w:tc>
          <w:tcPr>
            <w:tcW w:w="1143" w:type="dxa"/>
            <w:tcBorders>
              <w:top w:val="nil"/>
              <w:left w:val="nil"/>
              <w:bottom w:val="nil"/>
              <w:right w:val="nil"/>
            </w:tcBorders>
            <w:shd w:val="clear" w:color="auto" w:fill="auto"/>
            <w:noWrap/>
            <w:hideMark/>
          </w:tcPr>
          <w:p w14:paraId="0B08D52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-274.4***</w:t>
            </w:r>
          </w:p>
        </w:tc>
        <w:tc>
          <w:tcPr>
            <w:tcW w:w="1143" w:type="dxa"/>
            <w:tcBorders>
              <w:top w:val="nil"/>
              <w:left w:val="nil"/>
              <w:bottom w:val="nil"/>
              <w:right w:val="nil"/>
            </w:tcBorders>
            <w:shd w:val="clear" w:color="auto" w:fill="auto"/>
            <w:noWrap/>
            <w:hideMark/>
          </w:tcPr>
          <w:p w14:paraId="6CE58CF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-62.87</w:t>
            </w:r>
          </w:p>
        </w:tc>
        <w:tc>
          <w:tcPr>
            <w:tcW w:w="1143" w:type="dxa"/>
            <w:tcBorders>
              <w:top w:val="nil"/>
              <w:left w:val="nil"/>
              <w:bottom w:val="nil"/>
              <w:right w:val="nil"/>
            </w:tcBorders>
            <w:shd w:val="clear" w:color="auto" w:fill="auto"/>
            <w:noWrap/>
            <w:hideMark/>
          </w:tcPr>
          <w:p w14:paraId="3D5D8CC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-102.8</w:t>
            </w:r>
          </w:p>
        </w:tc>
        <w:tc>
          <w:tcPr>
            <w:tcW w:w="1143" w:type="dxa"/>
            <w:tcBorders>
              <w:top w:val="nil"/>
              <w:left w:val="nil"/>
              <w:bottom w:val="nil"/>
              <w:right w:val="nil"/>
            </w:tcBorders>
            <w:shd w:val="clear" w:color="auto" w:fill="auto"/>
            <w:noWrap/>
            <w:hideMark/>
          </w:tcPr>
          <w:p w14:paraId="48EDF51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-140.3</w:t>
            </w:r>
          </w:p>
        </w:tc>
        <w:tc>
          <w:tcPr>
            <w:tcW w:w="1143" w:type="dxa"/>
            <w:tcBorders>
              <w:top w:val="nil"/>
              <w:left w:val="nil"/>
              <w:bottom w:val="nil"/>
              <w:right w:val="nil"/>
            </w:tcBorders>
            <w:shd w:val="clear" w:color="auto" w:fill="auto"/>
            <w:noWrap/>
            <w:hideMark/>
          </w:tcPr>
          <w:p w14:paraId="6BE18FC2"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-194.4</w:t>
            </w:r>
          </w:p>
        </w:tc>
        <w:tc>
          <w:tcPr>
            <w:tcW w:w="1143" w:type="dxa"/>
            <w:tcBorders>
              <w:top w:val="nil"/>
              <w:left w:val="nil"/>
              <w:bottom w:val="nil"/>
              <w:right w:val="nil"/>
            </w:tcBorders>
            <w:shd w:val="clear" w:color="auto" w:fill="auto"/>
            <w:noWrap/>
            <w:hideMark/>
          </w:tcPr>
          <w:p w14:paraId="4754FC17"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-247.3**</w:t>
            </w:r>
          </w:p>
        </w:tc>
        <w:tc>
          <w:tcPr>
            <w:tcW w:w="1143" w:type="dxa"/>
            <w:tcBorders>
              <w:top w:val="nil"/>
              <w:left w:val="nil"/>
              <w:bottom w:val="nil"/>
              <w:right w:val="nil"/>
            </w:tcBorders>
            <w:shd w:val="clear" w:color="auto" w:fill="auto"/>
            <w:noWrap/>
            <w:hideMark/>
          </w:tcPr>
          <w:p w14:paraId="2257C68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-42.64</w:t>
            </w:r>
          </w:p>
        </w:tc>
      </w:tr>
      <w:tr w:rsidR="00F26FFC" w:rsidRPr="00F26FFC" w14:paraId="587A5DCC" w14:textId="77777777" w:rsidTr="009E712B">
        <w:trPr>
          <w:trHeight w:val="245"/>
          <w:jc w:val="center"/>
        </w:trPr>
        <w:tc>
          <w:tcPr>
            <w:tcW w:w="2486" w:type="dxa"/>
            <w:tcBorders>
              <w:top w:val="nil"/>
              <w:left w:val="nil"/>
              <w:bottom w:val="nil"/>
              <w:right w:val="nil"/>
            </w:tcBorders>
            <w:shd w:val="clear" w:color="auto" w:fill="auto"/>
            <w:noWrap/>
            <w:hideMark/>
          </w:tcPr>
          <w:p w14:paraId="45CE97EF"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21A794BA"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(52.76)</w:t>
            </w:r>
          </w:p>
        </w:tc>
        <w:tc>
          <w:tcPr>
            <w:tcW w:w="1143" w:type="dxa"/>
            <w:tcBorders>
              <w:top w:val="nil"/>
              <w:left w:val="nil"/>
              <w:bottom w:val="nil"/>
              <w:right w:val="nil"/>
            </w:tcBorders>
            <w:shd w:val="clear" w:color="auto" w:fill="auto"/>
            <w:noWrap/>
            <w:hideMark/>
          </w:tcPr>
          <w:p w14:paraId="3501627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(78.90)</w:t>
            </w:r>
          </w:p>
        </w:tc>
        <w:tc>
          <w:tcPr>
            <w:tcW w:w="1143" w:type="dxa"/>
            <w:tcBorders>
              <w:top w:val="nil"/>
              <w:left w:val="nil"/>
              <w:bottom w:val="nil"/>
              <w:right w:val="nil"/>
            </w:tcBorders>
            <w:shd w:val="clear" w:color="auto" w:fill="auto"/>
            <w:noWrap/>
            <w:hideMark/>
          </w:tcPr>
          <w:p w14:paraId="112A256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(96.06)</w:t>
            </w:r>
          </w:p>
        </w:tc>
        <w:tc>
          <w:tcPr>
            <w:tcW w:w="1143" w:type="dxa"/>
            <w:tcBorders>
              <w:top w:val="nil"/>
              <w:left w:val="nil"/>
              <w:bottom w:val="nil"/>
              <w:right w:val="nil"/>
            </w:tcBorders>
            <w:shd w:val="clear" w:color="auto" w:fill="auto"/>
            <w:noWrap/>
            <w:hideMark/>
          </w:tcPr>
          <w:p w14:paraId="18E8A0A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(93.92)</w:t>
            </w:r>
          </w:p>
        </w:tc>
        <w:tc>
          <w:tcPr>
            <w:tcW w:w="1143" w:type="dxa"/>
            <w:tcBorders>
              <w:top w:val="nil"/>
              <w:left w:val="nil"/>
              <w:bottom w:val="nil"/>
              <w:right w:val="nil"/>
            </w:tcBorders>
            <w:shd w:val="clear" w:color="auto" w:fill="auto"/>
            <w:noWrap/>
            <w:hideMark/>
          </w:tcPr>
          <w:p w14:paraId="2F68EDA8"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(108.0)</w:t>
            </w:r>
          </w:p>
        </w:tc>
        <w:tc>
          <w:tcPr>
            <w:tcW w:w="1143" w:type="dxa"/>
            <w:tcBorders>
              <w:top w:val="nil"/>
              <w:left w:val="nil"/>
              <w:bottom w:val="nil"/>
              <w:right w:val="nil"/>
            </w:tcBorders>
            <w:shd w:val="clear" w:color="auto" w:fill="auto"/>
            <w:noWrap/>
            <w:hideMark/>
          </w:tcPr>
          <w:p w14:paraId="6772139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(71.14)</w:t>
            </w:r>
          </w:p>
        </w:tc>
        <w:tc>
          <w:tcPr>
            <w:tcW w:w="1143" w:type="dxa"/>
            <w:tcBorders>
              <w:top w:val="nil"/>
              <w:left w:val="nil"/>
              <w:bottom w:val="nil"/>
              <w:right w:val="nil"/>
            </w:tcBorders>
            <w:shd w:val="clear" w:color="auto" w:fill="auto"/>
            <w:noWrap/>
            <w:hideMark/>
          </w:tcPr>
          <w:p w14:paraId="1E6614E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(112.6)</w:t>
            </w:r>
          </w:p>
        </w:tc>
        <w:tc>
          <w:tcPr>
            <w:tcW w:w="1143" w:type="dxa"/>
            <w:tcBorders>
              <w:top w:val="nil"/>
              <w:left w:val="nil"/>
              <w:bottom w:val="nil"/>
              <w:right w:val="nil"/>
            </w:tcBorders>
            <w:shd w:val="clear" w:color="auto" w:fill="auto"/>
            <w:noWrap/>
            <w:hideMark/>
          </w:tcPr>
          <w:p w14:paraId="4D3C5FE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(122.0)</w:t>
            </w:r>
          </w:p>
        </w:tc>
        <w:tc>
          <w:tcPr>
            <w:tcW w:w="1143" w:type="dxa"/>
            <w:tcBorders>
              <w:top w:val="nil"/>
              <w:left w:val="nil"/>
              <w:bottom w:val="nil"/>
              <w:right w:val="nil"/>
            </w:tcBorders>
            <w:shd w:val="clear" w:color="auto" w:fill="auto"/>
            <w:noWrap/>
            <w:hideMark/>
          </w:tcPr>
          <w:p w14:paraId="2037B1B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(113.8)</w:t>
            </w:r>
          </w:p>
        </w:tc>
        <w:tc>
          <w:tcPr>
            <w:tcW w:w="1143" w:type="dxa"/>
            <w:tcBorders>
              <w:top w:val="nil"/>
              <w:left w:val="nil"/>
              <w:bottom w:val="nil"/>
              <w:right w:val="nil"/>
            </w:tcBorders>
            <w:shd w:val="clear" w:color="auto" w:fill="auto"/>
            <w:noWrap/>
            <w:hideMark/>
          </w:tcPr>
          <w:p w14:paraId="13A9143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(120.2)</w:t>
            </w:r>
          </w:p>
        </w:tc>
      </w:tr>
      <w:tr w:rsidR="00F26FFC" w:rsidRPr="00F26FFC" w14:paraId="3B03D3EB" w14:textId="77777777" w:rsidTr="009E712B">
        <w:trPr>
          <w:trHeight w:val="245"/>
          <w:jc w:val="center"/>
        </w:trPr>
        <w:tc>
          <w:tcPr>
            <w:tcW w:w="2486" w:type="dxa"/>
            <w:tcBorders>
              <w:top w:val="nil"/>
              <w:left w:val="nil"/>
              <w:bottom w:val="nil"/>
              <w:right w:val="nil"/>
            </w:tcBorders>
            <w:shd w:val="clear" w:color="auto" w:fill="auto"/>
            <w:noWrap/>
            <w:hideMark/>
          </w:tcPr>
          <w:p w14:paraId="696D3BB1" w14:textId="42FCC7E9" w:rsidR="00F26FFC" w:rsidRPr="00F26FFC" w:rsidRDefault="00F26FFC" w:rsidP="00F26FFC">
            <w:pPr>
              <w:rPr>
                <w:rFonts w:eastAsia="Times New Roman" w:cstheme="minorHAnsi"/>
                <w:sz w:val="16"/>
                <w:szCs w:val="16"/>
              </w:rPr>
            </w:pPr>
            <w:r w:rsidRPr="00F26FFC">
              <w:rPr>
                <w:rFonts w:eastAsia="Times New Roman" w:cstheme="minorHAnsi"/>
                <w:sz w:val="16"/>
                <w:szCs w:val="16"/>
              </w:rPr>
              <w:t xml:space="preserve">Emissions </w:t>
            </w:r>
            <w:r w:rsidR="00A373F0">
              <w:rPr>
                <w:rFonts w:eastAsia="Times New Roman" w:cstheme="minorHAnsi"/>
                <w:sz w:val="16"/>
                <w:szCs w:val="16"/>
              </w:rPr>
              <w:t>c</w:t>
            </w:r>
            <w:r w:rsidRPr="00F26FFC">
              <w:rPr>
                <w:rFonts w:eastAsia="Times New Roman" w:cstheme="minorHAnsi"/>
                <w:sz w:val="16"/>
                <w:szCs w:val="16"/>
              </w:rPr>
              <w:t>ap over GDP</w:t>
            </w:r>
          </w:p>
        </w:tc>
        <w:tc>
          <w:tcPr>
            <w:tcW w:w="1143" w:type="dxa"/>
            <w:tcBorders>
              <w:top w:val="nil"/>
              <w:left w:val="nil"/>
              <w:bottom w:val="nil"/>
              <w:right w:val="nil"/>
            </w:tcBorders>
            <w:shd w:val="clear" w:color="auto" w:fill="auto"/>
            <w:noWrap/>
            <w:hideMark/>
          </w:tcPr>
          <w:p w14:paraId="1E97D45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-1.194***</w:t>
            </w:r>
          </w:p>
        </w:tc>
        <w:tc>
          <w:tcPr>
            <w:tcW w:w="1143" w:type="dxa"/>
            <w:tcBorders>
              <w:top w:val="nil"/>
              <w:left w:val="nil"/>
              <w:bottom w:val="nil"/>
              <w:right w:val="nil"/>
            </w:tcBorders>
            <w:shd w:val="clear" w:color="auto" w:fill="auto"/>
            <w:noWrap/>
            <w:hideMark/>
          </w:tcPr>
          <w:p w14:paraId="41B8C0D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-1.006***</w:t>
            </w:r>
          </w:p>
        </w:tc>
        <w:tc>
          <w:tcPr>
            <w:tcW w:w="1143" w:type="dxa"/>
            <w:tcBorders>
              <w:top w:val="nil"/>
              <w:left w:val="nil"/>
              <w:bottom w:val="nil"/>
              <w:right w:val="nil"/>
            </w:tcBorders>
            <w:shd w:val="clear" w:color="auto" w:fill="auto"/>
            <w:noWrap/>
            <w:hideMark/>
          </w:tcPr>
          <w:p w14:paraId="67CA4E98"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-0.876**</w:t>
            </w:r>
          </w:p>
        </w:tc>
        <w:tc>
          <w:tcPr>
            <w:tcW w:w="1143" w:type="dxa"/>
            <w:tcBorders>
              <w:top w:val="nil"/>
              <w:left w:val="nil"/>
              <w:bottom w:val="nil"/>
              <w:right w:val="nil"/>
            </w:tcBorders>
            <w:shd w:val="clear" w:color="auto" w:fill="auto"/>
            <w:noWrap/>
            <w:hideMark/>
          </w:tcPr>
          <w:p w14:paraId="5736054B"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-0.914***</w:t>
            </w:r>
          </w:p>
        </w:tc>
        <w:tc>
          <w:tcPr>
            <w:tcW w:w="1143" w:type="dxa"/>
            <w:tcBorders>
              <w:top w:val="nil"/>
              <w:left w:val="nil"/>
              <w:bottom w:val="nil"/>
              <w:right w:val="nil"/>
            </w:tcBorders>
            <w:shd w:val="clear" w:color="auto" w:fill="auto"/>
            <w:noWrap/>
            <w:hideMark/>
          </w:tcPr>
          <w:p w14:paraId="4E75F38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-0.809**</w:t>
            </w:r>
          </w:p>
        </w:tc>
        <w:tc>
          <w:tcPr>
            <w:tcW w:w="1143" w:type="dxa"/>
            <w:tcBorders>
              <w:top w:val="nil"/>
              <w:left w:val="nil"/>
              <w:bottom w:val="nil"/>
              <w:right w:val="nil"/>
            </w:tcBorders>
            <w:shd w:val="clear" w:color="auto" w:fill="auto"/>
            <w:noWrap/>
            <w:hideMark/>
          </w:tcPr>
          <w:p w14:paraId="1E0D31E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-1.141***</w:t>
            </w:r>
          </w:p>
        </w:tc>
        <w:tc>
          <w:tcPr>
            <w:tcW w:w="1143" w:type="dxa"/>
            <w:tcBorders>
              <w:top w:val="nil"/>
              <w:left w:val="nil"/>
              <w:bottom w:val="nil"/>
              <w:right w:val="nil"/>
            </w:tcBorders>
            <w:shd w:val="clear" w:color="auto" w:fill="auto"/>
            <w:noWrap/>
            <w:hideMark/>
          </w:tcPr>
          <w:p w14:paraId="7B3F4D6A"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-0.966**</w:t>
            </w:r>
          </w:p>
        </w:tc>
        <w:tc>
          <w:tcPr>
            <w:tcW w:w="1143" w:type="dxa"/>
            <w:tcBorders>
              <w:top w:val="nil"/>
              <w:left w:val="nil"/>
              <w:bottom w:val="nil"/>
              <w:right w:val="nil"/>
            </w:tcBorders>
            <w:shd w:val="clear" w:color="auto" w:fill="auto"/>
            <w:noWrap/>
            <w:hideMark/>
          </w:tcPr>
          <w:p w14:paraId="4689E30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-0.879*</w:t>
            </w:r>
          </w:p>
        </w:tc>
        <w:tc>
          <w:tcPr>
            <w:tcW w:w="1143" w:type="dxa"/>
            <w:tcBorders>
              <w:top w:val="nil"/>
              <w:left w:val="nil"/>
              <w:bottom w:val="nil"/>
              <w:right w:val="nil"/>
            </w:tcBorders>
            <w:shd w:val="clear" w:color="auto" w:fill="auto"/>
            <w:noWrap/>
            <w:hideMark/>
          </w:tcPr>
          <w:p w14:paraId="32D85A3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-0.932**</w:t>
            </w:r>
          </w:p>
        </w:tc>
        <w:tc>
          <w:tcPr>
            <w:tcW w:w="1143" w:type="dxa"/>
            <w:tcBorders>
              <w:top w:val="nil"/>
              <w:left w:val="nil"/>
              <w:bottom w:val="nil"/>
              <w:right w:val="nil"/>
            </w:tcBorders>
            <w:shd w:val="clear" w:color="auto" w:fill="auto"/>
            <w:noWrap/>
            <w:hideMark/>
          </w:tcPr>
          <w:p w14:paraId="3108D5E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-0.817**</w:t>
            </w:r>
          </w:p>
        </w:tc>
      </w:tr>
      <w:tr w:rsidR="00F26FFC" w:rsidRPr="00F26FFC" w14:paraId="4EBB56BB" w14:textId="77777777" w:rsidTr="009E712B">
        <w:trPr>
          <w:trHeight w:val="245"/>
          <w:jc w:val="center"/>
        </w:trPr>
        <w:tc>
          <w:tcPr>
            <w:tcW w:w="2486" w:type="dxa"/>
            <w:tcBorders>
              <w:top w:val="nil"/>
              <w:left w:val="nil"/>
              <w:bottom w:val="nil"/>
              <w:right w:val="nil"/>
            </w:tcBorders>
            <w:shd w:val="clear" w:color="auto" w:fill="auto"/>
            <w:noWrap/>
            <w:hideMark/>
          </w:tcPr>
          <w:p w14:paraId="1CE5AAA7"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31D078B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(0.297)</w:t>
            </w:r>
          </w:p>
        </w:tc>
        <w:tc>
          <w:tcPr>
            <w:tcW w:w="1143" w:type="dxa"/>
            <w:tcBorders>
              <w:top w:val="nil"/>
              <w:left w:val="nil"/>
              <w:bottom w:val="nil"/>
              <w:right w:val="nil"/>
            </w:tcBorders>
            <w:shd w:val="clear" w:color="auto" w:fill="auto"/>
            <w:noWrap/>
            <w:hideMark/>
          </w:tcPr>
          <w:p w14:paraId="25B32F1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(0.325)</w:t>
            </w:r>
          </w:p>
        </w:tc>
        <w:tc>
          <w:tcPr>
            <w:tcW w:w="1143" w:type="dxa"/>
            <w:tcBorders>
              <w:top w:val="nil"/>
              <w:left w:val="nil"/>
              <w:bottom w:val="nil"/>
              <w:right w:val="nil"/>
            </w:tcBorders>
            <w:shd w:val="clear" w:color="auto" w:fill="auto"/>
            <w:noWrap/>
            <w:hideMark/>
          </w:tcPr>
          <w:p w14:paraId="66214FF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(0.350)</w:t>
            </w:r>
          </w:p>
        </w:tc>
        <w:tc>
          <w:tcPr>
            <w:tcW w:w="1143" w:type="dxa"/>
            <w:tcBorders>
              <w:top w:val="nil"/>
              <w:left w:val="nil"/>
              <w:bottom w:val="nil"/>
              <w:right w:val="nil"/>
            </w:tcBorders>
            <w:shd w:val="clear" w:color="auto" w:fill="auto"/>
            <w:noWrap/>
            <w:hideMark/>
          </w:tcPr>
          <w:p w14:paraId="270526F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(0.352)</w:t>
            </w:r>
          </w:p>
        </w:tc>
        <w:tc>
          <w:tcPr>
            <w:tcW w:w="1143" w:type="dxa"/>
            <w:tcBorders>
              <w:top w:val="nil"/>
              <w:left w:val="nil"/>
              <w:bottom w:val="nil"/>
              <w:right w:val="nil"/>
            </w:tcBorders>
            <w:shd w:val="clear" w:color="auto" w:fill="auto"/>
            <w:noWrap/>
            <w:hideMark/>
          </w:tcPr>
          <w:p w14:paraId="0BB5D8E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(0.354)</w:t>
            </w:r>
          </w:p>
        </w:tc>
        <w:tc>
          <w:tcPr>
            <w:tcW w:w="1143" w:type="dxa"/>
            <w:tcBorders>
              <w:top w:val="nil"/>
              <w:left w:val="nil"/>
              <w:bottom w:val="nil"/>
              <w:right w:val="nil"/>
            </w:tcBorders>
            <w:shd w:val="clear" w:color="auto" w:fill="auto"/>
            <w:noWrap/>
            <w:hideMark/>
          </w:tcPr>
          <w:p w14:paraId="5A50099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(0.395)</w:t>
            </w:r>
          </w:p>
        </w:tc>
        <w:tc>
          <w:tcPr>
            <w:tcW w:w="1143" w:type="dxa"/>
            <w:tcBorders>
              <w:top w:val="nil"/>
              <w:left w:val="nil"/>
              <w:bottom w:val="nil"/>
              <w:right w:val="nil"/>
            </w:tcBorders>
            <w:shd w:val="clear" w:color="auto" w:fill="auto"/>
            <w:noWrap/>
            <w:hideMark/>
          </w:tcPr>
          <w:p w14:paraId="4B8BB0C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(0.442)</w:t>
            </w:r>
          </w:p>
        </w:tc>
        <w:tc>
          <w:tcPr>
            <w:tcW w:w="1143" w:type="dxa"/>
            <w:tcBorders>
              <w:top w:val="nil"/>
              <w:left w:val="nil"/>
              <w:bottom w:val="nil"/>
              <w:right w:val="nil"/>
            </w:tcBorders>
            <w:shd w:val="clear" w:color="auto" w:fill="auto"/>
            <w:noWrap/>
            <w:hideMark/>
          </w:tcPr>
          <w:p w14:paraId="4908B4FA"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(0.454)</w:t>
            </w:r>
          </w:p>
        </w:tc>
        <w:tc>
          <w:tcPr>
            <w:tcW w:w="1143" w:type="dxa"/>
            <w:tcBorders>
              <w:top w:val="nil"/>
              <w:left w:val="nil"/>
              <w:bottom w:val="nil"/>
              <w:right w:val="nil"/>
            </w:tcBorders>
            <w:shd w:val="clear" w:color="auto" w:fill="auto"/>
            <w:noWrap/>
            <w:hideMark/>
          </w:tcPr>
          <w:p w14:paraId="6E13C4F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(0.411)</w:t>
            </w:r>
          </w:p>
        </w:tc>
        <w:tc>
          <w:tcPr>
            <w:tcW w:w="1143" w:type="dxa"/>
            <w:tcBorders>
              <w:top w:val="nil"/>
              <w:left w:val="nil"/>
              <w:bottom w:val="nil"/>
              <w:right w:val="nil"/>
            </w:tcBorders>
            <w:shd w:val="clear" w:color="auto" w:fill="auto"/>
            <w:noWrap/>
            <w:hideMark/>
          </w:tcPr>
          <w:p w14:paraId="07792CE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(0.402)</w:t>
            </w:r>
          </w:p>
        </w:tc>
      </w:tr>
      <w:tr w:rsidR="00F26FFC" w:rsidRPr="00F26FFC" w14:paraId="52C3EDBB" w14:textId="77777777" w:rsidTr="009E712B">
        <w:trPr>
          <w:trHeight w:val="245"/>
          <w:jc w:val="center"/>
        </w:trPr>
        <w:tc>
          <w:tcPr>
            <w:tcW w:w="2486" w:type="dxa"/>
            <w:tcBorders>
              <w:top w:val="nil"/>
              <w:left w:val="nil"/>
              <w:bottom w:val="nil"/>
              <w:right w:val="nil"/>
            </w:tcBorders>
            <w:shd w:val="clear" w:color="auto" w:fill="auto"/>
            <w:noWrap/>
            <w:hideMark/>
          </w:tcPr>
          <w:p w14:paraId="03FB171C" w14:textId="77777777" w:rsidR="00F26FFC" w:rsidRPr="00F26FFC" w:rsidRDefault="00F26FFC" w:rsidP="00F26FFC">
            <w:pPr>
              <w:rPr>
                <w:rFonts w:eastAsia="Times New Roman" w:cstheme="minorHAnsi"/>
                <w:sz w:val="16"/>
                <w:szCs w:val="16"/>
              </w:rPr>
            </w:pPr>
            <w:r w:rsidRPr="00F26FFC">
              <w:rPr>
                <w:rFonts w:eastAsia="Times New Roman" w:cstheme="minorHAnsi"/>
                <w:sz w:val="16"/>
                <w:szCs w:val="16"/>
              </w:rPr>
              <w:t>International environmental treaty</w:t>
            </w:r>
          </w:p>
        </w:tc>
        <w:tc>
          <w:tcPr>
            <w:tcW w:w="1143" w:type="dxa"/>
            <w:tcBorders>
              <w:top w:val="nil"/>
              <w:left w:val="nil"/>
              <w:bottom w:val="nil"/>
              <w:right w:val="nil"/>
            </w:tcBorders>
            <w:shd w:val="clear" w:color="auto" w:fill="auto"/>
            <w:noWrap/>
            <w:hideMark/>
          </w:tcPr>
          <w:p w14:paraId="52B2321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0.0842</w:t>
            </w:r>
          </w:p>
        </w:tc>
        <w:tc>
          <w:tcPr>
            <w:tcW w:w="1143" w:type="dxa"/>
            <w:tcBorders>
              <w:top w:val="nil"/>
              <w:left w:val="nil"/>
              <w:bottom w:val="nil"/>
              <w:right w:val="nil"/>
            </w:tcBorders>
            <w:shd w:val="clear" w:color="auto" w:fill="auto"/>
            <w:noWrap/>
            <w:hideMark/>
          </w:tcPr>
          <w:p w14:paraId="19394B12"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0.0880*</w:t>
            </w:r>
          </w:p>
        </w:tc>
        <w:tc>
          <w:tcPr>
            <w:tcW w:w="1143" w:type="dxa"/>
            <w:tcBorders>
              <w:top w:val="nil"/>
              <w:left w:val="nil"/>
              <w:bottom w:val="nil"/>
              <w:right w:val="nil"/>
            </w:tcBorders>
            <w:shd w:val="clear" w:color="auto" w:fill="auto"/>
            <w:noWrap/>
            <w:hideMark/>
          </w:tcPr>
          <w:p w14:paraId="46019E6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0.211***</w:t>
            </w:r>
          </w:p>
        </w:tc>
        <w:tc>
          <w:tcPr>
            <w:tcW w:w="1143" w:type="dxa"/>
            <w:tcBorders>
              <w:top w:val="nil"/>
              <w:left w:val="nil"/>
              <w:bottom w:val="nil"/>
              <w:right w:val="nil"/>
            </w:tcBorders>
            <w:shd w:val="clear" w:color="auto" w:fill="auto"/>
            <w:noWrap/>
            <w:hideMark/>
          </w:tcPr>
          <w:p w14:paraId="4727678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0.198***</w:t>
            </w:r>
          </w:p>
        </w:tc>
        <w:tc>
          <w:tcPr>
            <w:tcW w:w="1143" w:type="dxa"/>
            <w:tcBorders>
              <w:top w:val="nil"/>
              <w:left w:val="nil"/>
              <w:bottom w:val="nil"/>
              <w:right w:val="nil"/>
            </w:tcBorders>
            <w:shd w:val="clear" w:color="auto" w:fill="auto"/>
            <w:noWrap/>
            <w:hideMark/>
          </w:tcPr>
          <w:p w14:paraId="4DBAAAA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0.150**</w:t>
            </w:r>
          </w:p>
        </w:tc>
        <w:tc>
          <w:tcPr>
            <w:tcW w:w="1143" w:type="dxa"/>
            <w:tcBorders>
              <w:top w:val="nil"/>
              <w:left w:val="nil"/>
              <w:bottom w:val="nil"/>
              <w:right w:val="nil"/>
            </w:tcBorders>
            <w:shd w:val="clear" w:color="auto" w:fill="auto"/>
            <w:noWrap/>
            <w:hideMark/>
          </w:tcPr>
          <w:p w14:paraId="0D3102D7"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0.0727</w:t>
            </w:r>
          </w:p>
        </w:tc>
        <w:tc>
          <w:tcPr>
            <w:tcW w:w="1143" w:type="dxa"/>
            <w:tcBorders>
              <w:top w:val="nil"/>
              <w:left w:val="nil"/>
              <w:bottom w:val="nil"/>
              <w:right w:val="nil"/>
            </w:tcBorders>
            <w:shd w:val="clear" w:color="auto" w:fill="auto"/>
            <w:noWrap/>
            <w:hideMark/>
          </w:tcPr>
          <w:p w14:paraId="2C469A7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0.0764</w:t>
            </w:r>
          </w:p>
        </w:tc>
        <w:tc>
          <w:tcPr>
            <w:tcW w:w="1143" w:type="dxa"/>
            <w:tcBorders>
              <w:top w:val="nil"/>
              <w:left w:val="nil"/>
              <w:bottom w:val="nil"/>
              <w:right w:val="nil"/>
            </w:tcBorders>
            <w:shd w:val="clear" w:color="auto" w:fill="auto"/>
            <w:noWrap/>
            <w:hideMark/>
          </w:tcPr>
          <w:p w14:paraId="2BA1A9F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0.213**</w:t>
            </w:r>
          </w:p>
        </w:tc>
        <w:tc>
          <w:tcPr>
            <w:tcW w:w="1143" w:type="dxa"/>
            <w:tcBorders>
              <w:top w:val="nil"/>
              <w:left w:val="nil"/>
              <w:bottom w:val="nil"/>
              <w:right w:val="nil"/>
            </w:tcBorders>
            <w:shd w:val="clear" w:color="auto" w:fill="auto"/>
            <w:noWrap/>
            <w:hideMark/>
          </w:tcPr>
          <w:p w14:paraId="7401580B"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0.200***</w:t>
            </w:r>
          </w:p>
        </w:tc>
        <w:tc>
          <w:tcPr>
            <w:tcW w:w="1143" w:type="dxa"/>
            <w:tcBorders>
              <w:top w:val="nil"/>
              <w:left w:val="nil"/>
              <w:bottom w:val="nil"/>
              <w:right w:val="nil"/>
            </w:tcBorders>
            <w:shd w:val="clear" w:color="auto" w:fill="auto"/>
            <w:noWrap/>
            <w:hideMark/>
          </w:tcPr>
          <w:p w14:paraId="729B818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0.142*</w:t>
            </w:r>
          </w:p>
        </w:tc>
      </w:tr>
      <w:tr w:rsidR="00F26FFC" w:rsidRPr="00F26FFC" w14:paraId="5C12C082" w14:textId="77777777" w:rsidTr="009E712B">
        <w:trPr>
          <w:trHeight w:val="245"/>
          <w:jc w:val="center"/>
        </w:trPr>
        <w:tc>
          <w:tcPr>
            <w:tcW w:w="2486" w:type="dxa"/>
            <w:tcBorders>
              <w:top w:val="nil"/>
              <w:left w:val="nil"/>
              <w:bottom w:val="nil"/>
              <w:right w:val="nil"/>
            </w:tcBorders>
            <w:shd w:val="clear" w:color="auto" w:fill="auto"/>
            <w:noWrap/>
            <w:hideMark/>
          </w:tcPr>
          <w:p w14:paraId="4183FDDE"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FAF0CC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(0.0512)</w:t>
            </w:r>
          </w:p>
        </w:tc>
        <w:tc>
          <w:tcPr>
            <w:tcW w:w="1143" w:type="dxa"/>
            <w:tcBorders>
              <w:top w:val="nil"/>
              <w:left w:val="nil"/>
              <w:bottom w:val="nil"/>
              <w:right w:val="nil"/>
            </w:tcBorders>
            <w:shd w:val="clear" w:color="auto" w:fill="auto"/>
            <w:noWrap/>
            <w:hideMark/>
          </w:tcPr>
          <w:p w14:paraId="798B2EE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(0.0529)</w:t>
            </w:r>
          </w:p>
        </w:tc>
        <w:tc>
          <w:tcPr>
            <w:tcW w:w="1143" w:type="dxa"/>
            <w:tcBorders>
              <w:top w:val="nil"/>
              <w:left w:val="nil"/>
              <w:bottom w:val="nil"/>
              <w:right w:val="nil"/>
            </w:tcBorders>
            <w:shd w:val="clear" w:color="auto" w:fill="auto"/>
            <w:noWrap/>
            <w:hideMark/>
          </w:tcPr>
          <w:p w14:paraId="6B93155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(0.0689)</w:t>
            </w:r>
          </w:p>
        </w:tc>
        <w:tc>
          <w:tcPr>
            <w:tcW w:w="1143" w:type="dxa"/>
            <w:tcBorders>
              <w:top w:val="nil"/>
              <w:left w:val="nil"/>
              <w:bottom w:val="nil"/>
              <w:right w:val="nil"/>
            </w:tcBorders>
            <w:shd w:val="clear" w:color="auto" w:fill="auto"/>
            <w:noWrap/>
            <w:hideMark/>
          </w:tcPr>
          <w:p w14:paraId="04A6276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(0.0683)</w:t>
            </w:r>
          </w:p>
        </w:tc>
        <w:tc>
          <w:tcPr>
            <w:tcW w:w="1143" w:type="dxa"/>
            <w:tcBorders>
              <w:top w:val="nil"/>
              <w:left w:val="nil"/>
              <w:bottom w:val="nil"/>
              <w:right w:val="nil"/>
            </w:tcBorders>
            <w:shd w:val="clear" w:color="auto" w:fill="auto"/>
            <w:noWrap/>
            <w:hideMark/>
          </w:tcPr>
          <w:p w14:paraId="7541BBC8"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(0.0761)</w:t>
            </w:r>
          </w:p>
        </w:tc>
        <w:tc>
          <w:tcPr>
            <w:tcW w:w="1143" w:type="dxa"/>
            <w:tcBorders>
              <w:top w:val="nil"/>
              <w:left w:val="nil"/>
              <w:bottom w:val="nil"/>
              <w:right w:val="nil"/>
            </w:tcBorders>
            <w:shd w:val="clear" w:color="auto" w:fill="auto"/>
            <w:noWrap/>
            <w:hideMark/>
          </w:tcPr>
          <w:p w14:paraId="75CDD80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(0.0689)</w:t>
            </w:r>
          </w:p>
        </w:tc>
        <w:tc>
          <w:tcPr>
            <w:tcW w:w="1143" w:type="dxa"/>
            <w:tcBorders>
              <w:top w:val="nil"/>
              <w:left w:val="nil"/>
              <w:bottom w:val="nil"/>
              <w:right w:val="nil"/>
            </w:tcBorders>
            <w:shd w:val="clear" w:color="auto" w:fill="auto"/>
            <w:noWrap/>
            <w:hideMark/>
          </w:tcPr>
          <w:p w14:paraId="74E62FE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(0.0686)</w:t>
            </w:r>
          </w:p>
        </w:tc>
        <w:tc>
          <w:tcPr>
            <w:tcW w:w="1143" w:type="dxa"/>
            <w:tcBorders>
              <w:top w:val="nil"/>
              <w:left w:val="nil"/>
              <w:bottom w:val="nil"/>
              <w:right w:val="nil"/>
            </w:tcBorders>
            <w:shd w:val="clear" w:color="auto" w:fill="auto"/>
            <w:noWrap/>
            <w:hideMark/>
          </w:tcPr>
          <w:p w14:paraId="3DC7BDC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(0.0835)</w:t>
            </w:r>
          </w:p>
        </w:tc>
        <w:tc>
          <w:tcPr>
            <w:tcW w:w="1143" w:type="dxa"/>
            <w:tcBorders>
              <w:top w:val="nil"/>
              <w:left w:val="nil"/>
              <w:bottom w:val="nil"/>
              <w:right w:val="nil"/>
            </w:tcBorders>
            <w:shd w:val="clear" w:color="auto" w:fill="auto"/>
            <w:noWrap/>
            <w:hideMark/>
          </w:tcPr>
          <w:p w14:paraId="32C7680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(0.0768)</w:t>
            </w:r>
          </w:p>
        </w:tc>
        <w:tc>
          <w:tcPr>
            <w:tcW w:w="1143" w:type="dxa"/>
            <w:tcBorders>
              <w:top w:val="nil"/>
              <w:left w:val="nil"/>
              <w:bottom w:val="nil"/>
              <w:right w:val="nil"/>
            </w:tcBorders>
            <w:shd w:val="clear" w:color="auto" w:fill="auto"/>
            <w:noWrap/>
            <w:hideMark/>
          </w:tcPr>
          <w:p w14:paraId="26EFE43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(0.0831)</w:t>
            </w:r>
          </w:p>
        </w:tc>
      </w:tr>
      <w:tr w:rsidR="00F26FFC" w:rsidRPr="00F26FFC" w14:paraId="10582B99" w14:textId="77777777" w:rsidTr="009E712B">
        <w:trPr>
          <w:trHeight w:val="245"/>
          <w:jc w:val="center"/>
        </w:trPr>
        <w:tc>
          <w:tcPr>
            <w:tcW w:w="2486" w:type="dxa"/>
            <w:tcBorders>
              <w:top w:val="nil"/>
              <w:left w:val="nil"/>
              <w:bottom w:val="nil"/>
              <w:right w:val="nil"/>
            </w:tcBorders>
            <w:shd w:val="clear" w:color="auto" w:fill="auto"/>
            <w:noWrap/>
            <w:hideMark/>
          </w:tcPr>
          <w:p w14:paraId="567033B6" w14:textId="77777777" w:rsidR="00F26FFC" w:rsidRPr="00F26FFC" w:rsidRDefault="00F26FFC" w:rsidP="00F26FFC">
            <w:pPr>
              <w:rPr>
                <w:rFonts w:eastAsia="Times New Roman" w:cstheme="minorHAnsi"/>
                <w:sz w:val="16"/>
                <w:szCs w:val="16"/>
              </w:rPr>
            </w:pPr>
            <w:r w:rsidRPr="00F26FFC">
              <w:rPr>
                <w:rFonts w:eastAsia="Times New Roman" w:cstheme="minorHAnsi"/>
                <w:sz w:val="16"/>
                <w:szCs w:val="16"/>
              </w:rPr>
              <w:t>Population growth</w:t>
            </w:r>
          </w:p>
        </w:tc>
        <w:tc>
          <w:tcPr>
            <w:tcW w:w="1143" w:type="dxa"/>
            <w:tcBorders>
              <w:top w:val="nil"/>
              <w:left w:val="nil"/>
              <w:bottom w:val="nil"/>
              <w:right w:val="nil"/>
            </w:tcBorders>
            <w:shd w:val="clear" w:color="auto" w:fill="auto"/>
            <w:noWrap/>
            <w:hideMark/>
          </w:tcPr>
          <w:p w14:paraId="297CA9F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-0.546***</w:t>
            </w:r>
          </w:p>
        </w:tc>
        <w:tc>
          <w:tcPr>
            <w:tcW w:w="1143" w:type="dxa"/>
            <w:tcBorders>
              <w:top w:val="nil"/>
              <w:left w:val="nil"/>
              <w:bottom w:val="nil"/>
              <w:right w:val="nil"/>
            </w:tcBorders>
            <w:shd w:val="clear" w:color="auto" w:fill="auto"/>
            <w:noWrap/>
            <w:hideMark/>
          </w:tcPr>
          <w:p w14:paraId="2E90D18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-0.718***</w:t>
            </w:r>
          </w:p>
        </w:tc>
        <w:tc>
          <w:tcPr>
            <w:tcW w:w="1143" w:type="dxa"/>
            <w:tcBorders>
              <w:top w:val="nil"/>
              <w:left w:val="nil"/>
              <w:bottom w:val="nil"/>
              <w:right w:val="nil"/>
            </w:tcBorders>
            <w:shd w:val="clear" w:color="auto" w:fill="auto"/>
            <w:noWrap/>
            <w:hideMark/>
          </w:tcPr>
          <w:p w14:paraId="04C20FD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-0.652**</w:t>
            </w:r>
          </w:p>
        </w:tc>
        <w:tc>
          <w:tcPr>
            <w:tcW w:w="1143" w:type="dxa"/>
            <w:tcBorders>
              <w:top w:val="nil"/>
              <w:left w:val="nil"/>
              <w:bottom w:val="nil"/>
              <w:right w:val="nil"/>
            </w:tcBorders>
            <w:shd w:val="clear" w:color="auto" w:fill="auto"/>
            <w:noWrap/>
            <w:hideMark/>
          </w:tcPr>
          <w:p w14:paraId="23E76E7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-0.516*</w:t>
            </w:r>
          </w:p>
        </w:tc>
        <w:tc>
          <w:tcPr>
            <w:tcW w:w="1143" w:type="dxa"/>
            <w:tcBorders>
              <w:top w:val="nil"/>
              <w:left w:val="nil"/>
              <w:bottom w:val="nil"/>
              <w:right w:val="nil"/>
            </w:tcBorders>
            <w:shd w:val="clear" w:color="auto" w:fill="auto"/>
            <w:noWrap/>
            <w:hideMark/>
          </w:tcPr>
          <w:p w14:paraId="0086D67B"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-0.481</w:t>
            </w:r>
          </w:p>
        </w:tc>
        <w:tc>
          <w:tcPr>
            <w:tcW w:w="1143" w:type="dxa"/>
            <w:tcBorders>
              <w:top w:val="nil"/>
              <w:left w:val="nil"/>
              <w:bottom w:val="nil"/>
              <w:right w:val="nil"/>
            </w:tcBorders>
            <w:shd w:val="clear" w:color="auto" w:fill="auto"/>
            <w:noWrap/>
            <w:hideMark/>
          </w:tcPr>
          <w:p w14:paraId="4FDEE61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-0.626***</w:t>
            </w:r>
          </w:p>
        </w:tc>
        <w:tc>
          <w:tcPr>
            <w:tcW w:w="1143" w:type="dxa"/>
            <w:tcBorders>
              <w:top w:val="nil"/>
              <w:left w:val="nil"/>
              <w:bottom w:val="nil"/>
              <w:right w:val="nil"/>
            </w:tcBorders>
            <w:shd w:val="clear" w:color="auto" w:fill="auto"/>
            <w:noWrap/>
            <w:hideMark/>
          </w:tcPr>
          <w:p w14:paraId="352D6C5A"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-0.740***</w:t>
            </w:r>
          </w:p>
        </w:tc>
        <w:tc>
          <w:tcPr>
            <w:tcW w:w="1143" w:type="dxa"/>
            <w:tcBorders>
              <w:top w:val="nil"/>
              <w:left w:val="nil"/>
              <w:bottom w:val="nil"/>
              <w:right w:val="nil"/>
            </w:tcBorders>
            <w:shd w:val="clear" w:color="auto" w:fill="auto"/>
            <w:noWrap/>
            <w:hideMark/>
          </w:tcPr>
          <w:p w14:paraId="2AA28AE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-0.689*</w:t>
            </w:r>
          </w:p>
        </w:tc>
        <w:tc>
          <w:tcPr>
            <w:tcW w:w="1143" w:type="dxa"/>
            <w:tcBorders>
              <w:top w:val="nil"/>
              <w:left w:val="nil"/>
              <w:bottom w:val="nil"/>
              <w:right w:val="nil"/>
            </w:tcBorders>
            <w:shd w:val="clear" w:color="auto" w:fill="auto"/>
            <w:noWrap/>
            <w:hideMark/>
          </w:tcPr>
          <w:p w14:paraId="38B730A2"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-0.536</w:t>
            </w:r>
          </w:p>
        </w:tc>
        <w:tc>
          <w:tcPr>
            <w:tcW w:w="1143" w:type="dxa"/>
            <w:tcBorders>
              <w:top w:val="nil"/>
              <w:left w:val="nil"/>
              <w:bottom w:val="nil"/>
              <w:right w:val="nil"/>
            </w:tcBorders>
            <w:shd w:val="clear" w:color="auto" w:fill="auto"/>
            <w:noWrap/>
            <w:hideMark/>
          </w:tcPr>
          <w:p w14:paraId="66D18E97"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-0.469</w:t>
            </w:r>
          </w:p>
        </w:tc>
      </w:tr>
      <w:tr w:rsidR="00F26FFC" w:rsidRPr="00F26FFC" w14:paraId="55454774" w14:textId="77777777" w:rsidTr="009E712B">
        <w:trPr>
          <w:trHeight w:val="245"/>
          <w:jc w:val="center"/>
        </w:trPr>
        <w:tc>
          <w:tcPr>
            <w:tcW w:w="2486" w:type="dxa"/>
            <w:tcBorders>
              <w:top w:val="nil"/>
              <w:left w:val="nil"/>
              <w:bottom w:val="nil"/>
              <w:right w:val="nil"/>
            </w:tcBorders>
            <w:shd w:val="clear" w:color="auto" w:fill="auto"/>
            <w:noWrap/>
            <w:hideMark/>
          </w:tcPr>
          <w:p w14:paraId="218D3FE9"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42D9916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(0.133)</w:t>
            </w:r>
          </w:p>
        </w:tc>
        <w:tc>
          <w:tcPr>
            <w:tcW w:w="1143" w:type="dxa"/>
            <w:tcBorders>
              <w:top w:val="nil"/>
              <w:left w:val="nil"/>
              <w:bottom w:val="nil"/>
              <w:right w:val="nil"/>
            </w:tcBorders>
            <w:shd w:val="clear" w:color="auto" w:fill="auto"/>
            <w:noWrap/>
            <w:hideMark/>
          </w:tcPr>
          <w:p w14:paraId="2FAB17D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(0.197)</w:t>
            </w:r>
          </w:p>
        </w:tc>
        <w:tc>
          <w:tcPr>
            <w:tcW w:w="1143" w:type="dxa"/>
            <w:tcBorders>
              <w:top w:val="nil"/>
              <w:left w:val="nil"/>
              <w:bottom w:val="nil"/>
              <w:right w:val="nil"/>
            </w:tcBorders>
            <w:shd w:val="clear" w:color="auto" w:fill="auto"/>
            <w:noWrap/>
            <w:hideMark/>
          </w:tcPr>
          <w:p w14:paraId="51BF937D"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(0.303)</w:t>
            </w:r>
          </w:p>
        </w:tc>
        <w:tc>
          <w:tcPr>
            <w:tcW w:w="1143" w:type="dxa"/>
            <w:tcBorders>
              <w:top w:val="nil"/>
              <w:left w:val="nil"/>
              <w:bottom w:val="nil"/>
              <w:right w:val="nil"/>
            </w:tcBorders>
            <w:shd w:val="clear" w:color="auto" w:fill="auto"/>
            <w:noWrap/>
            <w:hideMark/>
          </w:tcPr>
          <w:p w14:paraId="3D89F53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(0.293)</w:t>
            </w:r>
          </w:p>
        </w:tc>
        <w:tc>
          <w:tcPr>
            <w:tcW w:w="1143" w:type="dxa"/>
            <w:tcBorders>
              <w:top w:val="nil"/>
              <w:left w:val="nil"/>
              <w:bottom w:val="nil"/>
              <w:right w:val="nil"/>
            </w:tcBorders>
            <w:shd w:val="clear" w:color="auto" w:fill="auto"/>
            <w:noWrap/>
            <w:hideMark/>
          </w:tcPr>
          <w:p w14:paraId="7090C11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(0.313)</w:t>
            </w:r>
          </w:p>
        </w:tc>
        <w:tc>
          <w:tcPr>
            <w:tcW w:w="1143" w:type="dxa"/>
            <w:tcBorders>
              <w:top w:val="nil"/>
              <w:left w:val="nil"/>
              <w:bottom w:val="nil"/>
              <w:right w:val="nil"/>
            </w:tcBorders>
            <w:shd w:val="clear" w:color="auto" w:fill="auto"/>
            <w:noWrap/>
            <w:hideMark/>
          </w:tcPr>
          <w:p w14:paraId="7C4BF96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(0.237)</w:t>
            </w:r>
          </w:p>
        </w:tc>
        <w:tc>
          <w:tcPr>
            <w:tcW w:w="1143" w:type="dxa"/>
            <w:tcBorders>
              <w:top w:val="nil"/>
              <w:left w:val="nil"/>
              <w:bottom w:val="nil"/>
              <w:right w:val="nil"/>
            </w:tcBorders>
            <w:shd w:val="clear" w:color="auto" w:fill="auto"/>
            <w:noWrap/>
            <w:hideMark/>
          </w:tcPr>
          <w:p w14:paraId="09ABB5D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(0.285)</w:t>
            </w:r>
          </w:p>
        </w:tc>
        <w:tc>
          <w:tcPr>
            <w:tcW w:w="1143" w:type="dxa"/>
            <w:tcBorders>
              <w:top w:val="nil"/>
              <w:left w:val="nil"/>
              <w:bottom w:val="nil"/>
              <w:right w:val="nil"/>
            </w:tcBorders>
            <w:shd w:val="clear" w:color="auto" w:fill="auto"/>
            <w:noWrap/>
            <w:hideMark/>
          </w:tcPr>
          <w:p w14:paraId="1B6CCA3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(0.400)</w:t>
            </w:r>
          </w:p>
        </w:tc>
        <w:tc>
          <w:tcPr>
            <w:tcW w:w="1143" w:type="dxa"/>
            <w:tcBorders>
              <w:top w:val="nil"/>
              <w:left w:val="nil"/>
              <w:bottom w:val="nil"/>
              <w:right w:val="nil"/>
            </w:tcBorders>
            <w:shd w:val="clear" w:color="auto" w:fill="auto"/>
            <w:noWrap/>
            <w:hideMark/>
          </w:tcPr>
          <w:p w14:paraId="379634D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(0.356)</w:t>
            </w:r>
          </w:p>
        </w:tc>
        <w:tc>
          <w:tcPr>
            <w:tcW w:w="1143" w:type="dxa"/>
            <w:tcBorders>
              <w:top w:val="nil"/>
              <w:left w:val="nil"/>
              <w:bottom w:val="nil"/>
              <w:right w:val="nil"/>
            </w:tcBorders>
            <w:shd w:val="clear" w:color="auto" w:fill="auto"/>
            <w:noWrap/>
            <w:hideMark/>
          </w:tcPr>
          <w:p w14:paraId="1874D61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(0.362)</w:t>
            </w:r>
          </w:p>
        </w:tc>
      </w:tr>
      <w:tr w:rsidR="00F26FFC" w:rsidRPr="00F26FFC" w14:paraId="02CAF838" w14:textId="77777777" w:rsidTr="009E712B">
        <w:trPr>
          <w:trHeight w:val="245"/>
          <w:jc w:val="center"/>
        </w:trPr>
        <w:tc>
          <w:tcPr>
            <w:tcW w:w="2486" w:type="dxa"/>
            <w:tcBorders>
              <w:top w:val="nil"/>
              <w:left w:val="nil"/>
              <w:bottom w:val="nil"/>
              <w:right w:val="nil"/>
            </w:tcBorders>
            <w:shd w:val="clear" w:color="auto" w:fill="auto"/>
            <w:noWrap/>
            <w:hideMark/>
          </w:tcPr>
          <w:p w14:paraId="5DD321F4" w14:textId="77777777" w:rsidR="00F26FFC" w:rsidRPr="00F26FFC" w:rsidRDefault="00F26FFC" w:rsidP="00F26FFC">
            <w:pPr>
              <w:rPr>
                <w:rFonts w:eastAsia="Times New Roman" w:cstheme="minorHAnsi"/>
                <w:sz w:val="16"/>
                <w:szCs w:val="16"/>
              </w:rPr>
            </w:pPr>
            <w:r w:rsidRPr="00F26FFC">
              <w:rPr>
                <w:rFonts w:eastAsia="Times New Roman" w:cstheme="minorHAnsi"/>
                <w:sz w:val="16"/>
                <w:szCs w:val="16"/>
              </w:rPr>
              <w:t>GDP per capita</w:t>
            </w:r>
          </w:p>
        </w:tc>
        <w:tc>
          <w:tcPr>
            <w:tcW w:w="1143" w:type="dxa"/>
            <w:tcBorders>
              <w:top w:val="nil"/>
              <w:left w:val="nil"/>
              <w:bottom w:val="nil"/>
              <w:right w:val="nil"/>
            </w:tcBorders>
            <w:shd w:val="clear" w:color="auto" w:fill="auto"/>
            <w:noWrap/>
            <w:hideMark/>
          </w:tcPr>
          <w:p w14:paraId="07CA6E4D"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BF63F9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1.27e-05</w:t>
            </w:r>
          </w:p>
        </w:tc>
        <w:tc>
          <w:tcPr>
            <w:tcW w:w="1143" w:type="dxa"/>
            <w:tcBorders>
              <w:top w:val="nil"/>
              <w:left w:val="nil"/>
              <w:bottom w:val="nil"/>
              <w:right w:val="nil"/>
            </w:tcBorders>
            <w:shd w:val="clear" w:color="auto" w:fill="auto"/>
            <w:noWrap/>
            <w:hideMark/>
          </w:tcPr>
          <w:p w14:paraId="30F23F8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4.55e-05**</w:t>
            </w:r>
          </w:p>
        </w:tc>
        <w:tc>
          <w:tcPr>
            <w:tcW w:w="1143" w:type="dxa"/>
            <w:tcBorders>
              <w:top w:val="nil"/>
              <w:left w:val="nil"/>
              <w:bottom w:val="nil"/>
              <w:right w:val="nil"/>
            </w:tcBorders>
            <w:shd w:val="clear" w:color="auto" w:fill="auto"/>
            <w:noWrap/>
            <w:hideMark/>
          </w:tcPr>
          <w:p w14:paraId="587ADB7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3.00e-05</w:t>
            </w:r>
          </w:p>
        </w:tc>
        <w:tc>
          <w:tcPr>
            <w:tcW w:w="1143" w:type="dxa"/>
            <w:tcBorders>
              <w:top w:val="nil"/>
              <w:left w:val="nil"/>
              <w:bottom w:val="nil"/>
              <w:right w:val="nil"/>
            </w:tcBorders>
            <w:shd w:val="clear" w:color="auto" w:fill="auto"/>
            <w:noWrap/>
            <w:hideMark/>
          </w:tcPr>
          <w:p w14:paraId="7C41D5B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1.30e-05</w:t>
            </w:r>
          </w:p>
        </w:tc>
        <w:tc>
          <w:tcPr>
            <w:tcW w:w="1143" w:type="dxa"/>
            <w:tcBorders>
              <w:top w:val="nil"/>
              <w:left w:val="nil"/>
              <w:bottom w:val="nil"/>
              <w:right w:val="nil"/>
            </w:tcBorders>
            <w:shd w:val="clear" w:color="auto" w:fill="auto"/>
            <w:noWrap/>
            <w:hideMark/>
          </w:tcPr>
          <w:p w14:paraId="04AFDE5E"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9F2616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1.22e-05</w:t>
            </w:r>
          </w:p>
        </w:tc>
        <w:tc>
          <w:tcPr>
            <w:tcW w:w="1143" w:type="dxa"/>
            <w:tcBorders>
              <w:top w:val="nil"/>
              <w:left w:val="nil"/>
              <w:bottom w:val="nil"/>
              <w:right w:val="nil"/>
            </w:tcBorders>
            <w:shd w:val="clear" w:color="auto" w:fill="auto"/>
            <w:noWrap/>
            <w:hideMark/>
          </w:tcPr>
          <w:p w14:paraId="128EF75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4.84e-05</w:t>
            </w:r>
          </w:p>
        </w:tc>
        <w:tc>
          <w:tcPr>
            <w:tcW w:w="1143" w:type="dxa"/>
            <w:tcBorders>
              <w:top w:val="nil"/>
              <w:left w:val="nil"/>
              <w:bottom w:val="nil"/>
              <w:right w:val="nil"/>
            </w:tcBorders>
            <w:shd w:val="clear" w:color="auto" w:fill="auto"/>
            <w:noWrap/>
            <w:hideMark/>
          </w:tcPr>
          <w:p w14:paraId="11B4BA47"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3.05e-05</w:t>
            </w:r>
          </w:p>
        </w:tc>
        <w:tc>
          <w:tcPr>
            <w:tcW w:w="1143" w:type="dxa"/>
            <w:tcBorders>
              <w:top w:val="nil"/>
              <w:left w:val="nil"/>
              <w:bottom w:val="nil"/>
              <w:right w:val="nil"/>
            </w:tcBorders>
            <w:shd w:val="clear" w:color="auto" w:fill="auto"/>
            <w:noWrap/>
            <w:hideMark/>
          </w:tcPr>
          <w:p w14:paraId="5D5AE33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1.12e-05</w:t>
            </w:r>
          </w:p>
        </w:tc>
      </w:tr>
      <w:tr w:rsidR="00F26FFC" w:rsidRPr="00F26FFC" w14:paraId="5AF6DE72" w14:textId="77777777" w:rsidTr="009E712B">
        <w:trPr>
          <w:trHeight w:val="245"/>
          <w:jc w:val="center"/>
        </w:trPr>
        <w:tc>
          <w:tcPr>
            <w:tcW w:w="2486" w:type="dxa"/>
            <w:tcBorders>
              <w:top w:val="nil"/>
              <w:left w:val="nil"/>
              <w:bottom w:val="nil"/>
              <w:right w:val="nil"/>
            </w:tcBorders>
            <w:shd w:val="clear" w:color="auto" w:fill="auto"/>
            <w:noWrap/>
            <w:hideMark/>
          </w:tcPr>
          <w:p w14:paraId="3FA123E8"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23EB5187"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5A3752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(1.31e-05)</w:t>
            </w:r>
          </w:p>
        </w:tc>
        <w:tc>
          <w:tcPr>
            <w:tcW w:w="1143" w:type="dxa"/>
            <w:tcBorders>
              <w:top w:val="nil"/>
              <w:left w:val="nil"/>
              <w:bottom w:val="nil"/>
              <w:right w:val="nil"/>
            </w:tcBorders>
            <w:shd w:val="clear" w:color="auto" w:fill="auto"/>
            <w:noWrap/>
            <w:hideMark/>
          </w:tcPr>
          <w:p w14:paraId="3AD1E2C2"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(2.23e-05)</w:t>
            </w:r>
          </w:p>
        </w:tc>
        <w:tc>
          <w:tcPr>
            <w:tcW w:w="1143" w:type="dxa"/>
            <w:tcBorders>
              <w:top w:val="nil"/>
              <w:left w:val="nil"/>
              <w:bottom w:val="nil"/>
              <w:right w:val="nil"/>
            </w:tcBorders>
            <w:shd w:val="clear" w:color="auto" w:fill="auto"/>
            <w:noWrap/>
            <w:hideMark/>
          </w:tcPr>
          <w:p w14:paraId="20F50FE9"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(2.28e-05)</w:t>
            </w:r>
          </w:p>
        </w:tc>
        <w:tc>
          <w:tcPr>
            <w:tcW w:w="1143" w:type="dxa"/>
            <w:tcBorders>
              <w:top w:val="nil"/>
              <w:left w:val="nil"/>
              <w:bottom w:val="nil"/>
              <w:right w:val="nil"/>
            </w:tcBorders>
            <w:shd w:val="clear" w:color="auto" w:fill="auto"/>
            <w:noWrap/>
            <w:hideMark/>
          </w:tcPr>
          <w:p w14:paraId="7470128B"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(2.45e-05)</w:t>
            </w:r>
          </w:p>
        </w:tc>
        <w:tc>
          <w:tcPr>
            <w:tcW w:w="1143" w:type="dxa"/>
            <w:tcBorders>
              <w:top w:val="nil"/>
              <w:left w:val="nil"/>
              <w:bottom w:val="nil"/>
              <w:right w:val="nil"/>
            </w:tcBorders>
            <w:shd w:val="clear" w:color="auto" w:fill="auto"/>
            <w:noWrap/>
            <w:hideMark/>
          </w:tcPr>
          <w:p w14:paraId="0A84417B"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0ED0BD37"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(2.01e-05)</w:t>
            </w:r>
          </w:p>
        </w:tc>
        <w:tc>
          <w:tcPr>
            <w:tcW w:w="1143" w:type="dxa"/>
            <w:tcBorders>
              <w:top w:val="nil"/>
              <w:left w:val="nil"/>
              <w:bottom w:val="nil"/>
              <w:right w:val="nil"/>
            </w:tcBorders>
            <w:shd w:val="clear" w:color="auto" w:fill="auto"/>
            <w:noWrap/>
            <w:hideMark/>
          </w:tcPr>
          <w:p w14:paraId="78F79CED"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(3.09e-05)</w:t>
            </w:r>
          </w:p>
        </w:tc>
        <w:tc>
          <w:tcPr>
            <w:tcW w:w="1143" w:type="dxa"/>
            <w:tcBorders>
              <w:top w:val="nil"/>
              <w:left w:val="nil"/>
              <w:bottom w:val="nil"/>
              <w:right w:val="nil"/>
            </w:tcBorders>
            <w:shd w:val="clear" w:color="auto" w:fill="auto"/>
            <w:noWrap/>
            <w:hideMark/>
          </w:tcPr>
          <w:p w14:paraId="4E4C27E8"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(2.83e-05)</w:t>
            </w:r>
          </w:p>
        </w:tc>
        <w:tc>
          <w:tcPr>
            <w:tcW w:w="1143" w:type="dxa"/>
            <w:tcBorders>
              <w:top w:val="nil"/>
              <w:left w:val="nil"/>
              <w:bottom w:val="nil"/>
              <w:right w:val="nil"/>
            </w:tcBorders>
            <w:shd w:val="clear" w:color="auto" w:fill="auto"/>
            <w:noWrap/>
            <w:hideMark/>
          </w:tcPr>
          <w:p w14:paraId="5AA3DA3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(2.93e-05)</w:t>
            </w:r>
          </w:p>
        </w:tc>
      </w:tr>
      <w:tr w:rsidR="00F26FFC" w:rsidRPr="00F26FFC" w14:paraId="28AE48CD" w14:textId="77777777" w:rsidTr="009E712B">
        <w:trPr>
          <w:trHeight w:val="245"/>
          <w:jc w:val="center"/>
        </w:trPr>
        <w:tc>
          <w:tcPr>
            <w:tcW w:w="2486" w:type="dxa"/>
            <w:tcBorders>
              <w:top w:val="nil"/>
              <w:left w:val="nil"/>
              <w:bottom w:val="nil"/>
              <w:right w:val="nil"/>
            </w:tcBorders>
            <w:shd w:val="clear" w:color="auto" w:fill="auto"/>
            <w:noWrap/>
            <w:hideMark/>
          </w:tcPr>
          <w:p w14:paraId="4BC0A849" w14:textId="77777777" w:rsidR="00F26FFC" w:rsidRPr="00F26FFC" w:rsidRDefault="00F26FFC" w:rsidP="00F26FFC">
            <w:pPr>
              <w:rPr>
                <w:rFonts w:eastAsia="Times New Roman" w:cstheme="minorHAnsi"/>
                <w:sz w:val="16"/>
                <w:szCs w:val="16"/>
              </w:rPr>
            </w:pPr>
            <w:r w:rsidRPr="00F26FFC">
              <w:rPr>
                <w:rFonts w:eastAsia="Times New Roman" w:cstheme="minorHAnsi"/>
                <w:sz w:val="16"/>
                <w:szCs w:val="16"/>
              </w:rPr>
              <w:t>Exports to EU countries</w:t>
            </w:r>
          </w:p>
        </w:tc>
        <w:tc>
          <w:tcPr>
            <w:tcW w:w="1143" w:type="dxa"/>
            <w:tcBorders>
              <w:top w:val="nil"/>
              <w:left w:val="nil"/>
              <w:bottom w:val="nil"/>
              <w:right w:val="nil"/>
            </w:tcBorders>
            <w:shd w:val="clear" w:color="auto" w:fill="auto"/>
            <w:noWrap/>
            <w:hideMark/>
          </w:tcPr>
          <w:p w14:paraId="3904CF70"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0896CA2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2.323</w:t>
            </w:r>
          </w:p>
        </w:tc>
        <w:tc>
          <w:tcPr>
            <w:tcW w:w="1143" w:type="dxa"/>
            <w:tcBorders>
              <w:top w:val="nil"/>
              <w:left w:val="nil"/>
              <w:bottom w:val="nil"/>
              <w:right w:val="nil"/>
            </w:tcBorders>
            <w:shd w:val="clear" w:color="auto" w:fill="auto"/>
            <w:noWrap/>
            <w:hideMark/>
          </w:tcPr>
          <w:p w14:paraId="1BD5816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4.202*</w:t>
            </w:r>
          </w:p>
        </w:tc>
        <w:tc>
          <w:tcPr>
            <w:tcW w:w="1143" w:type="dxa"/>
            <w:tcBorders>
              <w:top w:val="nil"/>
              <w:left w:val="nil"/>
              <w:bottom w:val="nil"/>
              <w:right w:val="nil"/>
            </w:tcBorders>
            <w:shd w:val="clear" w:color="auto" w:fill="auto"/>
            <w:noWrap/>
            <w:hideMark/>
          </w:tcPr>
          <w:p w14:paraId="68D0FF7D"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3.197</w:t>
            </w:r>
          </w:p>
        </w:tc>
        <w:tc>
          <w:tcPr>
            <w:tcW w:w="1143" w:type="dxa"/>
            <w:tcBorders>
              <w:top w:val="nil"/>
              <w:left w:val="nil"/>
              <w:bottom w:val="nil"/>
              <w:right w:val="nil"/>
            </w:tcBorders>
            <w:shd w:val="clear" w:color="auto" w:fill="auto"/>
            <w:noWrap/>
            <w:hideMark/>
          </w:tcPr>
          <w:p w14:paraId="34E6406B"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0.540</w:t>
            </w:r>
          </w:p>
        </w:tc>
        <w:tc>
          <w:tcPr>
            <w:tcW w:w="1143" w:type="dxa"/>
            <w:tcBorders>
              <w:top w:val="nil"/>
              <w:left w:val="nil"/>
              <w:bottom w:val="nil"/>
              <w:right w:val="nil"/>
            </w:tcBorders>
            <w:shd w:val="clear" w:color="auto" w:fill="auto"/>
            <w:noWrap/>
            <w:hideMark/>
          </w:tcPr>
          <w:p w14:paraId="004212D4"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01D90D3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1.544</w:t>
            </w:r>
          </w:p>
        </w:tc>
        <w:tc>
          <w:tcPr>
            <w:tcW w:w="1143" w:type="dxa"/>
            <w:tcBorders>
              <w:top w:val="nil"/>
              <w:left w:val="nil"/>
              <w:bottom w:val="nil"/>
              <w:right w:val="nil"/>
            </w:tcBorders>
            <w:shd w:val="clear" w:color="auto" w:fill="auto"/>
            <w:noWrap/>
            <w:hideMark/>
          </w:tcPr>
          <w:p w14:paraId="7EDC7AF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2.805</w:t>
            </w:r>
          </w:p>
        </w:tc>
        <w:tc>
          <w:tcPr>
            <w:tcW w:w="1143" w:type="dxa"/>
            <w:tcBorders>
              <w:top w:val="nil"/>
              <w:left w:val="nil"/>
              <w:bottom w:val="nil"/>
              <w:right w:val="nil"/>
            </w:tcBorders>
            <w:shd w:val="clear" w:color="auto" w:fill="auto"/>
            <w:noWrap/>
            <w:hideMark/>
          </w:tcPr>
          <w:p w14:paraId="6B65BC8A"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2.392</w:t>
            </w:r>
          </w:p>
        </w:tc>
        <w:tc>
          <w:tcPr>
            <w:tcW w:w="1143" w:type="dxa"/>
            <w:tcBorders>
              <w:top w:val="nil"/>
              <w:left w:val="nil"/>
              <w:bottom w:val="nil"/>
              <w:right w:val="nil"/>
            </w:tcBorders>
            <w:shd w:val="clear" w:color="auto" w:fill="auto"/>
            <w:noWrap/>
            <w:hideMark/>
          </w:tcPr>
          <w:p w14:paraId="38FEF949"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-0.0651</w:t>
            </w:r>
          </w:p>
        </w:tc>
      </w:tr>
      <w:tr w:rsidR="00F26FFC" w:rsidRPr="00F26FFC" w14:paraId="0B3931F5" w14:textId="77777777" w:rsidTr="009E712B">
        <w:trPr>
          <w:trHeight w:val="245"/>
          <w:jc w:val="center"/>
        </w:trPr>
        <w:tc>
          <w:tcPr>
            <w:tcW w:w="2486" w:type="dxa"/>
            <w:tcBorders>
              <w:top w:val="nil"/>
              <w:left w:val="nil"/>
              <w:bottom w:val="nil"/>
              <w:right w:val="nil"/>
            </w:tcBorders>
            <w:shd w:val="clear" w:color="auto" w:fill="auto"/>
            <w:noWrap/>
            <w:hideMark/>
          </w:tcPr>
          <w:p w14:paraId="412BADCD"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43B75655"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B77D1F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(1.726)</w:t>
            </w:r>
          </w:p>
        </w:tc>
        <w:tc>
          <w:tcPr>
            <w:tcW w:w="1143" w:type="dxa"/>
            <w:tcBorders>
              <w:top w:val="nil"/>
              <w:left w:val="nil"/>
              <w:bottom w:val="nil"/>
              <w:right w:val="nil"/>
            </w:tcBorders>
            <w:shd w:val="clear" w:color="auto" w:fill="auto"/>
            <w:noWrap/>
            <w:hideMark/>
          </w:tcPr>
          <w:p w14:paraId="6EBE0D4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(2.479)</w:t>
            </w:r>
          </w:p>
        </w:tc>
        <w:tc>
          <w:tcPr>
            <w:tcW w:w="1143" w:type="dxa"/>
            <w:tcBorders>
              <w:top w:val="nil"/>
              <w:left w:val="nil"/>
              <w:bottom w:val="nil"/>
              <w:right w:val="nil"/>
            </w:tcBorders>
            <w:shd w:val="clear" w:color="auto" w:fill="auto"/>
            <w:noWrap/>
            <w:hideMark/>
          </w:tcPr>
          <w:p w14:paraId="0C111B77"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(2.536)</w:t>
            </w:r>
          </w:p>
        </w:tc>
        <w:tc>
          <w:tcPr>
            <w:tcW w:w="1143" w:type="dxa"/>
            <w:tcBorders>
              <w:top w:val="nil"/>
              <w:left w:val="nil"/>
              <w:bottom w:val="nil"/>
              <w:right w:val="nil"/>
            </w:tcBorders>
            <w:shd w:val="clear" w:color="auto" w:fill="auto"/>
            <w:noWrap/>
            <w:hideMark/>
          </w:tcPr>
          <w:p w14:paraId="07576BA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(2.732)</w:t>
            </w:r>
          </w:p>
        </w:tc>
        <w:tc>
          <w:tcPr>
            <w:tcW w:w="1143" w:type="dxa"/>
            <w:tcBorders>
              <w:top w:val="nil"/>
              <w:left w:val="nil"/>
              <w:bottom w:val="nil"/>
              <w:right w:val="nil"/>
            </w:tcBorders>
            <w:shd w:val="clear" w:color="auto" w:fill="auto"/>
            <w:noWrap/>
            <w:hideMark/>
          </w:tcPr>
          <w:p w14:paraId="3FC92A07"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235E11E8"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(2.700)</w:t>
            </w:r>
          </w:p>
        </w:tc>
        <w:tc>
          <w:tcPr>
            <w:tcW w:w="1143" w:type="dxa"/>
            <w:tcBorders>
              <w:top w:val="nil"/>
              <w:left w:val="nil"/>
              <w:bottom w:val="nil"/>
              <w:right w:val="nil"/>
            </w:tcBorders>
            <w:shd w:val="clear" w:color="auto" w:fill="auto"/>
            <w:noWrap/>
            <w:hideMark/>
          </w:tcPr>
          <w:p w14:paraId="6AE1B012"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(3.281)</w:t>
            </w:r>
          </w:p>
        </w:tc>
        <w:tc>
          <w:tcPr>
            <w:tcW w:w="1143" w:type="dxa"/>
            <w:tcBorders>
              <w:top w:val="nil"/>
              <w:left w:val="nil"/>
              <w:bottom w:val="nil"/>
              <w:right w:val="nil"/>
            </w:tcBorders>
            <w:shd w:val="clear" w:color="auto" w:fill="auto"/>
            <w:noWrap/>
            <w:hideMark/>
          </w:tcPr>
          <w:p w14:paraId="6F2C849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(3.081)</w:t>
            </w:r>
          </w:p>
        </w:tc>
        <w:tc>
          <w:tcPr>
            <w:tcW w:w="1143" w:type="dxa"/>
            <w:tcBorders>
              <w:top w:val="nil"/>
              <w:left w:val="nil"/>
              <w:bottom w:val="nil"/>
              <w:right w:val="nil"/>
            </w:tcBorders>
            <w:shd w:val="clear" w:color="auto" w:fill="auto"/>
            <w:noWrap/>
            <w:hideMark/>
          </w:tcPr>
          <w:p w14:paraId="19E898C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(3.106)</w:t>
            </w:r>
          </w:p>
        </w:tc>
      </w:tr>
      <w:tr w:rsidR="00F26FFC" w:rsidRPr="00F26FFC" w14:paraId="42F21DDC" w14:textId="77777777" w:rsidTr="009E712B">
        <w:trPr>
          <w:trHeight w:val="245"/>
          <w:jc w:val="center"/>
        </w:trPr>
        <w:tc>
          <w:tcPr>
            <w:tcW w:w="2486" w:type="dxa"/>
            <w:tcBorders>
              <w:top w:val="nil"/>
              <w:left w:val="nil"/>
              <w:bottom w:val="nil"/>
              <w:right w:val="nil"/>
            </w:tcBorders>
            <w:shd w:val="clear" w:color="auto" w:fill="auto"/>
            <w:noWrap/>
            <w:hideMark/>
          </w:tcPr>
          <w:p w14:paraId="2C3E3190" w14:textId="6A93B245" w:rsidR="00F26FFC" w:rsidRPr="001658D4" w:rsidRDefault="00594231" w:rsidP="00F26FFC">
            <w:pPr>
              <w:rPr>
                <w:rFonts w:eastAsia="Times New Roman" w:cstheme="minorHAnsi"/>
                <w:sz w:val="16"/>
                <w:szCs w:val="16"/>
              </w:rPr>
            </w:pPr>
            <w:r w:rsidRPr="001658D4">
              <w:rPr>
                <w:rFonts w:ascii="Calibri" w:eastAsia="Times New Roman" w:hAnsi="Calibri" w:cs="Times New Roman"/>
                <w:sz w:val="16"/>
                <w:szCs w:val="16"/>
              </w:rPr>
              <w:t>Environmental NGO pressure</w:t>
            </w:r>
          </w:p>
        </w:tc>
        <w:tc>
          <w:tcPr>
            <w:tcW w:w="1143" w:type="dxa"/>
            <w:tcBorders>
              <w:top w:val="nil"/>
              <w:left w:val="nil"/>
              <w:bottom w:val="nil"/>
              <w:right w:val="nil"/>
            </w:tcBorders>
            <w:shd w:val="clear" w:color="auto" w:fill="auto"/>
            <w:noWrap/>
            <w:hideMark/>
          </w:tcPr>
          <w:p w14:paraId="69002592"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45AE3E16"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4890A8F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0.157</w:t>
            </w:r>
          </w:p>
        </w:tc>
        <w:tc>
          <w:tcPr>
            <w:tcW w:w="1143" w:type="dxa"/>
            <w:tcBorders>
              <w:top w:val="nil"/>
              <w:left w:val="nil"/>
              <w:bottom w:val="nil"/>
              <w:right w:val="nil"/>
            </w:tcBorders>
            <w:shd w:val="clear" w:color="auto" w:fill="auto"/>
            <w:noWrap/>
            <w:hideMark/>
          </w:tcPr>
          <w:p w14:paraId="70AFA0F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0.446</w:t>
            </w:r>
          </w:p>
        </w:tc>
        <w:tc>
          <w:tcPr>
            <w:tcW w:w="1143" w:type="dxa"/>
            <w:tcBorders>
              <w:top w:val="nil"/>
              <w:left w:val="nil"/>
              <w:bottom w:val="nil"/>
              <w:right w:val="nil"/>
            </w:tcBorders>
            <w:shd w:val="clear" w:color="auto" w:fill="auto"/>
            <w:noWrap/>
            <w:hideMark/>
          </w:tcPr>
          <w:p w14:paraId="1CBF004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0.467</w:t>
            </w:r>
          </w:p>
        </w:tc>
        <w:tc>
          <w:tcPr>
            <w:tcW w:w="1143" w:type="dxa"/>
            <w:tcBorders>
              <w:top w:val="nil"/>
              <w:left w:val="nil"/>
              <w:bottom w:val="nil"/>
              <w:right w:val="nil"/>
            </w:tcBorders>
            <w:shd w:val="clear" w:color="auto" w:fill="auto"/>
            <w:noWrap/>
            <w:hideMark/>
          </w:tcPr>
          <w:p w14:paraId="667A1721"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4D63270"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5859F0A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0.139</w:t>
            </w:r>
          </w:p>
        </w:tc>
        <w:tc>
          <w:tcPr>
            <w:tcW w:w="1143" w:type="dxa"/>
            <w:tcBorders>
              <w:top w:val="nil"/>
              <w:left w:val="nil"/>
              <w:bottom w:val="nil"/>
              <w:right w:val="nil"/>
            </w:tcBorders>
            <w:shd w:val="clear" w:color="auto" w:fill="auto"/>
            <w:noWrap/>
            <w:hideMark/>
          </w:tcPr>
          <w:p w14:paraId="0D71AA7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0.456</w:t>
            </w:r>
          </w:p>
        </w:tc>
        <w:tc>
          <w:tcPr>
            <w:tcW w:w="1143" w:type="dxa"/>
            <w:tcBorders>
              <w:top w:val="nil"/>
              <w:left w:val="nil"/>
              <w:bottom w:val="nil"/>
              <w:right w:val="nil"/>
            </w:tcBorders>
            <w:shd w:val="clear" w:color="auto" w:fill="auto"/>
            <w:noWrap/>
            <w:hideMark/>
          </w:tcPr>
          <w:p w14:paraId="5CA50D0A"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0.478</w:t>
            </w:r>
          </w:p>
        </w:tc>
      </w:tr>
      <w:tr w:rsidR="00F26FFC" w:rsidRPr="00F26FFC" w14:paraId="0ECF49FF" w14:textId="77777777" w:rsidTr="009E712B">
        <w:trPr>
          <w:trHeight w:val="245"/>
          <w:jc w:val="center"/>
        </w:trPr>
        <w:tc>
          <w:tcPr>
            <w:tcW w:w="2486" w:type="dxa"/>
            <w:tcBorders>
              <w:top w:val="nil"/>
              <w:left w:val="nil"/>
              <w:bottom w:val="nil"/>
              <w:right w:val="nil"/>
            </w:tcBorders>
            <w:shd w:val="clear" w:color="auto" w:fill="auto"/>
            <w:noWrap/>
            <w:hideMark/>
          </w:tcPr>
          <w:p w14:paraId="5D7069F8"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3C9E4242"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E60BEC9"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0083F29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(0.308)</w:t>
            </w:r>
          </w:p>
        </w:tc>
        <w:tc>
          <w:tcPr>
            <w:tcW w:w="1143" w:type="dxa"/>
            <w:tcBorders>
              <w:top w:val="nil"/>
              <w:left w:val="nil"/>
              <w:bottom w:val="nil"/>
              <w:right w:val="nil"/>
            </w:tcBorders>
            <w:shd w:val="clear" w:color="auto" w:fill="auto"/>
            <w:noWrap/>
            <w:hideMark/>
          </w:tcPr>
          <w:p w14:paraId="60FDA4CD"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(0.358)</w:t>
            </w:r>
          </w:p>
        </w:tc>
        <w:tc>
          <w:tcPr>
            <w:tcW w:w="1143" w:type="dxa"/>
            <w:tcBorders>
              <w:top w:val="nil"/>
              <w:left w:val="nil"/>
              <w:bottom w:val="nil"/>
              <w:right w:val="nil"/>
            </w:tcBorders>
            <w:shd w:val="clear" w:color="auto" w:fill="auto"/>
            <w:noWrap/>
            <w:hideMark/>
          </w:tcPr>
          <w:p w14:paraId="7DA83D8A"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(0.341)</w:t>
            </w:r>
          </w:p>
        </w:tc>
        <w:tc>
          <w:tcPr>
            <w:tcW w:w="1143" w:type="dxa"/>
            <w:tcBorders>
              <w:top w:val="nil"/>
              <w:left w:val="nil"/>
              <w:bottom w:val="nil"/>
              <w:right w:val="nil"/>
            </w:tcBorders>
            <w:shd w:val="clear" w:color="auto" w:fill="auto"/>
            <w:noWrap/>
            <w:hideMark/>
          </w:tcPr>
          <w:p w14:paraId="3A4DC01C"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53CFB814"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2D5C329"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(0.404)</w:t>
            </w:r>
          </w:p>
        </w:tc>
        <w:tc>
          <w:tcPr>
            <w:tcW w:w="1143" w:type="dxa"/>
            <w:tcBorders>
              <w:top w:val="nil"/>
              <w:left w:val="nil"/>
              <w:bottom w:val="nil"/>
              <w:right w:val="nil"/>
            </w:tcBorders>
            <w:shd w:val="clear" w:color="auto" w:fill="auto"/>
            <w:noWrap/>
            <w:hideMark/>
          </w:tcPr>
          <w:p w14:paraId="3DACEB5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(0.416)</w:t>
            </w:r>
          </w:p>
        </w:tc>
        <w:tc>
          <w:tcPr>
            <w:tcW w:w="1143" w:type="dxa"/>
            <w:tcBorders>
              <w:top w:val="nil"/>
              <w:left w:val="nil"/>
              <w:bottom w:val="nil"/>
              <w:right w:val="nil"/>
            </w:tcBorders>
            <w:shd w:val="clear" w:color="auto" w:fill="auto"/>
            <w:noWrap/>
            <w:hideMark/>
          </w:tcPr>
          <w:p w14:paraId="2DCC39B9"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(0.387)</w:t>
            </w:r>
          </w:p>
        </w:tc>
      </w:tr>
      <w:tr w:rsidR="00F26FFC" w:rsidRPr="00F26FFC" w14:paraId="72584138" w14:textId="77777777" w:rsidTr="009E712B">
        <w:trPr>
          <w:trHeight w:val="245"/>
          <w:jc w:val="center"/>
        </w:trPr>
        <w:tc>
          <w:tcPr>
            <w:tcW w:w="2486" w:type="dxa"/>
            <w:tcBorders>
              <w:top w:val="nil"/>
              <w:left w:val="nil"/>
              <w:bottom w:val="nil"/>
              <w:right w:val="nil"/>
            </w:tcBorders>
            <w:shd w:val="clear" w:color="auto" w:fill="auto"/>
            <w:noWrap/>
            <w:hideMark/>
          </w:tcPr>
          <w:p w14:paraId="415682AB" w14:textId="77777777" w:rsidR="00F26FFC" w:rsidRPr="00F26FFC" w:rsidRDefault="00F26FFC" w:rsidP="00F26FFC">
            <w:pPr>
              <w:rPr>
                <w:rFonts w:eastAsia="Times New Roman" w:cstheme="minorHAnsi"/>
                <w:sz w:val="16"/>
                <w:szCs w:val="16"/>
              </w:rPr>
            </w:pPr>
            <w:r w:rsidRPr="00F26FFC">
              <w:rPr>
                <w:rFonts w:eastAsia="Times New Roman" w:cstheme="minorHAnsi"/>
                <w:sz w:val="16"/>
                <w:szCs w:val="16"/>
              </w:rPr>
              <w:t>Environmental stress</w:t>
            </w:r>
          </w:p>
        </w:tc>
        <w:tc>
          <w:tcPr>
            <w:tcW w:w="1143" w:type="dxa"/>
            <w:tcBorders>
              <w:top w:val="nil"/>
              <w:left w:val="nil"/>
              <w:bottom w:val="nil"/>
              <w:right w:val="nil"/>
            </w:tcBorders>
            <w:shd w:val="clear" w:color="auto" w:fill="auto"/>
            <w:noWrap/>
            <w:hideMark/>
          </w:tcPr>
          <w:p w14:paraId="2EDFBB74"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5827291B"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160D41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0.0260**</w:t>
            </w:r>
          </w:p>
        </w:tc>
        <w:tc>
          <w:tcPr>
            <w:tcW w:w="1143" w:type="dxa"/>
            <w:tcBorders>
              <w:top w:val="nil"/>
              <w:left w:val="nil"/>
              <w:bottom w:val="nil"/>
              <w:right w:val="nil"/>
            </w:tcBorders>
            <w:shd w:val="clear" w:color="auto" w:fill="auto"/>
            <w:noWrap/>
            <w:hideMark/>
          </w:tcPr>
          <w:p w14:paraId="2AB543A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0.0256**</w:t>
            </w:r>
          </w:p>
        </w:tc>
        <w:tc>
          <w:tcPr>
            <w:tcW w:w="1143" w:type="dxa"/>
            <w:tcBorders>
              <w:top w:val="nil"/>
              <w:left w:val="nil"/>
              <w:bottom w:val="nil"/>
              <w:right w:val="nil"/>
            </w:tcBorders>
            <w:shd w:val="clear" w:color="auto" w:fill="auto"/>
            <w:noWrap/>
            <w:hideMark/>
          </w:tcPr>
          <w:p w14:paraId="06F25570"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0.0307**</w:t>
            </w:r>
          </w:p>
        </w:tc>
        <w:tc>
          <w:tcPr>
            <w:tcW w:w="1143" w:type="dxa"/>
            <w:tcBorders>
              <w:top w:val="nil"/>
              <w:left w:val="nil"/>
              <w:bottom w:val="nil"/>
              <w:right w:val="nil"/>
            </w:tcBorders>
            <w:shd w:val="clear" w:color="auto" w:fill="auto"/>
            <w:noWrap/>
            <w:hideMark/>
          </w:tcPr>
          <w:p w14:paraId="19C45A65"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CCC8AB8"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DF266E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0.0193</w:t>
            </w:r>
          </w:p>
        </w:tc>
        <w:tc>
          <w:tcPr>
            <w:tcW w:w="1143" w:type="dxa"/>
            <w:tcBorders>
              <w:top w:val="nil"/>
              <w:left w:val="nil"/>
              <w:bottom w:val="nil"/>
              <w:right w:val="nil"/>
            </w:tcBorders>
            <w:shd w:val="clear" w:color="auto" w:fill="auto"/>
            <w:noWrap/>
            <w:hideMark/>
          </w:tcPr>
          <w:p w14:paraId="076245E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0.0212</w:t>
            </w:r>
          </w:p>
        </w:tc>
        <w:tc>
          <w:tcPr>
            <w:tcW w:w="1143" w:type="dxa"/>
            <w:tcBorders>
              <w:top w:val="nil"/>
              <w:left w:val="nil"/>
              <w:bottom w:val="nil"/>
              <w:right w:val="nil"/>
            </w:tcBorders>
            <w:shd w:val="clear" w:color="auto" w:fill="auto"/>
            <w:noWrap/>
            <w:hideMark/>
          </w:tcPr>
          <w:p w14:paraId="60212368"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0.0287**</w:t>
            </w:r>
          </w:p>
        </w:tc>
      </w:tr>
      <w:tr w:rsidR="00F26FFC" w:rsidRPr="00F26FFC" w14:paraId="19B6D75C" w14:textId="77777777" w:rsidTr="009E712B">
        <w:trPr>
          <w:trHeight w:val="245"/>
          <w:jc w:val="center"/>
        </w:trPr>
        <w:tc>
          <w:tcPr>
            <w:tcW w:w="2486" w:type="dxa"/>
            <w:tcBorders>
              <w:top w:val="nil"/>
              <w:left w:val="nil"/>
              <w:bottom w:val="nil"/>
              <w:right w:val="nil"/>
            </w:tcBorders>
            <w:shd w:val="clear" w:color="auto" w:fill="auto"/>
            <w:noWrap/>
            <w:hideMark/>
          </w:tcPr>
          <w:p w14:paraId="3ECAE586"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08D419FA"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4BF54C8F"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C86E16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(0.0124)</w:t>
            </w:r>
          </w:p>
        </w:tc>
        <w:tc>
          <w:tcPr>
            <w:tcW w:w="1143" w:type="dxa"/>
            <w:tcBorders>
              <w:top w:val="nil"/>
              <w:left w:val="nil"/>
              <w:bottom w:val="nil"/>
              <w:right w:val="nil"/>
            </w:tcBorders>
            <w:shd w:val="clear" w:color="auto" w:fill="auto"/>
            <w:noWrap/>
            <w:hideMark/>
          </w:tcPr>
          <w:p w14:paraId="7D819231"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(0.0123)</w:t>
            </w:r>
          </w:p>
        </w:tc>
        <w:tc>
          <w:tcPr>
            <w:tcW w:w="1143" w:type="dxa"/>
            <w:tcBorders>
              <w:top w:val="nil"/>
              <w:left w:val="nil"/>
              <w:bottom w:val="nil"/>
              <w:right w:val="nil"/>
            </w:tcBorders>
            <w:shd w:val="clear" w:color="auto" w:fill="auto"/>
            <w:noWrap/>
            <w:hideMark/>
          </w:tcPr>
          <w:p w14:paraId="6ED24BF9"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(0.0126)</w:t>
            </w:r>
          </w:p>
        </w:tc>
        <w:tc>
          <w:tcPr>
            <w:tcW w:w="1143" w:type="dxa"/>
            <w:tcBorders>
              <w:top w:val="nil"/>
              <w:left w:val="nil"/>
              <w:bottom w:val="nil"/>
              <w:right w:val="nil"/>
            </w:tcBorders>
            <w:shd w:val="clear" w:color="auto" w:fill="auto"/>
            <w:noWrap/>
            <w:hideMark/>
          </w:tcPr>
          <w:p w14:paraId="14B97823"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2A4280C0"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54521BC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(0.0162)</w:t>
            </w:r>
          </w:p>
        </w:tc>
        <w:tc>
          <w:tcPr>
            <w:tcW w:w="1143" w:type="dxa"/>
            <w:tcBorders>
              <w:top w:val="nil"/>
              <w:left w:val="nil"/>
              <w:bottom w:val="nil"/>
              <w:right w:val="nil"/>
            </w:tcBorders>
            <w:shd w:val="clear" w:color="auto" w:fill="auto"/>
            <w:noWrap/>
            <w:hideMark/>
          </w:tcPr>
          <w:p w14:paraId="6D001C1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(0.0151)</w:t>
            </w:r>
          </w:p>
        </w:tc>
        <w:tc>
          <w:tcPr>
            <w:tcW w:w="1143" w:type="dxa"/>
            <w:tcBorders>
              <w:top w:val="nil"/>
              <w:left w:val="nil"/>
              <w:bottom w:val="nil"/>
              <w:right w:val="nil"/>
            </w:tcBorders>
            <w:shd w:val="clear" w:color="auto" w:fill="auto"/>
            <w:noWrap/>
            <w:hideMark/>
          </w:tcPr>
          <w:p w14:paraId="3843BD02"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(0.0144)</w:t>
            </w:r>
          </w:p>
        </w:tc>
      </w:tr>
      <w:tr w:rsidR="00F26FFC" w:rsidRPr="00F26FFC" w14:paraId="0E554678" w14:textId="77777777" w:rsidTr="009E712B">
        <w:trPr>
          <w:trHeight w:val="245"/>
          <w:jc w:val="center"/>
        </w:trPr>
        <w:tc>
          <w:tcPr>
            <w:tcW w:w="2486" w:type="dxa"/>
            <w:tcBorders>
              <w:top w:val="nil"/>
              <w:left w:val="nil"/>
              <w:bottom w:val="nil"/>
              <w:right w:val="nil"/>
            </w:tcBorders>
            <w:shd w:val="clear" w:color="auto" w:fill="auto"/>
            <w:noWrap/>
            <w:hideMark/>
          </w:tcPr>
          <w:p w14:paraId="1670B1E7" w14:textId="77777777" w:rsidR="00F26FFC" w:rsidRPr="00F26FFC" w:rsidRDefault="00F26FFC" w:rsidP="00F26FFC">
            <w:pPr>
              <w:rPr>
                <w:rFonts w:eastAsia="Times New Roman" w:cstheme="minorHAnsi"/>
                <w:sz w:val="16"/>
                <w:szCs w:val="16"/>
              </w:rPr>
            </w:pPr>
            <w:r w:rsidRPr="00F26FFC">
              <w:rPr>
                <w:rFonts w:eastAsia="Times New Roman" w:cstheme="minorHAnsi"/>
                <w:sz w:val="16"/>
                <w:szCs w:val="16"/>
              </w:rPr>
              <w:t>Democracy Index</w:t>
            </w:r>
          </w:p>
        </w:tc>
        <w:tc>
          <w:tcPr>
            <w:tcW w:w="1143" w:type="dxa"/>
            <w:tcBorders>
              <w:top w:val="nil"/>
              <w:left w:val="nil"/>
              <w:bottom w:val="nil"/>
              <w:right w:val="nil"/>
            </w:tcBorders>
            <w:shd w:val="clear" w:color="auto" w:fill="auto"/>
            <w:noWrap/>
            <w:hideMark/>
          </w:tcPr>
          <w:p w14:paraId="7C659759"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06C2685"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300E997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0.0771</w:t>
            </w:r>
          </w:p>
        </w:tc>
        <w:tc>
          <w:tcPr>
            <w:tcW w:w="1143" w:type="dxa"/>
            <w:tcBorders>
              <w:top w:val="nil"/>
              <w:left w:val="nil"/>
              <w:bottom w:val="nil"/>
              <w:right w:val="nil"/>
            </w:tcBorders>
            <w:shd w:val="clear" w:color="auto" w:fill="auto"/>
            <w:noWrap/>
            <w:hideMark/>
          </w:tcPr>
          <w:p w14:paraId="3B21C88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0.118</w:t>
            </w:r>
          </w:p>
        </w:tc>
        <w:tc>
          <w:tcPr>
            <w:tcW w:w="1143" w:type="dxa"/>
            <w:tcBorders>
              <w:top w:val="nil"/>
              <w:left w:val="nil"/>
              <w:bottom w:val="nil"/>
              <w:right w:val="nil"/>
            </w:tcBorders>
            <w:shd w:val="clear" w:color="auto" w:fill="auto"/>
            <w:noWrap/>
            <w:hideMark/>
          </w:tcPr>
          <w:p w14:paraId="1A162D79"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0.182</w:t>
            </w:r>
          </w:p>
        </w:tc>
        <w:tc>
          <w:tcPr>
            <w:tcW w:w="1143" w:type="dxa"/>
            <w:tcBorders>
              <w:top w:val="nil"/>
              <w:left w:val="nil"/>
              <w:bottom w:val="nil"/>
              <w:right w:val="nil"/>
            </w:tcBorders>
            <w:shd w:val="clear" w:color="auto" w:fill="auto"/>
            <w:noWrap/>
            <w:hideMark/>
          </w:tcPr>
          <w:p w14:paraId="5FDB334D"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74C0196"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39E5D7E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-0.0352</w:t>
            </w:r>
          </w:p>
        </w:tc>
        <w:tc>
          <w:tcPr>
            <w:tcW w:w="1143" w:type="dxa"/>
            <w:tcBorders>
              <w:top w:val="nil"/>
              <w:left w:val="nil"/>
              <w:bottom w:val="nil"/>
              <w:right w:val="nil"/>
            </w:tcBorders>
            <w:shd w:val="clear" w:color="auto" w:fill="auto"/>
            <w:noWrap/>
            <w:hideMark/>
          </w:tcPr>
          <w:p w14:paraId="41993919"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0.0599</w:t>
            </w:r>
          </w:p>
        </w:tc>
        <w:tc>
          <w:tcPr>
            <w:tcW w:w="1143" w:type="dxa"/>
            <w:tcBorders>
              <w:top w:val="nil"/>
              <w:left w:val="nil"/>
              <w:bottom w:val="nil"/>
              <w:right w:val="nil"/>
            </w:tcBorders>
            <w:shd w:val="clear" w:color="auto" w:fill="auto"/>
            <w:noWrap/>
            <w:hideMark/>
          </w:tcPr>
          <w:p w14:paraId="2E304F0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0.147</w:t>
            </w:r>
          </w:p>
        </w:tc>
      </w:tr>
      <w:tr w:rsidR="00F26FFC" w:rsidRPr="00F26FFC" w14:paraId="4DBE2A75" w14:textId="77777777" w:rsidTr="009E712B">
        <w:trPr>
          <w:trHeight w:val="245"/>
          <w:jc w:val="center"/>
        </w:trPr>
        <w:tc>
          <w:tcPr>
            <w:tcW w:w="2486" w:type="dxa"/>
            <w:tcBorders>
              <w:top w:val="nil"/>
              <w:left w:val="nil"/>
              <w:bottom w:val="nil"/>
              <w:right w:val="nil"/>
            </w:tcBorders>
            <w:shd w:val="clear" w:color="auto" w:fill="auto"/>
            <w:noWrap/>
            <w:hideMark/>
          </w:tcPr>
          <w:p w14:paraId="787D2B87"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4FBD440"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C0A7EFA"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39B63408"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(0.146)</w:t>
            </w:r>
          </w:p>
        </w:tc>
        <w:tc>
          <w:tcPr>
            <w:tcW w:w="1143" w:type="dxa"/>
            <w:tcBorders>
              <w:top w:val="nil"/>
              <w:left w:val="nil"/>
              <w:bottom w:val="nil"/>
              <w:right w:val="nil"/>
            </w:tcBorders>
            <w:shd w:val="clear" w:color="auto" w:fill="auto"/>
            <w:noWrap/>
            <w:hideMark/>
          </w:tcPr>
          <w:p w14:paraId="1DF6F07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(0.146)</w:t>
            </w:r>
          </w:p>
        </w:tc>
        <w:tc>
          <w:tcPr>
            <w:tcW w:w="1143" w:type="dxa"/>
            <w:tcBorders>
              <w:top w:val="nil"/>
              <w:left w:val="nil"/>
              <w:bottom w:val="nil"/>
              <w:right w:val="nil"/>
            </w:tcBorders>
            <w:shd w:val="clear" w:color="auto" w:fill="auto"/>
            <w:noWrap/>
            <w:hideMark/>
          </w:tcPr>
          <w:p w14:paraId="2573219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(0.150)</w:t>
            </w:r>
          </w:p>
        </w:tc>
        <w:tc>
          <w:tcPr>
            <w:tcW w:w="1143" w:type="dxa"/>
            <w:tcBorders>
              <w:top w:val="nil"/>
              <w:left w:val="nil"/>
              <w:bottom w:val="nil"/>
              <w:right w:val="nil"/>
            </w:tcBorders>
            <w:shd w:val="clear" w:color="auto" w:fill="auto"/>
            <w:noWrap/>
            <w:hideMark/>
          </w:tcPr>
          <w:p w14:paraId="4CDBEE47"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2C50E685"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36A85628"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(0.201)</w:t>
            </w:r>
          </w:p>
        </w:tc>
        <w:tc>
          <w:tcPr>
            <w:tcW w:w="1143" w:type="dxa"/>
            <w:tcBorders>
              <w:top w:val="nil"/>
              <w:left w:val="nil"/>
              <w:bottom w:val="nil"/>
              <w:right w:val="nil"/>
            </w:tcBorders>
            <w:shd w:val="clear" w:color="auto" w:fill="auto"/>
            <w:noWrap/>
            <w:hideMark/>
          </w:tcPr>
          <w:p w14:paraId="72FE0E3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(0.184)</w:t>
            </w:r>
          </w:p>
        </w:tc>
        <w:tc>
          <w:tcPr>
            <w:tcW w:w="1143" w:type="dxa"/>
            <w:tcBorders>
              <w:top w:val="nil"/>
              <w:left w:val="nil"/>
              <w:bottom w:val="nil"/>
              <w:right w:val="nil"/>
            </w:tcBorders>
            <w:shd w:val="clear" w:color="auto" w:fill="auto"/>
            <w:noWrap/>
            <w:hideMark/>
          </w:tcPr>
          <w:p w14:paraId="1773BA48"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(0.179)</w:t>
            </w:r>
          </w:p>
        </w:tc>
      </w:tr>
      <w:tr w:rsidR="00E207E0" w:rsidRPr="00F26FFC" w14:paraId="47915BDA" w14:textId="77777777" w:rsidTr="009E712B">
        <w:trPr>
          <w:trHeight w:val="245"/>
          <w:jc w:val="center"/>
        </w:trPr>
        <w:tc>
          <w:tcPr>
            <w:tcW w:w="2486" w:type="dxa"/>
            <w:vMerge w:val="restart"/>
            <w:tcBorders>
              <w:top w:val="nil"/>
              <w:left w:val="nil"/>
              <w:right w:val="nil"/>
            </w:tcBorders>
            <w:shd w:val="clear" w:color="auto" w:fill="auto"/>
            <w:noWrap/>
            <w:hideMark/>
          </w:tcPr>
          <w:p w14:paraId="136F9D3A" w14:textId="663233C3" w:rsidR="00E207E0" w:rsidRPr="00F26FFC" w:rsidRDefault="00E207E0" w:rsidP="00F26FFC">
            <w:pPr>
              <w:rPr>
                <w:rFonts w:eastAsia="Times New Roman" w:cstheme="minorHAnsi"/>
                <w:sz w:val="16"/>
                <w:szCs w:val="16"/>
              </w:rPr>
            </w:pPr>
            <w:r w:rsidRPr="00F26FFC">
              <w:rPr>
                <w:rFonts w:eastAsia="Times New Roman" w:cstheme="minorHAnsi"/>
                <w:sz w:val="16"/>
                <w:szCs w:val="16"/>
              </w:rPr>
              <w:t xml:space="preserve">EU funding * </w:t>
            </w:r>
            <w:r w:rsidR="001A67BC" w:rsidRPr="001658D4">
              <w:rPr>
                <w:rFonts w:ascii="Calibri" w:eastAsia="Times New Roman" w:hAnsi="Calibri" w:cs="Times New Roman"/>
                <w:sz w:val="16"/>
                <w:szCs w:val="16"/>
              </w:rPr>
              <w:t>Environmental NGO pressure</w:t>
            </w:r>
          </w:p>
        </w:tc>
        <w:tc>
          <w:tcPr>
            <w:tcW w:w="1143" w:type="dxa"/>
            <w:tcBorders>
              <w:top w:val="nil"/>
              <w:left w:val="nil"/>
              <w:bottom w:val="nil"/>
              <w:right w:val="nil"/>
            </w:tcBorders>
            <w:shd w:val="clear" w:color="auto" w:fill="auto"/>
            <w:noWrap/>
            <w:hideMark/>
          </w:tcPr>
          <w:p w14:paraId="3BEF81ED" w14:textId="77777777" w:rsidR="00E207E0" w:rsidRPr="00F26FFC" w:rsidRDefault="00E207E0"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E58425A"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4AF66E0E"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AE8F68F" w14:textId="77777777" w:rsidR="00E207E0" w:rsidRPr="00F26FFC" w:rsidRDefault="00E207E0" w:rsidP="00F26FFC">
            <w:pPr>
              <w:jc w:val="center"/>
              <w:rPr>
                <w:rFonts w:eastAsia="Times New Roman" w:cstheme="minorHAnsi"/>
                <w:sz w:val="16"/>
                <w:szCs w:val="16"/>
              </w:rPr>
            </w:pPr>
            <w:r w:rsidRPr="00F26FFC">
              <w:rPr>
                <w:rFonts w:eastAsia="Times New Roman" w:cstheme="minorHAnsi"/>
                <w:sz w:val="16"/>
                <w:szCs w:val="16"/>
              </w:rPr>
              <w:t>0.365**</w:t>
            </w:r>
          </w:p>
        </w:tc>
        <w:tc>
          <w:tcPr>
            <w:tcW w:w="1143" w:type="dxa"/>
            <w:tcBorders>
              <w:top w:val="nil"/>
              <w:left w:val="nil"/>
              <w:bottom w:val="nil"/>
              <w:right w:val="nil"/>
            </w:tcBorders>
            <w:shd w:val="clear" w:color="auto" w:fill="auto"/>
            <w:noWrap/>
            <w:hideMark/>
          </w:tcPr>
          <w:p w14:paraId="0647C63C"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0A8CB00F"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524AF522"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20AAF058"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58D33563" w14:textId="77777777" w:rsidR="00E207E0" w:rsidRPr="00F26FFC" w:rsidRDefault="00E207E0" w:rsidP="00F26FFC">
            <w:pPr>
              <w:jc w:val="center"/>
              <w:rPr>
                <w:rFonts w:eastAsia="Times New Roman" w:cstheme="minorHAnsi"/>
                <w:sz w:val="16"/>
                <w:szCs w:val="16"/>
              </w:rPr>
            </w:pPr>
            <w:r w:rsidRPr="00F26FFC">
              <w:rPr>
                <w:rFonts w:eastAsia="Times New Roman" w:cstheme="minorHAnsi"/>
                <w:sz w:val="16"/>
                <w:szCs w:val="16"/>
              </w:rPr>
              <w:t>0.362*</w:t>
            </w:r>
          </w:p>
        </w:tc>
        <w:tc>
          <w:tcPr>
            <w:tcW w:w="1143" w:type="dxa"/>
            <w:tcBorders>
              <w:top w:val="nil"/>
              <w:left w:val="nil"/>
              <w:bottom w:val="nil"/>
              <w:right w:val="nil"/>
            </w:tcBorders>
            <w:shd w:val="clear" w:color="auto" w:fill="auto"/>
            <w:noWrap/>
            <w:hideMark/>
          </w:tcPr>
          <w:p w14:paraId="39B3F381" w14:textId="77777777" w:rsidR="00E207E0" w:rsidRPr="00F26FFC" w:rsidRDefault="00E207E0" w:rsidP="00F26FFC">
            <w:pPr>
              <w:jc w:val="center"/>
              <w:rPr>
                <w:rFonts w:eastAsia="Times New Roman" w:cstheme="minorHAnsi"/>
                <w:sz w:val="16"/>
                <w:szCs w:val="16"/>
              </w:rPr>
            </w:pPr>
          </w:p>
        </w:tc>
      </w:tr>
      <w:tr w:rsidR="00E207E0" w:rsidRPr="00F26FFC" w14:paraId="32488553" w14:textId="77777777" w:rsidTr="009E712B">
        <w:trPr>
          <w:trHeight w:val="245"/>
          <w:jc w:val="center"/>
        </w:trPr>
        <w:tc>
          <w:tcPr>
            <w:tcW w:w="2486" w:type="dxa"/>
            <w:vMerge/>
            <w:tcBorders>
              <w:left w:val="nil"/>
              <w:bottom w:val="nil"/>
              <w:right w:val="nil"/>
            </w:tcBorders>
            <w:shd w:val="clear" w:color="auto" w:fill="auto"/>
            <w:noWrap/>
            <w:hideMark/>
          </w:tcPr>
          <w:p w14:paraId="2E7D98AE"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235726ED" w14:textId="77777777" w:rsidR="00E207E0" w:rsidRPr="00F26FFC" w:rsidRDefault="00E207E0"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17D1229"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62E945A"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3FDF1ED" w14:textId="77777777" w:rsidR="00E207E0" w:rsidRPr="00F26FFC" w:rsidRDefault="00E207E0" w:rsidP="00F26FFC">
            <w:pPr>
              <w:jc w:val="center"/>
              <w:rPr>
                <w:rFonts w:eastAsia="Times New Roman" w:cstheme="minorHAnsi"/>
                <w:sz w:val="16"/>
                <w:szCs w:val="16"/>
              </w:rPr>
            </w:pPr>
            <w:r w:rsidRPr="00F26FFC">
              <w:rPr>
                <w:rFonts w:eastAsia="Times New Roman" w:cstheme="minorHAnsi"/>
                <w:sz w:val="16"/>
                <w:szCs w:val="16"/>
              </w:rPr>
              <w:t>(0.175)</w:t>
            </w:r>
          </w:p>
        </w:tc>
        <w:tc>
          <w:tcPr>
            <w:tcW w:w="1143" w:type="dxa"/>
            <w:tcBorders>
              <w:top w:val="nil"/>
              <w:left w:val="nil"/>
              <w:bottom w:val="nil"/>
              <w:right w:val="nil"/>
            </w:tcBorders>
            <w:shd w:val="clear" w:color="auto" w:fill="auto"/>
            <w:noWrap/>
            <w:hideMark/>
          </w:tcPr>
          <w:p w14:paraId="1036D18A"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221156B4"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0E37FA61"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48D1D8E"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04B37A8D" w14:textId="77777777" w:rsidR="00E207E0" w:rsidRPr="00F26FFC" w:rsidRDefault="00E207E0" w:rsidP="00F26FFC">
            <w:pPr>
              <w:jc w:val="center"/>
              <w:rPr>
                <w:rFonts w:eastAsia="Times New Roman" w:cstheme="minorHAnsi"/>
                <w:sz w:val="16"/>
                <w:szCs w:val="16"/>
              </w:rPr>
            </w:pPr>
            <w:r w:rsidRPr="00F26FFC">
              <w:rPr>
                <w:rFonts w:eastAsia="Times New Roman" w:cstheme="minorHAnsi"/>
                <w:sz w:val="16"/>
                <w:szCs w:val="16"/>
              </w:rPr>
              <w:t>(0.196)</w:t>
            </w:r>
          </w:p>
        </w:tc>
        <w:tc>
          <w:tcPr>
            <w:tcW w:w="1143" w:type="dxa"/>
            <w:tcBorders>
              <w:top w:val="nil"/>
              <w:left w:val="nil"/>
              <w:bottom w:val="nil"/>
              <w:right w:val="nil"/>
            </w:tcBorders>
            <w:shd w:val="clear" w:color="auto" w:fill="auto"/>
            <w:noWrap/>
            <w:hideMark/>
          </w:tcPr>
          <w:p w14:paraId="74711BE8" w14:textId="77777777" w:rsidR="00E207E0" w:rsidRPr="00F26FFC" w:rsidRDefault="00E207E0" w:rsidP="00F26FFC">
            <w:pPr>
              <w:jc w:val="center"/>
              <w:rPr>
                <w:rFonts w:eastAsia="Times New Roman" w:cstheme="minorHAnsi"/>
                <w:sz w:val="16"/>
                <w:szCs w:val="16"/>
              </w:rPr>
            </w:pPr>
          </w:p>
        </w:tc>
      </w:tr>
      <w:tr w:rsidR="00E207E0" w:rsidRPr="00F26FFC" w14:paraId="16456E4C" w14:textId="77777777" w:rsidTr="009E712B">
        <w:trPr>
          <w:trHeight w:val="245"/>
          <w:jc w:val="center"/>
        </w:trPr>
        <w:tc>
          <w:tcPr>
            <w:tcW w:w="2486" w:type="dxa"/>
            <w:vMerge w:val="restart"/>
            <w:tcBorders>
              <w:top w:val="nil"/>
              <w:left w:val="nil"/>
              <w:right w:val="nil"/>
            </w:tcBorders>
            <w:shd w:val="clear" w:color="auto" w:fill="auto"/>
            <w:noWrap/>
            <w:hideMark/>
          </w:tcPr>
          <w:p w14:paraId="232F8650" w14:textId="77777777" w:rsidR="00E207E0" w:rsidRPr="00F26FFC" w:rsidRDefault="00E207E0" w:rsidP="00F26FFC">
            <w:pPr>
              <w:rPr>
                <w:rFonts w:eastAsia="Times New Roman" w:cstheme="minorHAnsi"/>
                <w:sz w:val="16"/>
                <w:szCs w:val="16"/>
              </w:rPr>
            </w:pPr>
            <w:r w:rsidRPr="00F26FFC">
              <w:rPr>
                <w:rFonts w:eastAsia="Times New Roman" w:cstheme="minorHAnsi"/>
                <w:sz w:val="16"/>
                <w:szCs w:val="16"/>
              </w:rPr>
              <w:t>EU funding * Environmental stress</w:t>
            </w:r>
          </w:p>
        </w:tc>
        <w:tc>
          <w:tcPr>
            <w:tcW w:w="1143" w:type="dxa"/>
            <w:tcBorders>
              <w:top w:val="nil"/>
              <w:left w:val="nil"/>
              <w:bottom w:val="nil"/>
              <w:right w:val="nil"/>
            </w:tcBorders>
            <w:shd w:val="clear" w:color="auto" w:fill="auto"/>
            <w:noWrap/>
            <w:hideMark/>
          </w:tcPr>
          <w:p w14:paraId="714077A3" w14:textId="77777777" w:rsidR="00E207E0" w:rsidRPr="00F26FFC" w:rsidRDefault="00E207E0"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513A9A7B"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50453AAC"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0AE8B819"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CEB41DE" w14:textId="77777777" w:rsidR="00E207E0" w:rsidRPr="00F26FFC" w:rsidRDefault="00E207E0" w:rsidP="00F26FFC">
            <w:pPr>
              <w:jc w:val="center"/>
              <w:rPr>
                <w:rFonts w:eastAsia="Times New Roman" w:cstheme="minorHAnsi"/>
                <w:sz w:val="16"/>
                <w:szCs w:val="16"/>
              </w:rPr>
            </w:pPr>
            <w:r w:rsidRPr="00F26FFC">
              <w:rPr>
                <w:rFonts w:eastAsia="Times New Roman" w:cstheme="minorHAnsi"/>
                <w:sz w:val="16"/>
                <w:szCs w:val="16"/>
              </w:rPr>
              <w:t>-0.0300***</w:t>
            </w:r>
          </w:p>
        </w:tc>
        <w:tc>
          <w:tcPr>
            <w:tcW w:w="1143" w:type="dxa"/>
            <w:tcBorders>
              <w:top w:val="nil"/>
              <w:left w:val="nil"/>
              <w:bottom w:val="nil"/>
              <w:right w:val="nil"/>
            </w:tcBorders>
            <w:shd w:val="clear" w:color="auto" w:fill="auto"/>
            <w:noWrap/>
            <w:hideMark/>
          </w:tcPr>
          <w:p w14:paraId="084AB0A0"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3466AED6"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24E10DF"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7EA1FA3"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BCCAE3F" w14:textId="77777777" w:rsidR="00E207E0" w:rsidRPr="00F26FFC" w:rsidRDefault="00E207E0" w:rsidP="00F26FFC">
            <w:pPr>
              <w:jc w:val="center"/>
              <w:rPr>
                <w:rFonts w:eastAsia="Times New Roman" w:cstheme="minorHAnsi"/>
                <w:sz w:val="16"/>
                <w:szCs w:val="16"/>
              </w:rPr>
            </w:pPr>
            <w:r w:rsidRPr="00F26FFC">
              <w:rPr>
                <w:rFonts w:eastAsia="Times New Roman" w:cstheme="minorHAnsi"/>
                <w:sz w:val="16"/>
                <w:szCs w:val="16"/>
              </w:rPr>
              <w:t>-0.0324***</w:t>
            </w:r>
          </w:p>
        </w:tc>
      </w:tr>
      <w:tr w:rsidR="00E207E0" w:rsidRPr="00F26FFC" w14:paraId="2D2D666A" w14:textId="77777777" w:rsidTr="009E712B">
        <w:trPr>
          <w:trHeight w:val="245"/>
          <w:jc w:val="center"/>
        </w:trPr>
        <w:tc>
          <w:tcPr>
            <w:tcW w:w="2486" w:type="dxa"/>
            <w:vMerge/>
            <w:tcBorders>
              <w:left w:val="nil"/>
              <w:bottom w:val="nil"/>
              <w:right w:val="nil"/>
            </w:tcBorders>
            <w:shd w:val="clear" w:color="auto" w:fill="auto"/>
            <w:noWrap/>
            <w:hideMark/>
          </w:tcPr>
          <w:p w14:paraId="00A5110F"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578C2FCF" w14:textId="77777777" w:rsidR="00E207E0" w:rsidRPr="00F26FFC" w:rsidRDefault="00E207E0"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3812FD5B"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4B8E533D"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2E1C3A6E"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0BFA5DB0" w14:textId="77777777" w:rsidR="00E207E0" w:rsidRPr="00F26FFC" w:rsidRDefault="00E207E0" w:rsidP="00F26FFC">
            <w:pPr>
              <w:jc w:val="center"/>
              <w:rPr>
                <w:rFonts w:eastAsia="Times New Roman" w:cstheme="minorHAnsi"/>
                <w:sz w:val="16"/>
                <w:szCs w:val="16"/>
              </w:rPr>
            </w:pPr>
            <w:r w:rsidRPr="00F26FFC">
              <w:rPr>
                <w:rFonts w:eastAsia="Times New Roman" w:cstheme="minorHAnsi"/>
                <w:sz w:val="16"/>
                <w:szCs w:val="16"/>
              </w:rPr>
              <w:t>(0.0105)</w:t>
            </w:r>
          </w:p>
        </w:tc>
        <w:tc>
          <w:tcPr>
            <w:tcW w:w="1143" w:type="dxa"/>
            <w:tcBorders>
              <w:top w:val="nil"/>
              <w:left w:val="nil"/>
              <w:bottom w:val="nil"/>
              <w:right w:val="nil"/>
            </w:tcBorders>
            <w:shd w:val="clear" w:color="auto" w:fill="auto"/>
            <w:noWrap/>
            <w:hideMark/>
          </w:tcPr>
          <w:p w14:paraId="1EE8E69B"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7E38E97"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FE21F3C"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40D4F53F" w14:textId="77777777" w:rsidR="00E207E0" w:rsidRPr="00F26FFC" w:rsidRDefault="00E207E0"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44D1516C" w14:textId="77777777" w:rsidR="00E207E0" w:rsidRPr="00F26FFC" w:rsidRDefault="00E207E0" w:rsidP="00F26FFC">
            <w:pPr>
              <w:jc w:val="center"/>
              <w:rPr>
                <w:rFonts w:eastAsia="Times New Roman" w:cstheme="minorHAnsi"/>
                <w:sz w:val="16"/>
                <w:szCs w:val="16"/>
              </w:rPr>
            </w:pPr>
            <w:r w:rsidRPr="00F26FFC">
              <w:rPr>
                <w:rFonts w:eastAsia="Times New Roman" w:cstheme="minorHAnsi"/>
                <w:sz w:val="16"/>
                <w:szCs w:val="16"/>
              </w:rPr>
              <w:t>(0.0122)</w:t>
            </w:r>
          </w:p>
        </w:tc>
      </w:tr>
      <w:tr w:rsidR="00F26FFC" w:rsidRPr="00F26FFC" w14:paraId="397EC6D1" w14:textId="77777777" w:rsidTr="009E712B">
        <w:trPr>
          <w:trHeight w:val="245"/>
          <w:jc w:val="center"/>
        </w:trPr>
        <w:tc>
          <w:tcPr>
            <w:tcW w:w="2486" w:type="dxa"/>
            <w:tcBorders>
              <w:top w:val="nil"/>
              <w:left w:val="nil"/>
              <w:bottom w:val="nil"/>
              <w:right w:val="nil"/>
            </w:tcBorders>
            <w:shd w:val="clear" w:color="auto" w:fill="auto"/>
            <w:noWrap/>
            <w:hideMark/>
          </w:tcPr>
          <w:p w14:paraId="41BEC39A" w14:textId="77777777" w:rsidR="00F26FFC" w:rsidRPr="00F26FFC" w:rsidRDefault="00F26FFC" w:rsidP="00F26FFC">
            <w:pPr>
              <w:rPr>
                <w:rFonts w:eastAsia="Times New Roman" w:cstheme="minorHAnsi"/>
                <w:sz w:val="16"/>
                <w:szCs w:val="16"/>
              </w:rPr>
            </w:pPr>
            <w:r w:rsidRPr="00F26FFC">
              <w:rPr>
                <w:rFonts w:eastAsia="Times New Roman" w:cstheme="minorHAnsi"/>
                <w:sz w:val="16"/>
                <w:szCs w:val="16"/>
              </w:rPr>
              <w:t>Constant</w:t>
            </w:r>
          </w:p>
        </w:tc>
        <w:tc>
          <w:tcPr>
            <w:tcW w:w="1143" w:type="dxa"/>
            <w:tcBorders>
              <w:top w:val="nil"/>
              <w:left w:val="nil"/>
              <w:bottom w:val="nil"/>
              <w:right w:val="nil"/>
            </w:tcBorders>
            <w:shd w:val="clear" w:color="auto" w:fill="auto"/>
            <w:noWrap/>
            <w:hideMark/>
          </w:tcPr>
          <w:p w14:paraId="4E62D5A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0.247</w:t>
            </w:r>
          </w:p>
        </w:tc>
        <w:tc>
          <w:tcPr>
            <w:tcW w:w="1143" w:type="dxa"/>
            <w:tcBorders>
              <w:top w:val="nil"/>
              <w:left w:val="nil"/>
              <w:bottom w:val="nil"/>
              <w:right w:val="nil"/>
            </w:tcBorders>
            <w:shd w:val="clear" w:color="auto" w:fill="auto"/>
            <w:noWrap/>
            <w:hideMark/>
          </w:tcPr>
          <w:p w14:paraId="40AAE798"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-0.227</w:t>
            </w:r>
          </w:p>
        </w:tc>
        <w:tc>
          <w:tcPr>
            <w:tcW w:w="1143" w:type="dxa"/>
            <w:tcBorders>
              <w:top w:val="nil"/>
              <w:left w:val="nil"/>
              <w:bottom w:val="nil"/>
              <w:right w:val="nil"/>
            </w:tcBorders>
            <w:shd w:val="clear" w:color="auto" w:fill="auto"/>
            <w:noWrap/>
            <w:hideMark/>
          </w:tcPr>
          <w:p w14:paraId="7783851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-6.072**</w:t>
            </w:r>
          </w:p>
        </w:tc>
        <w:tc>
          <w:tcPr>
            <w:tcW w:w="1143" w:type="dxa"/>
            <w:tcBorders>
              <w:top w:val="nil"/>
              <w:left w:val="nil"/>
              <w:bottom w:val="nil"/>
              <w:right w:val="nil"/>
            </w:tcBorders>
            <w:shd w:val="clear" w:color="auto" w:fill="auto"/>
            <w:noWrap/>
            <w:hideMark/>
          </w:tcPr>
          <w:p w14:paraId="0B959927"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-5.979**</w:t>
            </w:r>
          </w:p>
        </w:tc>
        <w:tc>
          <w:tcPr>
            <w:tcW w:w="1143" w:type="dxa"/>
            <w:tcBorders>
              <w:top w:val="nil"/>
              <w:left w:val="nil"/>
              <w:bottom w:val="nil"/>
              <w:right w:val="nil"/>
            </w:tcBorders>
            <w:shd w:val="clear" w:color="auto" w:fill="auto"/>
            <w:noWrap/>
            <w:hideMark/>
          </w:tcPr>
          <w:p w14:paraId="05211FE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-5.316**</w:t>
            </w:r>
          </w:p>
        </w:tc>
        <w:tc>
          <w:tcPr>
            <w:tcW w:w="1143" w:type="dxa"/>
            <w:tcBorders>
              <w:top w:val="nil"/>
              <w:left w:val="nil"/>
              <w:bottom w:val="nil"/>
              <w:right w:val="nil"/>
            </w:tcBorders>
            <w:shd w:val="clear" w:color="auto" w:fill="auto"/>
            <w:noWrap/>
            <w:hideMark/>
          </w:tcPr>
          <w:p w14:paraId="62D16CE8"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0.509</w:t>
            </w:r>
          </w:p>
        </w:tc>
        <w:tc>
          <w:tcPr>
            <w:tcW w:w="1143" w:type="dxa"/>
            <w:tcBorders>
              <w:top w:val="nil"/>
              <w:left w:val="nil"/>
              <w:bottom w:val="nil"/>
              <w:right w:val="nil"/>
            </w:tcBorders>
            <w:shd w:val="clear" w:color="auto" w:fill="auto"/>
            <w:noWrap/>
            <w:hideMark/>
          </w:tcPr>
          <w:p w14:paraId="174BDC85"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0.0815</w:t>
            </w:r>
          </w:p>
        </w:tc>
        <w:tc>
          <w:tcPr>
            <w:tcW w:w="1143" w:type="dxa"/>
            <w:tcBorders>
              <w:top w:val="nil"/>
              <w:left w:val="nil"/>
              <w:bottom w:val="nil"/>
              <w:right w:val="nil"/>
            </w:tcBorders>
            <w:shd w:val="clear" w:color="auto" w:fill="auto"/>
            <w:noWrap/>
            <w:hideMark/>
          </w:tcPr>
          <w:p w14:paraId="5457A4CB"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-4.721</w:t>
            </w:r>
          </w:p>
        </w:tc>
        <w:tc>
          <w:tcPr>
            <w:tcW w:w="1143" w:type="dxa"/>
            <w:tcBorders>
              <w:top w:val="nil"/>
              <w:left w:val="nil"/>
              <w:bottom w:val="nil"/>
              <w:right w:val="nil"/>
            </w:tcBorders>
            <w:shd w:val="clear" w:color="auto" w:fill="auto"/>
            <w:noWrap/>
            <w:hideMark/>
          </w:tcPr>
          <w:p w14:paraId="4159EEB7"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-5.242*</w:t>
            </w:r>
          </w:p>
        </w:tc>
        <w:tc>
          <w:tcPr>
            <w:tcW w:w="1143" w:type="dxa"/>
            <w:tcBorders>
              <w:top w:val="nil"/>
              <w:left w:val="nil"/>
              <w:bottom w:val="nil"/>
              <w:right w:val="nil"/>
            </w:tcBorders>
            <w:shd w:val="clear" w:color="auto" w:fill="auto"/>
            <w:noWrap/>
            <w:hideMark/>
          </w:tcPr>
          <w:p w14:paraId="3227BCB2"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-4.631</w:t>
            </w:r>
          </w:p>
        </w:tc>
      </w:tr>
      <w:tr w:rsidR="00F26FFC" w:rsidRPr="00F26FFC" w14:paraId="3DBC70CD" w14:textId="77777777" w:rsidTr="009E712B">
        <w:trPr>
          <w:trHeight w:val="245"/>
          <w:jc w:val="center"/>
        </w:trPr>
        <w:tc>
          <w:tcPr>
            <w:tcW w:w="2486" w:type="dxa"/>
            <w:tcBorders>
              <w:top w:val="nil"/>
              <w:left w:val="nil"/>
              <w:bottom w:val="nil"/>
              <w:right w:val="nil"/>
            </w:tcBorders>
            <w:shd w:val="clear" w:color="auto" w:fill="auto"/>
            <w:noWrap/>
            <w:hideMark/>
          </w:tcPr>
          <w:p w14:paraId="4F9E04B6"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C278A3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(1.287)</w:t>
            </w:r>
          </w:p>
        </w:tc>
        <w:tc>
          <w:tcPr>
            <w:tcW w:w="1143" w:type="dxa"/>
            <w:tcBorders>
              <w:top w:val="nil"/>
              <w:left w:val="nil"/>
              <w:bottom w:val="nil"/>
              <w:right w:val="nil"/>
            </w:tcBorders>
            <w:shd w:val="clear" w:color="auto" w:fill="auto"/>
            <w:noWrap/>
            <w:hideMark/>
          </w:tcPr>
          <w:p w14:paraId="13EE407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(1.392)</w:t>
            </w:r>
          </w:p>
        </w:tc>
        <w:tc>
          <w:tcPr>
            <w:tcW w:w="1143" w:type="dxa"/>
            <w:tcBorders>
              <w:top w:val="nil"/>
              <w:left w:val="nil"/>
              <w:bottom w:val="nil"/>
              <w:right w:val="nil"/>
            </w:tcBorders>
            <w:shd w:val="clear" w:color="auto" w:fill="auto"/>
            <w:noWrap/>
            <w:hideMark/>
          </w:tcPr>
          <w:p w14:paraId="362CD37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(2.522)</w:t>
            </w:r>
          </w:p>
        </w:tc>
        <w:tc>
          <w:tcPr>
            <w:tcW w:w="1143" w:type="dxa"/>
            <w:tcBorders>
              <w:top w:val="nil"/>
              <w:left w:val="nil"/>
              <w:bottom w:val="nil"/>
              <w:right w:val="nil"/>
            </w:tcBorders>
            <w:shd w:val="clear" w:color="auto" w:fill="auto"/>
            <w:noWrap/>
            <w:hideMark/>
          </w:tcPr>
          <w:p w14:paraId="70B8CD0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(2.497)</w:t>
            </w:r>
          </w:p>
        </w:tc>
        <w:tc>
          <w:tcPr>
            <w:tcW w:w="1143" w:type="dxa"/>
            <w:tcBorders>
              <w:top w:val="nil"/>
              <w:left w:val="nil"/>
              <w:bottom w:val="nil"/>
              <w:right w:val="nil"/>
            </w:tcBorders>
            <w:shd w:val="clear" w:color="auto" w:fill="auto"/>
            <w:noWrap/>
            <w:hideMark/>
          </w:tcPr>
          <w:p w14:paraId="7C9E4EB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(2.562)</w:t>
            </w:r>
          </w:p>
        </w:tc>
        <w:tc>
          <w:tcPr>
            <w:tcW w:w="1143" w:type="dxa"/>
            <w:tcBorders>
              <w:top w:val="nil"/>
              <w:left w:val="nil"/>
              <w:bottom w:val="nil"/>
              <w:right w:val="nil"/>
            </w:tcBorders>
            <w:shd w:val="clear" w:color="auto" w:fill="auto"/>
            <w:noWrap/>
            <w:hideMark/>
          </w:tcPr>
          <w:p w14:paraId="603FE10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(1.750)</w:t>
            </w:r>
          </w:p>
        </w:tc>
        <w:tc>
          <w:tcPr>
            <w:tcW w:w="1143" w:type="dxa"/>
            <w:tcBorders>
              <w:top w:val="nil"/>
              <w:left w:val="nil"/>
              <w:bottom w:val="nil"/>
              <w:right w:val="nil"/>
            </w:tcBorders>
            <w:shd w:val="clear" w:color="auto" w:fill="auto"/>
            <w:noWrap/>
            <w:hideMark/>
          </w:tcPr>
          <w:p w14:paraId="0DA9D70A"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(1.838)</w:t>
            </w:r>
          </w:p>
        </w:tc>
        <w:tc>
          <w:tcPr>
            <w:tcW w:w="1143" w:type="dxa"/>
            <w:tcBorders>
              <w:top w:val="nil"/>
              <w:left w:val="nil"/>
              <w:bottom w:val="nil"/>
              <w:right w:val="nil"/>
            </w:tcBorders>
            <w:shd w:val="clear" w:color="auto" w:fill="auto"/>
            <w:noWrap/>
            <w:hideMark/>
          </w:tcPr>
          <w:p w14:paraId="47AB654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(3.083)</w:t>
            </w:r>
          </w:p>
        </w:tc>
        <w:tc>
          <w:tcPr>
            <w:tcW w:w="1143" w:type="dxa"/>
            <w:tcBorders>
              <w:top w:val="nil"/>
              <w:left w:val="nil"/>
              <w:bottom w:val="nil"/>
              <w:right w:val="nil"/>
            </w:tcBorders>
            <w:shd w:val="clear" w:color="auto" w:fill="auto"/>
            <w:noWrap/>
            <w:hideMark/>
          </w:tcPr>
          <w:p w14:paraId="155891E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(2.882)</w:t>
            </w:r>
          </w:p>
        </w:tc>
        <w:tc>
          <w:tcPr>
            <w:tcW w:w="1143" w:type="dxa"/>
            <w:tcBorders>
              <w:top w:val="nil"/>
              <w:left w:val="nil"/>
              <w:bottom w:val="nil"/>
              <w:right w:val="nil"/>
            </w:tcBorders>
            <w:shd w:val="clear" w:color="auto" w:fill="auto"/>
            <w:noWrap/>
            <w:hideMark/>
          </w:tcPr>
          <w:p w14:paraId="01E15D1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(2.867)</w:t>
            </w:r>
          </w:p>
        </w:tc>
      </w:tr>
      <w:tr w:rsidR="00F26FFC" w:rsidRPr="00F26FFC" w14:paraId="140D9110" w14:textId="77777777" w:rsidTr="009E712B">
        <w:trPr>
          <w:trHeight w:val="245"/>
          <w:jc w:val="center"/>
        </w:trPr>
        <w:tc>
          <w:tcPr>
            <w:tcW w:w="2486" w:type="dxa"/>
            <w:tcBorders>
              <w:top w:val="nil"/>
              <w:left w:val="nil"/>
              <w:bottom w:val="nil"/>
              <w:right w:val="nil"/>
            </w:tcBorders>
            <w:shd w:val="clear" w:color="auto" w:fill="auto"/>
            <w:noWrap/>
            <w:hideMark/>
          </w:tcPr>
          <w:p w14:paraId="01404C95"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AC6AE06"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530ED101"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A74FAE0"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4C94DEC"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9BF3BF6"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86C357D"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A4CF68C"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59B0F2F"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8A24BFF" w14:textId="77777777" w:rsidR="00F26FFC" w:rsidRPr="00F26FFC" w:rsidRDefault="00F26FFC" w:rsidP="00F26FFC">
            <w:pPr>
              <w:jc w:val="cente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054A723F" w14:textId="77777777" w:rsidR="00F26FFC" w:rsidRPr="00F26FFC" w:rsidRDefault="00F26FFC" w:rsidP="00F26FFC">
            <w:pPr>
              <w:jc w:val="center"/>
              <w:rPr>
                <w:rFonts w:eastAsia="Times New Roman" w:cstheme="minorHAnsi"/>
                <w:sz w:val="16"/>
                <w:szCs w:val="16"/>
              </w:rPr>
            </w:pPr>
          </w:p>
        </w:tc>
      </w:tr>
      <w:tr w:rsidR="00F26FFC" w:rsidRPr="00F26FFC" w14:paraId="498E58C4" w14:textId="77777777" w:rsidTr="009E712B">
        <w:trPr>
          <w:trHeight w:val="245"/>
          <w:jc w:val="center"/>
        </w:trPr>
        <w:tc>
          <w:tcPr>
            <w:tcW w:w="2486" w:type="dxa"/>
            <w:tcBorders>
              <w:top w:val="nil"/>
              <w:left w:val="nil"/>
              <w:bottom w:val="single" w:sz="4" w:space="0" w:color="000000"/>
              <w:right w:val="nil"/>
            </w:tcBorders>
            <w:shd w:val="clear" w:color="auto" w:fill="auto"/>
            <w:noWrap/>
            <w:hideMark/>
          </w:tcPr>
          <w:p w14:paraId="6782D2CD" w14:textId="77777777" w:rsidR="00F26FFC" w:rsidRPr="00F26FFC" w:rsidRDefault="00F26FFC" w:rsidP="00F26FFC">
            <w:pPr>
              <w:rPr>
                <w:rFonts w:eastAsia="Times New Roman" w:cstheme="minorHAnsi"/>
                <w:sz w:val="16"/>
                <w:szCs w:val="16"/>
              </w:rPr>
            </w:pPr>
            <w:r w:rsidRPr="00F26FFC">
              <w:rPr>
                <w:rFonts w:eastAsia="Times New Roman" w:cstheme="minorHAnsi"/>
                <w:sz w:val="16"/>
                <w:szCs w:val="16"/>
              </w:rPr>
              <w:t>Observations</w:t>
            </w:r>
          </w:p>
        </w:tc>
        <w:tc>
          <w:tcPr>
            <w:tcW w:w="1143" w:type="dxa"/>
            <w:tcBorders>
              <w:top w:val="nil"/>
              <w:left w:val="nil"/>
              <w:bottom w:val="single" w:sz="4" w:space="0" w:color="000000"/>
              <w:right w:val="nil"/>
            </w:tcBorders>
            <w:shd w:val="clear" w:color="auto" w:fill="auto"/>
            <w:noWrap/>
            <w:hideMark/>
          </w:tcPr>
          <w:p w14:paraId="20DDE0F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27</w:t>
            </w:r>
          </w:p>
        </w:tc>
        <w:tc>
          <w:tcPr>
            <w:tcW w:w="1143" w:type="dxa"/>
            <w:tcBorders>
              <w:top w:val="nil"/>
              <w:left w:val="nil"/>
              <w:bottom w:val="single" w:sz="4" w:space="0" w:color="000000"/>
              <w:right w:val="nil"/>
            </w:tcBorders>
            <w:shd w:val="clear" w:color="auto" w:fill="auto"/>
            <w:noWrap/>
            <w:hideMark/>
          </w:tcPr>
          <w:p w14:paraId="7B0BF2B6"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27</w:t>
            </w:r>
          </w:p>
        </w:tc>
        <w:tc>
          <w:tcPr>
            <w:tcW w:w="1143" w:type="dxa"/>
            <w:tcBorders>
              <w:top w:val="nil"/>
              <w:left w:val="nil"/>
              <w:bottom w:val="single" w:sz="4" w:space="0" w:color="000000"/>
              <w:right w:val="nil"/>
            </w:tcBorders>
            <w:shd w:val="clear" w:color="auto" w:fill="auto"/>
            <w:noWrap/>
            <w:hideMark/>
          </w:tcPr>
          <w:p w14:paraId="146B3CE9"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23</w:t>
            </w:r>
          </w:p>
        </w:tc>
        <w:tc>
          <w:tcPr>
            <w:tcW w:w="1143" w:type="dxa"/>
            <w:tcBorders>
              <w:top w:val="nil"/>
              <w:left w:val="nil"/>
              <w:bottom w:val="single" w:sz="4" w:space="0" w:color="000000"/>
              <w:right w:val="nil"/>
            </w:tcBorders>
            <w:shd w:val="clear" w:color="auto" w:fill="auto"/>
            <w:noWrap/>
            <w:hideMark/>
          </w:tcPr>
          <w:p w14:paraId="710C75CE"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23</w:t>
            </w:r>
          </w:p>
        </w:tc>
        <w:tc>
          <w:tcPr>
            <w:tcW w:w="1143" w:type="dxa"/>
            <w:tcBorders>
              <w:top w:val="nil"/>
              <w:left w:val="nil"/>
              <w:bottom w:val="single" w:sz="4" w:space="0" w:color="000000"/>
              <w:right w:val="nil"/>
            </w:tcBorders>
            <w:shd w:val="clear" w:color="auto" w:fill="auto"/>
            <w:noWrap/>
            <w:hideMark/>
          </w:tcPr>
          <w:p w14:paraId="061064C3"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23</w:t>
            </w:r>
          </w:p>
        </w:tc>
        <w:tc>
          <w:tcPr>
            <w:tcW w:w="1143" w:type="dxa"/>
            <w:tcBorders>
              <w:top w:val="nil"/>
              <w:left w:val="nil"/>
              <w:bottom w:val="single" w:sz="4" w:space="0" w:color="000000"/>
              <w:right w:val="nil"/>
            </w:tcBorders>
            <w:shd w:val="clear" w:color="auto" w:fill="auto"/>
            <w:noWrap/>
            <w:hideMark/>
          </w:tcPr>
          <w:p w14:paraId="3DF6494F"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27</w:t>
            </w:r>
          </w:p>
        </w:tc>
        <w:tc>
          <w:tcPr>
            <w:tcW w:w="1143" w:type="dxa"/>
            <w:tcBorders>
              <w:top w:val="nil"/>
              <w:left w:val="nil"/>
              <w:bottom w:val="single" w:sz="4" w:space="0" w:color="000000"/>
              <w:right w:val="nil"/>
            </w:tcBorders>
            <w:shd w:val="clear" w:color="auto" w:fill="auto"/>
            <w:noWrap/>
            <w:hideMark/>
          </w:tcPr>
          <w:p w14:paraId="2C67259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27</w:t>
            </w:r>
          </w:p>
        </w:tc>
        <w:tc>
          <w:tcPr>
            <w:tcW w:w="1143" w:type="dxa"/>
            <w:tcBorders>
              <w:top w:val="nil"/>
              <w:left w:val="nil"/>
              <w:bottom w:val="single" w:sz="4" w:space="0" w:color="000000"/>
              <w:right w:val="nil"/>
            </w:tcBorders>
            <w:shd w:val="clear" w:color="auto" w:fill="auto"/>
            <w:noWrap/>
            <w:hideMark/>
          </w:tcPr>
          <w:p w14:paraId="0C197C5B"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23</w:t>
            </w:r>
          </w:p>
        </w:tc>
        <w:tc>
          <w:tcPr>
            <w:tcW w:w="1143" w:type="dxa"/>
            <w:tcBorders>
              <w:top w:val="nil"/>
              <w:left w:val="nil"/>
              <w:bottom w:val="single" w:sz="4" w:space="0" w:color="000000"/>
              <w:right w:val="nil"/>
            </w:tcBorders>
            <w:shd w:val="clear" w:color="auto" w:fill="auto"/>
            <w:noWrap/>
            <w:hideMark/>
          </w:tcPr>
          <w:p w14:paraId="48C45D84"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23</w:t>
            </w:r>
          </w:p>
        </w:tc>
        <w:tc>
          <w:tcPr>
            <w:tcW w:w="1143" w:type="dxa"/>
            <w:tcBorders>
              <w:top w:val="nil"/>
              <w:left w:val="nil"/>
              <w:bottom w:val="single" w:sz="4" w:space="0" w:color="000000"/>
              <w:right w:val="nil"/>
            </w:tcBorders>
            <w:shd w:val="clear" w:color="auto" w:fill="auto"/>
            <w:noWrap/>
            <w:hideMark/>
          </w:tcPr>
          <w:p w14:paraId="30445C1C" w14:textId="77777777" w:rsidR="00F26FFC" w:rsidRPr="00F26FFC" w:rsidRDefault="00F26FFC" w:rsidP="00F26FFC">
            <w:pPr>
              <w:jc w:val="center"/>
              <w:rPr>
                <w:rFonts w:eastAsia="Times New Roman" w:cstheme="minorHAnsi"/>
                <w:sz w:val="16"/>
                <w:szCs w:val="16"/>
              </w:rPr>
            </w:pPr>
            <w:r w:rsidRPr="00F26FFC">
              <w:rPr>
                <w:rFonts w:eastAsia="Times New Roman" w:cstheme="minorHAnsi"/>
                <w:sz w:val="16"/>
                <w:szCs w:val="16"/>
              </w:rPr>
              <w:t>23</w:t>
            </w:r>
          </w:p>
        </w:tc>
      </w:tr>
      <w:tr w:rsidR="00F26FFC" w:rsidRPr="00F26FFC" w14:paraId="70F08AFB" w14:textId="77777777" w:rsidTr="009E712B">
        <w:trPr>
          <w:trHeight w:val="245"/>
          <w:jc w:val="center"/>
        </w:trPr>
        <w:tc>
          <w:tcPr>
            <w:tcW w:w="2486" w:type="dxa"/>
            <w:tcBorders>
              <w:top w:val="nil"/>
              <w:left w:val="nil"/>
              <w:bottom w:val="nil"/>
              <w:right w:val="nil"/>
            </w:tcBorders>
            <w:shd w:val="clear" w:color="auto" w:fill="auto"/>
            <w:noWrap/>
            <w:hideMark/>
          </w:tcPr>
          <w:p w14:paraId="74F032B0" w14:textId="77777777" w:rsidR="00F26FFC" w:rsidRPr="00F26FFC" w:rsidRDefault="00F26FFC" w:rsidP="00F26FFC">
            <w:pPr>
              <w:rPr>
                <w:rFonts w:eastAsia="Times New Roman" w:cstheme="minorHAnsi"/>
                <w:sz w:val="16"/>
                <w:szCs w:val="16"/>
              </w:rPr>
            </w:pPr>
            <w:r w:rsidRPr="00F26FFC">
              <w:rPr>
                <w:rFonts w:eastAsia="Times New Roman" w:cstheme="minorHAnsi"/>
                <w:sz w:val="16"/>
                <w:szCs w:val="16"/>
              </w:rPr>
              <w:t>Standard errors in parentheses</w:t>
            </w:r>
          </w:p>
        </w:tc>
        <w:tc>
          <w:tcPr>
            <w:tcW w:w="1143" w:type="dxa"/>
            <w:tcBorders>
              <w:top w:val="nil"/>
              <w:left w:val="nil"/>
              <w:bottom w:val="nil"/>
              <w:right w:val="nil"/>
            </w:tcBorders>
            <w:shd w:val="clear" w:color="auto" w:fill="auto"/>
            <w:noWrap/>
            <w:hideMark/>
          </w:tcPr>
          <w:p w14:paraId="3DD581D3"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42E2471B"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DCEAD46"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CDA47CB"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5D013034"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1A325AB"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3AE8BE61"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0DDC5DFE"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5A0E8914"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AAD99C1" w14:textId="77777777" w:rsidR="00F26FFC" w:rsidRPr="00F26FFC" w:rsidRDefault="00F26FFC" w:rsidP="00F26FFC">
            <w:pPr>
              <w:rPr>
                <w:rFonts w:eastAsia="Times New Roman" w:cstheme="minorHAnsi"/>
                <w:sz w:val="16"/>
                <w:szCs w:val="16"/>
              </w:rPr>
            </w:pPr>
          </w:p>
        </w:tc>
      </w:tr>
      <w:tr w:rsidR="00F26FFC" w:rsidRPr="00F26FFC" w14:paraId="68ACB9BB" w14:textId="77777777" w:rsidTr="009E712B">
        <w:trPr>
          <w:trHeight w:val="245"/>
          <w:jc w:val="center"/>
        </w:trPr>
        <w:tc>
          <w:tcPr>
            <w:tcW w:w="2486" w:type="dxa"/>
            <w:tcBorders>
              <w:top w:val="nil"/>
              <w:left w:val="nil"/>
              <w:bottom w:val="nil"/>
              <w:right w:val="nil"/>
            </w:tcBorders>
            <w:shd w:val="clear" w:color="auto" w:fill="auto"/>
            <w:noWrap/>
            <w:hideMark/>
          </w:tcPr>
          <w:p w14:paraId="5710A16A" w14:textId="77777777" w:rsidR="00F26FFC" w:rsidRPr="00F26FFC" w:rsidRDefault="00F26FFC" w:rsidP="00F26FFC">
            <w:pPr>
              <w:rPr>
                <w:rFonts w:eastAsia="Times New Roman" w:cstheme="minorHAnsi"/>
                <w:sz w:val="16"/>
                <w:szCs w:val="16"/>
              </w:rPr>
            </w:pPr>
            <w:r w:rsidRPr="00F26FFC">
              <w:rPr>
                <w:rFonts w:eastAsia="Times New Roman" w:cstheme="minorHAnsi"/>
                <w:sz w:val="16"/>
                <w:szCs w:val="16"/>
              </w:rPr>
              <w:t>*** p&lt;0.01, ** p&lt;0.05, * p&lt;0.1</w:t>
            </w:r>
          </w:p>
        </w:tc>
        <w:tc>
          <w:tcPr>
            <w:tcW w:w="1143" w:type="dxa"/>
            <w:tcBorders>
              <w:top w:val="nil"/>
              <w:left w:val="nil"/>
              <w:bottom w:val="nil"/>
              <w:right w:val="nil"/>
            </w:tcBorders>
            <w:shd w:val="clear" w:color="auto" w:fill="auto"/>
            <w:noWrap/>
            <w:hideMark/>
          </w:tcPr>
          <w:p w14:paraId="340D3E71"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B215435"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48A86951"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7FDD3033"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38F0452"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00A597EF"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6BC24CA4"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18031EDA"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4AC3462B" w14:textId="77777777" w:rsidR="00F26FFC" w:rsidRPr="00F26FFC" w:rsidRDefault="00F26FFC" w:rsidP="00F26FFC">
            <w:pPr>
              <w:rPr>
                <w:rFonts w:eastAsia="Times New Roman" w:cstheme="minorHAnsi"/>
                <w:sz w:val="16"/>
                <w:szCs w:val="16"/>
              </w:rPr>
            </w:pPr>
          </w:p>
        </w:tc>
        <w:tc>
          <w:tcPr>
            <w:tcW w:w="1143" w:type="dxa"/>
            <w:tcBorders>
              <w:top w:val="nil"/>
              <w:left w:val="nil"/>
              <w:bottom w:val="nil"/>
              <w:right w:val="nil"/>
            </w:tcBorders>
            <w:shd w:val="clear" w:color="auto" w:fill="auto"/>
            <w:noWrap/>
            <w:hideMark/>
          </w:tcPr>
          <w:p w14:paraId="4067C992" w14:textId="77777777" w:rsidR="00F26FFC" w:rsidRPr="00F26FFC" w:rsidRDefault="00F26FFC" w:rsidP="00F26FFC">
            <w:pPr>
              <w:rPr>
                <w:rFonts w:eastAsia="Times New Roman" w:cstheme="minorHAnsi"/>
                <w:sz w:val="16"/>
                <w:szCs w:val="16"/>
              </w:rPr>
            </w:pPr>
          </w:p>
        </w:tc>
      </w:tr>
    </w:tbl>
    <w:p w14:paraId="64A2C973" w14:textId="77777777" w:rsidR="00D60008" w:rsidRDefault="00D60008" w:rsidP="00D60008">
      <w:pPr>
        <w:sectPr w:rsidR="00D60008" w:rsidSect="00D60008">
          <w:pgSz w:w="15840" w:h="12240" w:orient="landscape"/>
          <w:pgMar w:top="1440" w:right="1440" w:bottom="1440" w:left="1440" w:header="720" w:footer="720" w:gutter="0"/>
          <w:cols w:space="720"/>
          <w:docGrid w:linePitch="360"/>
        </w:sectPr>
      </w:pPr>
    </w:p>
    <w:p w14:paraId="42F6A4A1" w14:textId="3AC74E45" w:rsidR="00D60008" w:rsidRPr="00022238" w:rsidRDefault="00D60008" w:rsidP="00D60008">
      <w:pPr>
        <w:rPr>
          <w:rFonts w:ascii="Times New Roman" w:hAnsi="Times New Roman" w:cs="Times New Roman"/>
        </w:rPr>
      </w:pPr>
      <w:r w:rsidRPr="00022238">
        <w:rPr>
          <w:rFonts w:ascii="Times New Roman" w:hAnsi="Times New Roman" w:cs="Times New Roman"/>
        </w:rPr>
        <w:lastRenderedPageBreak/>
        <w:t>Table</w:t>
      </w:r>
      <w:r w:rsidR="00577BB2" w:rsidRPr="00022238">
        <w:rPr>
          <w:rFonts w:ascii="Times New Roman" w:hAnsi="Times New Roman" w:cs="Times New Roman"/>
        </w:rPr>
        <w:t xml:space="preserve"> 3</w:t>
      </w:r>
      <w:r w:rsidRPr="00022238">
        <w:rPr>
          <w:rFonts w:ascii="Times New Roman" w:hAnsi="Times New Roman" w:cs="Times New Roman"/>
        </w:rPr>
        <w:t xml:space="preserve">. </w:t>
      </w:r>
      <w:r w:rsidR="00084F16" w:rsidRPr="00022238">
        <w:rPr>
          <w:rFonts w:ascii="Times New Roman" w:hAnsi="Times New Roman" w:cs="Times New Roman"/>
        </w:rPr>
        <w:t xml:space="preserve">Changes in </w:t>
      </w:r>
      <w:r w:rsidR="00F917D7">
        <w:rPr>
          <w:rFonts w:ascii="Times New Roman" w:hAnsi="Times New Roman" w:cs="Times New Roman"/>
        </w:rPr>
        <w:t>carbon e</w:t>
      </w:r>
      <w:r w:rsidR="00084F16" w:rsidRPr="00022238">
        <w:rPr>
          <w:rFonts w:ascii="Times New Roman" w:hAnsi="Times New Roman" w:cs="Times New Roman"/>
        </w:rPr>
        <w:t>missions</w:t>
      </w:r>
      <w:r w:rsidRPr="00022238">
        <w:rPr>
          <w:rFonts w:ascii="Times New Roman" w:hAnsi="Times New Roman" w:cs="Times New Roman"/>
        </w:rPr>
        <w:t xml:space="preserve"> </w:t>
      </w:r>
      <w:r w:rsidR="00F917D7">
        <w:rPr>
          <w:rFonts w:ascii="Times New Roman" w:hAnsi="Times New Roman" w:cs="Times New Roman"/>
        </w:rPr>
        <w:t>at the firm level</w:t>
      </w:r>
    </w:p>
    <w:p w14:paraId="0B167B73" w14:textId="77777777" w:rsidR="00D60008" w:rsidRDefault="00D60008" w:rsidP="00D60008"/>
    <w:tbl>
      <w:tblPr>
        <w:tblW w:w="8745" w:type="dxa"/>
        <w:tblInd w:w="93" w:type="dxa"/>
        <w:tblLayout w:type="fixed"/>
        <w:tblLook w:val="04A0" w:firstRow="1" w:lastRow="0" w:firstColumn="1" w:lastColumn="0" w:noHBand="0" w:noVBand="1"/>
      </w:tblPr>
      <w:tblGrid>
        <w:gridCol w:w="3255"/>
        <w:gridCol w:w="2610"/>
        <w:gridCol w:w="2880"/>
      </w:tblGrid>
      <w:tr w:rsidR="006F3A52" w:rsidRPr="005E6E85" w14:paraId="1D5485CF" w14:textId="77777777" w:rsidTr="00253772">
        <w:trPr>
          <w:trHeight w:val="629"/>
        </w:trPr>
        <w:tc>
          <w:tcPr>
            <w:tcW w:w="3255" w:type="dxa"/>
            <w:tcBorders>
              <w:top w:val="single" w:sz="4" w:space="0" w:color="auto"/>
              <w:left w:val="nil"/>
              <w:right w:val="nil"/>
            </w:tcBorders>
            <w:shd w:val="clear" w:color="auto" w:fill="auto"/>
            <w:noWrap/>
            <w:vAlign w:val="bottom"/>
          </w:tcPr>
          <w:p w14:paraId="55ADFAF6" w14:textId="77777777" w:rsidR="006F3A52" w:rsidRPr="005E6E85" w:rsidRDefault="006F3A52" w:rsidP="004D3498">
            <w:pPr>
              <w:rPr>
                <w:rFonts w:ascii="Calibri" w:eastAsia="Times New Roman" w:hAnsi="Calibri" w:cs="Times New Roman"/>
                <w:sz w:val="20"/>
                <w:szCs w:val="20"/>
              </w:rPr>
            </w:pPr>
          </w:p>
        </w:tc>
        <w:tc>
          <w:tcPr>
            <w:tcW w:w="5490" w:type="dxa"/>
            <w:gridSpan w:val="2"/>
            <w:tcBorders>
              <w:top w:val="single" w:sz="4" w:space="0" w:color="auto"/>
              <w:left w:val="nil"/>
              <w:bottom w:val="single" w:sz="4" w:space="0" w:color="auto"/>
            </w:tcBorders>
            <w:shd w:val="clear" w:color="auto" w:fill="auto"/>
            <w:noWrap/>
            <w:vAlign w:val="center"/>
          </w:tcPr>
          <w:p w14:paraId="42743085" w14:textId="77777777" w:rsidR="006F3A52" w:rsidRPr="00C62364" w:rsidRDefault="006F3A52" w:rsidP="006F3A52">
            <w:pPr>
              <w:jc w:val="center"/>
              <w:rPr>
                <w:rFonts w:ascii="Calibri" w:eastAsia="Times New Roman" w:hAnsi="Calibri" w:cs="Times New Roman"/>
                <w:sz w:val="20"/>
                <w:szCs w:val="20"/>
              </w:rPr>
            </w:pPr>
            <w:r w:rsidRPr="00C62364">
              <w:rPr>
                <w:rFonts w:ascii="Calibri" w:eastAsia="Times New Roman" w:hAnsi="Calibri" w:cs="Times New Roman"/>
                <w:sz w:val="20"/>
                <w:szCs w:val="20"/>
              </w:rPr>
              <w:t>DV: Changes in Carbon Emissions between 2004 and 2009</w:t>
            </w:r>
          </w:p>
          <w:p w14:paraId="1B795C6B" w14:textId="7E7628DE" w:rsidR="006F3A52" w:rsidRDefault="006F3A52" w:rsidP="006F3A52">
            <w:pPr>
              <w:jc w:val="center"/>
              <w:rPr>
                <w:rFonts w:ascii="Calibri" w:eastAsia="Times New Roman" w:hAnsi="Calibri" w:cs="Times New Roman"/>
                <w:sz w:val="20"/>
                <w:szCs w:val="20"/>
              </w:rPr>
            </w:pPr>
            <w:r w:rsidRPr="00C62364">
              <w:rPr>
                <w:rFonts w:ascii="Calibri" w:eastAsia="Times New Roman" w:hAnsi="Calibri" w:cs="Times New Roman"/>
                <w:sz w:val="20"/>
                <w:szCs w:val="20"/>
              </w:rPr>
              <w:t>(Carbon Emissions 2009 – Carbon Emissions 2004)</w:t>
            </w:r>
          </w:p>
        </w:tc>
      </w:tr>
      <w:tr w:rsidR="006F3A52" w:rsidRPr="005E6E85" w14:paraId="32CBA219" w14:textId="77777777" w:rsidTr="00253772">
        <w:trPr>
          <w:trHeight w:val="280"/>
        </w:trPr>
        <w:tc>
          <w:tcPr>
            <w:tcW w:w="3255" w:type="dxa"/>
            <w:tcBorders>
              <w:left w:val="nil"/>
              <w:bottom w:val="single" w:sz="4" w:space="0" w:color="auto"/>
              <w:right w:val="nil"/>
            </w:tcBorders>
            <w:shd w:val="clear" w:color="auto" w:fill="auto"/>
            <w:noWrap/>
            <w:vAlign w:val="bottom"/>
            <w:hideMark/>
          </w:tcPr>
          <w:p w14:paraId="72A3D8FD" w14:textId="77777777" w:rsidR="006F3A52" w:rsidRPr="005E6E85" w:rsidRDefault="006F3A52" w:rsidP="004D3498">
            <w:pPr>
              <w:rPr>
                <w:rFonts w:ascii="Calibri" w:eastAsia="Times New Roman" w:hAnsi="Calibri" w:cs="Times New Roman"/>
                <w:sz w:val="20"/>
                <w:szCs w:val="20"/>
              </w:rPr>
            </w:pPr>
            <w:r w:rsidRPr="005E6E85">
              <w:rPr>
                <w:rFonts w:ascii="Calibri" w:eastAsia="Times New Roman" w:hAnsi="Calibri" w:cs="Times New Roman"/>
                <w:sz w:val="20"/>
                <w:szCs w:val="20"/>
              </w:rPr>
              <w:t> </w:t>
            </w:r>
          </w:p>
        </w:tc>
        <w:tc>
          <w:tcPr>
            <w:tcW w:w="2610" w:type="dxa"/>
            <w:tcBorders>
              <w:top w:val="single" w:sz="4" w:space="0" w:color="auto"/>
              <w:left w:val="nil"/>
              <w:bottom w:val="single" w:sz="4" w:space="0" w:color="auto"/>
              <w:right w:val="nil"/>
            </w:tcBorders>
            <w:shd w:val="clear" w:color="auto" w:fill="auto"/>
            <w:noWrap/>
            <w:vAlign w:val="bottom"/>
            <w:hideMark/>
          </w:tcPr>
          <w:p w14:paraId="0022F0EF" w14:textId="5781A803" w:rsidR="006F3A52" w:rsidRDefault="006F3A52" w:rsidP="004D3498">
            <w:pPr>
              <w:jc w:val="center"/>
              <w:rPr>
                <w:rFonts w:ascii="Calibri" w:eastAsia="Times New Roman" w:hAnsi="Calibri" w:cs="Times New Roman"/>
                <w:sz w:val="20"/>
                <w:szCs w:val="20"/>
              </w:rPr>
            </w:pPr>
            <w:r>
              <w:rPr>
                <w:rFonts w:ascii="Calibri" w:eastAsia="Times New Roman" w:hAnsi="Calibri" w:cs="Times New Roman"/>
                <w:sz w:val="20"/>
                <w:szCs w:val="20"/>
              </w:rPr>
              <w:t>With “EU funding”</w:t>
            </w:r>
          </w:p>
          <w:p w14:paraId="12C846C4"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w:t>
            </w:r>
          </w:p>
        </w:tc>
        <w:tc>
          <w:tcPr>
            <w:tcW w:w="2880" w:type="dxa"/>
            <w:tcBorders>
              <w:top w:val="single" w:sz="4" w:space="0" w:color="auto"/>
              <w:left w:val="nil"/>
              <w:bottom w:val="single" w:sz="4" w:space="0" w:color="auto"/>
              <w:right w:val="nil"/>
            </w:tcBorders>
            <w:shd w:val="clear" w:color="auto" w:fill="auto"/>
            <w:noWrap/>
            <w:vAlign w:val="bottom"/>
            <w:hideMark/>
          </w:tcPr>
          <w:p w14:paraId="57DA2800" w14:textId="673D7219" w:rsidR="006F3A52" w:rsidRDefault="006F3A52" w:rsidP="004D3498">
            <w:pPr>
              <w:jc w:val="center"/>
              <w:rPr>
                <w:rFonts w:ascii="Calibri" w:eastAsia="Times New Roman" w:hAnsi="Calibri" w:cs="Times New Roman"/>
                <w:sz w:val="20"/>
                <w:szCs w:val="20"/>
              </w:rPr>
            </w:pPr>
            <w:r>
              <w:rPr>
                <w:rFonts w:ascii="Calibri" w:eastAsia="Times New Roman" w:hAnsi="Calibri" w:cs="Times New Roman"/>
                <w:sz w:val="20"/>
                <w:szCs w:val="20"/>
              </w:rPr>
              <w:t>Without “EU funding”</w:t>
            </w:r>
          </w:p>
          <w:p w14:paraId="284F9390"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(2)</w:t>
            </w:r>
          </w:p>
        </w:tc>
      </w:tr>
      <w:tr w:rsidR="006F3A52" w:rsidRPr="005E6E85" w14:paraId="13F52B55" w14:textId="79F46DB6" w:rsidTr="00253772">
        <w:trPr>
          <w:trHeight w:val="280"/>
        </w:trPr>
        <w:tc>
          <w:tcPr>
            <w:tcW w:w="3255" w:type="dxa"/>
            <w:tcBorders>
              <w:top w:val="single" w:sz="4" w:space="0" w:color="auto"/>
              <w:left w:val="nil"/>
              <w:bottom w:val="nil"/>
              <w:right w:val="nil"/>
            </w:tcBorders>
            <w:shd w:val="clear" w:color="auto" w:fill="auto"/>
            <w:noWrap/>
            <w:vAlign w:val="bottom"/>
            <w:hideMark/>
          </w:tcPr>
          <w:p w14:paraId="49165FBD" w14:textId="77777777" w:rsidR="006F3A52" w:rsidRPr="005E6E85" w:rsidRDefault="006F3A52" w:rsidP="004D3498">
            <w:pPr>
              <w:rPr>
                <w:rFonts w:ascii="Calibri" w:eastAsia="Times New Roman" w:hAnsi="Calibri" w:cs="Times New Roman"/>
                <w:sz w:val="20"/>
                <w:szCs w:val="20"/>
              </w:rPr>
            </w:pPr>
            <w:r w:rsidRPr="005E6E85">
              <w:rPr>
                <w:rFonts w:ascii="Calibri" w:eastAsia="Times New Roman" w:hAnsi="Calibri" w:cs="Times New Roman"/>
                <w:sz w:val="20"/>
                <w:szCs w:val="20"/>
              </w:rPr>
              <w:t> </w:t>
            </w:r>
          </w:p>
        </w:tc>
        <w:tc>
          <w:tcPr>
            <w:tcW w:w="2610" w:type="dxa"/>
            <w:tcBorders>
              <w:top w:val="single" w:sz="4" w:space="0" w:color="auto"/>
              <w:left w:val="nil"/>
              <w:bottom w:val="nil"/>
              <w:right w:val="nil"/>
            </w:tcBorders>
            <w:shd w:val="clear" w:color="auto" w:fill="auto"/>
            <w:noWrap/>
            <w:vAlign w:val="bottom"/>
            <w:hideMark/>
          </w:tcPr>
          <w:p w14:paraId="7A63BA83"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 </w:t>
            </w:r>
          </w:p>
        </w:tc>
        <w:tc>
          <w:tcPr>
            <w:tcW w:w="2880" w:type="dxa"/>
            <w:tcBorders>
              <w:top w:val="single" w:sz="4" w:space="0" w:color="auto"/>
              <w:left w:val="nil"/>
              <w:bottom w:val="nil"/>
              <w:right w:val="nil"/>
            </w:tcBorders>
            <w:shd w:val="clear" w:color="auto" w:fill="auto"/>
            <w:noWrap/>
            <w:vAlign w:val="bottom"/>
            <w:hideMark/>
          </w:tcPr>
          <w:p w14:paraId="4999A660"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 </w:t>
            </w:r>
          </w:p>
        </w:tc>
      </w:tr>
      <w:tr w:rsidR="00253772" w:rsidRPr="005E6E85" w14:paraId="7DF5C82F" w14:textId="7C391641" w:rsidTr="00253772">
        <w:trPr>
          <w:trHeight w:val="280"/>
        </w:trPr>
        <w:tc>
          <w:tcPr>
            <w:tcW w:w="3255" w:type="dxa"/>
            <w:tcBorders>
              <w:top w:val="nil"/>
              <w:left w:val="nil"/>
              <w:bottom w:val="nil"/>
              <w:right w:val="nil"/>
            </w:tcBorders>
            <w:shd w:val="clear" w:color="auto" w:fill="auto"/>
            <w:noWrap/>
            <w:vAlign w:val="bottom"/>
            <w:hideMark/>
          </w:tcPr>
          <w:p w14:paraId="3F8C29F4" w14:textId="77777777" w:rsidR="006F3A52" w:rsidRPr="005E6E85" w:rsidRDefault="006F3A52" w:rsidP="004D3498">
            <w:pPr>
              <w:rPr>
                <w:rFonts w:ascii="Calibri" w:eastAsia="Times New Roman" w:hAnsi="Calibri" w:cs="Times New Roman"/>
                <w:sz w:val="20"/>
                <w:szCs w:val="20"/>
              </w:rPr>
            </w:pPr>
            <w:r>
              <w:rPr>
                <w:rFonts w:ascii="Calibri" w:eastAsia="Times New Roman" w:hAnsi="Calibri" w:cs="Times New Roman"/>
                <w:sz w:val="20"/>
                <w:szCs w:val="20"/>
              </w:rPr>
              <w:t>Firm size</w:t>
            </w:r>
          </w:p>
        </w:tc>
        <w:tc>
          <w:tcPr>
            <w:tcW w:w="2610" w:type="dxa"/>
            <w:tcBorders>
              <w:top w:val="nil"/>
              <w:left w:val="nil"/>
              <w:bottom w:val="nil"/>
              <w:right w:val="nil"/>
            </w:tcBorders>
            <w:shd w:val="clear" w:color="auto" w:fill="auto"/>
            <w:noWrap/>
            <w:vAlign w:val="bottom"/>
            <w:hideMark/>
          </w:tcPr>
          <w:p w14:paraId="7F3259D1"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-15,100*</w:t>
            </w:r>
          </w:p>
        </w:tc>
        <w:tc>
          <w:tcPr>
            <w:tcW w:w="2880" w:type="dxa"/>
            <w:tcBorders>
              <w:top w:val="nil"/>
              <w:left w:val="nil"/>
              <w:bottom w:val="nil"/>
              <w:right w:val="nil"/>
            </w:tcBorders>
            <w:shd w:val="clear" w:color="auto" w:fill="auto"/>
            <w:noWrap/>
            <w:vAlign w:val="bottom"/>
            <w:hideMark/>
          </w:tcPr>
          <w:p w14:paraId="7EBCD85B"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-15,118*</w:t>
            </w:r>
          </w:p>
        </w:tc>
      </w:tr>
      <w:tr w:rsidR="00253772" w:rsidRPr="005E6E85" w14:paraId="6965A31C" w14:textId="6C3F1F38" w:rsidTr="00253772">
        <w:trPr>
          <w:trHeight w:val="280"/>
        </w:trPr>
        <w:tc>
          <w:tcPr>
            <w:tcW w:w="3255" w:type="dxa"/>
            <w:tcBorders>
              <w:top w:val="nil"/>
              <w:left w:val="nil"/>
              <w:bottom w:val="nil"/>
              <w:right w:val="nil"/>
            </w:tcBorders>
            <w:shd w:val="clear" w:color="auto" w:fill="auto"/>
            <w:noWrap/>
            <w:vAlign w:val="bottom"/>
            <w:hideMark/>
          </w:tcPr>
          <w:p w14:paraId="590DAEB4"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7CF42480"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(7,681)</w:t>
            </w:r>
          </w:p>
        </w:tc>
        <w:tc>
          <w:tcPr>
            <w:tcW w:w="2880" w:type="dxa"/>
            <w:tcBorders>
              <w:top w:val="nil"/>
              <w:left w:val="nil"/>
              <w:bottom w:val="nil"/>
              <w:right w:val="nil"/>
            </w:tcBorders>
            <w:shd w:val="clear" w:color="auto" w:fill="auto"/>
            <w:noWrap/>
            <w:vAlign w:val="bottom"/>
            <w:hideMark/>
          </w:tcPr>
          <w:p w14:paraId="7263EB8C"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(7,699)</w:t>
            </w:r>
          </w:p>
        </w:tc>
      </w:tr>
      <w:tr w:rsidR="00253772" w:rsidRPr="005E6E85" w14:paraId="1C6AD291" w14:textId="5232513B" w:rsidTr="00253772">
        <w:trPr>
          <w:trHeight w:val="280"/>
        </w:trPr>
        <w:tc>
          <w:tcPr>
            <w:tcW w:w="3255" w:type="dxa"/>
            <w:tcBorders>
              <w:top w:val="nil"/>
              <w:left w:val="nil"/>
              <w:bottom w:val="nil"/>
              <w:right w:val="nil"/>
            </w:tcBorders>
            <w:shd w:val="clear" w:color="auto" w:fill="auto"/>
            <w:noWrap/>
            <w:vAlign w:val="bottom"/>
            <w:hideMark/>
          </w:tcPr>
          <w:p w14:paraId="7B2F56CA" w14:textId="77777777" w:rsidR="006F3A52" w:rsidRPr="005E6E85" w:rsidRDefault="006F3A52" w:rsidP="004D3498">
            <w:pPr>
              <w:rPr>
                <w:rFonts w:ascii="Calibri" w:eastAsia="Times New Roman" w:hAnsi="Calibri" w:cs="Times New Roman"/>
                <w:sz w:val="20"/>
                <w:szCs w:val="20"/>
              </w:rPr>
            </w:pPr>
            <w:r>
              <w:rPr>
                <w:rFonts w:ascii="Calibri" w:eastAsia="Times New Roman" w:hAnsi="Calibri" w:cs="Times New Roman"/>
                <w:sz w:val="20"/>
                <w:szCs w:val="20"/>
              </w:rPr>
              <w:t>Carbon i</w:t>
            </w:r>
            <w:r w:rsidRPr="005E6E85">
              <w:rPr>
                <w:rFonts w:ascii="Calibri" w:eastAsia="Times New Roman" w:hAnsi="Calibri" w:cs="Times New Roman"/>
                <w:sz w:val="20"/>
                <w:szCs w:val="20"/>
              </w:rPr>
              <w:t>ntensity</w:t>
            </w:r>
          </w:p>
        </w:tc>
        <w:tc>
          <w:tcPr>
            <w:tcW w:w="2610" w:type="dxa"/>
            <w:tcBorders>
              <w:top w:val="nil"/>
              <w:left w:val="nil"/>
              <w:bottom w:val="nil"/>
              <w:right w:val="nil"/>
            </w:tcBorders>
            <w:shd w:val="clear" w:color="auto" w:fill="auto"/>
            <w:noWrap/>
            <w:vAlign w:val="bottom"/>
            <w:hideMark/>
          </w:tcPr>
          <w:p w14:paraId="6221799E"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-81.13***</w:t>
            </w:r>
          </w:p>
        </w:tc>
        <w:tc>
          <w:tcPr>
            <w:tcW w:w="2880" w:type="dxa"/>
            <w:tcBorders>
              <w:top w:val="nil"/>
              <w:left w:val="nil"/>
              <w:bottom w:val="nil"/>
              <w:right w:val="nil"/>
            </w:tcBorders>
            <w:shd w:val="clear" w:color="auto" w:fill="auto"/>
            <w:noWrap/>
            <w:vAlign w:val="bottom"/>
            <w:hideMark/>
          </w:tcPr>
          <w:p w14:paraId="70A557EE"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-78.73***</w:t>
            </w:r>
          </w:p>
        </w:tc>
      </w:tr>
      <w:tr w:rsidR="00253772" w:rsidRPr="005E6E85" w14:paraId="0905946F" w14:textId="49704AE2" w:rsidTr="00253772">
        <w:trPr>
          <w:trHeight w:val="280"/>
        </w:trPr>
        <w:tc>
          <w:tcPr>
            <w:tcW w:w="3255" w:type="dxa"/>
            <w:tcBorders>
              <w:top w:val="nil"/>
              <w:left w:val="nil"/>
              <w:bottom w:val="nil"/>
              <w:right w:val="nil"/>
            </w:tcBorders>
            <w:shd w:val="clear" w:color="auto" w:fill="auto"/>
            <w:noWrap/>
            <w:vAlign w:val="bottom"/>
            <w:hideMark/>
          </w:tcPr>
          <w:p w14:paraId="491CBAEC"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6E3BDD0D"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(25.33)</w:t>
            </w:r>
          </w:p>
        </w:tc>
        <w:tc>
          <w:tcPr>
            <w:tcW w:w="2880" w:type="dxa"/>
            <w:tcBorders>
              <w:top w:val="nil"/>
              <w:left w:val="nil"/>
              <w:bottom w:val="nil"/>
              <w:right w:val="nil"/>
            </w:tcBorders>
            <w:shd w:val="clear" w:color="auto" w:fill="auto"/>
            <w:noWrap/>
            <w:vAlign w:val="bottom"/>
            <w:hideMark/>
          </w:tcPr>
          <w:p w14:paraId="49C7E404"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(25.00)</w:t>
            </w:r>
          </w:p>
        </w:tc>
      </w:tr>
      <w:tr w:rsidR="00253772" w:rsidRPr="005E6E85" w14:paraId="753765F9" w14:textId="330522DC" w:rsidTr="00253772">
        <w:trPr>
          <w:trHeight w:val="280"/>
        </w:trPr>
        <w:tc>
          <w:tcPr>
            <w:tcW w:w="3255" w:type="dxa"/>
            <w:tcBorders>
              <w:top w:val="nil"/>
              <w:left w:val="nil"/>
              <w:bottom w:val="nil"/>
              <w:right w:val="nil"/>
            </w:tcBorders>
            <w:shd w:val="clear" w:color="auto" w:fill="auto"/>
            <w:noWrap/>
            <w:vAlign w:val="bottom"/>
            <w:hideMark/>
          </w:tcPr>
          <w:p w14:paraId="361C1A2D" w14:textId="77777777" w:rsidR="006F3A52" w:rsidRPr="005E6E85" w:rsidRDefault="006F3A52" w:rsidP="004D3498">
            <w:pPr>
              <w:rPr>
                <w:rFonts w:ascii="Calibri" w:eastAsia="Times New Roman" w:hAnsi="Calibri" w:cs="Times New Roman"/>
                <w:sz w:val="20"/>
                <w:szCs w:val="20"/>
              </w:rPr>
            </w:pPr>
            <w:r>
              <w:rPr>
                <w:rFonts w:ascii="Calibri" w:eastAsia="Times New Roman" w:hAnsi="Calibri" w:cs="Times New Roman"/>
                <w:sz w:val="20"/>
                <w:szCs w:val="20"/>
              </w:rPr>
              <w:t>Fossil fuel</w:t>
            </w:r>
          </w:p>
        </w:tc>
        <w:tc>
          <w:tcPr>
            <w:tcW w:w="2610" w:type="dxa"/>
            <w:tcBorders>
              <w:top w:val="nil"/>
              <w:left w:val="nil"/>
              <w:bottom w:val="nil"/>
              <w:right w:val="nil"/>
            </w:tcBorders>
            <w:shd w:val="clear" w:color="auto" w:fill="auto"/>
            <w:noWrap/>
            <w:vAlign w:val="bottom"/>
            <w:hideMark/>
          </w:tcPr>
          <w:p w14:paraId="6F24FE7F"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-8,726</w:t>
            </w:r>
          </w:p>
        </w:tc>
        <w:tc>
          <w:tcPr>
            <w:tcW w:w="2880" w:type="dxa"/>
            <w:tcBorders>
              <w:top w:val="nil"/>
              <w:left w:val="nil"/>
              <w:bottom w:val="nil"/>
              <w:right w:val="nil"/>
            </w:tcBorders>
            <w:shd w:val="clear" w:color="auto" w:fill="auto"/>
            <w:noWrap/>
            <w:vAlign w:val="bottom"/>
            <w:hideMark/>
          </w:tcPr>
          <w:p w14:paraId="495675C4"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-12,704</w:t>
            </w:r>
          </w:p>
        </w:tc>
      </w:tr>
      <w:tr w:rsidR="00253772" w:rsidRPr="005E6E85" w14:paraId="17201B75" w14:textId="7AC9599E" w:rsidTr="00253772">
        <w:trPr>
          <w:trHeight w:val="280"/>
        </w:trPr>
        <w:tc>
          <w:tcPr>
            <w:tcW w:w="3255" w:type="dxa"/>
            <w:tcBorders>
              <w:top w:val="nil"/>
              <w:left w:val="nil"/>
              <w:bottom w:val="nil"/>
              <w:right w:val="nil"/>
            </w:tcBorders>
            <w:shd w:val="clear" w:color="auto" w:fill="auto"/>
            <w:noWrap/>
            <w:vAlign w:val="bottom"/>
            <w:hideMark/>
          </w:tcPr>
          <w:p w14:paraId="694FE855"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3990EDDB"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(24,291)</w:t>
            </w:r>
          </w:p>
        </w:tc>
        <w:tc>
          <w:tcPr>
            <w:tcW w:w="2880" w:type="dxa"/>
            <w:tcBorders>
              <w:top w:val="nil"/>
              <w:left w:val="nil"/>
              <w:bottom w:val="nil"/>
              <w:right w:val="nil"/>
            </w:tcBorders>
            <w:shd w:val="clear" w:color="auto" w:fill="auto"/>
            <w:noWrap/>
            <w:vAlign w:val="bottom"/>
            <w:hideMark/>
          </w:tcPr>
          <w:p w14:paraId="43D8D142"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(23,696)</w:t>
            </w:r>
          </w:p>
        </w:tc>
      </w:tr>
      <w:tr w:rsidR="00253772" w:rsidRPr="005E6E85" w14:paraId="66E83457" w14:textId="5EA5E30E" w:rsidTr="00253772">
        <w:trPr>
          <w:trHeight w:val="280"/>
        </w:trPr>
        <w:tc>
          <w:tcPr>
            <w:tcW w:w="3255" w:type="dxa"/>
            <w:tcBorders>
              <w:top w:val="nil"/>
              <w:left w:val="nil"/>
              <w:bottom w:val="nil"/>
              <w:right w:val="nil"/>
            </w:tcBorders>
            <w:shd w:val="clear" w:color="auto" w:fill="auto"/>
            <w:noWrap/>
            <w:vAlign w:val="bottom"/>
            <w:hideMark/>
          </w:tcPr>
          <w:p w14:paraId="45CA1086" w14:textId="77777777" w:rsidR="006F3A52" w:rsidRPr="005E6E85" w:rsidRDefault="006F3A52" w:rsidP="004D3498">
            <w:pPr>
              <w:rPr>
                <w:rFonts w:ascii="Calibri" w:eastAsia="Times New Roman" w:hAnsi="Calibri" w:cs="Times New Roman"/>
                <w:sz w:val="20"/>
                <w:szCs w:val="20"/>
              </w:rPr>
            </w:pPr>
            <w:r>
              <w:rPr>
                <w:rFonts w:ascii="Calibri" w:eastAsia="Times New Roman" w:hAnsi="Calibri" w:cs="Times New Roman"/>
                <w:sz w:val="20"/>
                <w:szCs w:val="20"/>
              </w:rPr>
              <w:t>Competition</w:t>
            </w:r>
          </w:p>
        </w:tc>
        <w:tc>
          <w:tcPr>
            <w:tcW w:w="2610" w:type="dxa"/>
            <w:tcBorders>
              <w:top w:val="nil"/>
              <w:left w:val="nil"/>
              <w:bottom w:val="nil"/>
              <w:right w:val="nil"/>
            </w:tcBorders>
            <w:shd w:val="clear" w:color="auto" w:fill="auto"/>
            <w:noWrap/>
            <w:vAlign w:val="bottom"/>
            <w:hideMark/>
          </w:tcPr>
          <w:p w14:paraId="73E8C748"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-621,564***</w:t>
            </w:r>
          </w:p>
        </w:tc>
        <w:tc>
          <w:tcPr>
            <w:tcW w:w="2880" w:type="dxa"/>
            <w:tcBorders>
              <w:top w:val="nil"/>
              <w:left w:val="nil"/>
              <w:bottom w:val="nil"/>
              <w:right w:val="nil"/>
            </w:tcBorders>
            <w:shd w:val="clear" w:color="auto" w:fill="auto"/>
            <w:noWrap/>
            <w:vAlign w:val="bottom"/>
            <w:hideMark/>
          </w:tcPr>
          <w:p w14:paraId="50A3B995"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-568,239***</w:t>
            </w:r>
          </w:p>
        </w:tc>
      </w:tr>
      <w:tr w:rsidR="00253772" w:rsidRPr="005E6E85" w14:paraId="0C0A921C" w14:textId="4D29DD3A" w:rsidTr="00253772">
        <w:trPr>
          <w:trHeight w:val="280"/>
        </w:trPr>
        <w:tc>
          <w:tcPr>
            <w:tcW w:w="3255" w:type="dxa"/>
            <w:tcBorders>
              <w:top w:val="nil"/>
              <w:left w:val="nil"/>
              <w:bottom w:val="nil"/>
              <w:right w:val="nil"/>
            </w:tcBorders>
            <w:shd w:val="clear" w:color="auto" w:fill="auto"/>
            <w:noWrap/>
            <w:vAlign w:val="bottom"/>
            <w:hideMark/>
          </w:tcPr>
          <w:p w14:paraId="752CE663"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568F5CAC"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(112,222)</w:t>
            </w:r>
          </w:p>
        </w:tc>
        <w:tc>
          <w:tcPr>
            <w:tcW w:w="2880" w:type="dxa"/>
            <w:tcBorders>
              <w:top w:val="nil"/>
              <w:left w:val="nil"/>
              <w:bottom w:val="nil"/>
              <w:right w:val="nil"/>
            </w:tcBorders>
            <w:shd w:val="clear" w:color="auto" w:fill="auto"/>
            <w:noWrap/>
            <w:vAlign w:val="bottom"/>
            <w:hideMark/>
          </w:tcPr>
          <w:p w14:paraId="28F47471"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(82,024)</w:t>
            </w:r>
          </w:p>
        </w:tc>
      </w:tr>
      <w:tr w:rsidR="00253772" w:rsidRPr="005E6E85" w14:paraId="6CE35582" w14:textId="71532B4E" w:rsidTr="00253772">
        <w:trPr>
          <w:trHeight w:val="280"/>
        </w:trPr>
        <w:tc>
          <w:tcPr>
            <w:tcW w:w="3255" w:type="dxa"/>
            <w:tcBorders>
              <w:top w:val="nil"/>
              <w:left w:val="nil"/>
              <w:bottom w:val="nil"/>
              <w:right w:val="nil"/>
            </w:tcBorders>
            <w:shd w:val="clear" w:color="auto" w:fill="auto"/>
            <w:noWrap/>
            <w:vAlign w:val="bottom"/>
            <w:hideMark/>
          </w:tcPr>
          <w:p w14:paraId="6F369EF2" w14:textId="77777777" w:rsidR="006F3A52" w:rsidRPr="005E6E85" w:rsidRDefault="006F3A52" w:rsidP="004D3498">
            <w:pPr>
              <w:rPr>
                <w:rFonts w:ascii="Calibri" w:eastAsia="Times New Roman" w:hAnsi="Calibri" w:cs="Times New Roman"/>
                <w:sz w:val="20"/>
                <w:szCs w:val="20"/>
              </w:rPr>
            </w:pPr>
            <w:r>
              <w:rPr>
                <w:rFonts w:ascii="Calibri" w:eastAsia="Times New Roman" w:hAnsi="Calibri" w:cs="Times New Roman"/>
                <w:sz w:val="20"/>
                <w:szCs w:val="20"/>
              </w:rPr>
              <w:t>R</w:t>
            </w:r>
            <w:r w:rsidRPr="005E6E85">
              <w:rPr>
                <w:rFonts w:ascii="Calibri" w:eastAsia="Times New Roman" w:hAnsi="Calibri" w:cs="Times New Roman"/>
                <w:sz w:val="20"/>
                <w:szCs w:val="20"/>
              </w:rPr>
              <w:t>eturn</w:t>
            </w:r>
            <w:r>
              <w:rPr>
                <w:rFonts w:ascii="Calibri" w:eastAsia="Times New Roman" w:hAnsi="Calibri" w:cs="Times New Roman"/>
                <w:sz w:val="20"/>
                <w:szCs w:val="20"/>
              </w:rPr>
              <w:t xml:space="preserve"> </w:t>
            </w:r>
            <w:r w:rsidRPr="005E6E85">
              <w:rPr>
                <w:rFonts w:ascii="Calibri" w:eastAsia="Times New Roman" w:hAnsi="Calibri" w:cs="Times New Roman"/>
                <w:sz w:val="20"/>
                <w:szCs w:val="20"/>
              </w:rPr>
              <w:t>on</w:t>
            </w:r>
            <w:r>
              <w:rPr>
                <w:rFonts w:ascii="Calibri" w:eastAsia="Times New Roman" w:hAnsi="Calibri" w:cs="Times New Roman"/>
                <w:sz w:val="20"/>
                <w:szCs w:val="20"/>
              </w:rPr>
              <w:t xml:space="preserve"> </w:t>
            </w:r>
            <w:r w:rsidRPr="005E6E85">
              <w:rPr>
                <w:rFonts w:ascii="Calibri" w:eastAsia="Times New Roman" w:hAnsi="Calibri" w:cs="Times New Roman"/>
                <w:sz w:val="20"/>
                <w:szCs w:val="20"/>
              </w:rPr>
              <w:t>total</w:t>
            </w:r>
            <w:r>
              <w:rPr>
                <w:rFonts w:ascii="Calibri" w:eastAsia="Times New Roman" w:hAnsi="Calibri" w:cs="Times New Roman"/>
                <w:sz w:val="20"/>
                <w:szCs w:val="20"/>
              </w:rPr>
              <w:t xml:space="preserve"> </w:t>
            </w:r>
            <w:r w:rsidRPr="005E6E85">
              <w:rPr>
                <w:rFonts w:ascii="Calibri" w:eastAsia="Times New Roman" w:hAnsi="Calibri" w:cs="Times New Roman"/>
                <w:sz w:val="20"/>
                <w:szCs w:val="20"/>
              </w:rPr>
              <w:t>assets</w:t>
            </w:r>
          </w:p>
        </w:tc>
        <w:tc>
          <w:tcPr>
            <w:tcW w:w="2610" w:type="dxa"/>
            <w:tcBorders>
              <w:top w:val="nil"/>
              <w:left w:val="nil"/>
              <w:bottom w:val="nil"/>
              <w:right w:val="nil"/>
            </w:tcBorders>
            <w:shd w:val="clear" w:color="auto" w:fill="auto"/>
            <w:noWrap/>
            <w:vAlign w:val="bottom"/>
            <w:hideMark/>
          </w:tcPr>
          <w:p w14:paraId="1D7CACBE"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512.6</w:t>
            </w:r>
          </w:p>
        </w:tc>
        <w:tc>
          <w:tcPr>
            <w:tcW w:w="2880" w:type="dxa"/>
            <w:tcBorders>
              <w:top w:val="nil"/>
              <w:left w:val="nil"/>
              <w:bottom w:val="nil"/>
              <w:right w:val="nil"/>
            </w:tcBorders>
            <w:shd w:val="clear" w:color="auto" w:fill="auto"/>
            <w:noWrap/>
            <w:vAlign w:val="bottom"/>
            <w:hideMark/>
          </w:tcPr>
          <w:p w14:paraId="1C567E58"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535.3</w:t>
            </w:r>
          </w:p>
        </w:tc>
      </w:tr>
      <w:tr w:rsidR="00253772" w:rsidRPr="005E6E85" w14:paraId="686D26AD" w14:textId="12C9985E" w:rsidTr="00253772">
        <w:trPr>
          <w:trHeight w:val="280"/>
        </w:trPr>
        <w:tc>
          <w:tcPr>
            <w:tcW w:w="3255" w:type="dxa"/>
            <w:tcBorders>
              <w:top w:val="nil"/>
              <w:left w:val="nil"/>
              <w:bottom w:val="nil"/>
              <w:right w:val="nil"/>
            </w:tcBorders>
            <w:shd w:val="clear" w:color="auto" w:fill="auto"/>
            <w:noWrap/>
            <w:vAlign w:val="bottom"/>
            <w:hideMark/>
          </w:tcPr>
          <w:p w14:paraId="68544F3D"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0570D079"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(589.6)</w:t>
            </w:r>
          </w:p>
        </w:tc>
        <w:tc>
          <w:tcPr>
            <w:tcW w:w="2880" w:type="dxa"/>
            <w:tcBorders>
              <w:top w:val="nil"/>
              <w:left w:val="nil"/>
              <w:bottom w:val="nil"/>
              <w:right w:val="nil"/>
            </w:tcBorders>
            <w:shd w:val="clear" w:color="auto" w:fill="auto"/>
            <w:noWrap/>
            <w:vAlign w:val="bottom"/>
            <w:hideMark/>
          </w:tcPr>
          <w:p w14:paraId="48823FF4"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(589.3)</w:t>
            </w:r>
          </w:p>
        </w:tc>
      </w:tr>
      <w:tr w:rsidR="00253772" w:rsidRPr="005E6E85" w14:paraId="781CEA90" w14:textId="6EB42093" w:rsidTr="00253772">
        <w:trPr>
          <w:trHeight w:val="280"/>
        </w:trPr>
        <w:tc>
          <w:tcPr>
            <w:tcW w:w="3255" w:type="dxa"/>
            <w:tcBorders>
              <w:top w:val="nil"/>
              <w:left w:val="nil"/>
              <w:bottom w:val="nil"/>
              <w:right w:val="nil"/>
            </w:tcBorders>
            <w:shd w:val="clear" w:color="auto" w:fill="auto"/>
            <w:noWrap/>
            <w:vAlign w:val="bottom"/>
            <w:hideMark/>
          </w:tcPr>
          <w:p w14:paraId="3E7196B6" w14:textId="77777777" w:rsidR="006F3A52" w:rsidRPr="005E6E85" w:rsidRDefault="006F3A52" w:rsidP="004D3498">
            <w:pPr>
              <w:rPr>
                <w:rFonts w:ascii="Calibri" w:eastAsia="Times New Roman" w:hAnsi="Calibri" w:cs="Times New Roman"/>
                <w:sz w:val="20"/>
                <w:szCs w:val="20"/>
              </w:rPr>
            </w:pPr>
            <w:r>
              <w:rPr>
                <w:rFonts w:ascii="Calibri" w:eastAsia="Times New Roman" w:hAnsi="Calibri" w:cs="Times New Roman"/>
                <w:sz w:val="20"/>
                <w:szCs w:val="20"/>
              </w:rPr>
              <w:t>C</w:t>
            </w:r>
            <w:r w:rsidRPr="005E6E85">
              <w:rPr>
                <w:rFonts w:ascii="Calibri" w:eastAsia="Times New Roman" w:hAnsi="Calibri" w:cs="Times New Roman"/>
                <w:sz w:val="20"/>
                <w:szCs w:val="20"/>
              </w:rPr>
              <w:t>ash</w:t>
            </w:r>
            <w:r>
              <w:rPr>
                <w:rFonts w:ascii="Calibri" w:eastAsia="Times New Roman" w:hAnsi="Calibri" w:cs="Times New Roman"/>
                <w:sz w:val="20"/>
                <w:szCs w:val="20"/>
              </w:rPr>
              <w:t xml:space="preserve"> </w:t>
            </w:r>
            <w:r w:rsidRPr="005E6E85">
              <w:rPr>
                <w:rFonts w:ascii="Calibri" w:eastAsia="Times New Roman" w:hAnsi="Calibri" w:cs="Times New Roman"/>
                <w:sz w:val="20"/>
                <w:szCs w:val="20"/>
              </w:rPr>
              <w:t>flow</w:t>
            </w:r>
          </w:p>
        </w:tc>
        <w:tc>
          <w:tcPr>
            <w:tcW w:w="2610" w:type="dxa"/>
            <w:tcBorders>
              <w:top w:val="nil"/>
              <w:left w:val="nil"/>
              <w:bottom w:val="nil"/>
              <w:right w:val="nil"/>
            </w:tcBorders>
            <w:shd w:val="clear" w:color="auto" w:fill="auto"/>
            <w:noWrap/>
            <w:vAlign w:val="bottom"/>
            <w:hideMark/>
          </w:tcPr>
          <w:p w14:paraId="26AF921F"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-36,331***</w:t>
            </w:r>
          </w:p>
        </w:tc>
        <w:tc>
          <w:tcPr>
            <w:tcW w:w="2880" w:type="dxa"/>
            <w:tcBorders>
              <w:top w:val="nil"/>
              <w:left w:val="nil"/>
              <w:bottom w:val="nil"/>
              <w:right w:val="nil"/>
            </w:tcBorders>
            <w:shd w:val="clear" w:color="auto" w:fill="auto"/>
            <w:noWrap/>
            <w:vAlign w:val="bottom"/>
            <w:hideMark/>
          </w:tcPr>
          <w:p w14:paraId="70AB1882"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-36,664***</w:t>
            </w:r>
          </w:p>
        </w:tc>
      </w:tr>
      <w:tr w:rsidR="00253772" w:rsidRPr="005E6E85" w14:paraId="6D924EF0" w14:textId="6E8AB2C8" w:rsidTr="00253772">
        <w:trPr>
          <w:trHeight w:val="280"/>
        </w:trPr>
        <w:tc>
          <w:tcPr>
            <w:tcW w:w="3255" w:type="dxa"/>
            <w:tcBorders>
              <w:top w:val="nil"/>
              <w:left w:val="nil"/>
              <w:bottom w:val="nil"/>
              <w:right w:val="nil"/>
            </w:tcBorders>
            <w:shd w:val="clear" w:color="auto" w:fill="auto"/>
            <w:noWrap/>
            <w:vAlign w:val="bottom"/>
            <w:hideMark/>
          </w:tcPr>
          <w:p w14:paraId="085F916C"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555AA07E"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(7,808)</w:t>
            </w:r>
          </w:p>
        </w:tc>
        <w:tc>
          <w:tcPr>
            <w:tcW w:w="2880" w:type="dxa"/>
            <w:tcBorders>
              <w:top w:val="nil"/>
              <w:left w:val="nil"/>
              <w:bottom w:val="nil"/>
              <w:right w:val="nil"/>
            </w:tcBorders>
            <w:shd w:val="clear" w:color="auto" w:fill="auto"/>
            <w:noWrap/>
            <w:vAlign w:val="bottom"/>
            <w:hideMark/>
          </w:tcPr>
          <w:p w14:paraId="7A6F6847"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(7,866)</w:t>
            </w:r>
          </w:p>
        </w:tc>
      </w:tr>
      <w:tr w:rsidR="002103A8" w:rsidRPr="005E6E85" w14:paraId="73755A8B" w14:textId="77777777" w:rsidTr="00253772">
        <w:trPr>
          <w:trHeight w:val="280"/>
        </w:trPr>
        <w:tc>
          <w:tcPr>
            <w:tcW w:w="3255" w:type="dxa"/>
            <w:tcBorders>
              <w:top w:val="nil"/>
              <w:left w:val="nil"/>
              <w:bottom w:val="nil"/>
              <w:right w:val="nil"/>
            </w:tcBorders>
            <w:shd w:val="clear" w:color="auto" w:fill="auto"/>
            <w:noWrap/>
            <w:vAlign w:val="bottom"/>
          </w:tcPr>
          <w:p w14:paraId="1A3B67BA" w14:textId="53E546FD" w:rsidR="002103A8" w:rsidRPr="005E6E85" w:rsidRDefault="002103A8" w:rsidP="004D3498">
            <w:pPr>
              <w:rPr>
                <w:rFonts w:ascii="Calibri" w:eastAsia="Times New Roman" w:hAnsi="Calibri" w:cs="Times New Roman"/>
                <w:sz w:val="20"/>
                <w:szCs w:val="20"/>
              </w:rPr>
            </w:pPr>
            <w:r>
              <w:rPr>
                <w:rFonts w:ascii="Calibri" w:eastAsia="Times New Roman" w:hAnsi="Calibri" w:cs="Times New Roman"/>
                <w:sz w:val="20"/>
                <w:szCs w:val="20"/>
              </w:rPr>
              <w:t>Dependence: EU funding</w:t>
            </w:r>
          </w:p>
        </w:tc>
        <w:tc>
          <w:tcPr>
            <w:tcW w:w="2610" w:type="dxa"/>
            <w:tcBorders>
              <w:top w:val="nil"/>
              <w:left w:val="nil"/>
              <w:bottom w:val="nil"/>
              <w:right w:val="nil"/>
            </w:tcBorders>
            <w:shd w:val="clear" w:color="auto" w:fill="auto"/>
            <w:noWrap/>
            <w:vAlign w:val="bottom"/>
          </w:tcPr>
          <w:p w14:paraId="740700AA" w14:textId="1DE14D54" w:rsidR="002103A8" w:rsidRPr="005E6E85" w:rsidRDefault="002103A8"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6,032</w:t>
            </w:r>
          </w:p>
        </w:tc>
        <w:tc>
          <w:tcPr>
            <w:tcW w:w="2880" w:type="dxa"/>
            <w:tcBorders>
              <w:top w:val="nil"/>
              <w:left w:val="nil"/>
              <w:bottom w:val="nil"/>
              <w:right w:val="nil"/>
            </w:tcBorders>
            <w:shd w:val="clear" w:color="auto" w:fill="auto"/>
            <w:noWrap/>
            <w:vAlign w:val="bottom"/>
          </w:tcPr>
          <w:p w14:paraId="4BB17F81" w14:textId="77777777" w:rsidR="002103A8" w:rsidRPr="005E6E85" w:rsidRDefault="002103A8" w:rsidP="004D3498">
            <w:pPr>
              <w:jc w:val="center"/>
              <w:rPr>
                <w:rFonts w:ascii="Calibri" w:eastAsia="Times New Roman" w:hAnsi="Calibri" w:cs="Times New Roman"/>
                <w:sz w:val="20"/>
                <w:szCs w:val="20"/>
              </w:rPr>
            </w:pPr>
          </w:p>
        </w:tc>
      </w:tr>
      <w:tr w:rsidR="002103A8" w:rsidRPr="005E6E85" w14:paraId="15A19411" w14:textId="77777777" w:rsidTr="00253772">
        <w:trPr>
          <w:trHeight w:val="280"/>
        </w:trPr>
        <w:tc>
          <w:tcPr>
            <w:tcW w:w="3255" w:type="dxa"/>
            <w:tcBorders>
              <w:top w:val="nil"/>
              <w:left w:val="nil"/>
              <w:bottom w:val="nil"/>
              <w:right w:val="nil"/>
            </w:tcBorders>
            <w:shd w:val="clear" w:color="auto" w:fill="auto"/>
            <w:noWrap/>
            <w:vAlign w:val="bottom"/>
          </w:tcPr>
          <w:p w14:paraId="781F68CD" w14:textId="77777777" w:rsidR="002103A8" w:rsidRPr="005E6E85" w:rsidRDefault="002103A8"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tcPr>
          <w:p w14:paraId="6804664C" w14:textId="67604BD5" w:rsidR="002103A8" w:rsidRPr="005E6E85" w:rsidRDefault="002103A8"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(3,544)</w:t>
            </w:r>
          </w:p>
        </w:tc>
        <w:tc>
          <w:tcPr>
            <w:tcW w:w="2880" w:type="dxa"/>
            <w:tcBorders>
              <w:top w:val="nil"/>
              <w:left w:val="nil"/>
              <w:bottom w:val="nil"/>
              <w:right w:val="nil"/>
            </w:tcBorders>
            <w:shd w:val="clear" w:color="auto" w:fill="auto"/>
            <w:noWrap/>
            <w:vAlign w:val="bottom"/>
          </w:tcPr>
          <w:p w14:paraId="0BD56C1F" w14:textId="77777777" w:rsidR="002103A8" w:rsidRPr="005E6E85" w:rsidRDefault="002103A8" w:rsidP="004D3498">
            <w:pPr>
              <w:jc w:val="center"/>
              <w:rPr>
                <w:rFonts w:ascii="Calibri" w:eastAsia="Times New Roman" w:hAnsi="Calibri" w:cs="Times New Roman"/>
                <w:sz w:val="20"/>
                <w:szCs w:val="20"/>
              </w:rPr>
            </w:pPr>
          </w:p>
        </w:tc>
      </w:tr>
      <w:tr w:rsidR="002103A8" w:rsidRPr="005E6E85" w14:paraId="7D0A9F99" w14:textId="77777777" w:rsidTr="00253772">
        <w:trPr>
          <w:trHeight w:val="280"/>
        </w:trPr>
        <w:tc>
          <w:tcPr>
            <w:tcW w:w="3255" w:type="dxa"/>
            <w:tcBorders>
              <w:top w:val="nil"/>
              <w:left w:val="nil"/>
              <w:bottom w:val="nil"/>
              <w:right w:val="nil"/>
            </w:tcBorders>
            <w:shd w:val="clear" w:color="auto" w:fill="auto"/>
            <w:noWrap/>
            <w:vAlign w:val="bottom"/>
          </w:tcPr>
          <w:p w14:paraId="3E8F35AE" w14:textId="26BCE4DC" w:rsidR="002103A8" w:rsidRPr="005E6E85" w:rsidRDefault="002103A8" w:rsidP="004D3498">
            <w:pPr>
              <w:rPr>
                <w:rFonts w:ascii="Calibri" w:eastAsia="Times New Roman" w:hAnsi="Calibri" w:cs="Times New Roman"/>
                <w:sz w:val="20"/>
                <w:szCs w:val="20"/>
              </w:rPr>
            </w:pPr>
            <w:r>
              <w:rPr>
                <w:rFonts w:ascii="Calibri" w:eastAsia="Times New Roman" w:hAnsi="Calibri" w:cs="Times New Roman"/>
                <w:sz w:val="20"/>
                <w:szCs w:val="20"/>
              </w:rPr>
              <w:t>National transpositions</w:t>
            </w:r>
          </w:p>
        </w:tc>
        <w:tc>
          <w:tcPr>
            <w:tcW w:w="2610" w:type="dxa"/>
            <w:tcBorders>
              <w:top w:val="nil"/>
              <w:left w:val="nil"/>
              <w:bottom w:val="nil"/>
              <w:right w:val="nil"/>
            </w:tcBorders>
            <w:shd w:val="clear" w:color="auto" w:fill="auto"/>
            <w:noWrap/>
            <w:vAlign w:val="bottom"/>
          </w:tcPr>
          <w:p w14:paraId="170B19D2" w14:textId="37A48B63" w:rsidR="002103A8" w:rsidRPr="005E6E85" w:rsidRDefault="002103A8"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-7,462***</w:t>
            </w:r>
          </w:p>
        </w:tc>
        <w:tc>
          <w:tcPr>
            <w:tcW w:w="2880" w:type="dxa"/>
            <w:tcBorders>
              <w:top w:val="nil"/>
              <w:left w:val="nil"/>
              <w:bottom w:val="nil"/>
              <w:right w:val="nil"/>
            </w:tcBorders>
            <w:shd w:val="clear" w:color="auto" w:fill="auto"/>
            <w:noWrap/>
            <w:vAlign w:val="bottom"/>
          </w:tcPr>
          <w:p w14:paraId="1FEA5D51" w14:textId="3E842909" w:rsidR="002103A8" w:rsidRPr="005E6E85" w:rsidRDefault="002103A8"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-6,688***</w:t>
            </w:r>
          </w:p>
        </w:tc>
      </w:tr>
      <w:tr w:rsidR="002103A8" w:rsidRPr="005E6E85" w14:paraId="56C041BE" w14:textId="77777777" w:rsidTr="00253772">
        <w:trPr>
          <w:trHeight w:val="280"/>
        </w:trPr>
        <w:tc>
          <w:tcPr>
            <w:tcW w:w="3255" w:type="dxa"/>
            <w:tcBorders>
              <w:top w:val="nil"/>
              <w:left w:val="nil"/>
              <w:bottom w:val="nil"/>
              <w:right w:val="nil"/>
            </w:tcBorders>
            <w:shd w:val="clear" w:color="auto" w:fill="auto"/>
            <w:noWrap/>
            <w:vAlign w:val="bottom"/>
          </w:tcPr>
          <w:p w14:paraId="1B99B31C" w14:textId="77777777" w:rsidR="002103A8" w:rsidRPr="005E6E85" w:rsidRDefault="002103A8"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tcPr>
          <w:p w14:paraId="7278FCD4" w14:textId="6F271077" w:rsidR="002103A8" w:rsidRPr="005E6E85" w:rsidRDefault="002103A8"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(1,373)</w:t>
            </w:r>
          </w:p>
        </w:tc>
        <w:tc>
          <w:tcPr>
            <w:tcW w:w="2880" w:type="dxa"/>
            <w:tcBorders>
              <w:top w:val="nil"/>
              <w:left w:val="nil"/>
              <w:bottom w:val="nil"/>
              <w:right w:val="nil"/>
            </w:tcBorders>
            <w:shd w:val="clear" w:color="auto" w:fill="auto"/>
            <w:noWrap/>
            <w:vAlign w:val="bottom"/>
          </w:tcPr>
          <w:p w14:paraId="2688520B" w14:textId="48AF8909" w:rsidR="002103A8" w:rsidRPr="005E6E85" w:rsidRDefault="002103A8"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(1,387)</w:t>
            </w:r>
          </w:p>
        </w:tc>
      </w:tr>
      <w:tr w:rsidR="00253772" w:rsidRPr="005E6E85" w14:paraId="7A01423F" w14:textId="59653E2E" w:rsidTr="00253772">
        <w:trPr>
          <w:trHeight w:val="280"/>
        </w:trPr>
        <w:tc>
          <w:tcPr>
            <w:tcW w:w="3255" w:type="dxa"/>
            <w:tcBorders>
              <w:top w:val="nil"/>
              <w:left w:val="nil"/>
              <w:bottom w:val="nil"/>
              <w:right w:val="nil"/>
            </w:tcBorders>
            <w:shd w:val="clear" w:color="auto" w:fill="auto"/>
            <w:noWrap/>
            <w:vAlign w:val="bottom"/>
            <w:hideMark/>
          </w:tcPr>
          <w:p w14:paraId="20EB338B" w14:textId="768DFCC0" w:rsidR="006F3A52" w:rsidRPr="005E6E85" w:rsidRDefault="006F3A52" w:rsidP="004D3498">
            <w:pPr>
              <w:rPr>
                <w:rFonts w:ascii="Calibri" w:eastAsia="Times New Roman" w:hAnsi="Calibri" w:cs="Times New Roman"/>
                <w:sz w:val="20"/>
                <w:szCs w:val="20"/>
              </w:rPr>
            </w:pPr>
            <w:r>
              <w:rPr>
                <w:rFonts w:ascii="Calibri" w:eastAsia="Times New Roman" w:hAnsi="Calibri" w:cs="Times New Roman"/>
                <w:sz w:val="20"/>
                <w:szCs w:val="20"/>
              </w:rPr>
              <w:t xml:space="preserve">Emissions </w:t>
            </w:r>
            <w:r w:rsidR="00A373F0">
              <w:rPr>
                <w:rFonts w:ascii="Calibri" w:eastAsia="Times New Roman" w:hAnsi="Calibri" w:cs="Times New Roman"/>
                <w:sz w:val="20"/>
                <w:szCs w:val="20"/>
              </w:rPr>
              <w:t>c</w:t>
            </w:r>
            <w:r w:rsidRPr="00F40328">
              <w:rPr>
                <w:rFonts w:ascii="Calibri" w:eastAsia="Times New Roman" w:hAnsi="Calibri" w:cs="Times New Roman"/>
                <w:sz w:val="20"/>
                <w:szCs w:val="20"/>
              </w:rPr>
              <w:t>ap</w:t>
            </w:r>
            <w:r>
              <w:rPr>
                <w:rFonts w:ascii="Calibri" w:eastAsia="Times New Roman" w:hAnsi="Calibri" w:cs="Times New Roman"/>
                <w:sz w:val="20"/>
                <w:szCs w:val="20"/>
              </w:rPr>
              <w:t xml:space="preserve"> over GDP</w:t>
            </w:r>
          </w:p>
        </w:tc>
        <w:tc>
          <w:tcPr>
            <w:tcW w:w="2610" w:type="dxa"/>
            <w:tcBorders>
              <w:top w:val="nil"/>
              <w:left w:val="nil"/>
              <w:bottom w:val="nil"/>
              <w:right w:val="nil"/>
            </w:tcBorders>
            <w:shd w:val="clear" w:color="auto" w:fill="auto"/>
            <w:noWrap/>
            <w:vAlign w:val="bottom"/>
            <w:hideMark/>
          </w:tcPr>
          <w:p w14:paraId="7A2513C4"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-35,840</w:t>
            </w:r>
          </w:p>
        </w:tc>
        <w:tc>
          <w:tcPr>
            <w:tcW w:w="2880" w:type="dxa"/>
            <w:tcBorders>
              <w:top w:val="nil"/>
              <w:left w:val="nil"/>
              <w:bottom w:val="nil"/>
              <w:right w:val="nil"/>
            </w:tcBorders>
            <w:shd w:val="clear" w:color="auto" w:fill="auto"/>
            <w:noWrap/>
            <w:vAlign w:val="bottom"/>
            <w:hideMark/>
          </w:tcPr>
          <w:p w14:paraId="335C9C88"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-18,410</w:t>
            </w:r>
          </w:p>
        </w:tc>
      </w:tr>
      <w:tr w:rsidR="00253772" w:rsidRPr="005E6E85" w14:paraId="4166C929" w14:textId="14FB9666" w:rsidTr="00253772">
        <w:trPr>
          <w:trHeight w:val="280"/>
        </w:trPr>
        <w:tc>
          <w:tcPr>
            <w:tcW w:w="3255" w:type="dxa"/>
            <w:tcBorders>
              <w:top w:val="nil"/>
              <w:left w:val="nil"/>
              <w:bottom w:val="nil"/>
              <w:right w:val="nil"/>
            </w:tcBorders>
            <w:shd w:val="clear" w:color="auto" w:fill="auto"/>
            <w:noWrap/>
            <w:vAlign w:val="bottom"/>
            <w:hideMark/>
          </w:tcPr>
          <w:p w14:paraId="1D5771D6"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3EB6EE64"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(35,400)</w:t>
            </w:r>
          </w:p>
        </w:tc>
        <w:tc>
          <w:tcPr>
            <w:tcW w:w="2880" w:type="dxa"/>
            <w:tcBorders>
              <w:top w:val="nil"/>
              <w:left w:val="nil"/>
              <w:bottom w:val="nil"/>
              <w:right w:val="nil"/>
            </w:tcBorders>
            <w:shd w:val="clear" w:color="auto" w:fill="auto"/>
            <w:noWrap/>
            <w:vAlign w:val="bottom"/>
            <w:hideMark/>
          </w:tcPr>
          <w:p w14:paraId="73C679BB"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(30,775)</w:t>
            </w:r>
          </w:p>
        </w:tc>
      </w:tr>
      <w:tr w:rsidR="00253772" w:rsidRPr="005E6E85" w14:paraId="0BD5661E" w14:textId="41083664" w:rsidTr="00253772">
        <w:trPr>
          <w:trHeight w:val="280"/>
        </w:trPr>
        <w:tc>
          <w:tcPr>
            <w:tcW w:w="3255" w:type="dxa"/>
            <w:vMerge w:val="restart"/>
            <w:tcBorders>
              <w:top w:val="nil"/>
              <w:left w:val="nil"/>
              <w:right w:val="nil"/>
            </w:tcBorders>
            <w:shd w:val="clear" w:color="auto" w:fill="auto"/>
            <w:noWrap/>
            <w:hideMark/>
          </w:tcPr>
          <w:p w14:paraId="1F3FF7AC" w14:textId="77777777" w:rsidR="006F3A52" w:rsidRPr="001C55A5" w:rsidRDefault="006F3A52" w:rsidP="00253772">
            <w:pPr>
              <w:rPr>
                <w:rFonts w:eastAsia="Times New Roman" w:cs="Times New Roman"/>
                <w:sz w:val="20"/>
                <w:szCs w:val="20"/>
              </w:rPr>
            </w:pPr>
            <w:r w:rsidRPr="001C55A5">
              <w:rPr>
                <w:color w:val="000000"/>
                <w:sz w:val="20"/>
                <w:szCs w:val="20"/>
              </w:rPr>
              <w:t>EU support for sustainable growth</w:t>
            </w:r>
          </w:p>
        </w:tc>
        <w:tc>
          <w:tcPr>
            <w:tcW w:w="2610" w:type="dxa"/>
            <w:tcBorders>
              <w:top w:val="nil"/>
              <w:left w:val="nil"/>
              <w:bottom w:val="nil"/>
              <w:right w:val="nil"/>
            </w:tcBorders>
            <w:shd w:val="clear" w:color="auto" w:fill="auto"/>
            <w:noWrap/>
            <w:vAlign w:val="bottom"/>
            <w:hideMark/>
          </w:tcPr>
          <w:p w14:paraId="740D49CA"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-1.266e+07***</w:t>
            </w:r>
          </w:p>
        </w:tc>
        <w:tc>
          <w:tcPr>
            <w:tcW w:w="2880" w:type="dxa"/>
            <w:tcBorders>
              <w:top w:val="nil"/>
              <w:left w:val="nil"/>
              <w:bottom w:val="nil"/>
              <w:right w:val="nil"/>
            </w:tcBorders>
            <w:shd w:val="clear" w:color="auto" w:fill="auto"/>
            <w:noWrap/>
            <w:vAlign w:val="bottom"/>
            <w:hideMark/>
          </w:tcPr>
          <w:p w14:paraId="464DBDA0"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-1.120e+07**</w:t>
            </w:r>
          </w:p>
        </w:tc>
      </w:tr>
      <w:tr w:rsidR="00253772" w:rsidRPr="005E6E85" w14:paraId="39B30139" w14:textId="0077F976" w:rsidTr="00253772">
        <w:trPr>
          <w:trHeight w:val="280"/>
        </w:trPr>
        <w:tc>
          <w:tcPr>
            <w:tcW w:w="3255" w:type="dxa"/>
            <w:vMerge/>
            <w:tcBorders>
              <w:left w:val="nil"/>
              <w:bottom w:val="nil"/>
              <w:right w:val="nil"/>
            </w:tcBorders>
            <w:shd w:val="clear" w:color="auto" w:fill="auto"/>
            <w:noWrap/>
            <w:vAlign w:val="bottom"/>
            <w:hideMark/>
          </w:tcPr>
          <w:p w14:paraId="14BB4CBE"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707BBF35"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(3.825e+06)</w:t>
            </w:r>
          </w:p>
        </w:tc>
        <w:tc>
          <w:tcPr>
            <w:tcW w:w="2880" w:type="dxa"/>
            <w:tcBorders>
              <w:top w:val="nil"/>
              <w:left w:val="nil"/>
              <w:bottom w:val="nil"/>
              <w:right w:val="nil"/>
            </w:tcBorders>
            <w:shd w:val="clear" w:color="auto" w:fill="auto"/>
            <w:noWrap/>
            <w:vAlign w:val="bottom"/>
            <w:hideMark/>
          </w:tcPr>
          <w:p w14:paraId="37702F15"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(4.104e+06)</w:t>
            </w:r>
          </w:p>
        </w:tc>
      </w:tr>
      <w:tr w:rsidR="00253772" w:rsidRPr="005E6E85" w14:paraId="3E94B62C" w14:textId="2CD17E02" w:rsidTr="00253772">
        <w:trPr>
          <w:trHeight w:val="280"/>
        </w:trPr>
        <w:tc>
          <w:tcPr>
            <w:tcW w:w="3255" w:type="dxa"/>
            <w:vMerge w:val="restart"/>
            <w:tcBorders>
              <w:top w:val="nil"/>
              <w:left w:val="nil"/>
              <w:right w:val="nil"/>
            </w:tcBorders>
            <w:shd w:val="clear" w:color="auto" w:fill="auto"/>
            <w:noWrap/>
            <w:hideMark/>
          </w:tcPr>
          <w:p w14:paraId="2342CB83" w14:textId="77777777" w:rsidR="006F3A52" w:rsidRPr="005E6E85" w:rsidRDefault="006F3A52" w:rsidP="00253772">
            <w:pPr>
              <w:rPr>
                <w:rFonts w:ascii="Calibri" w:eastAsia="Times New Roman" w:hAnsi="Calibri" w:cs="Times New Roman"/>
                <w:sz w:val="20"/>
                <w:szCs w:val="20"/>
              </w:rPr>
            </w:pPr>
            <w:r>
              <w:rPr>
                <w:rFonts w:ascii="Calibri" w:eastAsia="Times New Roman" w:hAnsi="Calibri" w:cs="Times New Roman"/>
                <w:sz w:val="20"/>
                <w:szCs w:val="20"/>
              </w:rPr>
              <w:t>International environmental treaty</w:t>
            </w:r>
          </w:p>
        </w:tc>
        <w:tc>
          <w:tcPr>
            <w:tcW w:w="2610" w:type="dxa"/>
            <w:tcBorders>
              <w:top w:val="nil"/>
              <w:left w:val="nil"/>
              <w:bottom w:val="nil"/>
              <w:right w:val="nil"/>
            </w:tcBorders>
            <w:shd w:val="clear" w:color="auto" w:fill="auto"/>
            <w:noWrap/>
            <w:vAlign w:val="bottom"/>
            <w:hideMark/>
          </w:tcPr>
          <w:p w14:paraId="54863854"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-10,739***</w:t>
            </w:r>
          </w:p>
        </w:tc>
        <w:tc>
          <w:tcPr>
            <w:tcW w:w="2880" w:type="dxa"/>
            <w:tcBorders>
              <w:top w:val="nil"/>
              <w:left w:val="nil"/>
              <w:bottom w:val="nil"/>
              <w:right w:val="nil"/>
            </w:tcBorders>
            <w:shd w:val="clear" w:color="auto" w:fill="auto"/>
            <w:noWrap/>
            <w:vAlign w:val="bottom"/>
            <w:hideMark/>
          </w:tcPr>
          <w:p w14:paraId="7ABA0E4D"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-13,206***</w:t>
            </w:r>
          </w:p>
        </w:tc>
      </w:tr>
      <w:tr w:rsidR="00253772" w:rsidRPr="005E6E85" w14:paraId="7AD9EFC7" w14:textId="3F139827" w:rsidTr="00253772">
        <w:trPr>
          <w:trHeight w:val="280"/>
        </w:trPr>
        <w:tc>
          <w:tcPr>
            <w:tcW w:w="3255" w:type="dxa"/>
            <w:vMerge/>
            <w:tcBorders>
              <w:left w:val="nil"/>
              <w:bottom w:val="nil"/>
              <w:right w:val="nil"/>
            </w:tcBorders>
            <w:shd w:val="clear" w:color="auto" w:fill="auto"/>
            <w:noWrap/>
            <w:vAlign w:val="bottom"/>
            <w:hideMark/>
          </w:tcPr>
          <w:p w14:paraId="6A1D8375"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094918AB"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(3,062)</w:t>
            </w:r>
          </w:p>
        </w:tc>
        <w:tc>
          <w:tcPr>
            <w:tcW w:w="2880" w:type="dxa"/>
            <w:tcBorders>
              <w:top w:val="nil"/>
              <w:left w:val="nil"/>
              <w:bottom w:val="nil"/>
              <w:right w:val="nil"/>
            </w:tcBorders>
            <w:shd w:val="clear" w:color="auto" w:fill="auto"/>
            <w:noWrap/>
            <w:vAlign w:val="bottom"/>
            <w:hideMark/>
          </w:tcPr>
          <w:p w14:paraId="4FD73144"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(3,239)</w:t>
            </w:r>
          </w:p>
        </w:tc>
      </w:tr>
      <w:tr w:rsidR="00253772" w:rsidRPr="005E6E85" w14:paraId="6814F886" w14:textId="1EC10AAD" w:rsidTr="00253772">
        <w:trPr>
          <w:trHeight w:val="280"/>
        </w:trPr>
        <w:tc>
          <w:tcPr>
            <w:tcW w:w="3255" w:type="dxa"/>
            <w:tcBorders>
              <w:top w:val="nil"/>
              <w:left w:val="nil"/>
              <w:bottom w:val="nil"/>
              <w:right w:val="nil"/>
            </w:tcBorders>
            <w:shd w:val="clear" w:color="auto" w:fill="auto"/>
            <w:noWrap/>
            <w:vAlign w:val="bottom"/>
            <w:hideMark/>
          </w:tcPr>
          <w:p w14:paraId="15D0AA5E" w14:textId="77777777" w:rsidR="006F3A52" w:rsidRPr="005E6E85" w:rsidRDefault="006F3A52" w:rsidP="004D3498">
            <w:pPr>
              <w:rPr>
                <w:rFonts w:ascii="Calibri" w:eastAsia="Times New Roman" w:hAnsi="Calibri" w:cs="Times New Roman"/>
                <w:sz w:val="20"/>
                <w:szCs w:val="20"/>
              </w:rPr>
            </w:pPr>
            <w:r>
              <w:rPr>
                <w:rFonts w:ascii="Calibri" w:eastAsia="Times New Roman" w:hAnsi="Calibri" w:cs="Times New Roman"/>
                <w:sz w:val="20"/>
                <w:szCs w:val="20"/>
              </w:rPr>
              <w:t>P</w:t>
            </w:r>
            <w:r w:rsidRPr="00F40328">
              <w:rPr>
                <w:rFonts w:ascii="Calibri" w:eastAsia="Times New Roman" w:hAnsi="Calibri" w:cs="Times New Roman"/>
                <w:sz w:val="20"/>
                <w:szCs w:val="20"/>
              </w:rPr>
              <w:t>opulation</w:t>
            </w:r>
            <w:r>
              <w:rPr>
                <w:rFonts w:ascii="Calibri" w:eastAsia="Times New Roman" w:hAnsi="Calibri" w:cs="Times New Roman"/>
                <w:sz w:val="20"/>
                <w:szCs w:val="20"/>
              </w:rPr>
              <w:t xml:space="preserve"> growth</w:t>
            </w:r>
          </w:p>
        </w:tc>
        <w:tc>
          <w:tcPr>
            <w:tcW w:w="2610" w:type="dxa"/>
            <w:tcBorders>
              <w:top w:val="nil"/>
              <w:left w:val="nil"/>
              <w:bottom w:val="nil"/>
              <w:right w:val="nil"/>
            </w:tcBorders>
            <w:shd w:val="clear" w:color="auto" w:fill="auto"/>
            <w:noWrap/>
            <w:vAlign w:val="bottom"/>
            <w:hideMark/>
          </w:tcPr>
          <w:p w14:paraId="0124A268"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11,995</w:t>
            </w:r>
          </w:p>
        </w:tc>
        <w:tc>
          <w:tcPr>
            <w:tcW w:w="2880" w:type="dxa"/>
            <w:tcBorders>
              <w:top w:val="nil"/>
              <w:left w:val="nil"/>
              <w:bottom w:val="nil"/>
              <w:right w:val="nil"/>
            </w:tcBorders>
            <w:shd w:val="clear" w:color="auto" w:fill="auto"/>
            <w:noWrap/>
            <w:vAlign w:val="bottom"/>
            <w:hideMark/>
          </w:tcPr>
          <w:p w14:paraId="76990C42"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46,913**</w:t>
            </w:r>
          </w:p>
        </w:tc>
      </w:tr>
      <w:tr w:rsidR="00253772" w:rsidRPr="005E6E85" w14:paraId="46B59490" w14:textId="5383BF72" w:rsidTr="00253772">
        <w:trPr>
          <w:trHeight w:val="280"/>
        </w:trPr>
        <w:tc>
          <w:tcPr>
            <w:tcW w:w="3255" w:type="dxa"/>
            <w:tcBorders>
              <w:top w:val="nil"/>
              <w:left w:val="nil"/>
              <w:bottom w:val="nil"/>
              <w:right w:val="nil"/>
            </w:tcBorders>
            <w:shd w:val="clear" w:color="auto" w:fill="auto"/>
            <w:noWrap/>
            <w:vAlign w:val="bottom"/>
            <w:hideMark/>
          </w:tcPr>
          <w:p w14:paraId="078F289D"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1A15D326"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(34,598)</w:t>
            </w:r>
          </w:p>
        </w:tc>
        <w:tc>
          <w:tcPr>
            <w:tcW w:w="2880" w:type="dxa"/>
            <w:tcBorders>
              <w:top w:val="nil"/>
              <w:left w:val="nil"/>
              <w:bottom w:val="nil"/>
              <w:right w:val="nil"/>
            </w:tcBorders>
            <w:shd w:val="clear" w:color="auto" w:fill="auto"/>
            <w:noWrap/>
            <w:vAlign w:val="bottom"/>
            <w:hideMark/>
          </w:tcPr>
          <w:p w14:paraId="3151D075"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(20,606)</w:t>
            </w:r>
          </w:p>
        </w:tc>
      </w:tr>
      <w:tr w:rsidR="00253772" w:rsidRPr="005E6E85" w14:paraId="58819AEE" w14:textId="3DE45949" w:rsidTr="00253772">
        <w:trPr>
          <w:trHeight w:val="280"/>
        </w:trPr>
        <w:tc>
          <w:tcPr>
            <w:tcW w:w="3255" w:type="dxa"/>
            <w:tcBorders>
              <w:top w:val="nil"/>
              <w:left w:val="nil"/>
              <w:bottom w:val="nil"/>
              <w:right w:val="nil"/>
            </w:tcBorders>
            <w:shd w:val="clear" w:color="auto" w:fill="auto"/>
            <w:noWrap/>
            <w:vAlign w:val="bottom"/>
            <w:hideMark/>
          </w:tcPr>
          <w:p w14:paraId="3F114183" w14:textId="77777777" w:rsidR="006F3A52" w:rsidRPr="005E6E85" w:rsidRDefault="006F3A52" w:rsidP="004D3498">
            <w:pPr>
              <w:rPr>
                <w:rFonts w:ascii="Calibri" w:eastAsia="Times New Roman" w:hAnsi="Calibri" w:cs="Times New Roman"/>
                <w:sz w:val="20"/>
                <w:szCs w:val="20"/>
              </w:rPr>
            </w:pPr>
            <w:r>
              <w:rPr>
                <w:rFonts w:ascii="Calibri" w:eastAsia="Times New Roman" w:hAnsi="Calibri" w:cs="Times New Roman"/>
                <w:sz w:val="20"/>
                <w:szCs w:val="20"/>
              </w:rPr>
              <w:t>GDP per capita</w:t>
            </w:r>
          </w:p>
        </w:tc>
        <w:tc>
          <w:tcPr>
            <w:tcW w:w="2610" w:type="dxa"/>
            <w:tcBorders>
              <w:top w:val="nil"/>
              <w:left w:val="nil"/>
              <w:bottom w:val="nil"/>
              <w:right w:val="nil"/>
            </w:tcBorders>
            <w:shd w:val="clear" w:color="auto" w:fill="auto"/>
            <w:noWrap/>
            <w:vAlign w:val="bottom"/>
            <w:hideMark/>
          </w:tcPr>
          <w:p w14:paraId="140B1955"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-5.026***</w:t>
            </w:r>
          </w:p>
        </w:tc>
        <w:tc>
          <w:tcPr>
            <w:tcW w:w="2880" w:type="dxa"/>
            <w:tcBorders>
              <w:top w:val="nil"/>
              <w:left w:val="nil"/>
              <w:bottom w:val="nil"/>
              <w:right w:val="nil"/>
            </w:tcBorders>
            <w:shd w:val="clear" w:color="auto" w:fill="auto"/>
            <w:noWrap/>
            <w:vAlign w:val="bottom"/>
            <w:hideMark/>
          </w:tcPr>
          <w:p w14:paraId="4EF2E7EE"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-6.198***</w:t>
            </w:r>
          </w:p>
        </w:tc>
      </w:tr>
      <w:tr w:rsidR="00253772" w:rsidRPr="005E6E85" w14:paraId="1A65363C" w14:textId="0FA8AD42" w:rsidTr="00253772">
        <w:trPr>
          <w:trHeight w:val="280"/>
        </w:trPr>
        <w:tc>
          <w:tcPr>
            <w:tcW w:w="3255" w:type="dxa"/>
            <w:tcBorders>
              <w:top w:val="nil"/>
              <w:left w:val="nil"/>
              <w:bottom w:val="nil"/>
              <w:right w:val="nil"/>
            </w:tcBorders>
            <w:shd w:val="clear" w:color="auto" w:fill="auto"/>
            <w:noWrap/>
            <w:vAlign w:val="bottom"/>
            <w:hideMark/>
          </w:tcPr>
          <w:p w14:paraId="7F217DB7"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42E0CCD7"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(1.078)</w:t>
            </w:r>
          </w:p>
        </w:tc>
        <w:tc>
          <w:tcPr>
            <w:tcW w:w="2880" w:type="dxa"/>
            <w:tcBorders>
              <w:top w:val="nil"/>
              <w:left w:val="nil"/>
              <w:bottom w:val="nil"/>
              <w:right w:val="nil"/>
            </w:tcBorders>
            <w:shd w:val="clear" w:color="auto" w:fill="auto"/>
            <w:noWrap/>
            <w:vAlign w:val="bottom"/>
            <w:hideMark/>
          </w:tcPr>
          <w:p w14:paraId="5A3D970C"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(1.237)</w:t>
            </w:r>
          </w:p>
        </w:tc>
      </w:tr>
      <w:tr w:rsidR="00253772" w:rsidRPr="005E6E85" w14:paraId="40CE921B" w14:textId="35D14230" w:rsidTr="00253772">
        <w:trPr>
          <w:trHeight w:val="280"/>
        </w:trPr>
        <w:tc>
          <w:tcPr>
            <w:tcW w:w="3255" w:type="dxa"/>
            <w:tcBorders>
              <w:top w:val="nil"/>
              <w:left w:val="nil"/>
              <w:bottom w:val="nil"/>
              <w:right w:val="nil"/>
            </w:tcBorders>
            <w:shd w:val="clear" w:color="auto" w:fill="auto"/>
            <w:noWrap/>
            <w:vAlign w:val="bottom"/>
            <w:hideMark/>
          </w:tcPr>
          <w:p w14:paraId="37DE4C6D" w14:textId="77777777" w:rsidR="006F3A52" w:rsidRPr="005E6E85" w:rsidRDefault="006F3A52" w:rsidP="004D3498">
            <w:pPr>
              <w:rPr>
                <w:rFonts w:ascii="Calibri" w:eastAsia="Times New Roman" w:hAnsi="Calibri" w:cs="Times New Roman"/>
                <w:sz w:val="20"/>
                <w:szCs w:val="20"/>
              </w:rPr>
            </w:pPr>
            <w:r>
              <w:rPr>
                <w:rFonts w:ascii="Calibri" w:eastAsia="Times New Roman" w:hAnsi="Calibri" w:cs="Times New Roman"/>
                <w:sz w:val="20"/>
                <w:szCs w:val="20"/>
              </w:rPr>
              <w:t>Exports to EU countries</w:t>
            </w:r>
          </w:p>
        </w:tc>
        <w:tc>
          <w:tcPr>
            <w:tcW w:w="2610" w:type="dxa"/>
            <w:tcBorders>
              <w:top w:val="nil"/>
              <w:left w:val="nil"/>
              <w:bottom w:val="nil"/>
              <w:right w:val="nil"/>
            </w:tcBorders>
            <w:shd w:val="clear" w:color="auto" w:fill="auto"/>
            <w:noWrap/>
            <w:vAlign w:val="bottom"/>
            <w:hideMark/>
          </w:tcPr>
          <w:p w14:paraId="6626C704"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-46,366</w:t>
            </w:r>
          </w:p>
        </w:tc>
        <w:tc>
          <w:tcPr>
            <w:tcW w:w="2880" w:type="dxa"/>
            <w:tcBorders>
              <w:top w:val="nil"/>
              <w:left w:val="nil"/>
              <w:bottom w:val="nil"/>
              <w:right w:val="nil"/>
            </w:tcBorders>
            <w:shd w:val="clear" w:color="auto" w:fill="auto"/>
            <w:noWrap/>
            <w:vAlign w:val="bottom"/>
            <w:hideMark/>
          </w:tcPr>
          <w:p w14:paraId="3CD19043"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-124,935</w:t>
            </w:r>
          </w:p>
        </w:tc>
      </w:tr>
      <w:tr w:rsidR="00253772" w:rsidRPr="005E6E85" w14:paraId="7D71E241" w14:textId="685E8295" w:rsidTr="00253772">
        <w:trPr>
          <w:trHeight w:val="280"/>
        </w:trPr>
        <w:tc>
          <w:tcPr>
            <w:tcW w:w="3255" w:type="dxa"/>
            <w:tcBorders>
              <w:top w:val="nil"/>
              <w:left w:val="nil"/>
              <w:bottom w:val="nil"/>
              <w:right w:val="nil"/>
            </w:tcBorders>
            <w:shd w:val="clear" w:color="auto" w:fill="auto"/>
            <w:noWrap/>
            <w:vAlign w:val="bottom"/>
            <w:hideMark/>
          </w:tcPr>
          <w:p w14:paraId="4FC7F3FE"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44E83D7A"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(54,088)</w:t>
            </w:r>
          </w:p>
        </w:tc>
        <w:tc>
          <w:tcPr>
            <w:tcW w:w="2880" w:type="dxa"/>
            <w:tcBorders>
              <w:top w:val="nil"/>
              <w:left w:val="nil"/>
              <w:bottom w:val="nil"/>
              <w:right w:val="nil"/>
            </w:tcBorders>
            <w:shd w:val="clear" w:color="auto" w:fill="auto"/>
            <w:noWrap/>
            <w:vAlign w:val="bottom"/>
            <w:hideMark/>
          </w:tcPr>
          <w:p w14:paraId="256AC59B"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(74,658)</w:t>
            </w:r>
          </w:p>
        </w:tc>
      </w:tr>
      <w:tr w:rsidR="00253772" w:rsidRPr="005E6E85" w14:paraId="6EC110CA" w14:textId="4840988C" w:rsidTr="00253772">
        <w:trPr>
          <w:trHeight w:val="280"/>
        </w:trPr>
        <w:tc>
          <w:tcPr>
            <w:tcW w:w="3255" w:type="dxa"/>
            <w:tcBorders>
              <w:left w:val="nil"/>
              <w:bottom w:val="nil"/>
              <w:right w:val="nil"/>
            </w:tcBorders>
            <w:shd w:val="clear" w:color="auto" w:fill="auto"/>
            <w:noWrap/>
            <w:vAlign w:val="bottom"/>
            <w:hideMark/>
          </w:tcPr>
          <w:p w14:paraId="36295A01"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6B6EADB4" w14:textId="77777777" w:rsidR="006F3A52" w:rsidRPr="005E6E85" w:rsidRDefault="006F3A52" w:rsidP="004D3498">
            <w:pPr>
              <w:jc w:val="center"/>
              <w:rPr>
                <w:rFonts w:ascii="Calibri" w:eastAsia="Times New Roman" w:hAnsi="Calibri" w:cs="Times New Roman"/>
                <w:sz w:val="20"/>
                <w:szCs w:val="20"/>
              </w:rPr>
            </w:pPr>
          </w:p>
        </w:tc>
        <w:tc>
          <w:tcPr>
            <w:tcW w:w="2880" w:type="dxa"/>
            <w:tcBorders>
              <w:top w:val="nil"/>
              <w:left w:val="nil"/>
              <w:bottom w:val="nil"/>
              <w:right w:val="nil"/>
            </w:tcBorders>
            <w:shd w:val="clear" w:color="auto" w:fill="auto"/>
            <w:noWrap/>
            <w:vAlign w:val="bottom"/>
            <w:hideMark/>
          </w:tcPr>
          <w:p w14:paraId="099A0A6A" w14:textId="77777777" w:rsidR="006F3A52" w:rsidRPr="005E6E85" w:rsidRDefault="006F3A52" w:rsidP="004D3498">
            <w:pPr>
              <w:jc w:val="center"/>
              <w:rPr>
                <w:rFonts w:ascii="Calibri" w:eastAsia="Times New Roman" w:hAnsi="Calibri" w:cs="Times New Roman"/>
                <w:sz w:val="20"/>
                <w:szCs w:val="20"/>
              </w:rPr>
            </w:pPr>
          </w:p>
        </w:tc>
      </w:tr>
      <w:tr w:rsidR="00253772" w:rsidRPr="005E6E85" w14:paraId="4E1617DF" w14:textId="42B4C66E" w:rsidTr="00253772">
        <w:trPr>
          <w:trHeight w:val="280"/>
        </w:trPr>
        <w:tc>
          <w:tcPr>
            <w:tcW w:w="3255" w:type="dxa"/>
            <w:tcBorders>
              <w:top w:val="nil"/>
              <w:left w:val="nil"/>
              <w:bottom w:val="nil"/>
              <w:right w:val="nil"/>
            </w:tcBorders>
            <w:shd w:val="clear" w:color="auto" w:fill="auto"/>
            <w:noWrap/>
            <w:vAlign w:val="bottom"/>
            <w:hideMark/>
          </w:tcPr>
          <w:p w14:paraId="7FAE113C" w14:textId="77777777" w:rsidR="006F3A52" w:rsidRPr="005E6E85" w:rsidRDefault="006F3A52" w:rsidP="004D3498">
            <w:pPr>
              <w:rPr>
                <w:rFonts w:ascii="Calibri" w:eastAsia="Times New Roman" w:hAnsi="Calibri" w:cs="Times New Roman"/>
                <w:sz w:val="20"/>
                <w:szCs w:val="20"/>
              </w:rPr>
            </w:pPr>
            <w:r w:rsidRPr="005E6E85">
              <w:rPr>
                <w:rFonts w:ascii="Calibri" w:eastAsia="Times New Roman" w:hAnsi="Calibri" w:cs="Times New Roman"/>
                <w:sz w:val="20"/>
                <w:szCs w:val="20"/>
              </w:rPr>
              <w:t>Constant</w:t>
            </w:r>
          </w:p>
        </w:tc>
        <w:tc>
          <w:tcPr>
            <w:tcW w:w="2610" w:type="dxa"/>
            <w:tcBorders>
              <w:top w:val="nil"/>
              <w:left w:val="nil"/>
              <w:bottom w:val="nil"/>
              <w:right w:val="nil"/>
            </w:tcBorders>
            <w:shd w:val="clear" w:color="auto" w:fill="auto"/>
            <w:noWrap/>
            <w:vAlign w:val="bottom"/>
            <w:hideMark/>
          </w:tcPr>
          <w:p w14:paraId="53D834BD"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709,753***</w:t>
            </w:r>
          </w:p>
        </w:tc>
        <w:tc>
          <w:tcPr>
            <w:tcW w:w="2880" w:type="dxa"/>
            <w:tcBorders>
              <w:top w:val="nil"/>
              <w:left w:val="nil"/>
              <w:bottom w:val="nil"/>
              <w:right w:val="nil"/>
            </w:tcBorders>
            <w:shd w:val="clear" w:color="auto" w:fill="auto"/>
            <w:noWrap/>
            <w:vAlign w:val="bottom"/>
            <w:hideMark/>
          </w:tcPr>
          <w:p w14:paraId="5711F588"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777,524***</w:t>
            </w:r>
          </w:p>
        </w:tc>
      </w:tr>
      <w:tr w:rsidR="00253772" w:rsidRPr="005E6E85" w14:paraId="050CED1D" w14:textId="56189BD2" w:rsidTr="00253772">
        <w:trPr>
          <w:trHeight w:val="280"/>
        </w:trPr>
        <w:tc>
          <w:tcPr>
            <w:tcW w:w="3255" w:type="dxa"/>
            <w:tcBorders>
              <w:top w:val="nil"/>
              <w:left w:val="nil"/>
              <w:bottom w:val="nil"/>
              <w:right w:val="nil"/>
            </w:tcBorders>
            <w:shd w:val="clear" w:color="auto" w:fill="auto"/>
            <w:noWrap/>
            <w:vAlign w:val="bottom"/>
            <w:hideMark/>
          </w:tcPr>
          <w:p w14:paraId="409E9536" w14:textId="77777777" w:rsidR="006F3A52" w:rsidRPr="005E6E85" w:rsidRDefault="006F3A52" w:rsidP="004D3498">
            <w:pPr>
              <w:rPr>
                <w:rFonts w:ascii="Calibri" w:eastAsia="Times New Roman" w:hAnsi="Calibri" w:cs="Times New Roman"/>
                <w:sz w:val="20"/>
                <w:szCs w:val="20"/>
              </w:rPr>
            </w:pPr>
          </w:p>
        </w:tc>
        <w:tc>
          <w:tcPr>
            <w:tcW w:w="2610" w:type="dxa"/>
            <w:tcBorders>
              <w:top w:val="nil"/>
              <w:left w:val="nil"/>
              <w:bottom w:val="nil"/>
              <w:right w:val="nil"/>
            </w:tcBorders>
            <w:shd w:val="clear" w:color="auto" w:fill="auto"/>
            <w:noWrap/>
            <w:vAlign w:val="bottom"/>
            <w:hideMark/>
          </w:tcPr>
          <w:p w14:paraId="1ECF123C"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(114,055)</w:t>
            </w:r>
          </w:p>
        </w:tc>
        <w:tc>
          <w:tcPr>
            <w:tcW w:w="2880" w:type="dxa"/>
            <w:tcBorders>
              <w:top w:val="nil"/>
              <w:left w:val="nil"/>
              <w:bottom w:val="nil"/>
              <w:right w:val="nil"/>
            </w:tcBorders>
            <w:shd w:val="clear" w:color="auto" w:fill="auto"/>
            <w:noWrap/>
            <w:vAlign w:val="bottom"/>
            <w:hideMark/>
          </w:tcPr>
          <w:p w14:paraId="2A822E11"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(147,451)</w:t>
            </w:r>
          </w:p>
        </w:tc>
      </w:tr>
      <w:tr w:rsidR="00253772" w:rsidRPr="005E6E85" w14:paraId="0A6F6436" w14:textId="3EFDEFC6" w:rsidTr="00253772">
        <w:trPr>
          <w:trHeight w:val="280"/>
        </w:trPr>
        <w:tc>
          <w:tcPr>
            <w:tcW w:w="3255" w:type="dxa"/>
            <w:tcBorders>
              <w:top w:val="nil"/>
              <w:left w:val="nil"/>
              <w:bottom w:val="nil"/>
              <w:right w:val="nil"/>
            </w:tcBorders>
            <w:shd w:val="clear" w:color="auto" w:fill="auto"/>
            <w:noWrap/>
            <w:vAlign w:val="bottom"/>
            <w:hideMark/>
          </w:tcPr>
          <w:p w14:paraId="3D612976" w14:textId="77777777" w:rsidR="006F3A52" w:rsidRPr="005E6E85" w:rsidRDefault="006F3A52" w:rsidP="004D3498">
            <w:pPr>
              <w:rPr>
                <w:rFonts w:ascii="Calibri" w:eastAsia="Times New Roman" w:hAnsi="Calibri" w:cs="Times New Roman"/>
                <w:sz w:val="20"/>
                <w:szCs w:val="20"/>
              </w:rPr>
            </w:pPr>
            <w:r w:rsidRPr="005E6E85">
              <w:rPr>
                <w:rFonts w:ascii="Calibri" w:eastAsia="Times New Roman" w:hAnsi="Calibri" w:cs="Times New Roman"/>
                <w:sz w:val="20"/>
                <w:szCs w:val="20"/>
              </w:rPr>
              <w:t>Observations</w:t>
            </w:r>
          </w:p>
        </w:tc>
        <w:tc>
          <w:tcPr>
            <w:tcW w:w="2610" w:type="dxa"/>
            <w:tcBorders>
              <w:top w:val="nil"/>
              <w:left w:val="nil"/>
              <w:bottom w:val="nil"/>
              <w:right w:val="nil"/>
            </w:tcBorders>
            <w:shd w:val="clear" w:color="auto" w:fill="auto"/>
            <w:noWrap/>
            <w:vAlign w:val="bottom"/>
            <w:hideMark/>
          </w:tcPr>
          <w:p w14:paraId="5380598D"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422</w:t>
            </w:r>
          </w:p>
        </w:tc>
        <w:tc>
          <w:tcPr>
            <w:tcW w:w="2880" w:type="dxa"/>
            <w:tcBorders>
              <w:top w:val="nil"/>
              <w:left w:val="nil"/>
              <w:bottom w:val="nil"/>
              <w:right w:val="nil"/>
            </w:tcBorders>
            <w:shd w:val="clear" w:color="auto" w:fill="auto"/>
            <w:noWrap/>
            <w:vAlign w:val="bottom"/>
            <w:hideMark/>
          </w:tcPr>
          <w:p w14:paraId="39B70C66"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422</w:t>
            </w:r>
          </w:p>
        </w:tc>
      </w:tr>
      <w:tr w:rsidR="00253772" w:rsidRPr="005E6E85" w14:paraId="59F6926C" w14:textId="5B348579" w:rsidTr="00253772">
        <w:trPr>
          <w:trHeight w:val="280"/>
        </w:trPr>
        <w:tc>
          <w:tcPr>
            <w:tcW w:w="3255" w:type="dxa"/>
            <w:tcBorders>
              <w:top w:val="nil"/>
              <w:left w:val="nil"/>
              <w:bottom w:val="single" w:sz="4" w:space="0" w:color="auto"/>
              <w:right w:val="nil"/>
            </w:tcBorders>
            <w:shd w:val="clear" w:color="auto" w:fill="auto"/>
            <w:noWrap/>
            <w:vAlign w:val="bottom"/>
            <w:hideMark/>
          </w:tcPr>
          <w:p w14:paraId="6E6423BC" w14:textId="77777777" w:rsidR="006F3A52" w:rsidRPr="005E6E85" w:rsidRDefault="006F3A52" w:rsidP="004D3498">
            <w:pPr>
              <w:rPr>
                <w:rFonts w:ascii="Calibri" w:eastAsia="Times New Roman" w:hAnsi="Calibri" w:cs="Times New Roman"/>
                <w:sz w:val="20"/>
                <w:szCs w:val="20"/>
              </w:rPr>
            </w:pPr>
            <w:r w:rsidRPr="005E6E85">
              <w:rPr>
                <w:rFonts w:ascii="Calibri" w:eastAsia="Times New Roman" w:hAnsi="Calibri" w:cs="Times New Roman"/>
                <w:sz w:val="20"/>
                <w:szCs w:val="20"/>
              </w:rPr>
              <w:t>R-squared</w:t>
            </w:r>
          </w:p>
        </w:tc>
        <w:tc>
          <w:tcPr>
            <w:tcW w:w="2610" w:type="dxa"/>
            <w:tcBorders>
              <w:top w:val="nil"/>
              <w:left w:val="nil"/>
              <w:bottom w:val="single" w:sz="4" w:space="0" w:color="auto"/>
              <w:right w:val="nil"/>
            </w:tcBorders>
            <w:shd w:val="clear" w:color="auto" w:fill="auto"/>
            <w:noWrap/>
            <w:vAlign w:val="bottom"/>
            <w:hideMark/>
          </w:tcPr>
          <w:p w14:paraId="12BBE560"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0.201</w:t>
            </w:r>
          </w:p>
        </w:tc>
        <w:tc>
          <w:tcPr>
            <w:tcW w:w="2880" w:type="dxa"/>
            <w:tcBorders>
              <w:top w:val="nil"/>
              <w:left w:val="nil"/>
              <w:bottom w:val="single" w:sz="4" w:space="0" w:color="auto"/>
              <w:right w:val="nil"/>
            </w:tcBorders>
            <w:shd w:val="clear" w:color="auto" w:fill="auto"/>
            <w:noWrap/>
            <w:vAlign w:val="bottom"/>
            <w:hideMark/>
          </w:tcPr>
          <w:p w14:paraId="43B003A4" w14:textId="77777777" w:rsidR="006F3A52" w:rsidRPr="005E6E85" w:rsidRDefault="006F3A52" w:rsidP="004D3498">
            <w:pPr>
              <w:jc w:val="center"/>
              <w:rPr>
                <w:rFonts w:ascii="Calibri" w:eastAsia="Times New Roman" w:hAnsi="Calibri" w:cs="Times New Roman"/>
                <w:sz w:val="20"/>
                <w:szCs w:val="20"/>
              </w:rPr>
            </w:pPr>
            <w:r w:rsidRPr="005E6E85">
              <w:rPr>
                <w:rFonts w:ascii="Calibri" w:eastAsia="Times New Roman" w:hAnsi="Calibri" w:cs="Times New Roman"/>
                <w:sz w:val="20"/>
                <w:szCs w:val="20"/>
              </w:rPr>
              <w:t>0.199</w:t>
            </w:r>
          </w:p>
        </w:tc>
      </w:tr>
      <w:tr w:rsidR="006F3A52" w:rsidRPr="005E6E85" w14:paraId="49E76210" w14:textId="07FC63E1" w:rsidTr="006F3A52">
        <w:trPr>
          <w:trHeight w:val="280"/>
        </w:trPr>
        <w:tc>
          <w:tcPr>
            <w:tcW w:w="5865" w:type="dxa"/>
            <w:gridSpan w:val="2"/>
            <w:tcBorders>
              <w:top w:val="nil"/>
              <w:left w:val="nil"/>
              <w:bottom w:val="nil"/>
              <w:right w:val="nil"/>
            </w:tcBorders>
            <w:shd w:val="clear" w:color="auto" w:fill="auto"/>
            <w:noWrap/>
            <w:vAlign w:val="bottom"/>
            <w:hideMark/>
          </w:tcPr>
          <w:p w14:paraId="635C1B2A" w14:textId="77777777" w:rsidR="006F3A52" w:rsidRPr="005E6E85" w:rsidRDefault="006F3A52" w:rsidP="004D3498">
            <w:pPr>
              <w:rPr>
                <w:rFonts w:ascii="Calibri" w:eastAsia="Times New Roman" w:hAnsi="Calibri" w:cs="Times New Roman"/>
                <w:sz w:val="20"/>
                <w:szCs w:val="20"/>
              </w:rPr>
            </w:pPr>
            <w:r w:rsidRPr="005E6E85">
              <w:rPr>
                <w:rFonts w:ascii="Calibri" w:eastAsia="Times New Roman" w:hAnsi="Calibri" w:cs="Times New Roman"/>
                <w:sz w:val="20"/>
                <w:szCs w:val="20"/>
              </w:rPr>
              <w:t>Robust standard errors in parentheses</w:t>
            </w:r>
          </w:p>
        </w:tc>
        <w:tc>
          <w:tcPr>
            <w:tcW w:w="2880" w:type="dxa"/>
            <w:tcBorders>
              <w:top w:val="nil"/>
              <w:left w:val="nil"/>
              <w:bottom w:val="nil"/>
              <w:right w:val="nil"/>
            </w:tcBorders>
            <w:shd w:val="clear" w:color="auto" w:fill="auto"/>
            <w:noWrap/>
            <w:vAlign w:val="bottom"/>
            <w:hideMark/>
          </w:tcPr>
          <w:p w14:paraId="5F8B039B" w14:textId="77777777" w:rsidR="006F3A52" w:rsidRPr="005E6E85" w:rsidRDefault="006F3A52" w:rsidP="004D3498">
            <w:pPr>
              <w:rPr>
                <w:rFonts w:ascii="Calibri" w:eastAsia="Times New Roman" w:hAnsi="Calibri" w:cs="Times New Roman"/>
                <w:sz w:val="20"/>
                <w:szCs w:val="20"/>
              </w:rPr>
            </w:pPr>
          </w:p>
        </w:tc>
      </w:tr>
      <w:tr w:rsidR="006F3A52" w:rsidRPr="005E6E85" w14:paraId="5932304C" w14:textId="77777777" w:rsidTr="006F3A52">
        <w:trPr>
          <w:trHeight w:val="280"/>
        </w:trPr>
        <w:tc>
          <w:tcPr>
            <w:tcW w:w="5865" w:type="dxa"/>
            <w:gridSpan w:val="2"/>
            <w:tcBorders>
              <w:top w:val="nil"/>
              <w:left w:val="nil"/>
              <w:bottom w:val="nil"/>
              <w:right w:val="nil"/>
            </w:tcBorders>
            <w:shd w:val="clear" w:color="auto" w:fill="auto"/>
            <w:noWrap/>
            <w:vAlign w:val="bottom"/>
            <w:hideMark/>
          </w:tcPr>
          <w:p w14:paraId="4CA9CB7D" w14:textId="77777777" w:rsidR="006F3A52" w:rsidRPr="005E6E85" w:rsidRDefault="006F3A52" w:rsidP="004D3498">
            <w:pPr>
              <w:rPr>
                <w:rFonts w:ascii="Calibri" w:eastAsia="Times New Roman" w:hAnsi="Calibri" w:cs="Times New Roman"/>
                <w:sz w:val="20"/>
                <w:szCs w:val="20"/>
              </w:rPr>
            </w:pPr>
            <w:r w:rsidRPr="005E6E85">
              <w:rPr>
                <w:rFonts w:ascii="Calibri" w:eastAsia="Times New Roman" w:hAnsi="Calibri" w:cs="Times New Roman"/>
                <w:sz w:val="20"/>
                <w:szCs w:val="20"/>
              </w:rPr>
              <w:t>*** p&lt;0.01, ** p&lt;0.05, * p&lt;0.1</w:t>
            </w:r>
          </w:p>
        </w:tc>
        <w:tc>
          <w:tcPr>
            <w:tcW w:w="2880" w:type="dxa"/>
            <w:tcBorders>
              <w:top w:val="nil"/>
              <w:left w:val="nil"/>
              <w:bottom w:val="nil"/>
              <w:right w:val="nil"/>
            </w:tcBorders>
            <w:shd w:val="clear" w:color="auto" w:fill="auto"/>
            <w:noWrap/>
            <w:vAlign w:val="bottom"/>
            <w:hideMark/>
          </w:tcPr>
          <w:p w14:paraId="28F065C9" w14:textId="77777777" w:rsidR="006F3A52" w:rsidRPr="005E6E85" w:rsidRDefault="006F3A52" w:rsidP="004D3498">
            <w:pPr>
              <w:rPr>
                <w:rFonts w:ascii="Calibri" w:eastAsia="Times New Roman" w:hAnsi="Calibri" w:cs="Times New Roman"/>
                <w:sz w:val="20"/>
                <w:szCs w:val="20"/>
              </w:rPr>
            </w:pPr>
          </w:p>
        </w:tc>
      </w:tr>
    </w:tbl>
    <w:p w14:paraId="41463CC7" w14:textId="77777777" w:rsidR="006F3A52" w:rsidRDefault="006F3A52" w:rsidP="00D60008"/>
    <w:p w14:paraId="3E966A6C" w14:textId="77777777" w:rsidR="006F3A52" w:rsidRDefault="006F3A52" w:rsidP="00D60008"/>
    <w:p w14:paraId="07B24795" w14:textId="77777777" w:rsidR="006F3A52" w:rsidRDefault="006F3A52" w:rsidP="00D60008"/>
    <w:p w14:paraId="7573B34A" w14:textId="40263A0D" w:rsidR="00D60008" w:rsidRPr="00022238" w:rsidRDefault="00577BB2" w:rsidP="00D60008">
      <w:pPr>
        <w:rPr>
          <w:rFonts w:ascii="Times New Roman" w:hAnsi="Times New Roman" w:cs="Times New Roman"/>
        </w:rPr>
      </w:pPr>
      <w:r w:rsidRPr="00022238">
        <w:rPr>
          <w:rFonts w:ascii="Times New Roman" w:hAnsi="Times New Roman" w:cs="Times New Roman"/>
        </w:rPr>
        <w:lastRenderedPageBreak/>
        <w:t xml:space="preserve">Table 4. </w:t>
      </w:r>
      <w:r w:rsidR="008D3AB8">
        <w:rPr>
          <w:rFonts w:ascii="Times New Roman" w:hAnsi="Times New Roman" w:cs="Times New Roman"/>
        </w:rPr>
        <w:t>Robustness checks at the</w:t>
      </w:r>
      <w:r w:rsidR="00F56D4A" w:rsidRPr="00022238">
        <w:rPr>
          <w:rFonts w:ascii="Times New Roman" w:hAnsi="Times New Roman" w:cs="Times New Roman"/>
        </w:rPr>
        <w:t xml:space="preserve"> country</w:t>
      </w:r>
      <w:r w:rsidR="00A373F0">
        <w:rPr>
          <w:rFonts w:ascii="Times New Roman" w:hAnsi="Times New Roman" w:cs="Times New Roman"/>
        </w:rPr>
        <w:t xml:space="preserve"> </w:t>
      </w:r>
      <w:r w:rsidR="00F56D4A" w:rsidRPr="00022238">
        <w:rPr>
          <w:rFonts w:ascii="Times New Roman" w:hAnsi="Times New Roman" w:cs="Times New Roman"/>
        </w:rPr>
        <w:t>level</w:t>
      </w:r>
    </w:p>
    <w:p w14:paraId="2449AFDF" w14:textId="77777777" w:rsidR="00577BB2" w:rsidRDefault="00577BB2" w:rsidP="00D60008"/>
    <w:tbl>
      <w:tblPr>
        <w:tblW w:w="10634" w:type="dxa"/>
        <w:jc w:val="center"/>
        <w:tblLook w:val="04A0" w:firstRow="1" w:lastRow="0" w:firstColumn="1" w:lastColumn="0" w:noHBand="0" w:noVBand="1"/>
      </w:tblPr>
      <w:tblGrid>
        <w:gridCol w:w="2880"/>
        <w:gridCol w:w="1177"/>
        <w:gridCol w:w="1177"/>
        <w:gridCol w:w="1523"/>
        <w:gridCol w:w="1177"/>
        <w:gridCol w:w="1177"/>
        <w:gridCol w:w="1523"/>
      </w:tblGrid>
      <w:tr w:rsidR="00E3766F" w:rsidRPr="00C01930" w14:paraId="61755C22" w14:textId="77777777" w:rsidTr="00EF53AA">
        <w:trPr>
          <w:trHeight w:val="280"/>
          <w:jc w:val="center"/>
        </w:trPr>
        <w:tc>
          <w:tcPr>
            <w:tcW w:w="2880" w:type="dxa"/>
            <w:tcBorders>
              <w:top w:val="single" w:sz="4" w:space="0" w:color="auto"/>
              <w:left w:val="nil"/>
              <w:right w:val="nil"/>
            </w:tcBorders>
            <w:shd w:val="clear" w:color="auto" w:fill="auto"/>
            <w:noWrap/>
            <w:vAlign w:val="bottom"/>
            <w:hideMark/>
          </w:tcPr>
          <w:p w14:paraId="74AA0194" w14:textId="77777777" w:rsidR="00E3766F" w:rsidRPr="00C01930" w:rsidRDefault="00E3766F" w:rsidP="00577BB2">
            <w:pPr>
              <w:rPr>
                <w:rFonts w:ascii="Calibri" w:eastAsia="Times New Roman" w:hAnsi="Calibri" w:cs="Times New Roman"/>
                <w:sz w:val="20"/>
                <w:szCs w:val="20"/>
              </w:rPr>
            </w:pPr>
            <w:r w:rsidRPr="00C01930">
              <w:rPr>
                <w:rFonts w:ascii="Calibri" w:eastAsia="Times New Roman" w:hAnsi="Calibri" w:cs="Times New Roman"/>
                <w:sz w:val="20"/>
                <w:szCs w:val="20"/>
              </w:rPr>
              <w:t> </w:t>
            </w:r>
          </w:p>
        </w:tc>
        <w:tc>
          <w:tcPr>
            <w:tcW w:w="7754" w:type="dxa"/>
            <w:gridSpan w:val="6"/>
            <w:tcBorders>
              <w:top w:val="single" w:sz="4" w:space="0" w:color="auto"/>
              <w:left w:val="nil"/>
              <w:bottom w:val="nil"/>
              <w:right w:val="nil"/>
            </w:tcBorders>
            <w:shd w:val="clear" w:color="auto" w:fill="auto"/>
            <w:noWrap/>
            <w:vAlign w:val="bottom"/>
            <w:hideMark/>
          </w:tcPr>
          <w:p w14:paraId="57187CB7" w14:textId="2EFF8FD8" w:rsidR="00E3766F" w:rsidRPr="00C01930" w:rsidRDefault="00E3766F" w:rsidP="00577BB2">
            <w:pPr>
              <w:jc w:val="center"/>
              <w:rPr>
                <w:rFonts w:ascii="Calibri" w:eastAsia="Times New Roman" w:hAnsi="Calibri" w:cs="Times New Roman"/>
                <w:sz w:val="20"/>
                <w:szCs w:val="20"/>
              </w:rPr>
            </w:pPr>
            <w:r>
              <w:rPr>
                <w:rFonts w:ascii="Calibri" w:eastAsia="Times New Roman" w:hAnsi="Calibri" w:cs="Times New Roman"/>
                <w:sz w:val="20"/>
                <w:szCs w:val="20"/>
              </w:rPr>
              <w:t>DV: National Transpositions</w:t>
            </w:r>
          </w:p>
        </w:tc>
      </w:tr>
      <w:tr w:rsidR="00577BB2" w:rsidRPr="00C01930" w14:paraId="1858D209" w14:textId="77777777" w:rsidTr="005C208A">
        <w:trPr>
          <w:trHeight w:val="280"/>
          <w:jc w:val="center"/>
        </w:trPr>
        <w:tc>
          <w:tcPr>
            <w:tcW w:w="2880" w:type="dxa"/>
            <w:tcBorders>
              <w:left w:val="nil"/>
              <w:bottom w:val="nil"/>
              <w:right w:val="nil"/>
            </w:tcBorders>
            <w:shd w:val="clear" w:color="auto" w:fill="auto"/>
            <w:noWrap/>
            <w:vAlign w:val="bottom"/>
          </w:tcPr>
          <w:p w14:paraId="6FD34DC1" w14:textId="77777777" w:rsidR="00577BB2" w:rsidRPr="00C01930" w:rsidRDefault="00577BB2" w:rsidP="00577BB2">
            <w:pPr>
              <w:rPr>
                <w:rFonts w:ascii="Calibri" w:eastAsia="Times New Roman" w:hAnsi="Calibri" w:cs="Times New Roman"/>
                <w:sz w:val="20"/>
                <w:szCs w:val="20"/>
              </w:rPr>
            </w:pPr>
          </w:p>
        </w:tc>
        <w:tc>
          <w:tcPr>
            <w:tcW w:w="1177" w:type="dxa"/>
            <w:tcBorders>
              <w:top w:val="single" w:sz="4" w:space="0" w:color="auto"/>
              <w:left w:val="nil"/>
              <w:bottom w:val="single" w:sz="4" w:space="0" w:color="auto"/>
              <w:right w:val="nil"/>
            </w:tcBorders>
            <w:shd w:val="clear" w:color="auto" w:fill="auto"/>
            <w:noWrap/>
            <w:vAlign w:val="bottom"/>
          </w:tcPr>
          <w:p w14:paraId="185ACEFD" w14:textId="01B37F36"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Poisson</w:t>
            </w:r>
          </w:p>
        </w:tc>
        <w:tc>
          <w:tcPr>
            <w:tcW w:w="1177" w:type="dxa"/>
            <w:tcBorders>
              <w:top w:val="single" w:sz="4" w:space="0" w:color="auto"/>
              <w:left w:val="nil"/>
              <w:bottom w:val="single" w:sz="4" w:space="0" w:color="auto"/>
              <w:right w:val="nil"/>
            </w:tcBorders>
            <w:shd w:val="clear" w:color="auto" w:fill="auto"/>
            <w:noWrap/>
            <w:vAlign w:val="bottom"/>
          </w:tcPr>
          <w:p w14:paraId="6EC38CB6" w14:textId="21AE94B3"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Poisson</w:t>
            </w:r>
          </w:p>
        </w:tc>
        <w:tc>
          <w:tcPr>
            <w:tcW w:w="1523" w:type="dxa"/>
            <w:tcBorders>
              <w:top w:val="single" w:sz="4" w:space="0" w:color="auto"/>
              <w:left w:val="nil"/>
              <w:bottom w:val="single" w:sz="4" w:space="0" w:color="auto"/>
              <w:right w:val="nil"/>
            </w:tcBorders>
            <w:shd w:val="clear" w:color="auto" w:fill="auto"/>
            <w:noWrap/>
            <w:vAlign w:val="bottom"/>
          </w:tcPr>
          <w:p w14:paraId="5EFA02EC" w14:textId="418B5BE3"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Poisson</w:t>
            </w:r>
          </w:p>
        </w:tc>
        <w:tc>
          <w:tcPr>
            <w:tcW w:w="1177" w:type="dxa"/>
            <w:tcBorders>
              <w:top w:val="single" w:sz="4" w:space="0" w:color="auto"/>
              <w:left w:val="nil"/>
              <w:bottom w:val="single" w:sz="4" w:space="0" w:color="auto"/>
              <w:right w:val="nil"/>
            </w:tcBorders>
            <w:shd w:val="clear" w:color="auto" w:fill="auto"/>
            <w:noWrap/>
            <w:vAlign w:val="bottom"/>
          </w:tcPr>
          <w:p w14:paraId="384F0BA6" w14:textId="61962729" w:rsidR="00577BB2" w:rsidRPr="00C01930" w:rsidRDefault="00577BB2" w:rsidP="00577BB2">
            <w:pPr>
              <w:jc w:val="center"/>
              <w:rPr>
                <w:rFonts w:ascii="Calibri" w:eastAsia="Times New Roman" w:hAnsi="Calibri" w:cs="Times New Roman"/>
                <w:sz w:val="20"/>
                <w:szCs w:val="20"/>
              </w:rPr>
            </w:pPr>
            <w:r w:rsidRPr="00C01930">
              <w:rPr>
                <w:rFonts w:eastAsia="Times New Roman" w:cstheme="minorHAnsi"/>
                <w:sz w:val="20"/>
                <w:szCs w:val="20"/>
              </w:rPr>
              <w:t>Negative binomial</w:t>
            </w:r>
          </w:p>
        </w:tc>
        <w:tc>
          <w:tcPr>
            <w:tcW w:w="1177" w:type="dxa"/>
            <w:tcBorders>
              <w:top w:val="single" w:sz="4" w:space="0" w:color="auto"/>
              <w:left w:val="nil"/>
              <w:bottom w:val="single" w:sz="4" w:space="0" w:color="auto"/>
              <w:right w:val="nil"/>
            </w:tcBorders>
            <w:shd w:val="clear" w:color="auto" w:fill="auto"/>
            <w:noWrap/>
            <w:vAlign w:val="bottom"/>
          </w:tcPr>
          <w:p w14:paraId="4B7EB912" w14:textId="5869369F" w:rsidR="00577BB2" w:rsidRPr="00C01930" w:rsidRDefault="00577BB2" w:rsidP="00577BB2">
            <w:pPr>
              <w:jc w:val="center"/>
              <w:rPr>
                <w:rFonts w:ascii="Calibri" w:eastAsia="Times New Roman" w:hAnsi="Calibri" w:cs="Times New Roman"/>
                <w:sz w:val="20"/>
                <w:szCs w:val="20"/>
              </w:rPr>
            </w:pPr>
            <w:r w:rsidRPr="00C01930">
              <w:rPr>
                <w:rFonts w:eastAsia="Times New Roman" w:cstheme="minorHAnsi"/>
                <w:sz w:val="20"/>
                <w:szCs w:val="20"/>
              </w:rPr>
              <w:t>Negative binomial</w:t>
            </w:r>
          </w:p>
        </w:tc>
        <w:tc>
          <w:tcPr>
            <w:tcW w:w="1523" w:type="dxa"/>
            <w:tcBorders>
              <w:top w:val="single" w:sz="4" w:space="0" w:color="auto"/>
              <w:left w:val="nil"/>
              <w:bottom w:val="single" w:sz="4" w:space="0" w:color="auto"/>
              <w:right w:val="nil"/>
            </w:tcBorders>
            <w:shd w:val="clear" w:color="auto" w:fill="auto"/>
            <w:noWrap/>
            <w:vAlign w:val="bottom"/>
          </w:tcPr>
          <w:p w14:paraId="578EB23E" w14:textId="57614CB9" w:rsidR="00577BB2" w:rsidRPr="00C01930" w:rsidRDefault="00577BB2" w:rsidP="00577BB2">
            <w:pPr>
              <w:jc w:val="center"/>
              <w:rPr>
                <w:rFonts w:ascii="Calibri" w:eastAsia="Times New Roman" w:hAnsi="Calibri" w:cs="Times New Roman"/>
                <w:sz w:val="20"/>
                <w:szCs w:val="20"/>
              </w:rPr>
            </w:pPr>
            <w:r w:rsidRPr="00C01930">
              <w:rPr>
                <w:rFonts w:eastAsia="Times New Roman" w:cstheme="minorHAnsi"/>
                <w:sz w:val="20"/>
                <w:szCs w:val="20"/>
              </w:rPr>
              <w:t>Negative binomial</w:t>
            </w:r>
          </w:p>
        </w:tc>
      </w:tr>
      <w:tr w:rsidR="00F56D4A" w:rsidRPr="00C01930" w14:paraId="35B7BE5E" w14:textId="77777777" w:rsidTr="005C208A">
        <w:trPr>
          <w:trHeight w:val="280"/>
          <w:jc w:val="center"/>
        </w:trPr>
        <w:tc>
          <w:tcPr>
            <w:tcW w:w="2880" w:type="dxa"/>
            <w:tcBorders>
              <w:left w:val="nil"/>
              <w:bottom w:val="nil"/>
              <w:right w:val="nil"/>
            </w:tcBorders>
            <w:shd w:val="clear" w:color="auto" w:fill="auto"/>
            <w:noWrap/>
            <w:vAlign w:val="bottom"/>
          </w:tcPr>
          <w:p w14:paraId="57200101" w14:textId="77777777" w:rsidR="00F56D4A" w:rsidRPr="00C01930" w:rsidRDefault="00F56D4A" w:rsidP="00577BB2">
            <w:pPr>
              <w:rPr>
                <w:rFonts w:ascii="Calibri" w:eastAsia="Times New Roman" w:hAnsi="Calibri" w:cs="Times New Roman"/>
                <w:sz w:val="20"/>
                <w:szCs w:val="20"/>
              </w:rPr>
            </w:pPr>
          </w:p>
        </w:tc>
        <w:tc>
          <w:tcPr>
            <w:tcW w:w="1177" w:type="dxa"/>
            <w:tcBorders>
              <w:top w:val="single" w:sz="4" w:space="0" w:color="auto"/>
              <w:left w:val="nil"/>
              <w:right w:val="nil"/>
            </w:tcBorders>
            <w:shd w:val="clear" w:color="auto" w:fill="auto"/>
            <w:noWrap/>
            <w:vAlign w:val="center"/>
          </w:tcPr>
          <w:p w14:paraId="01D37363" w14:textId="2FDA9BF6" w:rsidR="00F56D4A" w:rsidRPr="00C01930" w:rsidRDefault="00F56D4A" w:rsidP="00B60CE9">
            <w:pPr>
              <w:jc w:val="center"/>
              <w:rPr>
                <w:rFonts w:ascii="Calibri" w:eastAsia="Times New Roman" w:hAnsi="Calibri" w:cs="Times New Roman"/>
                <w:sz w:val="20"/>
                <w:szCs w:val="20"/>
              </w:rPr>
            </w:pPr>
            <w:r w:rsidRPr="00C01930">
              <w:rPr>
                <w:rFonts w:ascii="Calibri" w:eastAsia="Times New Roman" w:hAnsi="Calibri" w:cs="Times New Roman"/>
                <w:sz w:val="20"/>
                <w:szCs w:val="20"/>
              </w:rPr>
              <w:t>Without Bulgaria &amp; Romania</w:t>
            </w:r>
          </w:p>
        </w:tc>
        <w:tc>
          <w:tcPr>
            <w:tcW w:w="1177" w:type="dxa"/>
            <w:tcBorders>
              <w:top w:val="single" w:sz="4" w:space="0" w:color="auto"/>
              <w:left w:val="nil"/>
              <w:right w:val="nil"/>
            </w:tcBorders>
            <w:shd w:val="clear" w:color="auto" w:fill="auto"/>
            <w:noWrap/>
            <w:vAlign w:val="center"/>
          </w:tcPr>
          <w:p w14:paraId="27FE3F49" w14:textId="39ED438E" w:rsidR="00F56D4A" w:rsidRPr="00C01930" w:rsidRDefault="00B60CE9" w:rsidP="00B60CE9">
            <w:pPr>
              <w:jc w:val="center"/>
              <w:rPr>
                <w:rFonts w:ascii="Calibri" w:eastAsia="Times New Roman" w:hAnsi="Calibri" w:cs="Times New Roman"/>
                <w:sz w:val="20"/>
                <w:szCs w:val="20"/>
              </w:rPr>
            </w:pPr>
            <w:r>
              <w:rPr>
                <w:rFonts w:ascii="Calibri" w:eastAsia="Times New Roman" w:hAnsi="Calibri" w:cs="Times New Roman"/>
                <w:sz w:val="20"/>
                <w:szCs w:val="20"/>
              </w:rPr>
              <w:t>E</w:t>
            </w:r>
            <w:r w:rsidR="00F56D4A" w:rsidRPr="00C01930">
              <w:rPr>
                <w:rFonts w:ascii="Calibri" w:eastAsia="Times New Roman" w:hAnsi="Calibri" w:cs="Times New Roman"/>
                <w:sz w:val="20"/>
                <w:szCs w:val="20"/>
              </w:rPr>
              <w:t>U15 countries</w:t>
            </w:r>
          </w:p>
        </w:tc>
        <w:tc>
          <w:tcPr>
            <w:tcW w:w="1523" w:type="dxa"/>
            <w:tcBorders>
              <w:top w:val="single" w:sz="4" w:space="0" w:color="auto"/>
              <w:left w:val="nil"/>
              <w:right w:val="nil"/>
            </w:tcBorders>
            <w:shd w:val="clear" w:color="auto" w:fill="auto"/>
            <w:noWrap/>
            <w:vAlign w:val="center"/>
          </w:tcPr>
          <w:p w14:paraId="5FCE8E57" w14:textId="050FA88D" w:rsidR="00F56D4A" w:rsidRPr="00C01930" w:rsidRDefault="00F56D4A" w:rsidP="00B60CE9">
            <w:pPr>
              <w:jc w:val="center"/>
              <w:rPr>
                <w:rFonts w:ascii="Calibri" w:eastAsia="Times New Roman" w:hAnsi="Calibri" w:cs="Times New Roman"/>
                <w:sz w:val="20"/>
                <w:szCs w:val="20"/>
              </w:rPr>
            </w:pPr>
            <w:r w:rsidRPr="00C01930">
              <w:rPr>
                <w:rFonts w:ascii="Calibri" w:eastAsia="Times New Roman" w:hAnsi="Calibri" w:cs="Times New Roman"/>
                <w:sz w:val="20"/>
                <w:szCs w:val="20"/>
              </w:rPr>
              <w:t>Joint implementation</w:t>
            </w:r>
          </w:p>
        </w:tc>
        <w:tc>
          <w:tcPr>
            <w:tcW w:w="1177" w:type="dxa"/>
            <w:tcBorders>
              <w:top w:val="single" w:sz="4" w:space="0" w:color="auto"/>
              <w:left w:val="nil"/>
              <w:right w:val="nil"/>
            </w:tcBorders>
            <w:shd w:val="clear" w:color="auto" w:fill="auto"/>
            <w:noWrap/>
            <w:vAlign w:val="center"/>
          </w:tcPr>
          <w:p w14:paraId="123780A4" w14:textId="3FD068A1" w:rsidR="00F56D4A" w:rsidRPr="00C01930" w:rsidRDefault="00F56D4A" w:rsidP="00B60CE9">
            <w:pPr>
              <w:jc w:val="center"/>
              <w:rPr>
                <w:rFonts w:ascii="Calibri" w:eastAsia="Times New Roman" w:hAnsi="Calibri" w:cs="Times New Roman"/>
                <w:sz w:val="20"/>
                <w:szCs w:val="20"/>
              </w:rPr>
            </w:pPr>
            <w:r w:rsidRPr="00C01930">
              <w:rPr>
                <w:rFonts w:ascii="Calibri" w:eastAsia="Times New Roman" w:hAnsi="Calibri" w:cs="Times New Roman"/>
                <w:sz w:val="20"/>
                <w:szCs w:val="20"/>
              </w:rPr>
              <w:t>Without Bulgaria &amp; Romania</w:t>
            </w:r>
          </w:p>
        </w:tc>
        <w:tc>
          <w:tcPr>
            <w:tcW w:w="1177" w:type="dxa"/>
            <w:tcBorders>
              <w:top w:val="single" w:sz="4" w:space="0" w:color="auto"/>
              <w:left w:val="nil"/>
              <w:right w:val="nil"/>
            </w:tcBorders>
            <w:shd w:val="clear" w:color="auto" w:fill="auto"/>
            <w:noWrap/>
            <w:vAlign w:val="center"/>
          </w:tcPr>
          <w:p w14:paraId="764ECFAB" w14:textId="5E457F64" w:rsidR="00F56D4A" w:rsidRPr="00C01930" w:rsidRDefault="00F56D4A" w:rsidP="00B60CE9">
            <w:pPr>
              <w:jc w:val="center"/>
              <w:rPr>
                <w:rFonts w:ascii="Calibri" w:eastAsia="Times New Roman" w:hAnsi="Calibri" w:cs="Times New Roman"/>
                <w:sz w:val="20"/>
                <w:szCs w:val="20"/>
              </w:rPr>
            </w:pPr>
            <w:r w:rsidRPr="00C01930">
              <w:rPr>
                <w:rFonts w:ascii="Calibri" w:eastAsia="Times New Roman" w:hAnsi="Calibri" w:cs="Times New Roman"/>
                <w:sz w:val="20"/>
                <w:szCs w:val="20"/>
              </w:rPr>
              <w:t>EU15 countries</w:t>
            </w:r>
          </w:p>
        </w:tc>
        <w:tc>
          <w:tcPr>
            <w:tcW w:w="1523" w:type="dxa"/>
            <w:tcBorders>
              <w:top w:val="single" w:sz="4" w:space="0" w:color="auto"/>
              <w:left w:val="nil"/>
              <w:right w:val="nil"/>
            </w:tcBorders>
            <w:shd w:val="clear" w:color="auto" w:fill="auto"/>
            <w:noWrap/>
            <w:vAlign w:val="center"/>
          </w:tcPr>
          <w:p w14:paraId="4881C6E3" w14:textId="4ED8FE68" w:rsidR="00F56D4A" w:rsidRPr="00C01930" w:rsidRDefault="00F56D4A" w:rsidP="00B60CE9">
            <w:pPr>
              <w:jc w:val="center"/>
              <w:rPr>
                <w:rFonts w:ascii="Calibri" w:eastAsia="Times New Roman" w:hAnsi="Calibri" w:cs="Times New Roman"/>
                <w:sz w:val="20"/>
                <w:szCs w:val="20"/>
              </w:rPr>
            </w:pPr>
            <w:r w:rsidRPr="00C01930">
              <w:rPr>
                <w:rFonts w:ascii="Calibri" w:eastAsia="Times New Roman" w:hAnsi="Calibri" w:cs="Times New Roman"/>
                <w:sz w:val="20"/>
                <w:szCs w:val="20"/>
              </w:rPr>
              <w:t>Joint implementation</w:t>
            </w:r>
          </w:p>
        </w:tc>
      </w:tr>
      <w:tr w:rsidR="00E3766F" w:rsidRPr="00C01930" w14:paraId="29F62D96" w14:textId="77777777" w:rsidTr="005C208A">
        <w:trPr>
          <w:trHeight w:val="280"/>
          <w:jc w:val="center"/>
        </w:trPr>
        <w:tc>
          <w:tcPr>
            <w:tcW w:w="2880" w:type="dxa"/>
            <w:tcBorders>
              <w:left w:val="nil"/>
              <w:bottom w:val="nil"/>
              <w:right w:val="nil"/>
            </w:tcBorders>
            <w:shd w:val="clear" w:color="auto" w:fill="auto"/>
            <w:noWrap/>
            <w:vAlign w:val="bottom"/>
          </w:tcPr>
          <w:p w14:paraId="59CACBFD" w14:textId="77777777" w:rsidR="00E3766F" w:rsidRPr="00C01930" w:rsidRDefault="00E3766F" w:rsidP="00577BB2">
            <w:pPr>
              <w:rPr>
                <w:rFonts w:ascii="Calibri" w:eastAsia="Times New Roman" w:hAnsi="Calibri" w:cs="Times New Roman"/>
                <w:sz w:val="20"/>
                <w:szCs w:val="20"/>
              </w:rPr>
            </w:pPr>
          </w:p>
        </w:tc>
        <w:tc>
          <w:tcPr>
            <w:tcW w:w="1177" w:type="dxa"/>
            <w:tcBorders>
              <w:left w:val="nil"/>
              <w:bottom w:val="single" w:sz="4" w:space="0" w:color="auto"/>
              <w:right w:val="nil"/>
            </w:tcBorders>
            <w:shd w:val="clear" w:color="auto" w:fill="auto"/>
            <w:noWrap/>
            <w:vAlign w:val="bottom"/>
          </w:tcPr>
          <w:p w14:paraId="5400928F" w14:textId="55E767B3" w:rsidR="00E3766F" w:rsidRPr="00C01930" w:rsidRDefault="00E3766F" w:rsidP="00B60CE9">
            <w:pPr>
              <w:jc w:val="center"/>
              <w:rPr>
                <w:rFonts w:ascii="Calibri" w:eastAsia="Times New Roman" w:hAnsi="Calibri" w:cs="Times New Roman"/>
                <w:sz w:val="20"/>
                <w:szCs w:val="20"/>
              </w:rPr>
            </w:pPr>
            <w:r w:rsidRPr="00C01930">
              <w:rPr>
                <w:rFonts w:ascii="Calibri" w:eastAsia="Times New Roman" w:hAnsi="Calibri" w:cs="Times New Roman"/>
                <w:sz w:val="20"/>
                <w:szCs w:val="20"/>
              </w:rPr>
              <w:t>(1)</w:t>
            </w:r>
          </w:p>
        </w:tc>
        <w:tc>
          <w:tcPr>
            <w:tcW w:w="1177" w:type="dxa"/>
            <w:tcBorders>
              <w:left w:val="nil"/>
              <w:bottom w:val="single" w:sz="4" w:space="0" w:color="auto"/>
              <w:right w:val="nil"/>
            </w:tcBorders>
            <w:shd w:val="clear" w:color="auto" w:fill="auto"/>
            <w:noWrap/>
            <w:vAlign w:val="bottom"/>
          </w:tcPr>
          <w:p w14:paraId="35035623" w14:textId="29821EE9" w:rsidR="00E3766F" w:rsidRDefault="00E3766F" w:rsidP="00B60CE9">
            <w:pPr>
              <w:jc w:val="center"/>
              <w:rPr>
                <w:rFonts w:ascii="Calibri" w:eastAsia="Times New Roman" w:hAnsi="Calibri" w:cs="Times New Roman"/>
                <w:sz w:val="20"/>
                <w:szCs w:val="20"/>
              </w:rPr>
            </w:pPr>
            <w:r w:rsidRPr="00C01930">
              <w:rPr>
                <w:rFonts w:ascii="Calibri" w:eastAsia="Times New Roman" w:hAnsi="Calibri" w:cs="Times New Roman"/>
                <w:sz w:val="20"/>
                <w:szCs w:val="20"/>
              </w:rPr>
              <w:t>(2)</w:t>
            </w:r>
          </w:p>
        </w:tc>
        <w:tc>
          <w:tcPr>
            <w:tcW w:w="1523" w:type="dxa"/>
            <w:tcBorders>
              <w:left w:val="nil"/>
              <w:bottom w:val="single" w:sz="4" w:space="0" w:color="auto"/>
              <w:right w:val="nil"/>
            </w:tcBorders>
            <w:shd w:val="clear" w:color="auto" w:fill="auto"/>
            <w:noWrap/>
            <w:vAlign w:val="bottom"/>
          </w:tcPr>
          <w:p w14:paraId="5C0C3C8D" w14:textId="7FE8A529" w:rsidR="00E3766F" w:rsidRPr="00C01930" w:rsidRDefault="00E3766F" w:rsidP="00B60CE9">
            <w:pPr>
              <w:jc w:val="center"/>
              <w:rPr>
                <w:rFonts w:ascii="Calibri" w:eastAsia="Times New Roman" w:hAnsi="Calibri" w:cs="Times New Roman"/>
                <w:sz w:val="20"/>
                <w:szCs w:val="20"/>
              </w:rPr>
            </w:pPr>
            <w:r w:rsidRPr="00C01930">
              <w:rPr>
                <w:rFonts w:ascii="Calibri" w:eastAsia="Times New Roman" w:hAnsi="Calibri" w:cs="Times New Roman"/>
                <w:sz w:val="20"/>
                <w:szCs w:val="20"/>
              </w:rPr>
              <w:t>(3)</w:t>
            </w:r>
          </w:p>
        </w:tc>
        <w:tc>
          <w:tcPr>
            <w:tcW w:w="1177" w:type="dxa"/>
            <w:tcBorders>
              <w:left w:val="nil"/>
              <w:bottom w:val="single" w:sz="4" w:space="0" w:color="auto"/>
              <w:right w:val="nil"/>
            </w:tcBorders>
            <w:shd w:val="clear" w:color="auto" w:fill="auto"/>
            <w:noWrap/>
            <w:vAlign w:val="bottom"/>
          </w:tcPr>
          <w:p w14:paraId="5C7BE422" w14:textId="1B1511E7" w:rsidR="00E3766F" w:rsidRPr="00C01930" w:rsidRDefault="00E3766F" w:rsidP="00B60CE9">
            <w:pPr>
              <w:jc w:val="center"/>
              <w:rPr>
                <w:rFonts w:ascii="Calibri" w:eastAsia="Times New Roman" w:hAnsi="Calibri" w:cs="Times New Roman"/>
                <w:sz w:val="20"/>
                <w:szCs w:val="20"/>
              </w:rPr>
            </w:pPr>
            <w:r w:rsidRPr="00C01930">
              <w:rPr>
                <w:rFonts w:ascii="Calibri" w:eastAsia="Times New Roman" w:hAnsi="Calibri" w:cs="Times New Roman"/>
                <w:sz w:val="20"/>
                <w:szCs w:val="20"/>
              </w:rPr>
              <w:t>(4)</w:t>
            </w:r>
          </w:p>
        </w:tc>
        <w:tc>
          <w:tcPr>
            <w:tcW w:w="1177" w:type="dxa"/>
            <w:tcBorders>
              <w:left w:val="nil"/>
              <w:bottom w:val="single" w:sz="4" w:space="0" w:color="auto"/>
              <w:right w:val="nil"/>
            </w:tcBorders>
            <w:shd w:val="clear" w:color="auto" w:fill="auto"/>
            <w:noWrap/>
            <w:vAlign w:val="bottom"/>
          </w:tcPr>
          <w:p w14:paraId="17EBD04F" w14:textId="125C9613" w:rsidR="00E3766F" w:rsidRPr="00C01930" w:rsidRDefault="00E3766F" w:rsidP="00B60CE9">
            <w:pPr>
              <w:jc w:val="center"/>
              <w:rPr>
                <w:rFonts w:ascii="Calibri" w:eastAsia="Times New Roman" w:hAnsi="Calibri" w:cs="Times New Roman"/>
                <w:sz w:val="20"/>
                <w:szCs w:val="20"/>
              </w:rPr>
            </w:pPr>
            <w:r w:rsidRPr="00C01930">
              <w:rPr>
                <w:rFonts w:ascii="Calibri" w:eastAsia="Times New Roman" w:hAnsi="Calibri" w:cs="Times New Roman"/>
                <w:sz w:val="20"/>
                <w:szCs w:val="20"/>
              </w:rPr>
              <w:t>(6)</w:t>
            </w:r>
          </w:p>
        </w:tc>
        <w:tc>
          <w:tcPr>
            <w:tcW w:w="1523" w:type="dxa"/>
            <w:tcBorders>
              <w:left w:val="nil"/>
              <w:bottom w:val="single" w:sz="4" w:space="0" w:color="auto"/>
              <w:right w:val="nil"/>
            </w:tcBorders>
            <w:shd w:val="clear" w:color="auto" w:fill="auto"/>
            <w:noWrap/>
            <w:vAlign w:val="bottom"/>
          </w:tcPr>
          <w:p w14:paraId="4CA32603" w14:textId="04F61180" w:rsidR="00E3766F" w:rsidRPr="00C01930" w:rsidRDefault="00E3766F" w:rsidP="00B60CE9">
            <w:pPr>
              <w:jc w:val="center"/>
              <w:rPr>
                <w:rFonts w:ascii="Calibri" w:eastAsia="Times New Roman" w:hAnsi="Calibri" w:cs="Times New Roman"/>
                <w:sz w:val="20"/>
                <w:szCs w:val="20"/>
              </w:rPr>
            </w:pPr>
            <w:r w:rsidRPr="00C01930">
              <w:rPr>
                <w:rFonts w:ascii="Calibri" w:eastAsia="Times New Roman" w:hAnsi="Calibri" w:cs="Times New Roman"/>
                <w:sz w:val="20"/>
                <w:szCs w:val="20"/>
              </w:rPr>
              <w:t>(8)</w:t>
            </w:r>
          </w:p>
        </w:tc>
      </w:tr>
      <w:tr w:rsidR="00577BB2" w:rsidRPr="00C01930" w14:paraId="72E9952C" w14:textId="77777777" w:rsidTr="005C208A">
        <w:trPr>
          <w:trHeight w:val="280"/>
          <w:jc w:val="center"/>
        </w:trPr>
        <w:tc>
          <w:tcPr>
            <w:tcW w:w="2880" w:type="dxa"/>
            <w:tcBorders>
              <w:top w:val="single" w:sz="4" w:space="0" w:color="auto"/>
              <w:left w:val="nil"/>
              <w:bottom w:val="nil"/>
              <w:right w:val="nil"/>
            </w:tcBorders>
            <w:shd w:val="clear" w:color="auto" w:fill="auto"/>
            <w:noWrap/>
            <w:vAlign w:val="bottom"/>
            <w:hideMark/>
          </w:tcPr>
          <w:p w14:paraId="1EC6BC4F" w14:textId="77777777" w:rsidR="00577BB2" w:rsidRPr="00C01930" w:rsidRDefault="00577BB2" w:rsidP="00577BB2">
            <w:pPr>
              <w:rPr>
                <w:rFonts w:ascii="Calibri" w:eastAsia="Times New Roman" w:hAnsi="Calibri" w:cs="Times New Roman"/>
                <w:sz w:val="20"/>
                <w:szCs w:val="20"/>
              </w:rPr>
            </w:pPr>
            <w:r w:rsidRPr="00C01930">
              <w:rPr>
                <w:rFonts w:ascii="Calibri" w:eastAsia="Times New Roman" w:hAnsi="Calibri" w:cs="Times New Roman"/>
                <w:sz w:val="20"/>
                <w:szCs w:val="20"/>
              </w:rPr>
              <w:t> </w:t>
            </w:r>
          </w:p>
        </w:tc>
        <w:tc>
          <w:tcPr>
            <w:tcW w:w="1177" w:type="dxa"/>
            <w:tcBorders>
              <w:top w:val="single" w:sz="4" w:space="0" w:color="auto"/>
              <w:left w:val="nil"/>
              <w:bottom w:val="nil"/>
              <w:right w:val="nil"/>
            </w:tcBorders>
            <w:shd w:val="clear" w:color="auto" w:fill="auto"/>
            <w:noWrap/>
            <w:vAlign w:val="bottom"/>
            <w:hideMark/>
          </w:tcPr>
          <w:p w14:paraId="4932DF2B"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 </w:t>
            </w:r>
          </w:p>
        </w:tc>
        <w:tc>
          <w:tcPr>
            <w:tcW w:w="1177" w:type="dxa"/>
            <w:tcBorders>
              <w:top w:val="single" w:sz="4" w:space="0" w:color="auto"/>
              <w:left w:val="nil"/>
              <w:bottom w:val="nil"/>
              <w:right w:val="nil"/>
            </w:tcBorders>
            <w:shd w:val="clear" w:color="auto" w:fill="auto"/>
            <w:noWrap/>
            <w:vAlign w:val="bottom"/>
            <w:hideMark/>
          </w:tcPr>
          <w:p w14:paraId="3FA83E80"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 </w:t>
            </w:r>
          </w:p>
        </w:tc>
        <w:tc>
          <w:tcPr>
            <w:tcW w:w="1523" w:type="dxa"/>
            <w:tcBorders>
              <w:top w:val="single" w:sz="4" w:space="0" w:color="auto"/>
              <w:left w:val="nil"/>
              <w:bottom w:val="nil"/>
              <w:right w:val="nil"/>
            </w:tcBorders>
            <w:shd w:val="clear" w:color="auto" w:fill="auto"/>
            <w:noWrap/>
            <w:vAlign w:val="bottom"/>
            <w:hideMark/>
          </w:tcPr>
          <w:p w14:paraId="34729216"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 </w:t>
            </w:r>
          </w:p>
        </w:tc>
        <w:tc>
          <w:tcPr>
            <w:tcW w:w="1177" w:type="dxa"/>
            <w:tcBorders>
              <w:top w:val="single" w:sz="4" w:space="0" w:color="auto"/>
              <w:left w:val="nil"/>
              <w:bottom w:val="nil"/>
              <w:right w:val="nil"/>
            </w:tcBorders>
            <w:shd w:val="clear" w:color="auto" w:fill="auto"/>
            <w:noWrap/>
            <w:vAlign w:val="bottom"/>
            <w:hideMark/>
          </w:tcPr>
          <w:p w14:paraId="2A5B2AD0"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 </w:t>
            </w:r>
          </w:p>
        </w:tc>
        <w:tc>
          <w:tcPr>
            <w:tcW w:w="1177" w:type="dxa"/>
            <w:tcBorders>
              <w:top w:val="single" w:sz="4" w:space="0" w:color="auto"/>
              <w:left w:val="nil"/>
              <w:bottom w:val="nil"/>
              <w:right w:val="nil"/>
            </w:tcBorders>
            <w:shd w:val="clear" w:color="auto" w:fill="auto"/>
            <w:noWrap/>
            <w:vAlign w:val="bottom"/>
            <w:hideMark/>
          </w:tcPr>
          <w:p w14:paraId="068638B8"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 </w:t>
            </w:r>
          </w:p>
        </w:tc>
        <w:tc>
          <w:tcPr>
            <w:tcW w:w="1523" w:type="dxa"/>
            <w:tcBorders>
              <w:top w:val="single" w:sz="4" w:space="0" w:color="auto"/>
              <w:left w:val="nil"/>
              <w:bottom w:val="nil"/>
              <w:right w:val="nil"/>
            </w:tcBorders>
            <w:shd w:val="clear" w:color="auto" w:fill="auto"/>
            <w:noWrap/>
            <w:vAlign w:val="bottom"/>
            <w:hideMark/>
          </w:tcPr>
          <w:p w14:paraId="663AA570"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 </w:t>
            </w:r>
          </w:p>
        </w:tc>
      </w:tr>
      <w:tr w:rsidR="00577BB2" w:rsidRPr="00C01930" w14:paraId="02553408"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060CB0E0" w14:textId="4668EF41" w:rsidR="00577BB2" w:rsidRPr="00C01930" w:rsidRDefault="00C01930" w:rsidP="00577BB2">
            <w:pPr>
              <w:rPr>
                <w:rFonts w:ascii="Calibri" w:eastAsia="Times New Roman" w:hAnsi="Calibri" w:cs="Times New Roman"/>
                <w:sz w:val="20"/>
                <w:szCs w:val="20"/>
              </w:rPr>
            </w:pPr>
            <w:r w:rsidRPr="00C01930">
              <w:rPr>
                <w:rFonts w:eastAsia="Times New Roman" w:cstheme="minorHAnsi"/>
                <w:sz w:val="20"/>
                <w:szCs w:val="20"/>
              </w:rPr>
              <w:t>Dependence: EU funding</w:t>
            </w:r>
          </w:p>
        </w:tc>
        <w:tc>
          <w:tcPr>
            <w:tcW w:w="1177" w:type="dxa"/>
            <w:tcBorders>
              <w:top w:val="nil"/>
              <w:left w:val="nil"/>
              <w:bottom w:val="nil"/>
              <w:right w:val="nil"/>
            </w:tcBorders>
            <w:shd w:val="clear" w:color="auto" w:fill="auto"/>
            <w:noWrap/>
            <w:vAlign w:val="bottom"/>
            <w:hideMark/>
          </w:tcPr>
          <w:p w14:paraId="2FEA2677"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0.171***</w:t>
            </w:r>
          </w:p>
        </w:tc>
        <w:tc>
          <w:tcPr>
            <w:tcW w:w="1177" w:type="dxa"/>
            <w:tcBorders>
              <w:top w:val="nil"/>
              <w:left w:val="nil"/>
              <w:bottom w:val="nil"/>
              <w:right w:val="nil"/>
            </w:tcBorders>
            <w:shd w:val="clear" w:color="auto" w:fill="auto"/>
            <w:noWrap/>
            <w:vAlign w:val="bottom"/>
            <w:hideMark/>
          </w:tcPr>
          <w:p w14:paraId="44D279B3"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0.165***</w:t>
            </w:r>
          </w:p>
        </w:tc>
        <w:tc>
          <w:tcPr>
            <w:tcW w:w="1523" w:type="dxa"/>
            <w:tcBorders>
              <w:top w:val="nil"/>
              <w:left w:val="nil"/>
              <w:bottom w:val="nil"/>
              <w:right w:val="nil"/>
            </w:tcBorders>
            <w:shd w:val="clear" w:color="auto" w:fill="auto"/>
            <w:noWrap/>
            <w:vAlign w:val="bottom"/>
            <w:hideMark/>
          </w:tcPr>
          <w:p w14:paraId="59939308"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0.169***</w:t>
            </w:r>
          </w:p>
        </w:tc>
        <w:tc>
          <w:tcPr>
            <w:tcW w:w="1177" w:type="dxa"/>
            <w:tcBorders>
              <w:top w:val="nil"/>
              <w:left w:val="nil"/>
              <w:bottom w:val="nil"/>
              <w:right w:val="nil"/>
            </w:tcBorders>
            <w:shd w:val="clear" w:color="auto" w:fill="auto"/>
            <w:noWrap/>
            <w:vAlign w:val="bottom"/>
            <w:hideMark/>
          </w:tcPr>
          <w:p w14:paraId="0D7C6CEE"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0.159*</w:t>
            </w:r>
          </w:p>
        </w:tc>
        <w:tc>
          <w:tcPr>
            <w:tcW w:w="1177" w:type="dxa"/>
            <w:tcBorders>
              <w:top w:val="nil"/>
              <w:left w:val="nil"/>
              <w:bottom w:val="nil"/>
              <w:right w:val="nil"/>
            </w:tcBorders>
            <w:shd w:val="clear" w:color="auto" w:fill="auto"/>
            <w:noWrap/>
            <w:vAlign w:val="bottom"/>
            <w:hideMark/>
          </w:tcPr>
          <w:p w14:paraId="796BA3D3"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0.158*</w:t>
            </w:r>
          </w:p>
        </w:tc>
        <w:tc>
          <w:tcPr>
            <w:tcW w:w="1523" w:type="dxa"/>
            <w:tcBorders>
              <w:top w:val="nil"/>
              <w:left w:val="nil"/>
              <w:bottom w:val="nil"/>
              <w:right w:val="nil"/>
            </w:tcBorders>
            <w:shd w:val="clear" w:color="auto" w:fill="auto"/>
            <w:noWrap/>
            <w:vAlign w:val="bottom"/>
            <w:hideMark/>
          </w:tcPr>
          <w:p w14:paraId="3178CCCA"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0.166*</w:t>
            </w:r>
          </w:p>
        </w:tc>
      </w:tr>
      <w:tr w:rsidR="00577BB2" w:rsidRPr="00C01930" w14:paraId="7D3A2AF4"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19B9D7CC"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09986C21"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(0.0593)</w:t>
            </w:r>
          </w:p>
        </w:tc>
        <w:tc>
          <w:tcPr>
            <w:tcW w:w="1177" w:type="dxa"/>
            <w:tcBorders>
              <w:top w:val="nil"/>
              <w:left w:val="nil"/>
              <w:bottom w:val="nil"/>
              <w:right w:val="nil"/>
            </w:tcBorders>
            <w:shd w:val="clear" w:color="auto" w:fill="auto"/>
            <w:noWrap/>
            <w:vAlign w:val="bottom"/>
            <w:hideMark/>
          </w:tcPr>
          <w:p w14:paraId="3778EF40"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(0.0629)</w:t>
            </w:r>
          </w:p>
        </w:tc>
        <w:tc>
          <w:tcPr>
            <w:tcW w:w="1523" w:type="dxa"/>
            <w:tcBorders>
              <w:top w:val="nil"/>
              <w:left w:val="nil"/>
              <w:bottom w:val="nil"/>
              <w:right w:val="nil"/>
            </w:tcBorders>
            <w:shd w:val="clear" w:color="auto" w:fill="auto"/>
            <w:noWrap/>
            <w:vAlign w:val="bottom"/>
            <w:hideMark/>
          </w:tcPr>
          <w:p w14:paraId="357F4C1B"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(0.0576)</w:t>
            </w:r>
          </w:p>
        </w:tc>
        <w:tc>
          <w:tcPr>
            <w:tcW w:w="1177" w:type="dxa"/>
            <w:tcBorders>
              <w:top w:val="nil"/>
              <w:left w:val="nil"/>
              <w:bottom w:val="nil"/>
              <w:right w:val="nil"/>
            </w:tcBorders>
            <w:shd w:val="clear" w:color="auto" w:fill="auto"/>
            <w:noWrap/>
            <w:vAlign w:val="bottom"/>
            <w:hideMark/>
          </w:tcPr>
          <w:p w14:paraId="6F978A30"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(0.0884)</w:t>
            </w:r>
          </w:p>
        </w:tc>
        <w:tc>
          <w:tcPr>
            <w:tcW w:w="1177" w:type="dxa"/>
            <w:tcBorders>
              <w:top w:val="nil"/>
              <w:left w:val="nil"/>
              <w:bottom w:val="nil"/>
              <w:right w:val="nil"/>
            </w:tcBorders>
            <w:shd w:val="clear" w:color="auto" w:fill="auto"/>
            <w:noWrap/>
            <w:vAlign w:val="bottom"/>
            <w:hideMark/>
          </w:tcPr>
          <w:p w14:paraId="239D403C"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(0.0912)</w:t>
            </w:r>
          </w:p>
        </w:tc>
        <w:tc>
          <w:tcPr>
            <w:tcW w:w="1523" w:type="dxa"/>
            <w:tcBorders>
              <w:top w:val="nil"/>
              <w:left w:val="nil"/>
              <w:bottom w:val="nil"/>
              <w:right w:val="nil"/>
            </w:tcBorders>
            <w:shd w:val="clear" w:color="auto" w:fill="auto"/>
            <w:noWrap/>
            <w:vAlign w:val="bottom"/>
            <w:hideMark/>
          </w:tcPr>
          <w:p w14:paraId="62B60DBE"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(0.0860)</w:t>
            </w:r>
          </w:p>
        </w:tc>
      </w:tr>
      <w:tr w:rsidR="00577BB2" w:rsidRPr="00C01930" w14:paraId="0613D88A"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3B8ED94A" w14:textId="73772148" w:rsidR="00577BB2" w:rsidRPr="00C01930" w:rsidRDefault="00C01930" w:rsidP="00577BB2">
            <w:pPr>
              <w:rPr>
                <w:rFonts w:ascii="Calibri" w:eastAsia="Times New Roman" w:hAnsi="Calibri" w:cs="Times New Roman"/>
                <w:sz w:val="20"/>
                <w:szCs w:val="20"/>
              </w:rPr>
            </w:pPr>
            <w:r w:rsidRPr="00C01930">
              <w:rPr>
                <w:rFonts w:cstheme="minorHAnsi"/>
                <w:color w:val="000000"/>
                <w:sz w:val="20"/>
                <w:szCs w:val="20"/>
              </w:rPr>
              <w:t>EU support for sustainable growth</w:t>
            </w:r>
          </w:p>
        </w:tc>
        <w:tc>
          <w:tcPr>
            <w:tcW w:w="1177" w:type="dxa"/>
            <w:tcBorders>
              <w:top w:val="nil"/>
              <w:left w:val="nil"/>
              <w:bottom w:val="nil"/>
              <w:right w:val="nil"/>
            </w:tcBorders>
            <w:shd w:val="clear" w:color="auto" w:fill="auto"/>
            <w:noWrap/>
            <w:vAlign w:val="bottom"/>
            <w:hideMark/>
          </w:tcPr>
          <w:p w14:paraId="7232AF17"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-171.5**</w:t>
            </w:r>
          </w:p>
        </w:tc>
        <w:tc>
          <w:tcPr>
            <w:tcW w:w="1177" w:type="dxa"/>
            <w:tcBorders>
              <w:top w:val="nil"/>
              <w:left w:val="nil"/>
              <w:bottom w:val="nil"/>
              <w:right w:val="nil"/>
            </w:tcBorders>
            <w:shd w:val="clear" w:color="auto" w:fill="auto"/>
            <w:noWrap/>
            <w:vAlign w:val="bottom"/>
            <w:hideMark/>
          </w:tcPr>
          <w:p w14:paraId="1D7402F0"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-189.8**</w:t>
            </w:r>
          </w:p>
        </w:tc>
        <w:tc>
          <w:tcPr>
            <w:tcW w:w="1523" w:type="dxa"/>
            <w:tcBorders>
              <w:top w:val="nil"/>
              <w:left w:val="nil"/>
              <w:bottom w:val="nil"/>
              <w:right w:val="nil"/>
            </w:tcBorders>
            <w:shd w:val="clear" w:color="auto" w:fill="auto"/>
            <w:noWrap/>
            <w:vAlign w:val="bottom"/>
            <w:hideMark/>
          </w:tcPr>
          <w:p w14:paraId="06A17527"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-180.7**</w:t>
            </w:r>
          </w:p>
        </w:tc>
        <w:tc>
          <w:tcPr>
            <w:tcW w:w="1177" w:type="dxa"/>
            <w:tcBorders>
              <w:top w:val="nil"/>
              <w:left w:val="nil"/>
              <w:bottom w:val="nil"/>
              <w:right w:val="nil"/>
            </w:tcBorders>
            <w:shd w:val="clear" w:color="auto" w:fill="auto"/>
            <w:noWrap/>
            <w:vAlign w:val="bottom"/>
            <w:hideMark/>
          </w:tcPr>
          <w:p w14:paraId="7B1802FA"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-137.0</w:t>
            </w:r>
          </w:p>
        </w:tc>
        <w:tc>
          <w:tcPr>
            <w:tcW w:w="1177" w:type="dxa"/>
            <w:tcBorders>
              <w:top w:val="nil"/>
              <w:left w:val="nil"/>
              <w:bottom w:val="nil"/>
              <w:right w:val="nil"/>
            </w:tcBorders>
            <w:shd w:val="clear" w:color="auto" w:fill="auto"/>
            <w:noWrap/>
            <w:vAlign w:val="bottom"/>
            <w:hideMark/>
          </w:tcPr>
          <w:p w14:paraId="6337184B"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-150.5</w:t>
            </w:r>
          </w:p>
        </w:tc>
        <w:tc>
          <w:tcPr>
            <w:tcW w:w="1523" w:type="dxa"/>
            <w:tcBorders>
              <w:top w:val="nil"/>
              <w:left w:val="nil"/>
              <w:bottom w:val="nil"/>
              <w:right w:val="nil"/>
            </w:tcBorders>
            <w:shd w:val="clear" w:color="auto" w:fill="auto"/>
            <w:noWrap/>
            <w:vAlign w:val="bottom"/>
            <w:hideMark/>
          </w:tcPr>
          <w:p w14:paraId="53ABEF9A"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-143.0</w:t>
            </w:r>
          </w:p>
        </w:tc>
      </w:tr>
      <w:tr w:rsidR="00577BB2" w:rsidRPr="00C01930" w14:paraId="6BA617C4"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4266E7B2"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00D36F09"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(79.42)</w:t>
            </w:r>
          </w:p>
        </w:tc>
        <w:tc>
          <w:tcPr>
            <w:tcW w:w="1177" w:type="dxa"/>
            <w:tcBorders>
              <w:top w:val="nil"/>
              <w:left w:val="nil"/>
              <w:bottom w:val="nil"/>
              <w:right w:val="nil"/>
            </w:tcBorders>
            <w:shd w:val="clear" w:color="auto" w:fill="auto"/>
            <w:noWrap/>
            <w:vAlign w:val="bottom"/>
            <w:hideMark/>
          </w:tcPr>
          <w:p w14:paraId="4A5757CD"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(83.21)</w:t>
            </w:r>
          </w:p>
        </w:tc>
        <w:tc>
          <w:tcPr>
            <w:tcW w:w="1523" w:type="dxa"/>
            <w:tcBorders>
              <w:top w:val="nil"/>
              <w:left w:val="nil"/>
              <w:bottom w:val="nil"/>
              <w:right w:val="nil"/>
            </w:tcBorders>
            <w:shd w:val="clear" w:color="auto" w:fill="auto"/>
            <w:noWrap/>
            <w:vAlign w:val="bottom"/>
            <w:hideMark/>
          </w:tcPr>
          <w:p w14:paraId="13D041C5"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(78.39)</w:t>
            </w:r>
          </w:p>
        </w:tc>
        <w:tc>
          <w:tcPr>
            <w:tcW w:w="1177" w:type="dxa"/>
            <w:tcBorders>
              <w:top w:val="nil"/>
              <w:left w:val="nil"/>
              <w:bottom w:val="nil"/>
              <w:right w:val="nil"/>
            </w:tcBorders>
            <w:shd w:val="clear" w:color="auto" w:fill="auto"/>
            <w:noWrap/>
            <w:vAlign w:val="bottom"/>
            <w:hideMark/>
          </w:tcPr>
          <w:p w14:paraId="3777EFE5"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(114.0)</w:t>
            </w:r>
          </w:p>
        </w:tc>
        <w:tc>
          <w:tcPr>
            <w:tcW w:w="1177" w:type="dxa"/>
            <w:tcBorders>
              <w:top w:val="nil"/>
              <w:left w:val="nil"/>
              <w:bottom w:val="nil"/>
              <w:right w:val="nil"/>
            </w:tcBorders>
            <w:shd w:val="clear" w:color="auto" w:fill="auto"/>
            <w:noWrap/>
            <w:vAlign w:val="bottom"/>
            <w:hideMark/>
          </w:tcPr>
          <w:p w14:paraId="0F3AE90E"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(117.5)</w:t>
            </w:r>
          </w:p>
        </w:tc>
        <w:tc>
          <w:tcPr>
            <w:tcW w:w="1523" w:type="dxa"/>
            <w:tcBorders>
              <w:top w:val="nil"/>
              <w:left w:val="nil"/>
              <w:bottom w:val="nil"/>
              <w:right w:val="nil"/>
            </w:tcBorders>
            <w:shd w:val="clear" w:color="auto" w:fill="auto"/>
            <w:noWrap/>
            <w:vAlign w:val="bottom"/>
            <w:hideMark/>
          </w:tcPr>
          <w:p w14:paraId="620B6ECA"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(111.4)</w:t>
            </w:r>
          </w:p>
        </w:tc>
      </w:tr>
      <w:tr w:rsidR="00C01930" w:rsidRPr="00C01930" w14:paraId="478DC5F0" w14:textId="77777777" w:rsidTr="00C01930">
        <w:trPr>
          <w:trHeight w:val="280"/>
          <w:jc w:val="center"/>
        </w:trPr>
        <w:tc>
          <w:tcPr>
            <w:tcW w:w="2880" w:type="dxa"/>
            <w:tcBorders>
              <w:top w:val="nil"/>
              <w:left w:val="nil"/>
              <w:bottom w:val="nil"/>
              <w:right w:val="nil"/>
            </w:tcBorders>
            <w:shd w:val="clear" w:color="auto" w:fill="auto"/>
            <w:noWrap/>
            <w:hideMark/>
          </w:tcPr>
          <w:p w14:paraId="5DEAB8FB" w14:textId="158DD892" w:rsidR="00C01930" w:rsidRPr="00C01930" w:rsidRDefault="00C01930" w:rsidP="00577BB2">
            <w:pPr>
              <w:rPr>
                <w:rFonts w:ascii="Calibri" w:eastAsia="Times New Roman" w:hAnsi="Calibri" w:cs="Times New Roman"/>
                <w:sz w:val="20"/>
                <w:szCs w:val="20"/>
              </w:rPr>
            </w:pPr>
            <w:r w:rsidRPr="00C01930">
              <w:rPr>
                <w:rFonts w:eastAsia="Times New Roman" w:cstheme="minorHAnsi"/>
                <w:sz w:val="20"/>
                <w:szCs w:val="20"/>
              </w:rPr>
              <w:t xml:space="preserve">Emissions </w:t>
            </w:r>
            <w:r w:rsidR="00A373F0">
              <w:rPr>
                <w:rFonts w:eastAsia="Times New Roman" w:cstheme="minorHAnsi"/>
                <w:sz w:val="20"/>
                <w:szCs w:val="20"/>
              </w:rPr>
              <w:t>c</w:t>
            </w:r>
            <w:r w:rsidRPr="00C01930">
              <w:rPr>
                <w:rFonts w:eastAsia="Times New Roman" w:cstheme="minorHAnsi"/>
                <w:sz w:val="20"/>
                <w:szCs w:val="20"/>
              </w:rPr>
              <w:t>ap over GDP</w:t>
            </w:r>
          </w:p>
        </w:tc>
        <w:tc>
          <w:tcPr>
            <w:tcW w:w="1177" w:type="dxa"/>
            <w:tcBorders>
              <w:top w:val="nil"/>
              <w:left w:val="nil"/>
              <w:bottom w:val="nil"/>
              <w:right w:val="nil"/>
            </w:tcBorders>
            <w:shd w:val="clear" w:color="auto" w:fill="auto"/>
            <w:noWrap/>
            <w:vAlign w:val="bottom"/>
            <w:hideMark/>
          </w:tcPr>
          <w:p w14:paraId="10C75BEA"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-0.677*</w:t>
            </w:r>
          </w:p>
        </w:tc>
        <w:tc>
          <w:tcPr>
            <w:tcW w:w="1177" w:type="dxa"/>
            <w:tcBorders>
              <w:top w:val="nil"/>
              <w:left w:val="nil"/>
              <w:bottom w:val="nil"/>
              <w:right w:val="nil"/>
            </w:tcBorders>
            <w:shd w:val="clear" w:color="auto" w:fill="auto"/>
            <w:noWrap/>
            <w:vAlign w:val="bottom"/>
            <w:hideMark/>
          </w:tcPr>
          <w:p w14:paraId="4B1DD49B"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-0.996***</w:t>
            </w:r>
          </w:p>
        </w:tc>
        <w:tc>
          <w:tcPr>
            <w:tcW w:w="1523" w:type="dxa"/>
            <w:tcBorders>
              <w:top w:val="nil"/>
              <w:left w:val="nil"/>
              <w:bottom w:val="nil"/>
              <w:right w:val="nil"/>
            </w:tcBorders>
            <w:shd w:val="clear" w:color="auto" w:fill="auto"/>
            <w:noWrap/>
            <w:vAlign w:val="bottom"/>
            <w:hideMark/>
          </w:tcPr>
          <w:p w14:paraId="52722BC7"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-1.081***</w:t>
            </w:r>
          </w:p>
        </w:tc>
        <w:tc>
          <w:tcPr>
            <w:tcW w:w="1177" w:type="dxa"/>
            <w:tcBorders>
              <w:top w:val="nil"/>
              <w:left w:val="nil"/>
              <w:bottom w:val="nil"/>
              <w:right w:val="nil"/>
            </w:tcBorders>
            <w:shd w:val="clear" w:color="auto" w:fill="auto"/>
            <w:noWrap/>
            <w:vAlign w:val="bottom"/>
            <w:hideMark/>
          </w:tcPr>
          <w:p w14:paraId="01065999"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-0.640</w:t>
            </w:r>
          </w:p>
        </w:tc>
        <w:tc>
          <w:tcPr>
            <w:tcW w:w="1177" w:type="dxa"/>
            <w:tcBorders>
              <w:top w:val="nil"/>
              <w:left w:val="nil"/>
              <w:bottom w:val="nil"/>
              <w:right w:val="nil"/>
            </w:tcBorders>
            <w:shd w:val="clear" w:color="auto" w:fill="auto"/>
            <w:noWrap/>
            <w:vAlign w:val="bottom"/>
            <w:hideMark/>
          </w:tcPr>
          <w:p w14:paraId="6BA7F010"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-0.954**</w:t>
            </w:r>
          </w:p>
        </w:tc>
        <w:tc>
          <w:tcPr>
            <w:tcW w:w="1523" w:type="dxa"/>
            <w:tcBorders>
              <w:top w:val="nil"/>
              <w:left w:val="nil"/>
              <w:bottom w:val="nil"/>
              <w:right w:val="nil"/>
            </w:tcBorders>
            <w:shd w:val="clear" w:color="auto" w:fill="auto"/>
            <w:noWrap/>
            <w:vAlign w:val="bottom"/>
            <w:hideMark/>
          </w:tcPr>
          <w:p w14:paraId="24B17978"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-0.978**</w:t>
            </w:r>
          </w:p>
        </w:tc>
      </w:tr>
      <w:tr w:rsidR="00C01930" w:rsidRPr="00C01930" w14:paraId="0962B426" w14:textId="77777777" w:rsidTr="00C01930">
        <w:trPr>
          <w:trHeight w:val="280"/>
          <w:jc w:val="center"/>
        </w:trPr>
        <w:tc>
          <w:tcPr>
            <w:tcW w:w="2880" w:type="dxa"/>
            <w:tcBorders>
              <w:top w:val="nil"/>
              <w:left w:val="nil"/>
              <w:bottom w:val="nil"/>
              <w:right w:val="nil"/>
            </w:tcBorders>
            <w:shd w:val="clear" w:color="auto" w:fill="auto"/>
            <w:noWrap/>
            <w:hideMark/>
          </w:tcPr>
          <w:p w14:paraId="24EF5DC2" w14:textId="77777777" w:rsidR="00C01930" w:rsidRPr="00C01930" w:rsidRDefault="00C01930"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0DEC9F97"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(0.375)</w:t>
            </w:r>
          </w:p>
        </w:tc>
        <w:tc>
          <w:tcPr>
            <w:tcW w:w="1177" w:type="dxa"/>
            <w:tcBorders>
              <w:top w:val="nil"/>
              <w:left w:val="nil"/>
              <w:bottom w:val="nil"/>
              <w:right w:val="nil"/>
            </w:tcBorders>
            <w:shd w:val="clear" w:color="auto" w:fill="auto"/>
            <w:noWrap/>
            <w:vAlign w:val="bottom"/>
            <w:hideMark/>
          </w:tcPr>
          <w:p w14:paraId="49B31B9A"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(0.326)</w:t>
            </w:r>
          </w:p>
        </w:tc>
        <w:tc>
          <w:tcPr>
            <w:tcW w:w="1523" w:type="dxa"/>
            <w:tcBorders>
              <w:top w:val="nil"/>
              <w:left w:val="nil"/>
              <w:bottom w:val="nil"/>
              <w:right w:val="nil"/>
            </w:tcBorders>
            <w:shd w:val="clear" w:color="auto" w:fill="auto"/>
            <w:noWrap/>
            <w:vAlign w:val="bottom"/>
            <w:hideMark/>
          </w:tcPr>
          <w:p w14:paraId="7736C22D"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(0.336)</w:t>
            </w:r>
          </w:p>
        </w:tc>
        <w:tc>
          <w:tcPr>
            <w:tcW w:w="1177" w:type="dxa"/>
            <w:tcBorders>
              <w:top w:val="nil"/>
              <w:left w:val="nil"/>
              <w:bottom w:val="nil"/>
              <w:right w:val="nil"/>
            </w:tcBorders>
            <w:shd w:val="clear" w:color="auto" w:fill="auto"/>
            <w:noWrap/>
            <w:vAlign w:val="bottom"/>
            <w:hideMark/>
          </w:tcPr>
          <w:p w14:paraId="0AC43362"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(0.529)</w:t>
            </w:r>
          </w:p>
        </w:tc>
        <w:tc>
          <w:tcPr>
            <w:tcW w:w="1177" w:type="dxa"/>
            <w:tcBorders>
              <w:top w:val="nil"/>
              <w:left w:val="nil"/>
              <w:bottom w:val="nil"/>
              <w:right w:val="nil"/>
            </w:tcBorders>
            <w:shd w:val="clear" w:color="auto" w:fill="auto"/>
            <w:noWrap/>
            <w:vAlign w:val="bottom"/>
            <w:hideMark/>
          </w:tcPr>
          <w:p w14:paraId="23F3F3F8"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(0.443)</w:t>
            </w:r>
          </w:p>
        </w:tc>
        <w:tc>
          <w:tcPr>
            <w:tcW w:w="1523" w:type="dxa"/>
            <w:tcBorders>
              <w:top w:val="nil"/>
              <w:left w:val="nil"/>
              <w:bottom w:val="nil"/>
              <w:right w:val="nil"/>
            </w:tcBorders>
            <w:shd w:val="clear" w:color="auto" w:fill="auto"/>
            <w:noWrap/>
            <w:vAlign w:val="bottom"/>
            <w:hideMark/>
          </w:tcPr>
          <w:p w14:paraId="60E341DD"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(0.438)</w:t>
            </w:r>
          </w:p>
        </w:tc>
      </w:tr>
      <w:tr w:rsidR="00C01930" w:rsidRPr="00C01930" w14:paraId="21392DDA" w14:textId="77777777" w:rsidTr="00C01930">
        <w:trPr>
          <w:trHeight w:val="280"/>
          <w:jc w:val="center"/>
        </w:trPr>
        <w:tc>
          <w:tcPr>
            <w:tcW w:w="2880" w:type="dxa"/>
            <w:tcBorders>
              <w:top w:val="nil"/>
              <w:left w:val="nil"/>
              <w:bottom w:val="nil"/>
              <w:right w:val="nil"/>
            </w:tcBorders>
            <w:shd w:val="clear" w:color="auto" w:fill="auto"/>
            <w:noWrap/>
            <w:hideMark/>
          </w:tcPr>
          <w:p w14:paraId="2AA5C8C2" w14:textId="7D4A0BDD" w:rsidR="00C01930" w:rsidRPr="00C01930" w:rsidRDefault="00C01930" w:rsidP="00577BB2">
            <w:pPr>
              <w:rPr>
                <w:rFonts w:ascii="Calibri" w:eastAsia="Times New Roman" w:hAnsi="Calibri" w:cs="Times New Roman"/>
                <w:sz w:val="20"/>
                <w:szCs w:val="20"/>
              </w:rPr>
            </w:pPr>
            <w:r w:rsidRPr="00C01930">
              <w:rPr>
                <w:rFonts w:eastAsia="Times New Roman" w:cstheme="minorHAnsi"/>
                <w:sz w:val="20"/>
                <w:szCs w:val="20"/>
              </w:rPr>
              <w:t>International environmental treaty</w:t>
            </w:r>
          </w:p>
        </w:tc>
        <w:tc>
          <w:tcPr>
            <w:tcW w:w="1177" w:type="dxa"/>
            <w:tcBorders>
              <w:top w:val="nil"/>
              <w:left w:val="nil"/>
              <w:bottom w:val="nil"/>
              <w:right w:val="nil"/>
            </w:tcBorders>
            <w:shd w:val="clear" w:color="auto" w:fill="auto"/>
            <w:noWrap/>
            <w:vAlign w:val="bottom"/>
            <w:hideMark/>
          </w:tcPr>
          <w:p w14:paraId="351381BC"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0.119**</w:t>
            </w:r>
          </w:p>
        </w:tc>
        <w:tc>
          <w:tcPr>
            <w:tcW w:w="1177" w:type="dxa"/>
            <w:tcBorders>
              <w:top w:val="nil"/>
              <w:left w:val="nil"/>
              <w:bottom w:val="nil"/>
              <w:right w:val="nil"/>
            </w:tcBorders>
            <w:shd w:val="clear" w:color="auto" w:fill="auto"/>
            <w:noWrap/>
            <w:vAlign w:val="bottom"/>
            <w:hideMark/>
          </w:tcPr>
          <w:p w14:paraId="4864D92C"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0.0926*</w:t>
            </w:r>
          </w:p>
        </w:tc>
        <w:tc>
          <w:tcPr>
            <w:tcW w:w="1523" w:type="dxa"/>
            <w:tcBorders>
              <w:top w:val="nil"/>
              <w:left w:val="nil"/>
              <w:bottom w:val="nil"/>
              <w:right w:val="nil"/>
            </w:tcBorders>
            <w:shd w:val="clear" w:color="auto" w:fill="auto"/>
            <w:noWrap/>
            <w:vAlign w:val="bottom"/>
            <w:hideMark/>
          </w:tcPr>
          <w:p w14:paraId="5FEC3896"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0.0773</w:t>
            </w:r>
          </w:p>
        </w:tc>
        <w:tc>
          <w:tcPr>
            <w:tcW w:w="1177" w:type="dxa"/>
            <w:tcBorders>
              <w:top w:val="nil"/>
              <w:left w:val="nil"/>
              <w:bottom w:val="nil"/>
              <w:right w:val="nil"/>
            </w:tcBorders>
            <w:shd w:val="clear" w:color="auto" w:fill="auto"/>
            <w:noWrap/>
            <w:vAlign w:val="bottom"/>
            <w:hideMark/>
          </w:tcPr>
          <w:p w14:paraId="0443B6E6"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0.115</w:t>
            </w:r>
          </w:p>
        </w:tc>
        <w:tc>
          <w:tcPr>
            <w:tcW w:w="1177" w:type="dxa"/>
            <w:tcBorders>
              <w:top w:val="nil"/>
              <w:left w:val="nil"/>
              <w:bottom w:val="nil"/>
              <w:right w:val="nil"/>
            </w:tcBorders>
            <w:shd w:val="clear" w:color="auto" w:fill="auto"/>
            <w:noWrap/>
            <w:vAlign w:val="bottom"/>
            <w:hideMark/>
          </w:tcPr>
          <w:p w14:paraId="34CC5851"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0.0782</w:t>
            </w:r>
          </w:p>
        </w:tc>
        <w:tc>
          <w:tcPr>
            <w:tcW w:w="1523" w:type="dxa"/>
            <w:tcBorders>
              <w:top w:val="nil"/>
              <w:left w:val="nil"/>
              <w:bottom w:val="nil"/>
              <w:right w:val="nil"/>
            </w:tcBorders>
            <w:shd w:val="clear" w:color="auto" w:fill="auto"/>
            <w:noWrap/>
            <w:vAlign w:val="bottom"/>
            <w:hideMark/>
          </w:tcPr>
          <w:p w14:paraId="1E64EF33"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0.0688</w:t>
            </w:r>
          </w:p>
        </w:tc>
      </w:tr>
      <w:tr w:rsidR="00C01930" w:rsidRPr="00C01930" w14:paraId="3F6AC45F" w14:textId="77777777" w:rsidTr="00C01930">
        <w:trPr>
          <w:trHeight w:val="280"/>
          <w:jc w:val="center"/>
        </w:trPr>
        <w:tc>
          <w:tcPr>
            <w:tcW w:w="2880" w:type="dxa"/>
            <w:tcBorders>
              <w:top w:val="nil"/>
              <w:left w:val="nil"/>
              <w:bottom w:val="nil"/>
              <w:right w:val="nil"/>
            </w:tcBorders>
            <w:shd w:val="clear" w:color="auto" w:fill="auto"/>
            <w:noWrap/>
            <w:hideMark/>
          </w:tcPr>
          <w:p w14:paraId="29A0D21F" w14:textId="77777777" w:rsidR="00C01930" w:rsidRPr="00C01930" w:rsidRDefault="00C01930"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19A9C582"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(0.0580)</w:t>
            </w:r>
          </w:p>
        </w:tc>
        <w:tc>
          <w:tcPr>
            <w:tcW w:w="1177" w:type="dxa"/>
            <w:tcBorders>
              <w:top w:val="nil"/>
              <w:left w:val="nil"/>
              <w:bottom w:val="nil"/>
              <w:right w:val="nil"/>
            </w:tcBorders>
            <w:shd w:val="clear" w:color="auto" w:fill="auto"/>
            <w:noWrap/>
            <w:vAlign w:val="bottom"/>
            <w:hideMark/>
          </w:tcPr>
          <w:p w14:paraId="210AC254"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(0.0541)</w:t>
            </w:r>
          </w:p>
        </w:tc>
        <w:tc>
          <w:tcPr>
            <w:tcW w:w="1523" w:type="dxa"/>
            <w:tcBorders>
              <w:top w:val="nil"/>
              <w:left w:val="nil"/>
              <w:bottom w:val="nil"/>
              <w:right w:val="nil"/>
            </w:tcBorders>
            <w:shd w:val="clear" w:color="auto" w:fill="auto"/>
            <w:noWrap/>
            <w:vAlign w:val="bottom"/>
            <w:hideMark/>
          </w:tcPr>
          <w:p w14:paraId="34CDC989"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(0.0535)</w:t>
            </w:r>
          </w:p>
        </w:tc>
        <w:tc>
          <w:tcPr>
            <w:tcW w:w="1177" w:type="dxa"/>
            <w:tcBorders>
              <w:top w:val="nil"/>
              <w:left w:val="nil"/>
              <w:bottom w:val="nil"/>
              <w:right w:val="nil"/>
            </w:tcBorders>
            <w:shd w:val="clear" w:color="auto" w:fill="auto"/>
            <w:noWrap/>
            <w:vAlign w:val="bottom"/>
            <w:hideMark/>
          </w:tcPr>
          <w:p w14:paraId="55B96F60"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(0.0790)</w:t>
            </w:r>
          </w:p>
        </w:tc>
        <w:tc>
          <w:tcPr>
            <w:tcW w:w="1177" w:type="dxa"/>
            <w:tcBorders>
              <w:top w:val="nil"/>
              <w:left w:val="nil"/>
              <w:bottom w:val="nil"/>
              <w:right w:val="nil"/>
            </w:tcBorders>
            <w:shd w:val="clear" w:color="auto" w:fill="auto"/>
            <w:noWrap/>
            <w:vAlign w:val="bottom"/>
            <w:hideMark/>
          </w:tcPr>
          <w:p w14:paraId="45F29136"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(0.0689)</w:t>
            </w:r>
          </w:p>
        </w:tc>
        <w:tc>
          <w:tcPr>
            <w:tcW w:w="1523" w:type="dxa"/>
            <w:tcBorders>
              <w:top w:val="nil"/>
              <w:left w:val="nil"/>
              <w:bottom w:val="nil"/>
              <w:right w:val="nil"/>
            </w:tcBorders>
            <w:shd w:val="clear" w:color="auto" w:fill="auto"/>
            <w:noWrap/>
            <w:vAlign w:val="bottom"/>
            <w:hideMark/>
          </w:tcPr>
          <w:p w14:paraId="05B9AE92"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(0.0687)</w:t>
            </w:r>
          </w:p>
        </w:tc>
      </w:tr>
      <w:tr w:rsidR="00C01930" w:rsidRPr="00C01930" w14:paraId="499C28ED" w14:textId="77777777" w:rsidTr="00C01930">
        <w:trPr>
          <w:trHeight w:val="280"/>
          <w:jc w:val="center"/>
        </w:trPr>
        <w:tc>
          <w:tcPr>
            <w:tcW w:w="2880" w:type="dxa"/>
            <w:tcBorders>
              <w:top w:val="nil"/>
              <w:left w:val="nil"/>
              <w:bottom w:val="nil"/>
              <w:right w:val="nil"/>
            </w:tcBorders>
            <w:shd w:val="clear" w:color="auto" w:fill="auto"/>
            <w:noWrap/>
            <w:hideMark/>
          </w:tcPr>
          <w:p w14:paraId="7DFC463A" w14:textId="135F21AC" w:rsidR="00C01930" w:rsidRPr="00C01930" w:rsidRDefault="00C01930" w:rsidP="00577BB2">
            <w:pPr>
              <w:rPr>
                <w:rFonts w:ascii="Calibri" w:eastAsia="Times New Roman" w:hAnsi="Calibri" w:cs="Times New Roman"/>
                <w:sz w:val="20"/>
                <w:szCs w:val="20"/>
              </w:rPr>
            </w:pPr>
            <w:r w:rsidRPr="00C01930">
              <w:rPr>
                <w:rFonts w:eastAsia="Times New Roman" w:cstheme="minorHAnsi"/>
                <w:sz w:val="20"/>
                <w:szCs w:val="20"/>
              </w:rPr>
              <w:t>Population growth</w:t>
            </w:r>
          </w:p>
        </w:tc>
        <w:tc>
          <w:tcPr>
            <w:tcW w:w="1177" w:type="dxa"/>
            <w:tcBorders>
              <w:top w:val="nil"/>
              <w:left w:val="nil"/>
              <w:bottom w:val="nil"/>
              <w:right w:val="nil"/>
            </w:tcBorders>
            <w:shd w:val="clear" w:color="auto" w:fill="auto"/>
            <w:noWrap/>
            <w:vAlign w:val="bottom"/>
            <w:hideMark/>
          </w:tcPr>
          <w:p w14:paraId="521F177B"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-0.736***</w:t>
            </w:r>
          </w:p>
        </w:tc>
        <w:tc>
          <w:tcPr>
            <w:tcW w:w="1177" w:type="dxa"/>
            <w:tcBorders>
              <w:top w:val="nil"/>
              <w:left w:val="nil"/>
              <w:bottom w:val="nil"/>
              <w:right w:val="nil"/>
            </w:tcBorders>
            <w:shd w:val="clear" w:color="auto" w:fill="auto"/>
            <w:noWrap/>
            <w:vAlign w:val="bottom"/>
            <w:hideMark/>
          </w:tcPr>
          <w:p w14:paraId="0DD49FA1"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-0.700***</w:t>
            </w:r>
          </w:p>
        </w:tc>
        <w:tc>
          <w:tcPr>
            <w:tcW w:w="1523" w:type="dxa"/>
            <w:tcBorders>
              <w:top w:val="nil"/>
              <w:left w:val="nil"/>
              <w:bottom w:val="nil"/>
              <w:right w:val="nil"/>
            </w:tcBorders>
            <w:shd w:val="clear" w:color="auto" w:fill="auto"/>
            <w:noWrap/>
            <w:vAlign w:val="bottom"/>
            <w:hideMark/>
          </w:tcPr>
          <w:p w14:paraId="30FCA414"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-0.794***</w:t>
            </w:r>
          </w:p>
        </w:tc>
        <w:tc>
          <w:tcPr>
            <w:tcW w:w="1177" w:type="dxa"/>
            <w:tcBorders>
              <w:top w:val="nil"/>
              <w:left w:val="nil"/>
              <w:bottom w:val="nil"/>
              <w:right w:val="nil"/>
            </w:tcBorders>
            <w:shd w:val="clear" w:color="auto" w:fill="auto"/>
            <w:noWrap/>
            <w:vAlign w:val="bottom"/>
            <w:hideMark/>
          </w:tcPr>
          <w:p w14:paraId="672F5CC5"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-0.728**</w:t>
            </w:r>
          </w:p>
        </w:tc>
        <w:tc>
          <w:tcPr>
            <w:tcW w:w="1177" w:type="dxa"/>
            <w:tcBorders>
              <w:top w:val="nil"/>
              <w:left w:val="nil"/>
              <w:bottom w:val="nil"/>
              <w:right w:val="nil"/>
            </w:tcBorders>
            <w:shd w:val="clear" w:color="auto" w:fill="auto"/>
            <w:noWrap/>
            <w:vAlign w:val="bottom"/>
            <w:hideMark/>
          </w:tcPr>
          <w:p w14:paraId="1F06D2AD"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-0.713**</w:t>
            </w:r>
          </w:p>
        </w:tc>
        <w:tc>
          <w:tcPr>
            <w:tcW w:w="1523" w:type="dxa"/>
            <w:tcBorders>
              <w:top w:val="nil"/>
              <w:left w:val="nil"/>
              <w:bottom w:val="nil"/>
              <w:right w:val="nil"/>
            </w:tcBorders>
            <w:shd w:val="clear" w:color="auto" w:fill="auto"/>
            <w:noWrap/>
            <w:vAlign w:val="bottom"/>
            <w:hideMark/>
          </w:tcPr>
          <w:p w14:paraId="63CCF9E8"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-0.777***</w:t>
            </w:r>
          </w:p>
        </w:tc>
      </w:tr>
      <w:tr w:rsidR="00577BB2" w:rsidRPr="00C01930" w14:paraId="01B52A18"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06DAD84E"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14A8D166"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(0.201)</w:t>
            </w:r>
          </w:p>
        </w:tc>
        <w:tc>
          <w:tcPr>
            <w:tcW w:w="1177" w:type="dxa"/>
            <w:tcBorders>
              <w:top w:val="nil"/>
              <w:left w:val="nil"/>
              <w:bottom w:val="nil"/>
              <w:right w:val="nil"/>
            </w:tcBorders>
            <w:shd w:val="clear" w:color="auto" w:fill="auto"/>
            <w:noWrap/>
            <w:vAlign w:val="bottom"/>
            <w:hideMark/>
          </w:tcPr>
          <w:p w14:paraId="2B75FE36"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(0.203)</w:t>
            </w:r>
          </w:p>
        </w:tc>
        <w:tc>
          <w:tcPr>
            <w:tcW w:w="1523" w:type="dxa"/>
            <w:tcBorders>
              <w:top w:val="nil"/>
              <w:left w:val="nil"/>
              <w:bottom w:val="nil"/>
              <w:right w:val="nil"/>
            </w:tcBorders>
            <w:shd w:val="clear" w:color="auto" w:fill="auto"/>
            <w:noWrap/>
            <w:vAlign w:val="bottom"/>
            <w:hideMark/>
          </w:tcPr>
          <w:p w14:paraId="68A63462"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(0.204)</w:t>
            </w:r>
          </w:p>
        </w:tc>
        <w:tc>
          <w:tcPr>
            <w:tcW w:w="1177" w:type="dxa"/>
            <w:tcBorders>
              <w:top w:val="nil"/>
              <w:left w:val="nil"/>
              <w:bottom w:val="nil"/>
              <w:right w:val="nil"/>
            </w:tcBorders>
            <w:shd w:val="clear" w:color="auto" w:fill="auto"/>
            <w:noWrap/>
            <w:vAlign w:val="bottom"/>
            <w:hideMark/>
          </w:tcPr>
          <w:p w14:paraId="4B347A7A"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(0.291)</w:t>
            </w:r>
          </w:p>
        </w:tc>
        <w:tc>
          <w:tcPr>
            <w:tcW w:w="1177" w:type="dxa"/>
            <w:tcBorders>
              <w:top w:val="nil"/>
              <w:left w:val="nil"/>
              <w:bottom w:val="nil"/>
              <w:right w:val="nil"/>
            </w:tcBorders>
            <w:shd w:val="clear" w:color="auto" w:fill="auto"/>
            <w:noWrap/>
            <w:vAlign w:val="bottom"/>
            <w:hideMark/>
          </w:tcPr>
          <w:p w14:paraId="374B8339"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(0.298)</w:t>
            </w:r>
          </w:p>
        </w:tc>
        <w:tc>
          <w:tcPr>
            <w:tcW w:w="1523" w:type="dxa"/>
            <w:tcBorders>
              <w:top w:val="nil"/>
              <w:left w:val="nil"/>
              <w:bottom w:val="nil"/>
              <w:right w:val="nil"/>
            </w:tcBorders>
            <w:shd w:val="clear" w:color="auto" w:fill="auto"/>
            <w:noWrap/>
            <w:vAlign w:val="bottom"/>
            <w:hideMark/>
          </w:tcPr>
          <w:p w14:paraId="66F5E092"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(0.287)</w:t>
            </w:r>
          </w:p>
        </w:tc>
      </w:tr>
      <w:tr w:rsidR="00C01930" w:rsidRPr="00C01930" w14:paraId="0B26D90A" w14:textId="77777777" w:rsidTr="007D12A4">
        <w:trPr>
          <w:trHeight w:val="280"/>
          <w:jc w:val="center"/>
        </w:trPr>
        <w:tc>
          <w:tcPr>
            <w:tcW w:w="2880" w:type="dxa"/>
            <w:tcBorders>
              <w:top w:val="nil"/>
              <w:left w:val="nil"/>
              <w:bottom w:val="nil"/>
              <w:right w:val="nil"/>
            </w:tcBorders>
            <w:shd w:val="clear" w:color="auto" w:fill="auto"/>
            <w:noWrap/>
            <w:hideMark/>
          </w:tcPr>
          <w:p w14:paraId="1E1C8129" w14:textId="7AECAF49" w:rsidR="00C01930" w:rsidRPr="00C01930" w:rsidRDefault="00C01930" w:rsidP="00577BB2">
            <w:pPr>
              <w:rPr>
                <w:rFonts w:ascii="Calibri" w:eastAsia="Times New Roman" w:hAnsi="Calibri" w:cs="Times New Roman"/>
                <w:sz w:val="20"/>
                <w:szCs w:val="20"/>
              </w:rPr>
            </w:pPr>
            <w:r w:rsidRPr="00C01930">
              <w:rPr>
                <w:rFonts w:eastAsia="Times New Roman" w:cstheme="minorHAnsi"/>
                <w:sz w:val="20"/>
                <w:szCs w:val="20"/>
              </w:rPr>
              <w:t>GDP per capita</w:t>
            </w:r>
          </w:p>
        </w:tc>
        <w:tc>
          <w:tcPr>
            <w:tcW w:w="1177" w:type="dxa"/>
            <w:tcBorders>
              <w:top w:val="nil"/>
              <w:left w:val="nil"/>
              <w:bottom w:val="nil"/>
              <w:right w:val="nil"/>
            </w:tcBorders>
            <w:shd w:val="clear" w:color="auto" w:fill="auto"/>
            <w:noWrap/>
            <w:vAlign w:val="bottom"/>
            <w:hideMark/>
          </w:tcPr>
          <w:p w14:paraId="4693BC57"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1.77e-05</w:t>
            </w:r>
          </w:p>
        </w:tc>
        <w:tc>
          <w:tcPr>
            <w:tcW w:w="1177" w:type="dxa"/>
            <w:tcBorders>
              <w:top w:val="nil"/>
              <w:left w:val="nil"/>
              <w:bottom w:val="nil"/>
              <w:right w:val="nil"/>
            </w:tcBorders>
            <w:shd w:val="clear" w:color="auto" w:fill="auto"/>
            <w:noWrap/>
            <w:vAlign w:val="bottom"/>
            <w:hideMark/>
          </w:tcPr>
          <w:p w14:paraId="2CAD3A29"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6.58e-06</w:t>
            </w:r>
          </w:p>
        </w:tc>
        <w:tc>
          <w:tcPr>
            <w:tcW w:w="1523" w:type="dxa"/>
            <w:tcBorders>
              <w:top w:val="nil"/>
              <w:left w:val="nil"/>
              <w:bottom w:val="nil"/>
              <w:right w:val="nil"/>
            </w:tcBorders>
            <w:shd w:val="clear" w:color="auto" w:fill="auto"/>
            <w:noWrap/>
            <w:vAlign w:val="bottom"/>
            <w:hideMark/>
          </w:tcPr>
          <w:p w14:paraId="0C9D0799"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1.33e-05</w:t>
            </w:r>
          </w:p>
        </w:tc>
        <w:tc>
          <w:tcPr>
            <w:tcW w:w="1177" w:type="dxa"/>
            <w:tcBorders>
              <w:top w:val="nil"/>
              <w:left w:val="nil"/>
              <w:bottom w:val="nil"/>
              <w:right w:val="nil"/>
            </w:tcBorders>
            <w:shd w:val="clear" w:color="auto" w:fill="auto"/>
            <w:noWrap/>
            <w:vAlign w:val="bottom"/>
            <w:hideMark/>
          </w:tcPr>
          <w:p w14:paraId="7F391DBE"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1.68e-05</w:t>
            </w:r>
          </w:p>
        </w:tc>
        <w:tc>
          <w:tcPr>
            <w:tcW w:w="1177" w:type="dxa"/>
            <w:tcBorders>
              <w:top w:val="nil"/>
              <w:left w:val="nil"/>
              <w:bottom w:val="nil"/>
              <w:right w:val="nil"/>
            </w:tcBorders>
            <w:shd w:val="clear" w:color="auto" w:fill="auto"/>
            <w:noWrap/>
            <w:vAlign w:val="bottom"/>
            <w:hideMark/>
          </w:tcPr>
          <w:p w14:paraId="4D3705D2"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4.40e-06</w:t>
            </w:r>
          </w:p>
        </w:tc>
        <w:tc>
          <w:tcPr>
            <w:tcW w:w="1523" w:type="dxa"/>
            <w:tcBorders>
              <w:top w:val="nil"/>
              <w:left w:val="nil"/>
              <w:bottom w:val="nil"/>
              <w:right w:val="nil"/>
            </w:tcBorders>
            <w:shd w:val="clear" w:color="auto" w:fill="auto"/>
            <w:noWrap/>
            <w:vAlign w:val="bottom"/>
            <w:hideMark/>
          </w:tcPr>
          <w:p w14:paraId="52E7369C"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1.28e-05</w:t>
            </w:r>
          </w:p>
        </w:tc>
      </w:tr>
      <w:tr w:rsidR="00C01930" w:rsidRPr="00C01930" w14:paraId="053CBF66" w14:textId="77777777" w:rsidTr="007D12A4">
        <w:trPr>
          <w:trHeight w:val="280"/>
          <w:jc w:val="center"/>
        </w:trPr>
        <w:tc>
          <w:tcPr>
            <w:tcW w:w="2880" w:type="dxa"/>
            <w:tcBorders>
              <w:top w:val="nil"/>
              <w:left w:val="nil"/>
              <w:bottom w:val="nil"/>
              <w:right w:val="nil"/>
            </w:tcBorders>
            <w:shd w:val="clear" w:color="auto" w:fill="auto"/>
            <w:noWrap/>
            <w:hideMark/>
          </w:tcPr>
          <w:p w14:paraId="6C610A5B" w14:textId="77777777" w:rsidR="00C01930" w:rsidRPr="00C01930" w:rsidRDefault="00C01930"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61D727F6"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(1.36e-05)</w:t>
            </w:r>
          </w:p>
        </w:tc>
        <w:tc>
          <w:tcPr>
            <w:tcW w:w="1177" w:type="dxa"/>
            <w:tcBorders>
              <w:top w:val="nil"/>
              <w:left w:val="nil"/>
              <w:bottom w:val="nil"/>
              <w:right w:val="nil"/>
            </w:tcBorders>
            <w:shd w:val="clear" w:color="auto" w:fill="auto"/>
            <w:noWrap/>
            <w:vAlign w:val="bottom"/>
            <w:hideMark/>
          </w:tcPr>
          <w:p w14:paraId="1624FF95"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(1.93e-05)</w:t>
            </w:r>
          </w:p>
        </w:tc>
        <w:tc>
          <w:tcPr>
            <w:tcW w:w="1523" w:type="dxa"/>
            <w:tcBorders>
              <w:top w:val="nil"/>
              <w:left w:val="nil"/>
              <w:bottom w:val="nil"/>
              <w:right w:val="nil"/>
            </w:tcBorders>
            <w:shd w:val="clear" w:color="auto" w:fill="auto"/>
            <w:noWrap/>
            <w:vAlign w:val="bottom"/>
            <w:hideMark/>
          </w:tcPr>
          <w:p w14:paraId="246DAA3B"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(1.31e-05)</w:t>
            </w:r>
          </w:p>
        </w:tc>
        <w:tc>
          <w:tcPr>
            <w:tcW w:w="1177" w:type="dxa"/>
            <w:tcBorders>
              <w:top w:val="nil"/>
              <w:left w:val="nil"/>
              <w:bottom w:val="nil"/>
              <w:right w:val="nil"/>
            </w:tcBorders>
            <w:shd w:val="clear" w:color="auto" w:fill="auto"/>
            <w:noWrap/>
            <w:vAlign w:val="bottom"/>
            <w:hideMark/>
          </w:tcPr>
          <w:p w14:paraId="1E286EA1"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(2.10e-05)</w:t>
            </w:r>
          </w:p>
        </w:tc>
        <w:tc>
          <w:tcPr>
            <w:tcW w:w="1177" w:type="dxa"/>
            <w:tcBorders>
              <w:top w:val="nil"/>
              <w:left w:val="nil"/>
              <w:bottom w:val="nil"/>
              <w:right w:val="nil"/>
            </w:tcBorders>
            <w:shd w:val="clear" w:color="auto" w:fill="auto"/>
            <w:noWrap/>
            <w:vAlign w:val="bottom"/>
            <w:hideMark/>
          </w:tcPr>
          <w:p w14:paraId="1028DE1F"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(3.29e-05)</w:t>
            </w:r>
          </w:p>
        </w:tc>
        <w:tc>
          <w:tcPr>
            <w:tcW w:w="1523" w:type="dxa"/>
            <w:tcBorders>
              <w:top w:val="nil"/>
              <w:left w:val="nil"/>
              <w:bottom w:val="nil"/>
              <w:right w:val="nil"/>
            </w:tcBorders>
            <w:shd w:val="clear" w:color="auto" w:fill="auto"/>
            <w:noWrap/>
            <w:vAlign w:val="bottom"/>
            <w:hideMark/>
          </w:tcPr>
          <w:p w14:paraId="0ADE179E"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(1.98e-05)</w:t>
            </w:r>
          </w:p>
        </w:tc>
      </w:tr>
      <w:tr w:rsidR="00C01930" w:rsidRPr="00C01930" w14:paraId="4FF686B0" w14:textId="77777777" w:rsidTr="007D12A4">
        <w:trPr>
          <w:trHeight w:val="280"/>
          <w:jc w:val="center"/>
        </w:trPr>
        <w:tc>
          <w:tcPr>
            <w:tcW w:w="2880" w:type="dxa"/>
            <w:tcBorders>
              <w:top w:val="nil"/>
              <w:left w:val="nil"/>
              <w:bottom w:val="nil"/>
              <w:right w:val="nil"/>
            </w:tcBorders>
            <w:shd w:val="clear" w:color="auto" w:fill="auto"/>
            <w:noWrap/>
            <w:hideMark/>
          </w:tcPr>
          <w:p w14:paraId="06876BF9" w14:textId="4EE86B8B" w:rsidR="00C01930" w:rsidRPr="00C01930" w:rsidRDefault="00C01930" w:rsidP="00577BB2">
            <w:pPr>
              <w:rPr>
                <w:rFonts w:ascii="Calibri" w:eastAsia="Times New Roman" w:hAnsi="Calibri" w:cs="Times New Roman"/>
                <w:sz w:val="20"/>
                <w:szCs w:val="20"/>
              </w:rPr>
            </w:pPr>
            <w:r w:rsidRPr="00C01930">
              <w:rPr>
                <w:rFonts w:eastAsia="Times New Roman" w:cstheme="minorHAnsi"/>
                <w:sz w:val="20"/>
                <w:szCs w:val="20"/>
              </w:rPr>
              <w:t>Exports to EU countries</w:t>
            </w:r>
          </w:p>
        </w:tc>
        <w:tc>
          <w:tcPr>
            <w:tcW w:w="1177" w:type="dxa"/>
            <w:tcBorders>
              <w:top w:val="nil"/>
              <w:left w:val="nil"/>
              <w:bottom w:val="nil"/>
              <w:right w:val="nil"/>
            </w:tcBorders>
            <w:shd w:val="clear" w:color="auto" w:fill="auto"/>
            <w:noWrap/>
            <w:vAlign w:val="bottom"/>
            <w:hideMark/>
          </w:tcPr>
          <w:p w14:paraId="1445E09D"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2.379</w:t>
            </w:r>
          </w:p>
        </w:tc>
        <w:tc>
          <w:tcPr>
            <w:tcW w:w="1177" w:type="dxa"/>
            <w:tcBorders>
              <w:top w:val="nil"/>
              <w:left w:val="nil"/>
              <w:bottom w:val="nil"/>
              <w:right w:val="nil"/>
            </w:tcBorders>
            <w:shd w:val="clear" w:color="auto" w:fill="auto"/>
            <w:noWrap/>
            <w:vAlign w:val="bottom"/>
            <w:hideMark/>
          </w:tcPr>
          <w:p w14:paraId="57C6A081"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2.063</w:t>
            </w:r>
          </w:p>
        </w:tc>
        <w:tc>
          <w:tcPr>
            <w:tcW w:w="1523" w:type="dxa"/>
            <w:tcBorders>
              <w:top w:val="nil"/>
              <w:left w:val="nil"/>
              <w:bottom w:val="nil"/>
              <w:right w:val="nil"/>
            </w:tcBorders>
            <w:shd w:val="clear" w:color="auto" w:fill="auto"/>
            <w:noWrap/>
            <w:vAlign w:val="bottom"/>
            <w:hideMark/>
          </w:tcPr>
          <w:p w14:paraId="7A085AEA"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2.374</w:t>
            </w:r>
          </w:p>
        </w:tc>
        <w:tc>
          <w:tcPr>
            <w:tcW w:w="1177" w:type="dxa"/>
            <w:tcBorders>
              <w:top w:val="nil"/>
              <w:left w:val="nil"/>
              <w:bottom w:val="nil"/>
              <w:right w:val="nil"/>
            </w:tcBorders>
            <w:shd w:val="clear" w:color="auto" w:fill="auto"/>
            <w:noWrap/>
            <w:vAlign w:val="bottom"/>
            <w:hideMark/>
          </w:tcPr>
          <w:p w14:paraId="2D94ABFC"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1.533</w:t>
            </w:r>
          </w:p>
        </w:tc>
        <w:tc>
          <w:tcPr>
            <w:tcW w:w="1177" w:type="dxa"/>
            <w:tcBorders>
              <w:top w:val="nil"/>
              <w:left w:val="nil"/>
              <w:bottom w:val="nil"/>
              <w:right w:val="nil"/>
            </w:tcBorders>
            <w:shd w:val="clear" w:color="auto" w:fill="auto"/>
            <w:noWrap/>
            <w:vAlign w:val="bottom"/>
            <w:hideMark/>
          </w:tcPr>
          <w:p w14:paraId="3B96A875"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1.309</w:t>
            </w:r>
          </w:p>
        </w:tc>
        <w:tc>
          <w:tcPr>
            <w:tcW w:w="1523" w:type="dxa"/>
            <w:tcBorders>
              <w:top w:val="nil"/>
              <w:left w:val="nil"/>
              <w:bottom w:val="nil"/>
              <w:right w:val="nil"/>
            </w:tcBorders>
            <w:shd w:val="clear" w:color="auto" w:fill="auto"/>
            <w:noWrap/>
            <w:vAlign w:val="bottom"/>
            <w:hideMark/>
          </w:tcPr>
          <w:p w14:paraId="1DC9560A" w14:textId="77777777" w:rsidR="00C01930" w:rsidRPr="00C01930" w:rsidRDefault="00C01930"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1.692</w:t>
            </w:r>
          </w:p>
        </w:tc>
      </w:tr>
      <w:tr w:rsidR="00577BB2" w:rsidRPr="00C01930" w14:paraId="46B60CCF"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3F99EB99"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0EF0285F"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(1.739)</w:t>
            </w:r>
          </w:p>
        </w:tc>
        <w:tc>
          <w:tcPr>
            <w:tcW w:w="1177" w:type="dxa"/>
            <w:tcBorders>
              <w:top w:val="nil"/>
              <w:left w:val="nil"/>
              <w:bottom w:val="nil"/>
              <w:right w:val="nil"/>
            </w:tcBorders>
            <w:shd w:val="clear" w:color="auto" w:fill="auto"/>
            <w:noWrap/>
            <w:vAlign w:val="bottom"/>
            <w:hideMark/>
          </w:tcPr>
          <w:p w14:paraId="2E498B8C"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(1.822)</w:t>
            </w:r>
          </w:p>
        </w:tc>
        <w:tc>
          <w:tcPr>
            <w:tcW w:w="1523" w:type="dxa"/>
            <w:tcBorders>
              <w:top w:val="nil"/>
              <w:left w:val="nil"/>
              <w:bottom w:val="nil"/>
              <w:right w:val="nil"/>
            </w:tcBorders>
            <w:shd w:val="clear" w:color="auto" w:fill="auto"/>
            <w:noWrap/>
            <w:vAlign w:val="bottom"/>
            <w:hideMark/>
          </w:tcPr>
          <w:p w14:paraId="567B34D4"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(1.702)</w:t>
            </w:r>
          </w:p>
        </w:tc>
        <w:tc>
          <w:tcPr>
            <w:tcW w:w="1177" w:type="dxa"/>
            <w:tcBorders>
              <w:top w:val="nil"/>
              <w:left w:val="nil"/>
              <w:bottom w:val="nil"/>
              <w:right w:val="nil"/>
            </w:tcBorders>
            <w:shd w:val="clear" w:color="auto" w:fill="auto"/>
            <w:noWrap/>
            <w:vAlign w:val="bottom"/>
            <w:hideMark/>
          </w:tcPr>
          <w:p w14:paraId="4FA680FB"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(2.738)</w:t>
            </w:r>
          </w:p>
        </w:tc>
        <w:tc>
          <w:tcPr>
            <w:tcW w:w="1177" w:type="dxa"/>
            <w:tcBorders>
              <w:top w:val="nil"/>
              <w:left w:val="nil"/>
              <w:bottom w:val="nil"/>
              <w:right w:val="nil"/>
            </w:tcBorders>
            <w:shd w:val="clear" w:color="auto" w:fill="auto"/>
            <w:noWrap/>
            <w:vAlign w:val="bottom"/>
            <w:hideMark/>
          </w:tcPr>
          <w:p w14:paraId="41AF0077"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(2.813)</w:t>
            </w:r>
          </w:p>
        </w:tc>
        <w:tc>
          <w:tcPr>
            <w:tcW w:w="1523" w:type="dxa"/>
            <w:tcBorders>
              <w:top w:val="nil"/>
              <w:left w:val="nil"/>
              <w:bottom w:val="nil"/>
              <w:right w:val="nil"/>
            </w:tcBorders>
            <w:shd w:val="clear" w:color="auto" w:fill="auto"/>
            <w:noWrap/>
            <w:vAlign w:val="bottom"/>
            <w:hideMark/>
          </w:tcPr>
          <w:p w14:paraId="71B1A28E"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(2.670)</w:t>
            </w:r>
          </w:p>
        </w:tc>
      </w:tr>
      <w:tr w:rsidR="00577BB2" w:rsidRPr="00C01930" w14:paraId="5C0D33E2"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51163857" w14:textId="457286F7" w:rsidR="00577BB2" w:rsidRPr="00C01930" w:rsidRDefault="00577BB2" w:rsidP="00577BB2">
            <w:pPr>
              <w:rPr>
                <w:rFonts w:ascii="Calibri" w:eastAsia="Times New Roman" w:hAnsi="Calibri" w:cs="Times New Roman"/>
                <w:sz w:val="20"/>
                <w:szCs w:val="20"/>
              </w:rPr>
            </w:pPr>
            <w:r w:rsidRPr="00C01930">
              <w:rPr>
                <w:rFonts w:ascii="Calibri" w:eastAsia="Times New Roman" w:hAnsi="Calibri" w:cs="Times New Roman"/>
                <w:sz w:val="20"/>
                <w:szCs w:val="20"/>
              </w:rPr>
              <w:t>EU15</w:t>
            </w:r>
            <w:r w:rsidR="00C01930" w:rsidRPr="00C01930">
              <w:rPr>
                <w:rFonts w:ascii="Calibri" w:eastAsia="Times New Roman" w:hAnsi="Calibri" w:cs="Times New Roman"/>
                <w:sz w:val="20"/>
                <w:szCs w:val="20"/>
              </w:rPr>
              <w:t xml:space="preserve"> country</w:t>
            </w:r>
          </w:p>
        </w:tc>
        <w:tc>
          <w:tcPr>
            <w:tcW w:w="1177" w:type="dxa"/>
            <w:tcBorders>
              <w:top w:val="nil"/>
              <w:left w:val="nil"/>
              <w:bottom w:val="nil"/>
              <w:right w:val="nil"/>
            </w:tcBorders>
            <w:shd w:val="clear" w:color="auto" w:fill="auto"/>
            <w:noWrap/>
            <w:vAlign w:val="bottom"/>
            <w:hideMark/>
          </w:tcPr>
          <w:p w14:paraId="5C7C44F5" w14:textId="77777777" w:rsidR="00577BB2" w:rsidRPr="00C01930" w:rsidRDefault="00577BB2" w:rsidP="00577BB2">
            <w:pPr>
              <w:jc w:val="cente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266E65AA"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0.184</w:t>
            </w:r>
          </w:p>
        </w:tc>
        <w:tc>
          <w:tcPr>
            <w:tcW w:w="1523" w:type="dxa"/>
            <w:tcBorders>
              <w:top w:val="nil"/>
              <w:left w:val="nil"/>
              <w:bottom w:val="nil"/>
              <w:right w:val="nil"/>
            </w:tcBorders>
            <w:shd w:val="clear" w:color="auto" w:fill="auto"/>
            <w:noWrap/>
            <w:vAlign w:val="bottom"/>
            <w:hideMark/>
          </w:tcPr>
          <w:p w14:paraId="743EEB7E" w14:textId="77777777" w:rsidR="00577BB2" w:rsidRPr="00C01930" w:rsidRDefault="00577BB2" w:rsidP="00577BB2">
            <w:pPr>
              <w:jc w:val="cente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2CDD3E94" w14:textId="77777777" w:rsidR="00577BB2" w:rsidRPr="00C01930" w:rsidRDefault="00577BB2" w:rsidP="00577BB2">
            <w:pPr>
              <w:jc w:val="cente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3EB68CB5"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0.201</w:t>
            </w:r>
          </w:p>
        </w:tc>
        <w:tc>
          <w:tcPr>
            <w:tcW w:w="1523" w:type="dxa"/>
            <w:tcBorders>
              <w:top w:val="nil"/>
              <w:left w:val="nil"/>
              <w:bottom w:val="nil"/>
              <w:right w:val="nil"/>
            </w:tcBorders>
            <w:shd w:val="clear" w:color="auto" w:fill="auto"/>
            <w:noWrap/>
            <w:vAlign w:val="bottom"/>
            <w:hideMark/>
          </w:tcPr>
          <w:p w14:paraId="7C40C687" w14:textId="77777777" w:rsidR="00577BB2" w:rsidRPr="00C01930" w:rsidRDefault="00577BB2" w:rsidP="00577BB2">
            <w:pPr>
              <w:jc w:val="center"/>
              <w:rPr>
                <w:rFonts w:ascii="Calibri" w:eastAsia="Times New Roman" w:hAnsi="Calibri" w:cs="Times New Roman"/>
                <w:sz w:val="20"/>
                <w:szCs w:val="20"/>
              </w:rPr>
            </w:pPr>
          </w:p>
        </w:tc>
      </w:tr>
      <w:tr w:rsidR="00577BB2" w:rsidRPr="00C01930" w14:paraId="37024753"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018C5546"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7FB00EAE" w14:textId="77777777" w:rsidR="00577BB2" w:rsidRPr="00C01930" w:rsidRDefault="00577BB2" w:rsidP="00577BB2">
            <w:pPr>
              <w:jc w:val="cente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20302884"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(0.421)</w:t>
            </w:r>
          </w:p>
        </w:tc>
        <w:tc>
          <w:tcPr>
            <w:tcW w:w="1523" w:type="dxa"/>
            <w:tcBorders>
              <w:top w:val="nil"/>
              <w:left w:val="nil"/>
              <w:bottom w:val="nil"/>
              <w:right w:val="nil"/>
            </w:tcBorders>
            <w:shd w:val="clear" w:color="auto" w:fill="auto"/>
            <w:noWrap/>
            <w:vAlign w:val="bottom"/>
            <w:hideMark/>
          </w:tcPr>
          <w:p w14:paraId="728F2658" w14:textId="77777777" w:rsidR="00577BB2" w:rsidRPr="00C01930" w:rsidRDefault="00577BB2" w:rsidP="00577BB2">
            <w:pPr>
              <w:jc w:val="cente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78BEE85D" w14:textId="77777777" w:rsidR="00577BB2" w:rsidRPr="00C01930" w:rsidRDefault="00577BB2" w:rsidP="00577BB2">
            <w:pPr>
              <w:jc w:val="cente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4EE5354A"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(0.673)</w:t>
            </w:r>
          </w:p>
        </w:tc>
        <w:tc>
          <w:tcPr>
            <w:tcW w:w="1523" w:type="dxa"/>
            <w:tcBorders>
              <w:top w:val="nil"/>
              <w:left w:val="nil"/>
              <w:bottom w:val="nil"/>
              <w:right w:val="nil"/>
            </w:tcBorders>
            <w:shd w:val="clear" w:color="auto" w:fill="auto"/>
            <w:noWrap/>
            <w:vAlign w:val="bottom"/>
            <w:hideMark/>
          </w:tcPr>
          <w:p w14:paraId="4A3A3B50" w14:textId="77777777" w:rsidR="00577BB2" w:rsidRPr="00C01930" w:rsidRDefault="00577BB2" w:rsidP="00577BB2">
            <w:pPr>
              <w:jc w:val="center"/>
              <w:rPr>
                <w:rFonts w:ascii="Calibri" w:eastAsia="Times New Roman" w:hAnsi="Calibri" w:cs="Times New Roman"/>
                <w:sz w:val="20"/>
                <w:szCs w:val="20"/>
              </w:rPr>
            </w:pPr>
          </w:p>
        </w:tc>
      </w:tr>
      <w:tr w:rsidR="00577BB2" w:rsidRPr="00C01930" w14:paraId="06A7B0F0"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6D771E21" w14:textId="72E6DAB0" w:rsidR="00577BB2" w:rsidRPr="00C01930" w:rsidRDefault="00C01930" w:rsidP="00577BB2">
            <w:pPr>
              <w:rPr>
                <w:rFonts w:ascii="Calibri" w:eastAsia="Times New Roman" w:hAnsi="Calibri" w:cs="Times New Roman"/>
                <w:sz w:val="20"/>
                <w:szCs w:val="20"/>
              </w:rPr>
            </w:pPr>
            <w:r w:rsidRPr="00C01930">
              <w:rPr>
                <w:rFonts w:ascii="Calibri" w:eastAsia="Times New Roman" w:hAnsi="Calibri" w:cs="Times New Roman"/>
                <w:sz w:val="20"/>
                <w:szCs w:val="20"/>
              </w:rPr>
              <w:t>Joint implementation (net)</w:t>
            </w:r>
          </w:p>
        </w:tc>
        <w:tc>
          <w:tcPr>
            <w:tcW w:w="1177" w:type="dxa"/>
            <w:tcBorders>
              <w:top w:val="nil"/>
              <w:left w:val="nil"/>
              <w:bottom w:val="nil"/>
              <w:right w:val="nil"/>
            </w:tcBorders>
            <w:shd w:val="clear" w:color="auto" w:fill="auto"/>
            <w:noWrap/>
            <w:vAlign w:val="bottom"/>
            <w:hideMark/>
          </w:tcPr>
          <w:p w14:paraId="0DCBD62C" w14:textId="77777777" w:rsidR="00577BB2" w:rsidRPr="00C01930" w:rsidRDefault="00577BB2" w:rsidP="00577BB2">
            <w:pPr>
              <w:jc w:val="cente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5FE404F6" w14:textId="77777777" w:rsidR="00577BB2" w:rsidRPr="00C01930" w:rsidRDefault="00577BB2" w:rsidP="00577BB2">
            <w:pPr>
              <w:jc w:val="center"/>
              <w:rPr>
                <w:rFonts w:ascii="Calibri" w:eastAsia="Times New Roman" w:hAnsi="Calibri" w:cs="Times New Roman"/>
                <w:sz w:val="20"/>
                <w:szCs w:val="20"/>
              </w:rPr>
            </w:pPr>
          </w:p>
        </w:tc>
        <w:tc>
          <w:tcPr>
            <w:tcW w:w="1523" w:type="dxa"/>
            <w:tcBorders>
              <w:top w:val="nil"/>
              <w:left w:val="nil"/>
              <w:bottom w:val="nil"/>
              <w:right w:val="nil"/>
            </w:tcBorders>
            <w:shd w:val="clear" w:color="auto" w:fill="auto"/>
            <w:noWrap/>
            <w:vAlign w:val="bottom"/>
            <w:hideMark/>
          </w:tcPr>
          <w:p w14:paraId="499F4D4C"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-4.37e-06</w:t>
            </w:r>
          </w:p>
        </w:tc>
        <w:tc>
          <w:tcPr>
            <w:tcW w:w="1177" w:type="dxa"/>
            <w:tcBorders>
              <w:top w:val="nil"/>
              <w:left w:val="nil"/>
              <w:bottom w:val="nil"/>
              <w:right w:val="nil"/>
            </w:tcBorders>
            <w:shd w:val="clear" w:color="auto" w:fill="auto"/>
            <w:noWrap/>
            <w:vAlign w:val="bottom"/>
            <w:hideMark/>
          </w:tcPr>
          <w:p w14:paraId="7F654714" w14:textId="77777777" w:rsidR="00577BB2" w:rsidRPr="00C01930" w:rsidRDefault="00577BB2" w:rsidP="00577BB2">
            <w:pPr>
              <w:jc w:val="cente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6B64CEBD" w14:textId="77777777" w:rsidR="00577BB2" w:rsidRPr="00C01930" w:rsidRDefault="00577BB2" w:rsidP="00577BB2">
            <w:pPr>
              <w:jc w:val="center"/>
              <w:rPr>
                <w:rFonts w:ascii="Calibri" w:eastAsia="Times New Roman" w:hAnsi="Calibri" w:cs="Times New Roman"/>
                <w:sz w:val="20"/>
                <w:szCs w:val="20"/>
              </w:rPr>
            </w:pPr>
          </w:p>
        </w:tc>
        <w:tc>
          <w:tcPr>
            <w:tcW w:w="1523" w:type="dxa"/>
            <w:tcBorders>
              <w:top w:val="nil"/>
              <w:left w:val="nil"/>
              <w:bottom w:val="nil"/>
              <w:right w:val="nil"/>
            </w:tcBorders>
            <w:shd w:val="clear" w:color="auto" w:fill="auto"/>
            <w:noWrap/>
            <w:vAlign w:val="bottom"/>
            <w:hideMark/>
          </w:tcPr>
          <w:p w14:paraId="155C07E6"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-2.92e-06</w:t>
            </w:r>
          </w:p>
        </w:tc>
      </w:tr>
      <w:tr w:rsidR="00577BB2" w:rsidRPr="00C01930" w14:paraId="6735F533"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6A3BAB5F"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0E2A4098" w14:textId="77777777" w:rsidR="00577BB2" w:rsidRPr="00C01930" w:rsidRDefault="00577BB2" w:rsidP="00577BB2">
            <w:pPr>
              <w:jc w:val="cente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05FCBBF9" w14:textId="77777777" w:rsidR="00577BB2" w:rsidRPr="00C01930" w:rsidRDefault="00577BB2" w:rsidP="00577BB2">
            <w:pPr>
              <w:jc w:val="center"/>
              <w:rPr>
                <w:rFonts w:ascii="Calibri" w:eastAsia="Times New Roman" w:hAnsi="Calibri" w:cs="Times New Roman"/>
                <w:sz w:val="20"/>
                <w:szCs w:val="20"/>
              </w:rPr>
            </w:pPr>
          </w:p>
        </w:tc>
        <w:tc>
          <w:tcPr>
            <w:tcW w:w="1523" w:type="dxa"/>
            <w:tcBorders>
              <w:top w:val="nil"/>
              <w:left w:val="nil"/>
              <w:bottom w:val="nil"/>
              <w:right w:val="nil"/>
            </w:tcBorders>
            <w:shd w:val="clear" w:color="auto" w:fill="auto"/>
            <w:noWrap/>
            <w:vAlign w:val="bottom"/>
            <w:hideMark/>
          </w:tcPr>
          <w:p w14:paraId="4BC3EE23"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(3.09e-06)</w:t>
            </w:r>
          </w:p>
        </w:tc>
        <w:tc>
          <w:tcPr>
            <w:tcW w:w="1177" w:type="dxa"/>
            <w:tcBorders>
              <w:top w:val="nil"/>
              <w:left w:val="nil"/>
              <w:bottom w:val="nil"/>
              <w:right w:val="nil"/>
            </w:tcBorders>
            <w:shd w:val="clear" w:color="auto" w:fill="auto"/>
            <w:noWrap/>
            <w:vAlign w:val="bottom"/>
            <w:hideMark/>
          </w:tcPr>
          <w:p w14:paraId="369394C6" w14:textId="77777777" w:rsidR="00577BB2" w:rsidRPr="00C01930" w:rsidRDefault="00577BB2" w:rsidP="00577BB2">
            <w:pPr>
              <w:jc w:val="cente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56BF4486" w14:textId="77777777" w:rsidR="00577BB2" w:rsidRPr="00C01930" w:rsidRDefault="00577BB2" w:rsidP="00577BB2">
            <w:pPr>
              <w:jc w:val="center"/>
              <w:rPr>
                <w:rFonts w:ascii="Calibri" w:eastAsia="Times New Roman" w:hAnsi="Calibri" w:cs="Times New Roman"/>
                <w:sz w:val="20"/>
                <w:szCs w:val="20"/>
              </w:rPr>
            </w:pPr>
          </w:p>
        </w:tc>
        <w:tc>
          <w:tcPr>
            <w:tcW w:w="1523" w:type="dxa"/>
            <w:tcBorders>
              <w:top w:val="nil"/>
              <w:left w:val="nil"/>
              <w:bottom w:val="nil"/>
              <w:right w:val="nil"/>
            </w:tcBorders>
            <w:shd w:val="clear" w:color="auto" w:fill="auto"/>
            <w:noWrap/>
            <w:vAlign w:val="bottom"/>
            <w:hideMark/>
          </w:tcPr>
          <w:p w14:paraId="02B4A54C"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(4.37e-06)</w:t>
            </w:r>
          </w:p>
        </w:tc>
      </w:tr>
      <w:tr w:rsidR="00577BB2" w:rsidRPr="00C01930" w14:paraId="74350E83"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1C0CA642" w14:textId="77777777" w:rsidR="00577BB2" w:rsidRPr="00C01930" w:rsidRDefault="00577BB2" w:rsidP="00577BB2">
            <w:pPr>
              <w:rPr>
                <w:rFonts w:ascii="Calibri" w:eastAsia="Times New Roman" w:hAnsi="Calibri" w:cs="Times New Roman"/>
                <w:sz w:val="20"/>
                <w:szCs w:val="20"/>
              </w:rPr>
            </w:pPr>
            <w:r w:rsidRPr="00C01930">
              <w:rPr>
                <w:rFonts w:ascii="Calibri" w:eastAsia="Times New Roman" w:hAnsi="Calibri" w:cs="Times New Roman"/>
                <w:sz w:val="20"/>
                <w:szCs w:val="20"/>
              </w:rPr>
              <w:t>Constant</w:t>
            </w:r>
          </w:p>
        </w:tc>
        <w:tc>
          <w:tcPr>
            <w:tcW w:w="1177" w:type="dxa"/>
            <w:tcBorders>
              <w:top w:val="nil"/>
              <w:left w:val="nil"/>
              <w:bottom w:val="nil"/>
              <w:right w:val="nil"/>
            </w:tcBorders>
            <w:shd w:val="clear" w:color="auto" w:fill="auto"/>
            <w:noWrap/>
            <w:vAlign w:val="bottom"/>
            <w:hideMark/>
          </w:tcPr>
          <w:p w14:paraId="2C52FEB4"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-1.215</w:t>
            </w:r>
          </w:p>
        </w:tc>
        <w:tc>
          <w:tcPr>
            <w:tcW w:w="1177" w:type="dxa"/>
            <w:tcBorders>
              <w:top w:val="nil"/>
              <w:left w:val="nil"/>
              <w:bottom w:val="nil"/>
              <w:right w:val="nil"/>
            </w:tcBorders>
            <w:shd w:val="clear" w:color="auto" w:fill="auto"/>
            <w:noWrap/>
            <w:vAlign w:val="bottom"/>
            <w:hideMark/>
          </w:tcPr>
          <w:p w14:paraId="0702193C"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-0.317</w:t>
            </w:r>
          </w:p>
        </w:tc>
        <w:tc>
          <w:tcPr>
            <w:tcW w:w="1523" w:type="dxa"/>
            <w:tcBorders>
              <w:top w:val="nil"/>
              <w:left w:val="nil"/>
              <w:bottom w:val="nil"/>
              <w:right w:val="nil"/>
            </w:tcBorders>
            <w:shd w:val="clear" w:color="auto" w:fill="auto"/>
            <w:noWrap/>
            <w:vAlign w:val="bottom"/>
            <w:hideMark/>
          </w:tcPr>
          <w:p w14:paraId="768EBE1A"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0.127</w:t>
            </w:r>
          </w:p>
        </w:tc>
        <w:tc>
          <w:tcPr>
            <w:tcW w:w="1177" w:type="dxa"/>
            <w:tcBorders>
              <w:top w:val="nil"/>
              <w:left w:val="nil"/>
              <w:bottom w:val="nil"/>
              <w:right w:val="nil"/>
            </w:tcBorders>
            <w:shd w:val="clear" w:color="auto" w:fill="auto"/>
            <w:noWrap/>
            <w:vAlign w:val="bottom"/>
            <w:hideMark/>
          </w:tcPr>
          <w:p w14:paraId="5D1FEB32"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-1.071</w:t>
            </w:r>
          </w:p>
        </w:tc>
        <w:tc>
          <w:tcPr>
            <w:tcW w:w="1177" w:type="dxa"/>
            <w:tcBorders>
              <w:top w:val="nil"/>
              <w:left w:val="nil"/>
              <w:bottom w:val="nil"/>
              <w:right w:val="nil"/>
            </w:tcBorders>
            <w:shd w:val="clear" w:color="auto" w:fill="auto"/>
            <w:noWrap/>
            <w:vAlign w:val="bottom"/>
            <w:hideMark/>
          </w:tcPr>
          <w:p w14:paraId="2C8ED1D4"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0.0754</w:t>
            </w:r>
          </w:p>
        </w:tc>
        <w:tc>
          <w:tcPr>
            <w:tcW w:w="1523" w:type="dxa"/>
            <w:tcBorders>
              <w:top w:val="nil"/>
              <w:left w:val="nil"/>
              <w:bottom w:val="nil"/>
              <w:right w:val="nil"/>
            </w:tcBorders>
            <w:shd w:val="clear" w:color="auto" w:fill="auto"/>
            <w:noWrap/>
            <w:vAlign w:val="bottom"/>
            <w:hideMark/>
          </w:tcPr>
          <w:p w14:paraId="7E1484BC"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0.300</w:t>
            </w:r>
          </w:p>
        </w:tc>
      </w:tr>
      <w:tr w:rsidR="00577BB2" w:rsidRPr="00C01930" w14:paraId="126D32AD"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327ABF49"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2A092B90"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(1.588)</w:t>
            </w:r>
          </w:p>
        </w:tc>
        <w:tc>
          <w:tcPr>
            <w:tcW w:w="1177" w:type="dxa"/>
            <w:tcBorders>
              <w:top w:val="nil"/>
              <w:left w:val="nil"/>
              <w:bottom w:val="nil"/>
              <w:right w:val="nil"/>
            </w:tcBorders>
            <w:shd w:val="clear" w:color="auto" w:fill="auto"/>
            <w:noWrap/>
            <w:vAlign w:val="bottom"/>
            <w:hideMark/>
          </w:tcPr>
          <w:p w14:paraId="3CD8F733"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(1.415)</w:t>
            </w:r>
          </w:p>
        </w:tc>
        <w:tc>
          <w:tcPr>
            <w:tcW w:w="1523" w:type="dxa"/>
            <w:tcBorders>
              <w:top w:val="nil"/>
              <w:left w:val="nil"/>
              <w:bottom w:val="nil"/>
              <w:right w:val="nil"/>
            </w:tcBorders>
            <w:shd w:val="clear" w:color="auto" w:fill="auto"/>
            <w:noWrap/>
            <w:vAlign w:val="bottom"/>
            <w:hideMark/>
          </w:tcPr>
          <w:p w14:paraId="6A9028BB"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(1.416)</w:t>
            </w:r>
          </w:p>
        </w:tc>
        <w:tc>
          <w:tcPr>
            <w:tcW w:w="1177" w:type="dxa"/>
            <w:tcBorders>
              <w:top w:val="nil"/>
              <w:left w:val="nil"/>
              <w:bottom w:val="nil"/>
              <w:right w:val="nil"/>
            </w:tcBorders>
            <w:shd w:val="clear" w:color="auto" w:fill="auto"/>
            <w:noWrap/>
            <w:vAlign w:val="bottom"/>
            <w:hideMark/>
          </w:tcPr>
          <w:p w14:paraId="37777988"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(2.171)</w:t>
            </w:r>
          </w:p>
        </w:tc>
        <w:tc>
          <w:tcPr>
            <w:tcW w:w="1177" w:type="dxa"/>
            <w:tcBorders>
              <w:top w:val="nil"/>
              <w:left w:val="nil"/>
              <w:bottom w:val="nil"/>
              <w:right w:val="nil"/>
            </w:tcBorders>
            <w:shd w:val="clear" w:color="auto" w:fill="auto"/>
            <w:noWrap/>
            <w:vAlign w:val="bottom"/>
            <w:hideMark/>
          </w:tcPr>
          <w:p w14:paraId="7D7E29F3"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(1.841)</w:t>
            </w:r>
          </w:p>
        </w:tc>
        <w:tc>
          <w:tcPr>
            <w:tcW w:w="1523" w:type="dxa"/>
            <w:tcBorders>
              <w:top w:val="nil"/>
              <w:left w:val="nil"/>
              <w:bottom w:val="nil"/>
              <w:right w:val="nil"/>
            </w:tcBorders>
            <w:shd w:val="clear" w:color="auto" w:fill="auto"/>
            <w:noWrap/>
            <w:vAlign w:val="bottom"/>
            <w:hideMark/>
          </w:tcPr>
          <w:p w14:paraId="6C1C3D6B"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(1.842)</w:t>
            </w:r>
          </w:p>
        </w:tc>
      </w:tr>
      <w:tr w:rsidR="00577BB2" w:rsidRPr="00C01930" w14:paraId="5D6B6BF6"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023DD39E"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18EC13CA" w14:textId="77777777" w:rsidR="00577BB2" w:rsidRPr="00C01930" w:rsidRDefault="00577BB2" w:rsidP="00577BB2">
            <w:pPr>
              <w:jc w:val="cente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33BFF97D" w14:textId="77777777" w:rsidR="00577BB2" w:rsidRPr="00C01930" w:rsidRDefault="00577BB2" w:rsidP="00577BB2">
            <w:pPr>
              <w:jc w:val="center"/>
              <w:rPr>
                <w:rFonts w:ascii="Calibri" w:eastAsia="Times New Roman" w:hAnsi="Calibri" w:cs="Times New Roman"/>
                <w:sz w:val="20"/>
                <w:szCs w:val="20"/>
              </w:rPr>
            </w:pPr>
          </w:p>
        </w:tc>
        <w:tc>
          <w:tcPr>
            <w:tcW w:w="1523" w:type="dxa"/>
            <w:tcBorders>
              <w:top w:val="nil"/>
              <w:left w:val="nil"/>
              <w:bottom w:val="nil"/>
              <w:right w:val="nil"/>
            </w:tcBorders>
            <w:shd w:val="clear" w:color="auto" w:fill="auto"/>
            <w:noWrap/>
            <w:vAlign w:val="bottom"/>
            <w:hideMark/>
          </w:tcPr>
          <w:p w14:paraId="66D2F75D" w14:textId="77777777" w:rsidR="00577BB2" w:rsidRPr="00C01930" w:rsidRDefault="00577BB2" w:rsidP="00577BB2">
            <w:pPr>
              <w:jc w:val="cente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4668AB83" w14:textId="77777777" w:rsidR="00577BB2" w:rsidRPr="00C01930" w:rsidRDefault="00577BB2" w:rsidP="00577BB2">
            <w:pPr>
              <w:jc w:val="cente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38889CAD" w14:textId="77777777" w:rsidR="00577BB2" w:rsidRPr="00C01930" w:rsidRDefault="00577BB2" w:rsidP="00577BB2">
            <w:pPr>
              <w:jc w:val="center"/>
              <w:rPr>
                <w:rFonts w:ascii="Calibri" w:eastAsia="Times New Roman" w:hAnsi="Calibri" w:cs="Times New Roman"/>
                <w:sz w:val="20"/>
                <w:szCs w:val="20"/>
              </w:rPr>
            </w:pPr>
          </w:p>
        </w:tc>
        <w:tc>
          <w:tcPr>
            <w:tcW w:w="1523" w:type="dxa"/>
            <w:tcBorders>
              <w:top w:val="nil"/>
              <w:left w:val="nil"/>
              <w:bottom w:val="nil"/>
              <w:right w:val="nil"/>
            </w:tcBorders>
            <w:shd w:val="clear" w:color="auto" w:fill="auto"/>
            <w:noWrap/>
            <w:vAlign w:val="bottom"/>
            <w:hideMark/>
          </w:tcPr>
          <w:p w14:paraId="6BEF7BC0" w14:textId="77777777" w:rsidR="00577BB2" w:rsidRPr="00C01930" w:rsidRDefault="00577BB2" w:rsidP="00577BB2">
            <w:pPr>
              <w:jc w:val="center"/>
              <w:rPr>
                <w:rFonts w:ascii="Calibri" w:eastAsia="Times New Roman" w:hAnsi="Calibri" w:cs="Times New Roman"/>
                <w:sz w:val="20"/>
                <w:szCs w:val="20"/>
              </w:rPr>
            </w:pPr>
          </w:p>
        </w:tc>
      </w:tr>
      <w:tr w:rsidR="00577BB2" w:rsidRPr="00C01930" w14:paraId="002AE910" w14:textId="77777777" w:rsidTr="00C01930">
        <w:trPr>
          <w:trHeight w:val="280"/>
          <w:jc w:val="center"/>
        </w:trPr>
        <w:tc>
          <w:tcPr>
            <w:tcW w:w="2880" w:type="dxa"/>
            <w:tcBorders>
              <w:top w:val="nil"/>
              <w:left w:val="nil"/>
              <w:bottom w:val="single" w:sz="4" w:space="0" w:color="auto"/>
              <w:right w:val="nil"/>
            </w:tcBorders>
            <w:shd w:val="clear" w:color="auto" w:fill="auto"/>
            <w:noWrap/>
            <w:vAlign w:val="bottom"/>
            <w:hideMark/>
          </w:tcPr>
          <w:p w14:paraId="7D1995E7" w14:textId="77777777" w:rsidR="00577BB2" w:rsidRPr="00C01930" w:rsidRDefault="00577BB2" w:rsidP="00577BB2">
            <w:pPr>
              <w:rPr>
                <w:rFonts w:ascii="Calibri" w:eastAsia="Times New Roman" w:hAnsi="Calibri" w:cs="Times New Roman"/>
                <w:sz w:val="20"/>
                <w:szCs w:val="20"/>
              </w:rPr>
            </w:pPr>
            <w:r w:rsidRPr="00C01930">
              <w:rPr>
                <w:rFonts w:ascii="Calibri" w:eastAsia="Times New Roman" w:hAnsi="Calibri" w:cs="Times New Roman"/>
                <w:sz w:val="20"/>
                <w:szCs w:val="20"/>
              </w:rPr>
              <w:t>Observations</w:t>
            </w:r>
          </w:p>
        </w:tc>
        <w:tc>
          <w:tcPr>
            <w:tcW w:w="1177" w:type="dxa"/>
            <w:tcBorders>
              <w:top w:val="nil"/>
              <w:left w:val="nil"/>
              <w:bottom w:val="single" w:sz="4" w:space="0" w:color="auto"/>
              <w:right w:val="nil"/>
            </w:tcBorders>
            <w:shd w:val="clear" w:color="auto" w:fill="auto"/>
            <w:noWrap/>
            <w:vAlign w:val="bottom"/>
            <w:hideMark/>
          </w:tcPr>
          <w:p w14:paraId="5998C171"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25</w:t>
            </w:r>
          </w:p>
        </w:tc>
        <w:tc>
          <w:tcPr>
            <w:tcW w:w="1177" w:type="dxa"/>
            <w:tcBorders>
              <w:top w:val="nil"/>
              <w:left w:val="nil"/>
              <w:bottom w:val="single" w:sz="4" w:space="0" w:color="auto"/>
              <w:right w:val="nil"/>
            </w:tcBorders>
            <w:shd w:val="clear" w:color="auto" w:fill="auto"/>
            <w:noWrap/>
            <w:vAlign w:val="bottom"/>
            <w:hideMark/>
          </w:tcPr>
          <w:p w14:paraId="5441F613"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27</w:t>
            </w:r>
          </w:p>
        </w:tc>
        <w:tc>
          <w:tcPr>
            <w:tcW w:w="1523" w:type="dxa"/>
            <w:tcBorders>
              <w:top w:val="nil"/>
              <w:left w:val="nil"/>
              <w:bottom w:val="single" w:sz="4" w:space="0" w:color="auto"/>
              <w:right w:val="nil"/>
            </w:tcBorders>
            <w:shd w:val="clear" w:color="auto" w:fill="auto"/>
            <w:noWrap/>
            <w:vAlign w:val="bottom"/>
            <w:hideMark/>
          </w:tcPr>
          <w:p w14:paraId="018A1192"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27</w:t>
            </w:r>
          </w:p>
        </w:tc>
        <w:tc>
          <w:tcPr>
            <w:tcW w:w="1177" w:type="dxa"/>
            <w:tcBorders>
              <w:top w:val="nil"/>
              <w:left w:val="nil"/>
              <w:bottom w:val="single" w:sz="4" w:space="0" w:color="auto"/>
              <w:right w:val="nil"/>
            </w:tcBorders>
            <w:shd w:val="clear" w:color="auto" w:fill="auto"/>
            <w:noWrap/>
            <w:vAlign w:val="bottom"/>
            <w:hideMark/>
          </w:tcPr>
          <w:p w14:paraId="28D0B946"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25</w:t>
            </w:r>
          </w:p>
        </w:tc>
        <w:tc>
          <w:tcPr>
            <w:tcW w:w="1177" w:type="dxa"/>
            <w:tcBorders>
              <w:top w:val="nil"/>
              <w:left w:val="nil"/>
              <w:bottom w:val="single" w:sz="4" w:space="0" w:color="auto"/>
              <w:right w:val="nil"/>
            </w:tcBorders>
            <w:shd w:val="clear" w:color="auto" w:fill="auto"/>
            <w:noWrap/>
            <w:vAlign w:val="bottom"/>
            <w:hideMark/>
          </w:tcPr>
          <w:p w14:paraId="6A6084DA"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27</w:t>
            </w:r>
          </w:p>
        </w:tc>
        <w:tc>
          <w:tcPr>
            <w:tcW w:w="1523" w:type="dxa"/>
            <w:tcBorders>
              <w:top w:val="nil"/>
              <w:left w:val="nil"/>
              <w:bottom w:val="single" w:sz="4" w:space="0" w:color="auto"/>
              <w:right w:val="nil"/>
            </w:tcBorders>
            <w:shd w:val="clear" w:color="auto" w:fill="auto"/>
            <w:noWrap/>
            <w:vAlign w:val="bottom"/>
            <w:hideMark/>
          </w:tcPr>
          <w:p w14:paraId="13D57D0C" w14:textId="77777777" w:rsidR="00577BB2" w:rsidRPr="00C01930" w:rsidRDefault="00577BB2" w:rsidP="00577BB2">
            <w:pPr>
              <w:jc w:val="center"/>
              <w:rPr>
                <w:rFonts w:ascii="Calibri" w:eastAsia="Times New Roman" w:hAnsi="Calibri" w:cs="Times New Roman"/>
                <w:sz w:val="20"/>
                <w:szCs w:val="20"/>
              </w:rPr>
            </w:pPr>
            <w:r w:rsidRPr="00C01930">
              <w:rPr>
                <w:rFonts w:ascii="Calibri" w:eastAsia="Times New Roman" w:hAnsi="Calibri" w:cs="Times New Roman"/>
                <w:sz w:val="20"/>
                <w:szCs w:val="20"/>
              </w:rPr>
              <w:t>27</w:t>
            </w:r>
          </w:p>
        </w:tc>
      </w:tr>
      <w:tr w:rsidR="00577BB2" w:rsidRPr="00C01930" w14:paraId="64218963"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093BCB08" w14:textId="77777777" w:rsidR="00577BB2" w:rsidRPr="00C01930" w:rsidRDefault="00577BB2" w:rsidP="00577BB2">
            <w:pPr>
              <w:rPr>
                <w:rFonts w:ascii="Calibri" w:eastAsia="Times New Roman" w:hAnsi="Calibri" w:cs="Times New Roman"/>
                <w:sz w:val="20"/>
                <w:szCs w:val="20"/>
              </w:rPr>
            </w:pPr>
            <w:r w:rsidRPr="00C01930">
              <w:rPr>
                <w:rFonts w:ascii="Calibri" w:eastAsia="Times New Roman" w:hAnsi="Calibri" w:cs="Times New Roman"/>
                <w:sz w:val="20"/>
                <w:szCs w:val="20"/>
              </w:rPr>
              <w:t>Standard errors in parentheses</w:t>
            </w:r>
          </w:p>
        </w:tc>
        <w:tc>
          <w:tcPr>
            <w:tcW w:w="1177" w:type="dxa"/>
            <w:tcBorders>
              <w:top w:val="nil"/>
              <w:left w:val="nil"/>
              <w:bottom w:val="nil"/>
              <w:right w:val="nil"/>
            </w:tcBorders>
            <w:shd w:val="clear" w:color="auto" w:fill="auto"/>
            <w:noWrap/>
            <w:vAlign w:val="bottom"/>
            <w:hideMark/>
          </w:tcPr>
          <w:p w14:paraId="55E89892"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5731F6C4" w14:textId="77777777" w:rsidR="00577BB2" w:rsidRPr="00C01930" w:rsidRDefault="00577BB2" w:rsidP="00577BB2">
            <w:pPr>
              <w:rPr>
                <w:rFonts w:ascii="Calibri" w:eastAsia="Times New Roman" w:hAnsi="Calibri" w:cs="Times New Roman"/>
                <w:sz w:val="20"/>
                <w:szCs w:val="20"/>
              </w:rPr>
            </w:pPr>
          </w:p>
        </w:tc>
        <w:tc>
          <w:tcPr>
            <w:tcW w:w="1523" w:type="dxa"/>
            <w:tcBorders>
              <w:top w:val="nil"/>
              <w:left w:val="nil"/>
              <w:bottom w:val="nil"/>
              <w:right w:val="nil"/>
            </w:tcBorders>
            <w:shd w:val="clear" w:color="auto" w:fill="auto"/>
            <w:noWrap/>
            <w:vAlign w:val="bottom"/>
            <w:hideMark/>
          </w:tcPr>
          <w:p w14:paraId="32D490AD"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1FBEFDAA"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7D161ACD" w14:textId="77777777" w:rsidR="00577BB2" w:rsidRPr="00C01930" w:rsidRDefault="00577BB2" w:rsidP="00577BB2">
            <w:pPr>
              <w:rPr>
                <w:rFonts w:ascii="Calibri" w:eastAsia="Times New Roman" w:hAnsi="Calibri" w:cs="Times New Roman"/>
                <w:sz w:val="20"/>
                <w:szCs w:val="20"/>
              </w:rPr>
            </w:pPr>
          </w:p>
        </w:tc>
        <w:tc>
          <w:tcPr>
            <w:tcW w:w="1523" w:type="dxa"/>
            <w:tcBorders>
              <w:top w:val="nil"/>
              <w:left w:val="nil"/>
              <w:bottom w:val="nil"/>
              <w:right w:val="nil"/>
            </w:tcBorders>
            <w:shd w:val="clear" w:color="auto" w:fill="auto"/>
            <w:noWrap/>
            <w:vAlign w:val="bottom"/>
            <w:hideMark/>
          </w:tcPr>
          <w:p w14:paraId="540F2594" w14:textId="77777777" w:rsidR="00577BB2" w:rsidRPr="00C01930" w:rsidRDefault="00577BB2" w:rsidP="00577BB2">
            <w:pPr>
              <w:rPr>
                <w:rFonts w:ascii="Calibri" w:eastAsia="Times New Roman" w:hAnsi="Calibri" w:cs="Times New Roman"/>
                <w:sz w:val="20"/>
                <w:szCs w:val="20"/>
              </w:rPr>
            </w:pPr>
          </w:p>
        </w:tc>
      </w:tr>
      <w:tr w:rsidR="00577BB2" w:rsidRPr="00C01930" w14:paraId="716CBB86" w14:textId="77777777" w:rsidTr="00C01930">
        <w:trPr>
          <w:trHeight w:val="280"/>
          <w:jc w:val="center"/>
        </w:trPr>
        <w:tc>
          <w:tcPr>
            <w:tcW w:w="2880" w:type="dxa"/>
            <w:tcBorders>
              <w:top w:val="nil"/>
              <w:left w:val="nil"/>
              <w:bottom w:val="nil"/>
              <w:right w:val="nil"/>
            </w:tcBorders>
            <w:shd w:val="clear" w:color="auto" w:fill="auto"/>
            <w:noWrap/>
            <w:vAlign w:val="bottom"/>
            <w:hideMark/>
          </w:tcPr>
          <w:p w14:paraId="75A08702" w14:textId="77777777" w:rsidR="00577BB2" w:rsidRPr="00C01930" w:rsidRDefault="00577BB2" w:rsidP="00577BB2">
            <w:pPr>
              <w:rPr>
                <w:rFonts w:ascii="Calibri" w:eastAsia="Times New Roman" w:hAnsi="Calibri" w:cs="Times New Roman"/>
                <w:sz w:val="20"/>
                <w:szCs w:val="20"/>
              </w:rPr>
            </w:pPr>
            <w:r w:rsidRPr="00C01930">
              <w:rPr>
                <w:rFonts w:ascii="Calibri" w:eastAsia="Times New Roman" w:hAnsi="Calibri" w:cs="Times New Roman"/>
                <w:sz w:val="20"/>
                <w:szCs w:val="20"/>
              </w:rPr>
              <w:t>*** p&lt;0.01, ** p&lt;0.05, * p&lt;0.1</w:t>
            </w:r>
          </w:p>
        </w:tc>
        <w:tc>
          <w:tcPr>
            <w:tcW w:w="1177" w:type="dxa"/>
            <w:tcBorders>
              <w:top w:val="nil"/>
              <w:left w:val="nil"/>
              <w:bottom w:val="nil"/>
              <w:right w:val="nil"/>
            </w:tcBorders>
            <w:shd w:val="clear" w:color="auto" w:fill="auto"/>
            <w:noWrap/>
            <w:vAlign w:val="bottom"/>
            <w:hideMark/>
          </w:tcPr>
          <w:p w14:paraId="2A685515"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7F94DC1E" w14:textId="77777777" w:rsidR="00577BB2" w:rsidRPr="00C01930" w:rsidRDefault="00577BB2" w:rsidP="00577BB2">
            <w:pPr>
              <w:rPr>
                <w:rFonts w:ascii="Calibri" w:eastAsia="Times New Roman" w:hAnsi="Calibri" w:cs="Times New Roman"/>
                <w:sz w:val="20"/>
                <w:szCs w:val="20"/>
              </w:rPr>
            </w:pPr>
          </w:p>
        </w:tc>
        <w:tc>
          <w:tcPr>
            <w:tcW w:w="1523" w:type="dxa"/>
            <w:tcBorders>
              <w:top w:val="nil"/>
              <w:left w:val="nil"/>
              <w:bottom w:val="nil"/>
              <w:right w:val="nil"/>
            </w:tcBorders>
            <w:shd w:val="clear" w:color="auto" w:fill="auto"/>
            <w:noWrap/>
            <w:vAlign w:val="bottom"/>
            <w:hideMark/>
          </w:tcPr>
          <w:p w14:paraId="0CCD74C5"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4105656F" w14:textId="77777777" w:rsidR="00577BB2" w:rsidRPr="00C01930" w:rsidRDefault="00577BB2" w:rsidP="00577BB2">
            <w:pPr>
              <w:rPr>
                <w:rFonts w:ascii="Calibri" w:eastAsia="Times New Roman" w:hAnsi="Calibri" w:cs="Times New Roman"/>
                <w:sz w:val="20"/>
                <w:szCs w:val="20"/>
              </w:rPr>
            </w:pPr>
          </w:p>
        </w:tc>
        <w:tc>
          <w:tcPr>
            <w:tcW w:w="1177" w:type="dxa"/>
            <w:tcBorders>
              <w:top w:val="nil"/>
              <w:left w:val="nil"/>
              <w:bottom w:val="nil"/>
              <w:right w:val="nil"/>
            </w:tcBorders>
            <w:shd w:val="clear" w:color="auto" w:fill="auto"/>
            <w:noWrap/>
            <w:vAlign w:val="bottom"/>
            <w:hideMark/>
          </w:tcPr>
          <w:p w14:paraId="07113230" w14:textId="77777777" w:rsidR="00577BB2" w:rsidRPr="00C01930" w:rsidRDefault="00577BB2" w:rsidP="00577BB2">
            <w:pPr>
              <w:rPr>
                <w:rFonts w:ascii="Calibri" w:eastAsia="Times New Roman" w:hAnsi="Calibri" w:cs="Times New Roman"/>
                <w:sz w:val="20"/>
                <w:szCs w:val="20"/>
              </w:rPr>
            </w:pPr>
          </w:p>
        </w:tc>
        <w:tc>
          <w:tcPr>
            <w:tcW w:w="1523" w:type="dxa"/>
            <w:tcBorders>
              <w:top w:val="nil"/>
              <w:left w:val="nil"/>
              <w:bottom w:val="nil"/>
              <w:right w:val="nil"/>
            </w:tcBorders>
            <w:shd w:val="clear" w:color="auto" w:fill="auto"/>
            <w:noWrap/>
            <w:vAlign w:val="bottom"/>
            <w:hideMark/>
          </w:tcPr>
          <w:p w14:paraId="39BF0D44" w14:textId="77777777" w:rsidR="00577BB2" w:rsidRPr="00C01930" w:rsidRDefault="00577BB2" w:rsidP="00577BB2">
            <w:pPr>
              <w:rPr>
                <w:rFonts w:ascii="Calibri" w:eastAsia="Times New Roman" w:hAnsi="Calibri" w:cs="Times New Roman"/>
                <w:sz w:val="20"/>
                <w:szCs w:val="20"/>
              </w:rPr>
            </w:pPr>
          </w:p>
        </w:tc>
      </w:tr>
    </w:tbl>
    <w:p w14:paraId="486A79B2" w14:textId="77777777" w:rsidR="00577BB2" w:rsidRDefault="00577BB2" w:rsidP="00D60008"/>
    <w:p w14:paraId="455E3704" w14:textId="77777777" w:rsidR="00F26FFC" w:rsidRDefault="00F26FFC"/>
    <w:p w14:paraId="3168BC27" w14:textId="77777777" w:rsidR="0057759E" w:rsidRDefault="0057759E"/>
    <w:p w14:paraId="1A06ED73" w14:textId="77777777" w:rsidR="0057759E" w:rsidRDefault="0057759E"/>
    <w:p w14:paraId="16D020FB" w14:textId="77777777" w:rsidR="0057759E" w:rsidRDefault="0057759E"/>
    <w:p w14:paraId="498E0C9B" w14:textId="77777777" w:rsidR="0057759E" w:rsidRDefault="0057759E"/>
    <w:p w14:paraId="698684D3" w14:textId="77777777" w:rsidR="0057759E" w:rsidRDefault="0057759E"/>
    <w:p w14:paraId="68A28FC8" w14:textId="77777777" w:rsidR="0057759E" w:rsidRDefault="0057759E"/>
    <w:p w14:paraId="3F72D288" w14:textId="77777777" w:rsidR="0057759E" w:rsidRDefault="0057759E"/>
    <w:p w14:paraId="3303944F" w14:textId="77777777" w:rsidR="0057759E" w:rsidRDefault="0057759E"/>
    <w:p w14:paraId="1479894D" w14:textId="7DBA1654" w:rsidR="0057759E" w:rsidRPr="00022238" w:rsidRDefault="0057759E" w:rsidP="0057759E">
      <w:pPr>
        <w:rPr>
          <w:rFonts w:ascii="Times New Roman" w:hAnsi="Times New Roman" w:cs="Times New Roman"/>
        </w:rPr>
      </w:pPr>
      <w:r w:rsidRPr="00022238">
        <w:rPr>
          <w:rFonts w:ascii="Times New Roman" w:hAnsi="Times New Roman" w:cs="Times New Roman"/>
        </w:rPr>
        <w:lastRenderedPageBreak/>
        <w:t>Table 5. Robustness checks</w:t>
      </w:r>
      <w:r w:rsidR="008D3AB8">
        <w:rPr>
          <w:rFonts w:ascii="Times New Roman" w:hAnsi="Times New Roman" w:cs="Times New Roman"/>
        </w:rPr>
        <w:t xml:space="preserve"> at the</w:t>
      </w:r>
      <w:r w:rsidRPr="00022238">
        <w:rPr>
          <w:rFonts w:ascii="Times New Roman" w:hAnsi="Times New Roman" w:cs="Times New Roman"/>
        </w:rPr>
        <w:t xml:space="preserve"> firm</w:t>
      </w:r>
      <w:r w:rsidR="00A373F0">
        <w:rPr>
          <w:rFonts w:ascii="Times New Roman" w:hAnsi="Times New Roman" w:cs="Times New Roman"/>
        </w:rPr>
        <w:t xml:space="preserve"> </w:t>
      </w:r>
      <w:r w:rsidRPr="00022238">
        <w:rPr>
          <w:rFonts w:ascii="Times New Roman" w:hAnsi="Times New Roman" w:cs="Times New Roman"/>
        </w:rPr>
        <w:t>level</w:t>
      </w:r>
    </w:p>
    <w:p w14:paraId="3741D25D" w14:textId="77777777" w:rsidR="0057759E" w:rsidRDefault="0057759E"/>
    <w:tbl>
      <w:tblPr>
        <w:tblW w:w="10725" w:type="dxa"/>
        <w:jc w:val="center"/>
        <w:tblLayout w:type="fixed"/>
        <w:tblLook w:val="04A0" w:firstRow="1" w:lastRow="0" w:firstColumn="1" w:lastColumn="0" w:noHBand="0" w:noVBand="1"/>
      </w:tblPr>
      <w:tblGrid>
        <w:gridCol w:w="2303"/>
        <w:gridCol w:w="1211"/>
        <w:gridCol w:w="345"/>
        <w:gridCol w:w="1373"/>
        <w:gridCol w:w="85"/>
        <w:gridCol w:w="1288"/>
        <w:gridCol w:w="514"/>
        <w:gridCol w:w="859"/>
        <w:gridCol w:w="944"/>
        <w:gridCol w:w="429"/>
        <w:gridCol w:w="1374"/>
      </w:tblGrid>
      <w:tr w:rsidR="00E3766F" w:rsidRPr="003B75A2" w14:paraId="625DC6E9" w14:textId="77777777" w:rsidTr="00BA3CD2">
        <w:trPr>
          <w:trHeight w:val="259"/>
          <w:jc w:val="center"/>
        </w:trPr>
        <w:tc>
          <w:tcPr>
            <w:tcW w:w="2303" w:type="dxa"/>
            <w:tcBorders>
              <w:top w:val="single" w:sz="4" w:space="0" w:color="auto"/>
              <w:left w:val="nil"/>
              <w:right w:val="nil"/>
            </w:tcBorders>
            <w:shd w:val="clear" w:color="auto" w:fill="auto"/>
            <w:noWrap/>
            <w:vAlign w:val="bottom"/>
            <w:hideMark/>
          </w:tcPr>
          <w:p w14:paraId="4B4FE8ED" w14:textId="77777777" w:rsidR="00E3766F" w:rsidRPr="003B75A2" w:rsidRDefault="00E3766F" w:rsidP="003B75A2">
            <w:pPr>
              <w:rPr>
                <w:rFonts w:ascii="Calibri" w:eastAsia="Times New Roman" w:hAnsi="Calibri" w:cs="Times New Roman"/>
                <w:sz w:val="20"/>
                <w:szCs w:val="20"/>
              </w:rPr>
            </w:pPr>
            <w:r w:rsidRPr="003B75A2">
              <w:rPr>
                <w:rFonts w:ascii="Calibri" w:eastAsia="Times New Roman" w:hAnsi="Calibri" w:cs="Times New Roman"/>
                <w:sz w:val="20"/>
                <w:szCs w:val="20"/>
              </w:rPr>
              <w:t> </w:t>
            </w:r>
          </w:p>
        </w:tc>
        <w:tc>
          <w:tcPr>
            <w:tcW w:w="8422" w:type="dxa"/>
            <w:gridSpan w:val="10"/>
            <w:tcBorders>
              <w:top w:val="single" w:sz="4" w:space="0" w:color="auto"/>
              <w:left w:val="nil"/>
              <w:bottom w:val="nil"/>
              <w:right w:val="nil"/>
            </w:tcBorders>
            <w:shd w:val="clear" w:color="auto" w:fill="auto"/>
            <w:noWrap/>
            <w:vAlign w:val="bottom"/>
            <w:hideMark/>
          </w:tcPr>
          <w:p w14:paraId="4EBD2113" w14:textId="77777777" w:rsidR="00E3766F" w:rsidRPr="00C62364" w:rsidRDefault="00E3766F" w:rsidP="00E3766F">
            <w:pPr>
              <w:jc w:val="center"/>
              <w:rPr>
                <w:rFonts w:ascii="Calibri" w:eastAsia="Times New Roman" w:hAnsi="Calibri" w:cs="Times New Roman"/>
                <w:sz w:val="20"/>
                <w:szCs w:val="20"/>
              </w:rPr>
            </w:pPr>
            <w:r w:rsidRPr="00C62364">
              <w:rPr>
                <w:rFonts w:ascii="Calibri" w:eastAsia="Times New Roman" w:hAnsi="Calibri" w:cs="Times New Roman"/>
                <w:sz w:val="20"/>
                <w:szCs w:val="20"/>
              </w:rPr>
              <w:t>DV: Changes in Carbon Emissions between 2004 and 2009</w:t>
            </w:r>
          </w:p>
          <w:p w14:paraId="2CAC203E" w14:textId="48AAB6DC" w:rsidR="00E3766F" w:rsidRPr="003B75A2" w:rsidRDefault="00E3766F" w:rsidP="00E3766F">
            <w:pPr>
              <w:jc w:val="center"/>
              <w:rPr>
                <w:rFonts w:ascii="Calibri" w:eastAsia="Times New Roman" w:hAnsi="Calibri" w:cs="Times New Roman"/>
                <w:sz w:val="20"/>
                <w:szCs w:val="20"/>
              </w:rPr>
            </w:pPr>
            <w:r w:rsidRPr="00C62364">
              <w:rPr>
                <w:rFonts w:ascii="Calibri" w:eastAsia="Times New Roman" w:hAnsi="Calibri" w:cs="Times New Roman"/>
                <w:sz w:val="20"/>
                <w:szCs w:val="20"/>
              </w:rPr>
              <w:t>(Carbon Emissions 2009 – Carbon Emissions 2004)</w:t>
            </w:r>
          </w:p>
        </w:tc>
      </w:tr>
      <w:tr w:rsidR="00E3766F" w:rsidRPr="003B75A2" w14:paraId="02A7F11C" w14:textId="77777777" w:rsidTr="005C208A">
        <w:trPr>
          <w:trHeight w:val="341"/>
          <w:jc w:val="center"/>
        </w:trPr>
        <w:tc>
          <w:tcPr>
            <w:tcW w:w="2303" w:type="dxa"/>
            <w:tcBorders>
              <w:left w:val="nil"/>
              <w:bottom w:val="nil"/>
              <w:right w:val="nil"/>
            </w:tcBorders>
            <w:shd w:val="clear" w:color="auto" w:fill="auto"/>
            <w:noWrap/>
            <w:vAlign w:val="bottom"/>
          </w:tcPr>
          <w:p w14:paraId="09C6EEE9" w14:textId="77777777" w:rsidR="00E3766F" w:rsidRPr="003B75A2" w:rsidRDefault="00E3766F" w:rsidP="003B75A2">
            <w:pPr>
              <w:rPr>
                <w:rFonts w:ascii="Calibri" w:eastAsia="Times New Roman" w:hAnsi="Calibri" w:cs="Times New Roman"/>
                <w:sz w:val="20"/>
                <w:szCs w:val="20"/>
              </w:rPr>
            </w:pPr>
          </w:p>
        </w:tc>
        <w:tc>
          <w:tcPr>
            <w:tcW w:w="2929" w:type="dxa"/>
            <w:gridSpan w:val="3"/>
            <w:tcBorders>
              <w:top w:val="single" w:sz="4" w:space="0" w:color="auto"/>
              <w:left w:val="nil"/>
              <w:bottom w:val="nil"/>
              <w:right w:val="nil"/>
            </w:tcBorders>
            <w:shd w:val="clear" w:color="auto" w:fill="auto"/>
            <w:noWrap/>
            <w:vAlign w:val="center"/>
          </w:tcPr>
          <w:p w14:paraId="2B7646E4" w14:textId="7A09D59C" w:rsidR="00E3766F" w:rsidRPr="003B75A2" w:rsidRDefault="00BA3CD2" w:rsidP="005C208A">
            <w:pPr>
              <w:jc w:val="center"/>
              <w:rPr>
                <w:rFonts w:ascii="Calibri" w:eastAsia="Times New Roman" w:hAnsi="Calibri" w:cs="Times New Roman"/>
                <w:sz w:val="20"/>
                <w:szCs w:val="20"/>
              </w:rPr>
            </w:pPr>
            <w:r>
              <w:rPr>
                <w:rFonts w:ascii="Calibri" w:eastAsia="Times New Roman" w:hAnsi="Calibri" w:cs="Times New Roman"/>
                <w:sz w:val="20"/>
                <w:szCs w:val="20"/>
              </w:rPr>
              <w:t>Coarsened Exact Matching (</w:t>
            </w:r>
            <w:r w:rsidR="00E3766F">
              <w:rPr>
                <w:rFonts w:ascii="Calibri" w:eastAsia="Times New Roman" w:hAnsi="Calibri" w:cs="Times New Roman"/>
                <w:sz w:val="20"/>
                <w:szCs w:val="20"/>
              </w:rPr>
              <w:t>CEM</w:t>
            </w:r>
            <w:r>
              <w:rPr>
                <w:rFonts w:ascii="Calibri" w:eastAsia="Times New Roman" w:hAnsi="Calibri" w:cs="Times New Roman"/>
                <w:sz w:val="20"/>
                <w:szCs w:val="20"/>
              </w:rPr>
              <w:t>)</w:t>
            </w:r>
          </w:p>
        </w:tc>
        <w:tc>
          <w:tcPr>
            <w:tcW w:w="2746" w:type="dxa"/>
            <w:gridSpan w:val="4"/>
            <w:tcBorders>
              <w:top w:val="single" w:sz="4" w:space="0" w:color="auto"/>
              <w:left w:val="nil"/>
              <w:bottom w:val="nil"/>
              <w:right w:val="nil"/>
            </w:tcBorders>
            <w:shd w:val="clear" w:color="auto" w:fill="auto"/>
            <w:noWrap/>
            <w:vAlign w:val="center"/>
          </w:tcPr>
          <w:p w14:paraId="1D8F67A3" w14:textId="6AD3753F" w:rsidR="00E3766F" w:rsidRPr="003B75A2" w:rsidRDefault="00A373F0" w:rsidP="005C208A">
            <w:pPr>
              <w:jc w:val="center"/>
              <w:rPr>
                <w:rFonts w:ascii="Calibri" w:eastAsia="Times New Roman" w:hAnsi="Calibri" w:cs="Times New Roman"/>
                <w:sz w:val="20"/>
                <w:szCs w:val="20"/>
              </w:rPr>
            </w:pPr>
            <w:r>
              <w:rPr>
                <w:rFonts w:ascii="Calibri" w:eastAsia="Times New Roman" w:hAnsi="Calibri" w:cs="Times New Roman"/>
                <w:sz w:val="20"/>
                <w:szCs w:val="20"/>
              </w:rPr>
              <w:t>W</w:t>
            </w:r>
            <w:r w:rsidR="00E3766F">
              <w:rPr>
                <w:rFonts w:ascii="Calibri" w:eastAsia="Times New Roman" w:hAnsi="Calibri" w:cs="Times New Roman"/>
                <w:sz w:val="20"/>
                <w:szCs w:val="20"/>
              </w:rPr>
              <w:t>ith Liability</w:t>
            </w:r>
          </w:p>
        </w:tc>
        <w:tc>
          <w:tcPr>
            <w:tcW w:w="2747" w:type="dxa"/>
            <w:gridSpan w:val="3"/>
            <w:tcBorders>
              <w:top w:val="single" w:sz="4" w:space="0" w:color="auto"/>
              <w:left w:val="nil"/>
              <w:bottom w:val="nil"/>
              <w:right w:val="nil"/>
            </w:tcBorders>
            <w:shd w:val="clear" w:color="auto" w:fill="auto"/>
            <w:noWrap/>
            <w:vAlign w:val="center"/>
          </w:tcPr>
          <w:p w14:paraId="6A5CBC12" w14:textId="4D45DEE8" w:rsidR="00E3766F" w:rsidRPr="003B75A2" w:rsidRDefault="00A373F0" w:rsidP="005C208A">
            <w:pPr>
              <w:jc w:val="center"/>
              <w:rPr>
                <w:rFonts w:ascii="Calibri" w:eastAsia="Times New Roman" w:hAnsi="Calibri" w:cs="Times New Roman"/>
                <w:sz w:val="20"/>
                <w:szCs w:val="20"/>
              </w:rPr>
            </w:pPr>
            <w:r>
              <w:rPr>
                <w:rFonts w:ascii="Calibri" w:eastAsia="Times New Roman" w:hAnsi="Calibri" w:cs="Times New Roman"/>
                <w:sz w:val="20"/>
                <w:szCs w:val="20"/>
              </w:rPr>
              <w:t>W</w:t>
            </w:r>
            <w:r w:rsidR="00E3766F">
              <w:rPr>
                <w:rFonts w:ascii="Calibri" w:eastAsia="Times New Roman" w:hAnsi="Calibri" w:cs="Times New Roman"/>
                <w:sz w:val="20"/>
                <w:szCs w:val="20"/>
              </w:rPr>
              <w:t>ith EBITA</w:t>
            </w:r>
          </w:p>
        </w:tc>
      </w:tr>
      <w:tr w:rsidR="00BA3CD2" w:rsidRPr="003B75A2" w14:paraId="1EAC947F" w14:textId="77777777" w:rsidTr="005C208A">
        <w:trPr>
          <w:trHeight w:val="259"/>
          <w:jc w:val="center"/>
        </w:trPr>
        <w:tc>
          <w:tcPr>
            <w:tcW w:w="2303" w:type="dxa"/>
            <w:tcBorders>
              <w:left w:val="nil"/>
              <w:bottom w:val="nil"/>
              <w:right w:val="nil"/>
            </w:tcBorders>
            <w:shd w:val="clear" w:color="auto" w:fill="auto"/>
            <w:noWrap/>
            <w:vAlign w:val="bottom"/>
          </w:tcPr>
          <w:p w14:paraId="6B4726FD" w14:textId="77777777" w:rsidR="00E3766F" w:rsidRPr="003B75A2" w:rsidRDefault="00E3766F" w:rsidP="003B75A2">
            <w:pPr>
              <w:rPr>
                <w:rFonts w:ascii="Calibri" w:eastAsia="Times New Roman" w:hAnsi="Calibri" w:cs="Times New Roman"/>
                <w:sz w:val="20"/>
                <w:szCs w:val="20"/>
              </w:rPr>
            </w:pPr>
          </w:p>
        </w:tc>
        <w:tc>
          <w:tcPr>
            <w:tcW w:w="1556" w:type="dxa"/>
            <w:gridSpan w:val="2"/>
            <w:tcBorders>
              <w:top w:val="single" w:sz="4" w:space="0" w:color="auto"/>
              <w:left w:val="nil"/>
              <w:right w:val="nil"/>
            </w:tcBorders>
            <w:shd w:val="clear" w:color="auto" w:fill="auto"/>
            <w:noWrap/>
            <w:vAlign w:val="bottom"/>
          </w:tcPr>
          <w:p w14:paraId="2701D421" w14:textId="0C854F37" w:rsidR="00E3766F" w:rsidRDefault="00A373F0" w:rsidP="00E3766F">
            <w:pPr>
              <w:jc w:val="center"/>
              <w:rPr>
                <w:rFonts w:ascii="Calibri" w:eastAsia="Times New Roman" w:hAnsi="Calibri" w:cs="Times New Roman"/>
                <w:sz w:val="20"/>
                <w:szCs w:val="20"/>
              </w:rPr>
            </w:pPr>
            <w:r>
              <w:rPr>
                <w:rFonts w:ascii="Calibri" w:eastAsia="Times New Roman" w:hAnsi="Calibri" w:cs="Times New Roman"/>
                <w:sz w:val="20"/>
                <w:szCs w:val="20"/>
              </w:rPr>
              <w:t>W</w:t>
            </w:r>
            <w:r w:rsidR="00E3766F">
              <w:rPr>
                <w:rFonts w:ascii="Calibri" w:eastAsia="Times New Roman" w:hAnsi="Calibri" w:cs="Times New Roman"/>
                <w:sz w:val="20"/>
                <w:szCs w:val="20"/>
              </w:rPr>
              <w:t xml:space="preserve">ith </w:t>
            </w:r>
          </w:p>
          <w:p w14:paraId="23AF9858" w14:textId="0C33C365" w:rsidR="00E3766F" w:rsidRPr="003B75A2" w:rsidRDefault="00E3766F" w:rsidP="00E3766F">
            <w:pPr>
              <w:jc w:val="center"/>
              <w:rPr>
                <w:rFonts w:ascii="Calibri" w:eastAsia="Times New Roman" w:hAnsi="Calibri" w:cs="Times New Roman"/>
                <w:sz w:val="20"/>
                <w:szCs w:val="20"/>
              </w:rPr>
            </w:pPr>
            <w:r>
              <w:rPr>
                <w:rFonts w:ascii="Calibri" w:eastAsia="Times New Roman" w:hAnsi="Calibri" w:cs="Times New Roman"/>
                <w:sz w:val="20"/>
                <w:szCs w:val="20"/>
              </w:rPr>
              <w:t>“EU funding”</w:t>
            </w:r>
          </w:p>
        </w:tc>
        <w:tc>
          <w:tcPr>
            <w:tcW w:w="1373" w:type="dxa"/>
            <w:tcBorders>
              <w:top w:val="single" w:sz="4" w:space="0" w:color="auto"/>
              <w:left w:val="nil"/>
              <w:right w:val="nil"/>
            </w:tcBorders>
            <w:shd w:val="clear" w:color="auto" w:fill="auto"/>
            <w:noWrap/>
            <w:vAlign w:val="bottom"/>
          </w:tcPr>
          <w:p w14:paraId="38DB9F28" w14:textId="713C97CA" w:rsidR="00E3766F" w:rsidRDefault="00A373F0" w:rsidP="00E3766F">
            <w:pPr>
              <w:jc w:val="center"/>
              <w:rPr>
                <w:rFonts w:ascii="Calibri" w:eastAsia="Times New Roman" w:hAnsi="Calibri" w:cs="Times New Roman"/>
                <w:sz w:val="20"/>
                <w:szCs w:val="20"/>
              </w:rPr>
            </w:pPr>
            <w:r>
              <w:rPr>
                <w:rFonts w:ascii="Calibri" w:eastAsia="Times New Roman" w:hAnsi="Calibri" w:cs="Times New Roman"/>
                <w:sz w:val="20"/>
                <w:szCs w:val="20"/>
              </w:rPr>
              <w:t>W</w:t>
            </w:r>
            <w:r w:rsidR="00E3766F">
              <w:rPr>
                <w:rFonts w:ascii="Calibri" w:eastAsia="Times New Roman" w:hAnsi="Calibri" w:cs="Times New Roman"/>
                <w:sz w:val="20"/>
                <w:szCs w:val="20"/>
              </w:rPr>
              <w:t xml:space="preserve">ithout </w:t>
            </w:r>
          </w:p>
          <w:p w14:paraId="2274391E" w14:textId="5C75947A" w:rsidR="00E3766F" w:rsidRPr="003B75A2" w:rsidRDefault="00E3766F" w:rsidP="00E3766F">
            <w:pPr>
              <w:jc w:val="center"/>
              <w:rPr>
                <w:rFonts w:ascii="Calibri" w:eastAsia="Times New Roman" w:hAnsi="Calibri" w:cs="Times New Roman"/>
                <w:sz w:val="20"/>
                <w:szCs w:val="20"/>
              </w:rPr>
            </w:pPr>
            <w:r>
              <w:rPr>
                <w:rFonts w:ascii="Calibri" w:eastAsia="Times New Roman" w:hAnsi="Calibri" w:cs="Times New Roman"/>
                <w:sz w:val="20"/>
                <w:szCs w:val="20"/>
              </w:rPr>
              <w:t>“EU funding”</w:t>
            </w:r>
          </w:p>
        </w:tc>
        <w:tc>
          <w:tcPr>
            <w:tcW w:w="1373" w:type="dxa"/>
            <w:gridSpan w:val="2"/>
            <w:tcBorders>
              <w:top w:val="single" w:sz="4" w:space="0" w:color="auto"/>
              <w:left w:val="nil"/>
              <w:right w:val="nil"/>
            </w:tcBorders>
            <w:shd w:val="clear" w:color="auto" w:fill="auto"/>
            <w:noWrap/>
            <w:vAlign w:val="bottom"/>
          </w:tcPr>
          <w:p w14:paraId="572FA2DC" w14:textId="3C982408" w:rsidR="00E3766F" w:rsidRDefault="00A373F0" w:rsidP="00EF53AA">
            <w:pPr>
              <w:jc w:val="center"/>
              <w:rPr>
                <w:rFonts w:ascii="Calibri" w:eastAsia="Times New Roman" w:hAnsi="Calibri" w:cs="Times New Roman"/>
                <w:sz w:val="20"/>
                <w:szCs w:val="20"/>
              </w:rPr>
            </w:pPr>
            <w:r>
              <w:rPr>
                <w:rFonts w:ascii="Calibri" w:eastAsia="Times New Roman" w:hAnsi="Calibri" w:cs="Times New Roman"/>
                <w:sz w:val="20"/>
                <w:szCs w:val="20"/>
              </w:rPr>
              <w:t>W</w:t>
            </w:r>
            <w:r w:rsidR="00E3766F">
              <w:rPr>
                <w:rFonts w:ascii="Calibri" w:eastAsia="Times New Roman" w:hAnsi="Calibri" w:cs="Times New Roman"/>
                <w:sz w:val="20"/>
                <w:szCs w:val="20"/>
              </w:rPr>
              <w:t xml:space="preserve">ith </w:t>
            </w:r>
          </w:p>
          <w:p w14:paraId="5FC002DF" w14:textId="5987C7DC"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“EU funding”</w:t>
            </w:r>
          </w:p>
        </w:tc>
        <w:tc>
          <w:tcPr>
            <w:tcW w:w="1373" w:type="dxa"/>
            <w:gridSpan w:val="2"/>
            <w:tcBorders>
              <w:top w:val="single" w:sz="4" w:space="0" w:color="auto"/>
              <w:left w:val="nil"/>
              <w:right w:val="nil"/>
            </w:tcBorders>
            <w:shd w:val="clear" w:color="auto" w:fill="auto"/>
            <w:noWrap/>
            <w:vAlign w:val="bottom"/>
          </w:tcPr>
          <w:p w14:paraId="49CB7CFA" w14:textId="33AB264B" w:rsidR="00E3766F" w:rsidRDefault="00A373F0" w:rsidP="00EF53AA">
            <w:pPr>
              <w:jc w:val="center"/>
              <w:rPr>
                <w:rFonts w:ascii="Calibri" w:eastAsia="Times New Roman" w:hAnsi="Calibri" w:cs="Times New Roman"/>
                <w:sz w:val="20"/>
                <w:szCs w:val="20"/>
              </w:rPr>
            </w:pPr>
            <w:r>
              <w:rPr>
                <w:rFonts w:ascii="Calibri" w:eastAsia="Times New Roman" w:hAnsi="Calibri" w:cs="Times New Roman"/>
                <w:sz w:val="20"/>
                <w:szCs w:val="20"/>
              </w:rPr>
              <w:t>W</w:t>
            </w:r>
            <w:r w:rsidR="00E3766F">
              <w:rPr>
                <w:rFonts w:ascii="Calibri" w:eastAsia="Times New Roman" w:hAnsi="Calibri" w:cs="Times New Roman"/>
                <w:sz w:val="20"/>
                <w:szCs w:val="20"/>
              </w:rPr>
              <w:t xml:space="preserve">ithout </w:t>
            </w:r>
          </w:p>
          <w:p w14:paraId="643B1015" w14:textId="1E866A73"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“EU funding”</w:t>
            </w:r>
          </w:p>
        </w:tc>
        <w:tc>
          <w:tcPr>
            <w:tcW w:w="1373" w:type="dxa"/>
            <w:gridSpan w:val="2"/>
            <w:tcBorders>
              <w:top w:val="single" w:sz="4" w:space="0" w:color="auto"/>
              <w:left w:val="nil"/>
              <w:right w:val="nil"/>
            </w:tcBorders>
            <w:shd w:val="clear" w:color="auto" w:fill="auto"/>
            <w:noWrap/>
            <w:vAlign w:val="bottom"/>
          </w:tcPr>
          <w:p w14:paraId="18F2812C" w14:textId="47E8C77D" w:rsidR="00E3766F" w:rsidRDefault="00A373F0" w:rsidP="00EF53AA">
            <w:pPr>
              <w:jc w:val="center"/>
              <w:rPr>
                <w:rFonts w:ascii="Calibri" w:eastAsia="Times New Roman" w:hAnsi="Calibri" w:cs="Times New Roman"/>
                <w:sz w:val="20"/>
                <w:szCs w:val="20"/>
              </w:rPr>
            </w:pPr>
            <w:r>
              <w:rPr>
                <w:rFonts w:ascii="Calibri" w:eastAsia="Times New Roman" w:hAnsi="Calibri" w:cs="Times New Roman"/>
                <w:sz w:val="20"/>
                <w:szCs w:val="20"/>
              </w:rPr>
              <w:t>W</w:t>
            </w:r>
            <w:r w:rsidR="00E3766F">
              <w:rPr>
                <w:rFonts w:ascii="Calibri" w:eastAsia="Times New Roman" w:hAnsi="Calibri" w:cs="Times New Roman"/>
                <w:sz w:val="20"/>
                <w:szCs w:val="20"/>
              </w:rPr>
              <w:t xml:space="preserve">ith </w:t>
            </w:r>
          </w:p>
          <w:p w14:paraId="48E4E51F" w14:textId="2A52381F"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“EU funding”</w:t>
            </w:r>
          </w:p>
        </w:tc>
        <w:tc>
          <w:tcPr>
            <w:tcW w:w="1374" w:type="dxa"/>
            <w:tcBorders>
              <w:top w:val="single" w:sz="4" w:space="0" w:color="auto"/>
              <w:left w:val="nil"/>
              <w:right w:val="nil"/>
            </w:tcBorders>
            <w:shd w:val="clear" w:color="auto" w:fill="auto"/>
            <w:noWrap/>
            <w:vAlign w:val="bottom"/>
          </w:tcPr>
          <w:p w14:paraId="3DBBE2AC" w14:textId="4839E1BF" w:rsidR="00E3766F" w:rsidRDefault="00A373F0" w:rsidP="00EF53AA">
            <w:pPr>
              <w:jc w:val="center"/>
              <w:rPr>
                <w:rFonts w:ascii="Calibri" w:eastAsia="Times New Roman" w:hAnsi="Calibri" w:cs="Times New Roman"/>
                <w:sz w:val="20"/>
                <w:szCs w:val="20"/>
              </w:rPr>
            </w:pPr>
            <w:r>
              <w:rPr>
                <w:rFonts w:ascii="Calibri" w:eastAsia="Times New Roman" w:hAnsi="Calibri" w:cs="Times New Roman"/>
                <w:sz w:val="20"/>
                <w:szCs w:val="20"/>
              </w:rPr>
              <w:t>W</w:t>
            </w:r>
            <w:r w:rsidR="00E3766F">
              <w:rPr>
                <w:rFonts w:ascii="Calibri" w:eastAsia="Times New Roman" w:hAnsi="Calibri" w:cs="Times New Roman"/>
                <w:sz w:val="20"/>
                <w:szCs w:val="20"/>
              </w:rPr>
              <w:t xml:space="preserve">ithout </w:t>
            </w:r>
          </w:p>
          <w:p w14:paraId="1036BAE5" w14:textId="6BF3B048"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“EU funding”</w:t>
            </w:r>
          </w:p>
        </w:tc>
      </w:tr>
      <w:tr w:rsidR="00E3766F" w:rsidRPr="003B75A2" w14:paraId="20763CBB" w14:textId="77777777" w:rsidTr="005C208A">
        <w:trPr>
          <w:trHeight w:val="259"/>
          <w:jc w:val="center"/>
        </w:trPr>
        <w:tc>
          <w:tcPr>
            <w:tcW w:w="2303" w:type="dxa"/>
            <w:tcBorders>
              <w:left w:val="nil"/>
              <w:bottom w:val="nil"/>
              <w:right w:val="nil"/>
            </w:tcBorders>
            <w:shd w:val="clear" w:color="auto" w:fill="auto"/>
            <w:noWrap/>
            <w:vAlign w:val="bottom"/>
          </w:tcPr>
          <w:p w14:paraId="1A0271E4" w14:textId="77777777" w:rsidR="00E3766F" w:rsidRPr="003B75A2" w:rsidRDefault="00E3766F" w:rsidP="003B75A2">
            <w:pPr>
              <w:rPr>
                <w:rFonts w:ascii="Calibri" w:eastAsia="Times New Roman" w:hAnsi="Calibri" w:cs="Times New Roman"/>
                <w:sz w:val="20"/>
                <w:szCs w:val="20"/>
              </w:rPr>
            </w:pPr>
          </w:p>
        </w:tc>
        <w:tc>
          <w:tcPr>
            <w:tcW w:w="1556" w:type="dxa"/>
            <w:gridSpan w:val="2"/>
            <w:tcBorders>
              <w:left w:val="nil"/>
              <w:bottom w:val="single" w:sz="4" w:space="0" w:color="auto"/>
              <w:right w:val="nil"/>
            </w:tcBorders>
            <w:shd w:val="clear" w:color="auto" w:fill="auto"/>
            <w:noWrap/>
            <w:vAlign w:val="bottom"/>
          </w:tcPr>
          <w:p w14:paraId="6AD7F87D" w14:textId="089199EC" w:rsidR="00E3766F" w:rsidRDefault="00E3766F" w:rsidP="00E3766F">
            <w:pPr>
              <w:jc w:val="center"/>
              <w:rPr>
                <w:rFonts w:ascii="Calibri" w:eastAsia="Times New Roman" w:hAnsi="Calibri" w:cs="Times New Roman"/>
                <w:sz w:val="20"/>
                <w:szCs w:val="20"/>
              </w:rPr>
            </w:pPr>
            <w:r w:rsidRPr="003B75A2">
              <w:rPr>
                <w:rFonts w:ascii="Calibri" w:eastAsia="Times New Roman" w:hAnsi="Calibri" w:cs="Times New Roman"/>
                <w:sz w:val="20"/>
                <w:szCs w:val="20"/>
              </w:rPr>
              <w:t>(1)</w:t>
            </w:r>
          </w:p>
        </w:tc>
        <w:tc>
          <w:tcPr>
            <w:tcW w:w="1373" w:type="dxa"/>
            <w:tcBorders>
              <w:left w:val="nil"/>
              <w:bottom w:val="single" w:sz="4" w:space="0" w:color="auto"/>
              <w:right w:val="nil"/>
            </w:tcBorders>
            <w:shd w:val="clear" w:color="auto" w:fill="auto"/>
            <w:noWrap/>
            <w:vAlign w:val="bottom"/>
          </w:tcPr>
          <w:p w14:paraId="7A64CA3E" w14:textId="54CAACBA" w:rsidR="00E3766F" w:rsidRDefault="00E3766F" w:rsidP="00E3766F">
            <w:pPr>
              <w:jc w:val="center"/>
              <w:rPr>
                <w:rFonts w:ascii="Calibri" w:eastAsia="Times New Roman" w:hAnsi="Calibri" w:cs="Times New Roman"/>
                <w:sz w:val="20"/>
                <w:szCs w:val="20"/>
              </w:rPr>
            </w:pPr>
            <w:r w:rsidRPr="003B75A2">
              <w:rPr>
                <w:rFonts w:ascii="Calibri" w:eastAsia="Times New Roman" w:hAnsi="Calibri" w:cs="Times New Roman"/>
                <w:sz w:val="20"/>
                <w:szCs w:val="20"/>
              </w:rPr>
              <w:t>(2)</w:t>
            </w:r>
          </w:p>
        </w:tc>
        <w:tc>
          <w:tcPr>
            <w:tcW w:w="1373" w:type="dxa"/>
            <w:gridSpan w:val="2"/>
            <w:tcBorders>
              <w:left w:val="nil"/>
              <w:bottom w:val="single" w:sz="4" w:space="0" w:color="auto"/>
              <w:right w:val="nil"/>
            </w:tcBorders>
            <w:shd w:val="clear" w:color="auto" w:fill="auto"/>
            <w:noWrap/>
            <w:vAlign w:val="bottom"/>
          </w:tcPr>
          <w:p w14:paraId="07AFB007" w14:textId="7E514C09" w:rsidR="00E3766F" w:rsidRDefault="00E3766F" w:rsidP="00EF53AA">
            <w:pPr>
              <w:jc w:val="center"/>
              <w:rPr>
                <w:rFonts w:ascii="Calibri" w:eastAsia="Times New Roman" w:hAnsi="Calibri" w:cs="Times New Roman"/>
                <w:sz w:val="20"/>
                <w:szCs w:val="20"/>
              </w:rPr>
            </w:pPr>
            <w:r w:rsidRPr="003B75A2">
              <w:rPr>
                <w:rFonts w:ascii="Calibri" w:eastAsia="Times New Roman" w:hAnsi="Calibri" w:cs="Times New Roman"/>
                <w:sz w:val="20"/>
                <w:szCs w:val="20"/>
              </w:rPr>
              <w:t>(3)</w:t>
            </w:r>
          </w:p>
        </w:tc>
        <w:tc>
          <w:tcPr>
            <w:tcW w:w="1373" w:type="dxa"/>
            <w:gridSpan w:val="2"/>
            <w:tcBorders>
              <w:left w:val="nil"/>
              <w:bottom w:val="single" w:sz="4" w:space="0" w:color="auto"/>
              <w:right w:val="nil"/>
            </w:tcBorders>
            <w:shd w:val="clear" w:color="auto" w:fill="auto"/>
            <w:noWrap/>
            <w:vAlign w:val="bottom"/>
          </w:tcPr>
          <w:p w14:paraId="7A00A7A0" w14:textId="0FDEE7C3" w:rsidR="00E3766F" w:rsidRDefault="00E3766F" w:rsidP="00EF53AA">
            <w:pPr>
              <w:jc w:val="center"/>
              <w:rPr>
                <w:rFonts w:ascii="Calibri" w:eastAsia="Times New Roman" w:hAnsi="Calibri" w:cs="Times New Roman"/>
                <w:sz w:val="20"/>
                <w:szCs w:val="20"/>
              </w:rPr>
            </w:pPr>
            <w:r w:rsidRPr="003B75A2">
              <w:rPr>
                <w:rFonts w:ascii="Calibri" w:eastAsia="Times New Roman" w:hAnsi="Calibri" w:cs="Times New Roman"/>
                <w:sz w:val="20"/>
                <w:szCs w:val="20"/>
              </w:rPr>
              <w:t>(4)</w:t>
            </w:r>
          </w:p>
        </w:tc>
        <w:tc>
          <w:tcPr>
            <w:tcW w:w="1373" w:type="dxa"/>
            <w:gridSpan w:val="2"/>
            <w:tcBorders>
              <w:left w:val="nil"/>
              <w:bottom w:val="single" w:sz="4" w:space="0" w:color="auto"/>
              <w:right w:val="nil"/>
            </w:tcBorders>
            <w:shd w:val="clear" w:color="auto" w:fill="auto"/>
            <w:noWrap/>
            <w:vAlign w:val="bottom"/>
          </w:tcPr>
          <w:p w14:paraId="062B8FFA" w14:textId="756DEC4B" w:rsidR="00E3766F" w:rsidRDefault="00E3766F" w:rsidP="00EF53AA">
            <w:pPr>
              <w:jc w:val="center"/>
              <w:rPr>
                <w:rFonts w:ascii="Calibri" w:eastAsia="Times New Roman" w:hAnsi="Calibri" w:cs="Times New Roman"/>
                <w:sz w:val="20"/>
                <w:szCs w:val="20"/>
              </w:rPr>
            </w:pPr>
            <w:r w:rsidRPr="003B75A2">
              <w:rPr>
                <w:rFonts w:ascii="Calibri" w:eastAsia="Times New Roman" w:hAnsi="Calibri" w:cs="Times New Roman"/>
                <w:sz w:val="20"/>
                <w:szCs w:val="20"/>
              </w:rPr>
              <w:t>(5)</w:t>
            </w:r>
          </w:p>
        </w:tc>
        <w:tc>
          <w:tcPr>
            <w:tcW w:w="1374" w:type="dxa"/>
            <w:tcBorders>
              <w:left w:val="nil"/>
              <w:bottom w:val="single" w:sz="4" w:space="0" w:color="auto"/>
              <w:right w:val="nil"/>
            </w:tcBorders>
            <w:shd w:val="clear" w:color="auto" w:fill="auto"/>
            <w:noWrap/>
            <w:vAlign w:val="bottom"/>
          </w:tcPr>
          <w:p w14:paraId="503F1E32" w14:textId="150EEBE4" w:rsidR="00E3766F" w:rsidRDefault="00E3766F" w:rsidP="00EF53AA">
            <w:pPr>
              <w:jc w:val="center"/>
              <w:rPr>
                <w:rFonts w:ascii="Calibri" w:eastAsia="Times New Roman" w:hAnsi="Calibri" w:cs="Times New Roman"/>
                <w:sz w:val="20"/>
                <w:szCs w:val="20"/>
              </w:rPr>
            </w:pPr>
            <w:r w:rsidRPr="003B75A2">
              <w:rPr>
                <w:rFonts w:ascii="Calibri" w:eastAsia="Times New Roman" w:hAnsi="Calibri" w:cs="Times New Roman"/>
                <w:sz w:val="20"/>
                <w:szCs w:val="20"/>
              </w:rPr>
              <w:t>(6)</w:t>
            </w:r>
          </w:p>
        </w:tc>
      </w:tr>
      <w:tr w:rsidR="005C208A" w:rsidRPr="003B75A2" w14:paraId="617CDC2F" w14:textId="77777777" w:rsidTr="005C208A">
        <w:trPr>
          <w:trHeight w:val="259"/>
          <w:jc w:val="center"/>
        </w:trPr>
        <w:tc>
          <w:tcPr>
            <w:tcW w:w="2303" w:type="dxa"/>
            <w:tcBorders>
              <w:top w:val="single" w:sz="4" w:space="0" w:color="auto"/>
              <w:left w:val="nil"/>
              <w:bottom w:val="nil"/>
              <w:right w:val="nil"/>
            </w:tcBorders>
            <w:shd w:val="clear" w:color="auto" w:fill="auto"/>
            <w:noWrap/>
            <w:vAlign w:val="bottom"/>
            <w:hideMark/>
          </w:tcPr>
          <w:p w14:paraId="7EB7E002" w14:textId="77777777"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 </w:t>
            </w:r>
          </w:p>
        </w:tc>
        <w:tc>
          <w:tcPr>
            <w:tcW w:w="1556" w:type="dxa"/>
            <w:gridSpan w:val="2"/>
            <w:tcBorders>
              <w:top w:val="single" w:sz="4" w:space="0" w:color="auto"/>
              <w:left w:val="nil"/>
              <w:bottom w:val="nil"/>
              <w:right w:val="nil"/>
            </w:tcBorders>
            <w:shd w:val="clear" w:color="auto" w:fill="auto"/>
            <w:noWrap/>
            <w:vAlign w:val="bottom"/>
            <w:hideMark/>
          </w:tcPr>
          <w:p w14:paraId="6F19A84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 </w:t>
            </w:r>
          </w:p>
        </w:tc>
        <w:tc>
          <w:tcPr>
            <w:tcW w:w="1373" w:type="dxa"/>
            <w:tcBorders>
              <w:top w:val="single" w:sz="4" w:space="0" w:color="auto"/>
              <w:left w:val="nil"/>
              <w:bottom w:val="nil"/>
              <w:right w:val="nil"/>
            </w:tcBorders>
            <w:shd w:val="clear" w:color="auto" w:fill="auto"/>
            <w:noWrap/>
            <w:vAlign w:val="bottom"/>
            <w:hideMark/>
          </w:tcPr>
          <w:p w14:paraId="4659C03A"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 </w:t>
            </w:r>
          </w:p>
        </w:tc>
        <w:tc>
          <w:tcPr>
            <w:tcW w:w="1373" w:type="dxa"/>
            <w:gridSpan w:val="2"/>
            <w:tcBorders>
              <w:top w:val="single" w:sz="4" w:space="0" w:color="auto"/>
              <w:left w:val="nil"/>
              <w:bottom w:val="nil"/>
              <w:right w:val="nil"/>
            </w:tcBorders>
            <w:shd w:val="clear" w:color="auto" w:fill="auto"/>
            <w:noWrap/>
            <w:vAlign w:val="bottom"/>
            <w:hideMark/>
          </w:tcPr>
          <w:p w14:paraId="7C304476"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 </w:t>
            </w:r>
          </w:p>
        </w:tc>
        <w:tc>
          <w:tcPr>
            <w:tcW w:w="1373" w:type="dxa"/>
            <w:gridSpan w:val="2"/>
            <w:tcBorders>
              <w:top w:val="single" w:sz="4" w:space="0" w:color="auto"/>
              <w:left w:val="nil"/>
              <w:bottom w:val="nil"/>
              <w:right w:val="nil"/>
            </w:tcBorders>
            <w:shd w:val="clear" w:color="auto" w:fill="auto"/>
            <w:noWrap/>
            <w:vAlign w:val="bottom"/>
            <w:hideMark/>
          </w:tcPr>
          <w:p w14:paraId="62BF6970"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 </w:t>
            </w:r>
          </w:p>
        </w:tc>
        <w:tc>
          <w:tcPr>
            <w:tcW w:w="1373" w:type="dxa"/>
            <w:gridSpan w:val="2"/>
            <w:tcBorders>
              <w:top w:val="single" w:sz="4" w:space="0" w:color="auto"/>
              <w:left w:val="nil"/>
              <w:bottom w:val="nil"/>
              <w:right w:val="nil"/>
            </w:tcBorders>
            <w:shd w:val="clear" w:color="auto" w:fill="auto"/>
            <w:noWrap/>
            <w:vAlign w:val="bottom"/>
            <w:hideMark/>
          </w:tcPr>
          <w:p w14:paraId="643CD037"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 </w:t>
            </w:r>
          </w:p>
        </w:tc>
        <w:tc>
          <w:tcPr>
            <w:tcW w:w="1374" w:type="dxa"/>
            <w:tcBorders>
              <w:top w:val="single" w:sz="4" w:space="0" w:color="auto"/>
              <w:left w:val="nil"/>
              <w:bottom w:val="nil"/>
              <w:right w:val="nil"/>
            </w:tcBorders>
            <w:shd w:val="clear" w:color="auto" w:fill="auto"/>
            <w:noWrap/>
            <w:vAlign w:val="bottom"/>
            <w:hideMark/>
          </w:tcPr>
          <w:p w14:paraId="0C0CC8B7"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 </w:t>
            </w:r>
          </w:p>
        </w:tc>
      </w:tr>
      <w:tr w:rsidR="003B75A2" w:rsidRPr="003B75A2" w14:paraId="6AAEEB1F"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0E17F0C3" w14:textId="3C857291"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Firm size</w:t>
            </w:r>
          </w:p>
        </w:tc>
        <w:tc>
          <w:tcPr>
            <w:tcW w:w="1556" w:type="dxa"/>
            <w:gridSpan w:val="2"/>
            <w:tcBorders>
              <w:top w:val="nil"/>
              <w:left w:val="nil"/>
              <w:bottom w:val="nil"/>
              <w:right w:val="nil"/>
            </w:tcBorders>
            <w:shd w:val="clear" w:color="auto" w:fill="auto"/>
            <w:noWrap/>
            <w:vAlign w:val="bottom"/>
            <w:hideMark/>
          </w:tcPr>
          <w:p w14:paraId="477C1BB7"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-17,353***</w:t>
            </w:r>
          </w:p>
        </w:tc>
        <w:tc>
          <w:tcPr>
            <w:tcW w:w="1373" w:type="dxa"/>
            <w:tcBorders>
              <w:top w:val="nil"/>
              <w:left w:val="nil"/>
              <w:bottom w:val="nil"/>
              <w:right w:val="nil"/>
            </w:tcBorders>
            <w:shd w:val="clear" w:color="auto" w:fill="auto"/>
            <w:noWrap/>
            <w:vAlign w:val="bottom"/>
            <w:hideMark/>
          </w:tcPr>
          <w:p w14:paraId="7F402221"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-17,353***</w:t>
            </w:r>
          </w:p>
        </w:tc>
        <w:tc>
          <w:tcPr>
            <w:tcW w:w="1373" w:type="dxa"/>
            <w:gridSpan w:val="2"/>
            <w:tcBorders>
              <w:top w:val="nil"/>
              <w:left w:val="nil"/>
              <w:bottom w:val="nil"/>
              <w:right w:val="nil"/>
            </w:tcBorders>
            <w:shd w:val="clear" w:color="auto" w:fill="auto"/>
            <w:noWrap/>
            <w:vAlign w:val="bottom"/>
            <w:hideMark/>
          </w:tcPr>
          <w:p w14:paraId="5A6A465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-15,897*</w:t>
            </w:r>
          </w:p>
        </w:tc>
        <w:tc>
          <w:tcPr>
            <w:tcW w:w="1373" w:type="dxa"/>
            <w:gridSpan w:val="2"/>
            <w:tcBorders>
              <w:top w:val="nil"/>
              <w:left w:val="nil"/>
              <w:bottom w:val="nil"/>
              <w:right w:val="nil"/>
            </w:tcBorders>
            <w:shd w:val="clear" w:color="auto" w:fill="auto"/>
            <w:noWrap/>
            <w:vAlign w:val="bottom"/>
            <w:hideMark/>
          </w:tcPr>
          <w:p w14:paraId="3A198FA3"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-15,908*</w:t>
            </w:r>
          </w:p>
        </w:tc>
        <w:tc>
          <w:tcPr>
            <w:tcW w:w="1373" w:type="dxa"/>
            <w:gridSpan w:val="2"/>
            <w:tcBorders>
              <w:top w:val="nil"/>
              <w:left w:val="nil"/>
              <w:bottom w:val="nil"/>
              <w:right w:val="nil"/>
            </w:tcBorders>
            <w:shd w:val="clear" w:color="auto" w:fill="auto"/>
            <w:noWrap/>
            <w:vAlign w:val="bottom"/>
            <w:hideMark/>
          </w:tcPr>
          <w:p w14:paraId="01A828C0"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-13,812*</w:t>
            </w:r>
          </w:p>
        </w:tc>
        <w:tc>
          <w:tcPr>
            <w:tcW w:w="1374" w:type="dxa"/>
            <w:tcBorders>
              <w:top w:val="nil"/>
              <w:left w:val="nil"/>
              <w:bottom w:val="nil"/>
              <w:right w:val="nil"/>
            </w:tcBorders>
            <w:shd w:val="clear" w:color="auto" w:fill="auto"/>
            <w:noWrap/>
            <w:vAlign w:val="bottom"/>
            <w:hideMark/>
          </w:tcPr>
          <w:p w14:paraId="2B2FFAA2"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-13,811*</w:t>
            </w:r>
          </w:p>
        </w:tc>
      </w:tr>
      <w:tr w:rsidR="003B75A2" w:rsidRPr="003B75A2" w14:paraId="5429A3EF"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537EFA89"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495E3C13"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(4,962)</w:t>
            </w:r>
          </w:p>
        </w:tc>
        <w:tc>
          <w:tcPr>
            <w:tcW w:w="1373" w:type="dxa"/>
            <w:tcBorders>
              <w:top w:val="nil"/>
              <w:left w:val="nil"/>
              <w:bottom w:val="nil"/>
              <w:right w:val="nil"/>
            </w:tcBorders>
            <w:shd w:val="clear" w:color="auto" w:fill="auto"/>
            <w:noWrap/>
            <w:vAlign w:val="bottom"/>
            <w:hideMark/>
          </w:tcPr>
          <w:p w14:paraId="3F338ABB"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(4,954)</w:t>
            </w:r>
          </w:p>
        </w:tc>
        <w:tc>
          <w:tcPr>
            <w:tcW w:w="1373" w:type="dxa"/>
            <w:gridSpan w:val="2"/>
            <w:tcBorders>
              <w:top w:val="nil"/>
              <w:left w:val="nil"/>
              <w:bottom w:val="nil"/>
              <w:right w:val="nil"/>
            </w:tcBorders>
            <w:shd w:val="clear" w:color="auto" w:fill="auto"/>
            <w:noWrap/>
            <w:vAlign w:val="bottom"/>
            <w:hideMark/>
          </w:tcPr>
          <w:p w14:paraId="375DFC01"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(7,672)</w:t>
            </w:r>
          </w:p>
        </w:tc>
        <w:tc>
          <w:tcPr>
            <w:tcW w:w="1373" w:type="dxa"/>
            <w:gridSpan w:val="2"/>
            <w:tcBorders>
              <w:top w:val="nil"/>
              <w:left w:val="nil"/>
              <w:bottom w:val="nil"/>
              <w:right w:val="nil"/>
            </w:tcBorders>
            <w:shd w:val="clear" w:color="auto" w:fill="auto"/>
            <w:noWrap/>
            <w:vAlign w:val="bottom"/>
            <w:hideMark/>
          </w:tcPr>
          <w:p w14:paraId="2B998490"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(7,692)</w:t>
            </w:r>
          </w:p>
        </w:tc>
        <w:tc>
          <w:tcPr>
            <w:tcW w:w="1373" w:type="dxa"/>
            <w:gridSpan w:val="2"/>
            <w:tcBorders>
              <w:top w:val="nil"/>
              <w:left w:val="nil"/>
              <w:bottom w:val="nil"/>
              <w:right w:val="nil"/>
            </w:tcBorders>
            <w:shd w:val="clear" w:color="auto" w:fill="auto"/>
            <w:noWrap/>
            <w:vAlign w:val="bottom"/>
            <w:hideMark/>
          </w:tcPr>
          <w:p w14:paraId="3B7F45C1"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(7,469)</w:t>
            </w:r>
          </w:p>
        </w:tc>
        <w:tc>
          <w:tcPr>
            <w:tcW w:w="1374" w:type="dxa"/>
            <w:tcBorders>
              <w:top w:val="nil"/>
              <w:left w:val="nil"/>
              <w:bottom w:val="nil"/>
              <w:right w:val="nil"/>
            </w:tcBorders>
            <w:shd w:val="clear" w:color="auto" w:fill="auto"/>
            <w:noWrap/>
            <w:vAlign w:val="bottom"/>
            <w:hideMark/>
          </w:tcPr>
          <w:p w14:paraId="1CA3D4DB"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(7,472)</w:t>
            </w:r>
          </w:p>
        </w:tc>
      </w:tr>
      <w:tr w:rsidR="003B75A2" w:rsidRPr="003B75A2" w14:paraId="53C96CE9"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5C82E183" w14:textId="315F36B4"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Carbon intensity</w:t>
            </w:r>
          </w:p>
        </w:tc>
        <w:tc>
          <w:tcPr>
            <w:tcW w:w="1556" w:type="dxa"/>
            <w:gridSpan w:val="2"/>
            <w:tcBorders>
              <w:top w:val="nil"/>
              <w:left w:val="nil"/>
              <w:bottom w:val="nil"/>
              <w:right w:val="nil"/>
            </w:tcBorders>
            <w:shd w:val="clear" w:color="auto" w:fill="auto"/>
            <w:noWrap/>
            <w:vAlign w:val="bottom"/>
            <w:hideMark/>
          </w:tcPr>
          <w:p w14:paraId="241248B1"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-62.88*</w:t>
            </w:r>
          </w:p>
        </w:tc>
        <w:tc>
          <w:tcPr>
            <w:tcW w:w="1373" w:type="dxa"/>
            <w:tcBorders>
              <w:top w:val="nil"/>
              <w:left w:val="nil"/>
              <w:bottom w:val="nil"/>
              <w:right w:val="nil"/>
            </w:tcBorders>
            <w:shd w:val="clear" w:color="auto" w:fill="auto"/>
            <w:noWrap/>
            <w:vAlign w:val="bottom"/>
            <w:hideMark/>
          </w:tcPr>
          <w:p w14:paraId="6C7B6991"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-62.89*</w:t>
            </w:r>
          </w:p>
        </w:tc>
        <w:tc>
          <w:tcPr>
            <w:tcW w:w="1373" w:type="dxa"/>
            <w:gridSpan w:val="2"/>
            <w:tcBorders>
              <w:top w:val="nil"/>
              <w:left w:val="nil"/>
              <w:bottom w:val="nil"/>
              <w:right w:val="nil"/>
            </w:tcBorders>
            <w:shd w:val="clear" w:color="auto" w:fill="auto"/>
            <w:noWrap/>
            <w:vAlign w:val="bottom"/>
            <w:hideMark/>
          </w:tcPr>
          <w:p w14:paraId="558DD384"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-79.31***</w:t>
            </w:r>
          </w:p>
        </w:tc>
        <w:tc>
          <w:tcPr>
            <w:tcW w:w="1373" w:type="dxa"/>
            <w:gridSpan w:val="2"/>
            <w:tcBorders>
              <w:top w:val="nil"/>
              <w:left w:val="nil"/>
              <w:bottom w:val="nil"/>
              <w:right w:val="nil"/>
            </w:tcBorders>
            <w:shd w:val="clear" w:color="auto" w:fill="auto"/>
            <w:noWrap/>
            <w:vAlign w:val="bottom"/>
            <w:hideMark/>
          </w:tcPr>
          <w:p w14:paraId="3CF841E6"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-76.86***</w:t>
            </w:r>
          </w:p>
        </w:tc>
        <w:tc>
          <w:tcPr>
            <w:tcW w:w="1373" w:type="dxa"/>
            <w:gridSpan w:val="2"/>
            <w:tcBorders>
              <w:top w:val="nil"/>
              <w:left w:val="nil"/>
              <w:bottom w:val="nil"/>
              <w:right w:val="nil"/>
            </w:tcBorders>
            <w:shd w:val="clear" w:color="auto" w:fill="auto"/>
            <w:noWrap/>
            <w:vAlign w:val="bottom"/>
            <w:hideMark/>
          </w:tcPr>
          <w:p w14:paraId="1B04F152"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-85.54***</w:t>
            </w:r>
          </w:p>
        </w:tc>
        <w:tc>
          <w:tcPr>
            <w:tcW w:w="1374" w:type="dxa"/>
            <w:tcBorders>
              <w:top w:val="nil"/>
              <w:left w:val="nil"/>
              <w:bottom w:val="nil"/>
              <w:right w:val="nil"/>
            </w:tcBorders>
            <w:shd w:val="clear" w:color="auto" w:fill="auto"/>
            <w:noWrap/>
            <w:vAlign w:val="bottom"/>
            <w:hideMark/>
          </w:tcPr>
          <w:p w14:paraId="27AA8552"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-83.28***</w:t>
            </w:r>
          </w:p>
        </w:tc>
      </w:tr>
      <w:tr w:rsidR="003B75A2" w:rsidRPr="003B75A2" w14:paraId="688A0663"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7164037A"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24E6618C"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(34.20)</w:t>
            </w:r>
          </w:p>
        </w:tc>
        <w:tc>
          <w:tcPr>
            <w:tcW w:w="1373" w:type="dxa"/>
            <w:tcBorders>
              <w:top w:val="nil"/>
              <w:left w:val="nil"/>
              <w:bottom w:val="nil"/>
              <w:right w:val="nil"/>
            </w:tcBorders>
            <w:shd w:val="clear" w:color="auto" w:fill="auto"/>
            <w:noWrap/>
            <w:vAlign w:val="bottom"/>
            <w:hideMark/>
          </w:tcPr>
          <w:p w14:paraId="35390603"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(33.69)</w:t>
            </w:r>
          </w:p>
        </w:tc>
        <w:tc>
          <w:tcPr>
            <w:tcW w:w="1373" w:type="dxa"/>
            <w:gridSpan w:val="2"/>
            <w:tcBorders>
              <w:top w:val="nil"/>
              <w:left w:val="nil"/>
              <w:bottom w:val="nil"/>
              <w:right w:val="nil"/>
            </w:tcBorders>
            <w:shd w:val="clear" w:color="auto" w:fill="auto"/>
            <w:noWrap/>
            <w:vAlign w:val="bottom"/>
            <w:hideMark/>
          </w:tcPr>
          <w:p w14:paraId="67A865DF"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(24.62)</w:t>
            </w:r>
          </w:p>
        </w:tc>
        <w:tc>
          <w:tcPr>
            <w:tcW w:w="1373" w:type="dxa"/>
            <w:gridSpan w:val="2"/>
            <w:tcBorders>
              <w:top w:val="nil"/>
              <w:left w:val="nil"/>
              <w:bottom w:val="nil"/>
              <w:right w:val="nil"/>
            </w:tcBorders>
            <w:shd w:val="clear" w:color="auto" w:fill="auto"/>
            <w:noWrap/>
            <w:vAlign w:val="bottom"/>
            <w:hideMark/>
          </w:tcPr>
          <w:p w14:paraId="42591279"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(24.28)</w:t>
            </w:r>
          </w:p>
        </w:tc>
        <w:tc>
          <w:tcPr>
            <w:tcW w:w="1373" w:type="dxa"/>
            <w:gridSpan w:val="2"/>
            <w:tcBorders>
              <w:top w:val="nil"/>
              <w:left w:val="nil"/>
              <w:bottom w:val="nil"/>
              <w:right w:val="nil"/>
            </w:tcBorders>
            <w:shd w:val="clear" w:color="auto" w:fill="auto"/>
            <w:noWrap/>
            <w:vAlign w:val="bottom"/>
            <w:hideMark/>
          </w:tcPr>
          <w:p w14:paraId="6E268C76"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(25.69)</w:t>
            </w:r>
          </w:p>
        </w:tc>
        <w:tc>
          <w:tcPr>
            <w:tcW w:w="1374" w:type="dxa"/>
            <w:tcBorders>
              <w:top w:val="nil"/>
              <w:left w:val="nil"/>
              <w:bottom w:val="nil"/>
              <w:right w:val="nil"/>
            </w:tcBorders>
            <w:shd w:val="clear" w:color="auto" w:fill="auto"/>
            <w:noWrap/>
            <w:vAlign w:val="bottom"/>
            <w:hideMark/>
          </w:tcPr>
          <w:p w14:paraId="57E78945"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(25.27)</w:t>
            </w:r>
          </w:p>
        </w:tc>
      </w:tr>
      <w:tr w:rsidR="003B75A2" w:rsidRPr="003B75A2" w14:paraId="19C7A6DB"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1223FA81" w14:textId="380EF22C"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Fossil fuel</w:t>
            </w:r>
          </w:p>
        </w:tc>
        <w:tc>
          <w:tcPr>
            <w:tcW w:w="1556" w:type="dxa"/>
            <w:gridSpan w:val="2"/>
            <w:tcBorders>
              <w:top w:val="nil"/>
              <w:left w:val="nil"/>
              <w:bottom w:val="nil"/>
              <w:right w:val="nil"/>
            </w:tcBorders>
            <w:shd w:val="clear" w:color="auto" w:fill="auto"/>
            <w:noWrap/>
            <w:vAlign w:val="bottom"/>
            <w:hideMark/>
          </w:tcPr>
          <w:p w14:paraId="094DE7FB"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1.305e+06</w:t>
            </w:r>
          </w:p>
        </w:tc>
        <w:tc>
          <w:tcPr>
            <w:tcW w:w="1373" w:type="dxa"/>
            <w:tcBorders>
              <w:top w:val="nil"/>
              <w:left w:val="nil"/>
              <w:bottom w:val="nil"/>
              <w:right w:val="nil"/>
            </w:tcBorders>
            <w:shd w:val="clear" w:color="auto" w:fill="auto"/>
            <w:noWrap/>
            <w:vAlign w:val="bottom"/>
            <w:hideMark/>
          </w:tcPr>
          <w:p w14:paraId="0CC935BE"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1.305e+06</w:t>
            </w:r>
          </w:p>
        </w:tc>
        <w:tc>
          <w:tcPr>
            <w:tcW w:w="1373" w:type="dxa"/>
            <w:gridSpan w:val="2"/>
            <w:tcBorders>
              <w:top w:val="nil"/>
              <w:left w:val="nil"/>
              <w:bottom w:val="nil"/>
              <w:right w:val="nil"/>
            </w:tcBorders>
            <w:shd w:val="clear" w:color="auto" w:fill="auto"/>
            <w:noWrap/>
            <w:vAlign w:val="bottom"/>
            <w:hideMark/>
          </w:tcPr>
          <w:p w14:paraId="1E1F7E49"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-11,858</w:t>
            </w:r>
          </w:p>
        </w:tc>
        <w:tc>
          <w:tcPr>
            <w:tcW w:w="1373" w:type="dxa"/>
            <w:gridSpan w:val="2"/>
            <w:tcBorders>
              <w:top w:val="nil"/>
              <w:left w:val="nil"/>
              <w:bottom w:val="nil"/>
              <w:right w:val="nil"/>
            </w:tcBorders>
            <w:shd w:val="clear" w:color="auto" w:fill="auto"/>
            <w:noWrap/>
            <w:vAlign w:val="bottom"/>
            <w:hideMark/>
          </w:tcPr>
          <w:p w14:paraId="393C7C34"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-15,916</w:t>
            </w:r>
          </w:p>
        </w:tc>
        <w:tc>
          <w:tcPr>
            <w:tcW w:w="1373" w:type="dxa"/>
            <w:gridSpan w:val="2"/>
            <w:tcBorders>
              <w:top w:val="nil"/>
              <w:left w:val="nil"/>
              <w:bottom w:val="nil"/>
              <w:right w:val="nil"/>
            </w:tcBorders>
            <w:shd w:val="clear" w:color="auto" w:fill="auto"/>
            <w:noWrap/>
            <w:vAlign w:val="bottom"/>
            <w:hideMark/>
          </w:tcPr>
          <w:p w14:paraId="6075ADE1"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-5,248</w:t>
            </w:r>
          </w:p>
        </w:tc>
        <w:tc>
          <w:tcPr>
            <w:tcW w:w="1374" w:type="dxa"/>
            <w:tcBorders>
              <w:top w:val="nil"/>
              <w:left w:val="nil"/>
              <w:bottom w:val="nil"/>
              <w:right w:val="nil"/>
            </w:tcBorders>
            <w:shd w:val="clear" w:color="auto" w:fill="auto"/>
            <w:noWrap/>
            <w:vAlign w:val="bottom"/>
            <w:hideMark/>
          </w:tcPr>
          <w:p w14:paraId="1D9C8C86"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-8,903</w:t>
            </w:r>
          </w:p>
        </w:tc>
      </w:tr>
      <w:tr w:rsidR="003B75A2" w:rsidRPr="003B75A2" w14:paraId="715F6281"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1B58DF8D"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3B84DC5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(914,258)</w:t>
            </w:r>
          </w:p>
        </w:tc>
        <w:tc>
          <w:tcPr>
            <w:tcW w:w="1373" w:type="dxa"/>
            <w:tcBorders>
              <w:top w:val="nil"/>
              <w:left w:val="nil"/>
              <w:bottom w:val="nil"/>
              <w:right w:val="nil"/>
            </w:tcBorders>
            <w:shd w:val="clear" w:color="auto" w:fill="auto"/>
            <w:noWrap/>
            <w:vAlign w:val="bottom"/>
            <w:hideMark/>
          </w:tcPr>
          <w:p w14:paraId="7305F7AE"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(912,805)</w:t>
            </w:r>
          </w:p>
        </w:tc>
        <w:tc>
          <w:tcPr>
            <w:tcW w:w="1373" w:type="dxa"/>
            <w:gridSpan w:val="2"/>
            <w:tcBorders>
              <w:top w:val="nil"/>
              <w:left w:val="nil"/>
              <w:bottom w:val="nil"/>
              <w:right w:val="nil"/>
            </w:tcBorders>
            <w:shd w:val="clear" w:color="auto" w:fill="auto"/>
            <w:noWrap/>
            <w:vAlign w:val="bottom"/>
            <w:hideMark/>
          </w:tcPr>
          <w:p w14:paraId="46FBB4A3"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(25,222)</w:t>
            </w:r>
          </w:p>
        </w:tc>
        <w:tc>
          <w:tcPr>
            <w:tcW w:w="1373" w:type="dxa"/>
            <w:gridSpan w:val="2"/>
            <w:tcBorders>
              <w:top w:val="nil"/>
              <w:left w:val="nil"/>
              <w:bottom w:val="nil"/>
              <w:right w:val="nil"/>
            </w:tcBorders>
            <w:shd w:val="clear" w:color="auto" w:fill="auto"/>
            <w:noWrap/>
            <w:vAlign w:val="bottom"/>
            <w:hideMark/>
          </w:tcPr>
          <w:p w14:paraId="414DB6BE"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(24,869)</w:t>
            </w:r>
          </w:p>
        </w:tc>
        <w:tc>
          <w:tcPr>
            <w:tcW w:w="1373" w:type="dxa"/>
            <w:gridSpan w:val="2"/>
            <w:tcBorders>
              <w:top w:val="nil"/>
              <w:left w:val="nil"/>
              <w:bottom w:val="nil"/>
              <w:right w:val="nil"/>
            </w:tcBorders>
            <w:shd w:val="clear" w:color="auto" w:fill="auto"/>
            <w:noWrap/>
            <w:vAlign w:val="bottom"/>
            <w:hideMark/>
          </w:tcPr>
          <w:p w14:paraId="5D687595"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(23,120)</w:t>
            </w:r>
          </w:p>
        </w:tc>
        <w:tc>
          <w:tcPr>
            <w:tcW w:w="1374" w:type="dxa"/>
            <w:tcBorders>
              <w:top w:val="nil"/>
              <w:left w:val="nil"/>
              <w:bottom w:val="nil"/>
              <w:right w:val="nil"/>
            </w:tcBorders>
            <w:shd w:val="clear" w:color="auto" w:fill="auto"/>
            <w:noWrap/>
            <w:vAlign w:val="bottom"/>
            <w:hideMark/>
          </w:tcPr>
          <w:p w14:paraId="0B73B7D0"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(22,821)</w:t>
            </w:r>
          </w:p>
        </w:tc>
      </w:tr>
      <w:tr w:rsidR="003B75A2" w:rsidRPr="003B75A2" w14:paraId="36F146EE"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7352D4B0" w14:textId="6A608DC0"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Competition</w:t>
            </w:r>
          </w:p>
        </w:tc>
        <w:tc>
          <w:tcPr>
            <w:tcW w:w="1556" w:type="dxa"/>
            <w:gridSpan w:val="2"/>
            <w:tcBorders>
              <w:top w:val="nil"/>
              <w:left w:val="nil"/>
              <w:bottom w:val="nil"/>
              <w:right w:val="nil"/>
            </w:tcBorders>
            <w:shd w:val="clear" w:color="auto" w:fill="auto"/>
            <w:noWrap/>
            <w:vAlign w:val="bottom"/>
            <w:hideMark/>
          </w:tcPr>
          <w:p w14:paraId="4BB65E72"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-63,031</w:t>
            </w:r>
          </w:p>
        </w:tc>
        <w:tc>
          <w:tcPr>
            <w:tcW w:w="1373" w:type="dxa"/>
            <w:tcBorders>
              <w:top w:val="nil"/>
              <w:left w:val="nil"/>
              <w:bottom w:val="nil"/>
              <w:right w:val="nil"/>
            </w:tcBorders>
            <w:shd w:val="clear" w:color="auto" w:fill="auto"/>
            <w:noWrap/>
            <w:vAlign w:val="bottom"/>
            <w:hideMark/>
          </w:tcPr>
          <w:p w14:paraId="2E5214A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-63,417</w:t>
            </w:r>
          </w:p>
        </w:tc>
        <w:tc>
          <w:tcPr>
            <w:tcW w:w="1373" w:type="dxa"/>
            <w:gridSpan w:val="2"/>
            <w:tcBorders>
              <w:top w:val="nil"/>
              <w:left w:val="nil"/>
              <w:bottom w:val="nil"/>
              <w:right w:val="nil"/>
            </w:tcBorders>
            <w:shd w:val="clear" w:color="auto" w:fill="auto"/>
            <w:noWrap/>
            <w:vAlign w:val="bottom"/>
            <w:hideMark/>
          </w:tcPr>
          <w:p w14:paraId="1DEF3152" w14:textId="08BD83EE" w:rsidR="003B75A2" w:rsidRPr="003B75A2" w:rsidRDefault="003B75A2" w:rsidP="003B75A2">
            <w:pPr>
              <w:jc w:val="center"/>
              <w:rPr>
                <w:rFonts w:ascii="Calibri" w:eastAsia="Times New Roman" w:hAnsi="Calibri" w:cs="Times New Roman"/>
                <w:sz w:val="20"/>
                <w:szCs w:val="20"/>
              </w:rPr>
            </w:pPr>
            <w:r>
              <w:rPr>
                <w:rFonts w:ascii="Calibri" w:eastAsia="Times New Roman" w:hAnsi="Calibri" w:cs="Times New Roman"/>
                <w:sz w:val="20"/>
                <w:szCs w:val="20"/>
              </w:rPr>
              <w:t>-627,54</w:t>
            </w:r>
            <w:r w:rsidRPr="003B75A2">
              <w:rPr>
                <w:rFonts w:ascii="Calibri" w:eastAsia="Times New Roman" w:hAnsi="Calibri" w:cs="Times New Roman"/>
                <w:sz w:val="20"/>
                <w:szCs w:val="20"/>
              </w:rPr>
              <w:t>***</w:t>
            </w:r>
          </w:p>
        </w:tc>
        <w:tc>
          <w:tcPr>
            <w:tcW w:w="1373" w:type="dxa"/>
            <w:gridSpan w:val="2"/>
            <w:tcBorders>
              <w:top w:val="nil"/>
              <w:left w:val="nil"/>
              <w:bottom w:val="nil"/>
              <w:right w:val="nil"/>
            </w:tcBorders>
            <w:shd w:val="clear" w:color="auto" w:fill="auto"/>
            <w:noWrap/>
            <w:vAlign w:val="bottom"/>
            <w:hideMark/>
          </w:tcPr>
          <w:p w14:paraId="7C43EAC8" w14:textId="2C41964D" w:rsidR="003B75A2" w:rsidRPr="003B75A2" w:rsidRDefault="003B75A2" w:rsidP="003B75A2">
            <w:pPr>
              <w:jc w:val="center"/>
              <w:rPr>
                <w:rFonts w:ascii="Calibri" w:eastAsia="Times New Roman" w:hAnsi="Calibri" w:cs="Times New Roman"/>
                <w:sz w:val="20"/>
                <w:szCs w:val="20"/>
              </w:rPr>
            </w:pPr>
            <w:r>
              <w:rPr>
                <w:rFonts w:ascii="Calibri" w:eastAsia="Times New Roman" w:hAnsi="Calibri" w:cs="Times New Roman"/>
                <w:sz w:val="20"/>
                <w:szCs w:val="20"/>
              </w:rPr>
              <w:t>-572,67</w:t>
            </w:r>
            <w:r w:rsidRPr="003B75A2">
              <w:rPr>
                <w:rFonts w:ascii="Calibri" w:eastAsia="Times New Roman" w:hAnsi="Calibri" w:cs="Times New Roman"/>
                <w:sz w:val="20"/>
                <w:szCs w:val="20"/>
              </w:rPr>
              <w:t>***</w:t>
            </w:r>
          </w:p>
        </w:tc>
        <w:tc>
          <w:tcPr>
            <w:tcW w:w="1373" w:type="dxa"/>
            <w:gridSpan w:val="2"/>
            <w:tcBorders>
              <w:top w:val="nil"/>
              <w:left w:val="nil"/>
              <w:bottom w:val="nil"/>
              <w:right w:val="nil"/>
            </w:tcBorders>
            <w:shd w:val="clear" w:color="auto" w:fill="auto"/>
            <w:noWrap/>
            <w:vAlign w:val="bottom"/>
            <w:hideMark/>
          </w:tcPr>
          <w:p w14:paraId="5492EC3F" w14:textId="25FCA57D" w:rsidR="003B75A2" w:rsidRPr="003B75A2" w:rsidRDefault="003B75A2" w:rsidP="003B75A2">
            <w:pPr>
              <w:jc w:val="center"/>
              <w:rPr>
                <w:rFonts w:ascii="Calibri" w:eastAsia="Times New Roman" w:hAnsi="Calibri" w:cs="Times New Roman"/>
                <w:sz w:val="20"/>
                <w:szCs w:val="20"/>
              </w:rPr>
            </w:pPr>
            <w:r>
              <w:rPr>
                <w:rFonts w:ascii="Calibri" w:eastAsia="Times New Roman" w:hAnsi="Calibri" w:cs="Times New Roman"/>
                <w:sz w:val="20"/>
                <w:szCs w:val="20"/>
              </w:rPr>
              <w:t>-614,16</w:t>
            </w:r>
            <w:r w:rsidRPr="003B75A2">
              <w:rPr>
                <w:rFonts w:ascii="Calibri" w:eastAsia="Times New Roman" w:hAnsi="Calibri" w:cs="Times New Roman"/>
                <w:sz w:val="20"/>
                <w:szCs w:val="20"/>
              </w:rPr>
              <w:t>***</w:t>
            </w:r>
          </w:p>
        </w:tc>
        <w:tc>
          <w:tcPr>
            <w:tcW w:w="1374" w:type="dxa"/>
            <w:tcBorders>
              <w:top w:val="nil"/>
              <w:left w:val="nil"/>
              <w:bottom w:val="nil"/>
              <w:right w:val="nil"/>
            </w:tcBorders>
            <w:shd w:val="clear" w:color="auto" w:fill="auto"/>
            <w:noWrap/>
            <w:vAlign w:val="bottom"/>
            <w:hideMark/>
          </w:tcPr>
          <w:p w14:paraId="237E14D0" w14:textId="160AC2E5" w:rsidR="003B75A2" w:rsidRPr="003B75A2" w:rsidRDefault="003B75A2" w:rsidP="003B75A2">
            <w:pPr>
              <w:jc w:val="center"/>
              <w:rPr>
                <w:rFonts w:ascii="Calibri" w:eastAsia="Times New Roman" w:hAnsi="Calibri" w:cs="Times New Roman"/>
                <w:sz w:val="20"/>
                <w:szCs w:val="20"/>
              </w:rPr>
            </w:pPr>
            <w:r>
              <w:rPr>
                <w:rFonts w:ascii="Calibri" w:eastAsia="Times New Roman" w:hAnsi="Calibri" w:cs="Times New Roman"/>
                <w:sz w:val="20"/>
                <w:szCs w:val="20"/>
              </w:rPr>
              <w:t>-567,06</w:t>
            </w:r>
            <w:r w:rsidRPr="003B75A2">
              <w:rPr>
                <w:rFonts w:ascii="Calibri" w:eastAsia="Times New Roman" w:hAnsi="Calibri" w:cs="Times New Roman"/>
                <w:sz w:val="20"/>
                <w:szCs w:val="20"/>
              </w:rPr>
              <w:t>***</w:t>
            </w:r>
          </w:p>
        </w:tc>
      </w:tr>
      <w:tr w:rsidR="003B75A2" w:rsidRPr="003B75A2" w14:paraId="6B8E36F2"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613AEA5B"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2C3D935B"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(120,425)</w:t>
            </w:r>
          </w:p>
        </w:tc>
        <w:tc>
          <w:tcPr>
            <w:tcW w:w="1373" w:type="dxa"/>
            <w:tcBorders>
              <w:top w:val="nil"/>
              <w:left w:val="nil"/>
              <w:bottom w:val="nil"/>
              <w:right w:val="nil"/>
            </w:tcBorders>
            <w:shd w:val="clear" w:color="auto" w:fill="auto"/>
            <w:noWrap/>
            <w:vAlign w:val="bottom"/>
            <w:hideMark/>
          </w:tcPr>
          <w:p w14:paraId="514ACBEB"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(93,951)</w:t>
            </w:r>
          </w:p>
        </w:tc>
        <w:tc>
          <w:tcPr>
            <w:tcW w:w="1373" w:type="dxa"/>
            <w:gridSpan w:val="2"/>
            <w:tcBorders>
              <w:top w:val="nil"/>
              <w:left w:val="nil"/>
              <w:bottom w:val="nil"/>
              <w:right w:val="nil"/>
            </w:tcBorders>
            <w:shd w:val="clear" w:color="auto" w:fill="auto"/>
            <w:noWrap/>
            <w:vAlign w:val="bottom"/>
            <w:hideMark/>
          </w:tcPr>
          <w:p w14:paraId="3D7DE99C"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(119,661)</w:t>
            </w:r>
          </w:p>
        </w:tc>
        <w:tc>
          <w:tcPr>
            <w:tcW w:w="1373" w:type="dxa"/>
            <w:gridSpan w:val="2"/>
            <w:tcBorders>
              <w:top w:val="nil"/>
              <w:left w:val="nil"/>
              <w:bottom w:val="nil"/>
              <w:right w:val="nil"/>
            </w:tcBorders>
            <w:shd w:val="clear" w:color="auto" w:fill="auto"/>
            <w:noWrap/>
            <w:vAlign w:val="bottom"/>
            <w:hideMark/>
          </w:tcPr>
          <w:p w14:paraId="2277ED73"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(87,766)</w:t>
            </w:r>
          </w:p>
        </w:tc>
        <w:tc>
          <w:tcPr>
            <w:tcW w:w="1373" w:type="dxa"/>
            <w:gridSpan w:val="2"/>
            <w:tcBorders>
              <w:top w:val="nil"/>
              <w:left w:val="nil"/>
              <w:bottom w:val="nil"/>
              <w:right w:val="nil"/>
            </w:tcBorders>
            <w:shd w:val="clear" w:color="auto" w:fill="auto"/>
            <w:noWrap/>
            <w:vAlign w:val="bottom"/>
            <w:hideMark/>
          </w:tcPr>
          <w:p w14:paraId="6DDD1E34"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(116,006)</w:t>
            </w:r>
          </w:p>
        </w:tc>
        <w:tc>
          <w:tcPr>
            <w:tcW w:w="1374" w:type="dxa"/>
            <w:tcBorders>
              <w:top w:val="nil"/>
              <w:left w:val="nil"/>
              <w:bottom w:val="nil"/>
              <w:right w:val="nil"/>
            </w:tcBorders>
            <w:shd w:val="clear" w:color="auto" w:fill="auto"/>
            <w:noWrap/>
            <w:vAlign w:val="bottom"/>
            <w:hideMark/>
          </w:tcPr>
          <w:p w14:paraId="56DCB164"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(86,959)</w:t>
            </w:r>
          </w:p>
        </w:tc>
      </w:tr>
      <w:tr w:rsidR="003B75A2" w:rsidRPr="003B75A2" w14:paraId="0504A568"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49DED827" w14:textId="20257089"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Return on total assets</w:t>
            </w:r>
          </w:p>
        </w:tc>
        <w:tc>
          <w:tcPr>
            <w:tcW w:w="1556" w:type="dxa"/>
            <w:gridSpan w:val="2"/>
            <w:tcBorders>
              <w:top w:val="nil"/>
              <w:left w:val="nil"/>
              <w:bottom w:val="nil"/>
              <w:right w:val="nil"/>
            </w:tcBorders>
            <w:shd w:val="clear" w:color="auto" w:fill="auto"/>
            <w:noWrap/>
            <w:vAlign w:val="bottom"/>
            <w:hideMark/>
          </w:tcPr>
          <w:p w14:paraId="05171BED"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-378.6</w:t>
            </w:r>
          </w:p>
        </w:tc>
        <w:tc>
          <w:tcPr>
            <w:tcW w:w="1373" w:type="dxa"/>
            <w:tcBorders>
              <w:top w:val="nil"/>
              <w:left w:val="nil"/>
              <w:bottom w:val="nil"/>
              <w:right w:val="nil"/>
            </w:tcBorders>
            <w:shd w:val="clear" w:color="auto" w:fill="auto"/>
            <w:noWrap/>
            <w:vAlign w:val="bottom"/>
            <w:hideMark/>
          </w:tcPr>
          <w:p w14:paraId="6296F8B6"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-378.7</w:t>
            </w:r>
          </w:p>
        </w:tc>
        <w:tc>
          <w:tcPr>
            <w:tcW w:w="1373" w:type="dxa"/>
            <w:gridSpan w:val="2"/>
            <w:tcBorders>
              <w:top w:val="nil"/>
              <w:left w:val="nil"/>
              <w:bottom w:val="nil"/>
              <w:right w:val="nil"/>
            </w:tcBorders>
            <w:shd w:val="clear" w:color="auto" w:fill="auto"/>
            <w:noWrap/>
            <w:vAlign w:val="bottom"/>
            <w:hideMark/>
          </w:tcPr>
          <w:p w14:paraId="54D03F00"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534.1</w:t>
            </w:r>
          </w:p>
        </w:tc>
        <w:tc>
          <w:tcPr>
            <w:tcW w:w="1373" w:type="dxa"/>
            <w:gridSpan w:val="2"/>
            <w:tcBorders>
              <w:top w:val="nil"/>
              <w:left w:val="nil"/>
              <w:bottom w:val="nil"/>
              <w:right w:val="nil"/>
            </w:tcBorders>
            <w:shd w:val="clear" w:color="auto" w:fill="auto"/>
            <w:noWrap/>
            <w:vAlign w:val="bottom"/>
            <w:hideMark/>
          </w:tcPr>
          <w:p w14:paraId="540DB785"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557.2</w:t>
            </w:r>
          </w:p>
        </w:tc>
        <w:tc>
          <w:tcPr>
            <w:tcW w:w="1373" w:type="dxa"/>
            <w:gridSpan w:val="2"/>
            <w:tcBorders>
              <w:top w:val="nil"/>
              <w:left w:val="nil"/>
              <w:bottom w:val="nil"/>
              <w:right w:val="nil"/>
            </w:tcBorders>
            <w:shd w:val="clear" w:color="auto" w:fill="auto"/>
            <w:noWrap/>
            <w:vAlign w:val="bottom"/>
            <w:hideMark/>
          </w:tcPr>
          <w:p w14:paraId="2D463EF6"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461.1</w:t>
            </w:r>
          </w:p>
        </w:tc>
        <w:tc>
          <w:tcPr>
            <w:tcW w:w="1374" w:type="dxa"/>
            <w:tcBorders>
              <w:top w:val="nil"/>
              <w:left w:val="nil"/>
              <w:bottom w:val="nil"/>
              <w:right w:val="nil"/>
            </w:tcBorders>
            <w:shd w:val="clear" w:color="auto" w:fill="auto"/>
            <w:noWrap/>
            <w:vAlign w:val="bottom"/>
            <w:hideMark/>
          </w:tcPr>
          <w:p w14:paraId="7AEA2E71"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481.0</w:t>
            </w:r>
          </w:p>
        </w:tc>
      </w:tr>
      <w:tr w:rsidR="003B75A2" w:rsidRPr="003B75A2" w14:paraId="4FC802D2"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1E4A401B"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2189FD90"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(434.6)</w:t>
            </w:r>
          </w:p>
        </w:tc>
        <w:tc>
          <w:tcPr>
            <w:tcW w:w="1373" w:type="dxa"/>
            <w:tcBorders>
              <w:top w:val="nil"/>
              <w:left w:val="nil"/>
              <w:bottom w:val="nil"/>
              <w:right w:val="nil"/>
            </w:tcBorders>
            <w:shd w:val="clear" w:color="auto" w:fill="auto"/>
            <w:noWrap/>
            <w:vAlign w:val="bottom"/>
            <w:hideMark/>
          </w:tcPr>
          <w:p w14:paraId="45D1482A"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(434.4)</w:t>
            </w:r>
          </w:p>
        </w:tc>
        <w:tc>
          <w:tcPr>
            <w:tcW w:w="1373" w:type="dxa"/>
            <w:gridSpan w:val="2"/>
            <w:tcBorders>
              <w:top w:val="nil"/>
              <w:left w:val="nil"/>
              <w:bottom w:val="nil"/>
              <w:right w:val="nil"/>
            </w:tcBorders>
            <w:shd w:val="clear" w:color="auto" w:fill="auto"/>
            <w:noWrap/>
            <w:vAlign w:val="bottom"/>
            <w:hideMark/>
          </w:tcPr>
          <w:p w14:paraId="08CA5EB5"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(586.3)</w:t>
            </w:r>
          </w:p>
        </w:tc>
        <w:tc>
          <w:tcPr>
            <w:tcW w:w="1373" w:type="dxa"/>
            <w:gridSpan w:val="2"/>
            <w:tcBorders>
              <w:top w:val="nil"/>
              <w:left w:val="nil"/>
              <w:bottom w:val="nil"/>
              <w:right w:val="nil"/>
            </w:tcBorders>
            <w:shd w:val="clear" w:color="auto" w:fill="auto"/>
            <w:noWrap/>
            <w:vAlign w:val="bottom"/>
            <w:hideMark/>
          </w:tcPr>
          <w:p w14:paraId="56A00B5C"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(587.2)</w:t>
            </w:r>
          </w:p>
        </w:tc>
        <w:tc>
          <w:tcPr>
            <w:tcW w:w="1373" w:type="dxa"/>
            <w:gridSpan w:val="2"/>
            <w:tcBorders>
              <w:top w:val="nil"/>
              <w:left w:val="nil"/>
              <w:bottom w:val="nil"/>
              <w:right w:val="nil"/>
            </w:tcBorders>
            <w:shd w:val="clear" w:color="auto" w:fill="auto"/>
            <w:noWrap/>
            <w:vAlign w:val="bottom"/>
            <w:hideMark/>
          </w:tcPr>
          <w:p w14:paraId="54E0BECF"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(569.5)</w:t>
            </w:r>
          </w:p>
        </w:tc>
        <w:tc>
          <w:tcPr>
            <w:tcW w:w="1374" w:type="dxa"/>
            <w:tcBorders>
              <w:top w:val="nil"/>
              <w:left w:val="nil"/>
              <w:bottom w:val="nil"/>
              <w:right w:val="nil"/>
            </w:tcBorders>
            <w:shd w:val="clear" w:color="auto" w:fill="auto"/>
            <w:noWrap/>
            <w:vAlign w:val="bottom"/>
            <w:hideMark/>
          </w:tcPr>
          <w:p w14:paraId="4D04E4BD"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(565.4)</w:t>
            </w:r>
          </w:p>
        </w:tc>
      </w:tr>
      <w:tr w:rsidR="003B75A2" w:rsidRPr="003B75A2" w14:paraId="01978911"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47211C2A" w14:textId="596C5A1D"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Cash flow</w:t>
            </w:r>
          </w:p>
        </w:tc>
        <w:tc>
          <w:tcPr>
            <w:tcW w:w="1556" w:type="dxa"/>
            <w:gridSpan w:val="2"/>
            <w:tcBorders>
              <w:top w:val="nil"/>
              <w:left w:val="nil"/>
              <w:bottom w:val="nil"/>
              <w:right w:val="nil"/>
            </w:tcBorders>
            <w:shd w:val="clear" w:color="auto" w:fill="auto"/>
            <w:noWrap/>
            <w:vAlign w:val="bottom"/>
            <w:hideMark/>
          </w:tcPr>
          <w:p w14:paraId="5C4243FC"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6,598</w:t>
            </w:r>
          </w:p>
        </w:tc>
        <w:tc>
          <w:tcPr>
            <w:tcW w:w="1373" w:type="dxa"/>
            <w:tcBorders>
              <w:top w:val="nil"/>
              <w:left w:val="nil"/>
              <w:bottom w:val="nil"/>
              <w:right w:val="nil"/>
            </w:tcBorders>
            <w:shd w:val="clear" w:color="auto" w:fill="auto"/>
            <w:noWrap/>
            <w:vAlign w:val="bottom"/>
            <w:hideMark/>
          </w:tcPr>
          <w:p w14:paraId="7536F462"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6,597</w:t>
            </w:r>
          </w:p>
        </w:tc>
        <w:tc>
          <w:tcPr>
            <w:tcW w:w="1373" w:type="dxa"/>
            <w:gridSpan w:val="2"/>
            <w:tcBorders>
              <w:top w:val="nil"/>
              <w:left w:val="nil"/>
              <w:bottom w:val="nil"/>
              <w:right w:val="nil"/>
            </w:tcBorders>
            <w:shd w:val="clear" w:color="auto" w:fill="auto"/>
            <w:noWrap/>
            <w:vAlign w:val="bottom"/>
            <w:hideMark/>
          </w:tcPr>
          <w:p w14:paraId="584A4BA3"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-41,881***</w:t>
            </w:r>
          </w:p>
        </w:tc>
        <w:tc>
          <w:tcPr>
            <w:tcW w:w="1373" w:type="dxa"/>
            <w:gridSpan w:val="2"/>
            <w:tcBorders>
              <w:top w:val="nil"/>
              <w:left w:val="nil"/>
              <w:bottom w:val="nil"/>
              <w:right w:val="nil"/>
            </w:tcBorders>
            <w:shd w:val="clear" w:color="auto" w:fill="auto"/>
            <w:noWrap/>
            <w:vAlign w:val="bottom"/>
            <w:hideMark/>
          </w:tcPr>
          <w:p w14:paraId="354485C1"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-42,168***</w:t>
            </w:r>
          </w:p>
        </w:tc>
        <w:tc>
          <w:tcPr>
            <w:tcW w:w="1373" w:type="dxa"/>
            <w:gridSpan w:val="2"/>
            <w:tcBorders>
              <w:top w:val="nil"/>
              <w:left w:val="nil"/>
              <w:bottom w:val="nil"/>
              <w:right w:val="nil"/>
            </w:tcBorders>
            <w:shd w:val="clear" w:color="auto" w:fill="auto"/>
            <w:noWrap/>
            <w:vAlign w:val="bottom"/>
            <w:hideMark/>
          </w:tcPr>
          <w:p w14:paraId="20CC1947"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-84,754**</w:t>
            </w:r>
          </w:p>
        </w:tc>
        <w:tc>
          <w:tcPr>
            <w:tcW w:w="1374" w:type="dxa"/>
            <w:tcBorders>
              <w:top w:val="nil"/>
              <w:left w:val="nil"/>
              <w:bottom w:val="nil"/>
              <w:right w:val="nil"/>
            </w:tcBorders>
            <w:shd w:val="clear" w:color="auto" w:fill="auto"/>
            <w:noWrap/>
            <w:vAlign w:val="bottom"/>
            <w:hideMark/>
          </w:tcPr>
          <w:p w14:paraId="50F27C4D"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-85,732**</w:t>
            </w:r>
          </w:p>
        </w:tc>
      </w:tr>
      <w:tr w:rsidR="003B75A2" w:rsidRPr="003B75A2" w14:paraId="6F77C83C"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2D7204A7"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0A294C5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(3,899)</w:t>
            </w:r>
          </w:p>
        </w:tc>
        <w:tc>
          <w:tcPr>
            <w:tcW w:w="1373" w:type="dxa"/>
            <w:tcBorders>
              <w:top w:val="nil"/>
              <w:left w:val="nil"/>
              <w:bottom w:val="nil"/>
              <w:right w:val="nil"/>
            </w:tcBorders>
            <w:shd w:val="clear" w:color="auto" w:fill="auto"/>
            <w:noWrap/>
            <w:vAlign w:val="bottom"/>
            <w:hideMark/>
          </w:tcPr>
          <w:p w14:paraId="6D628A7E"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(3,886)</w:t>
            </w:r>
          </w:p>
        </w:tc>
        <w:tc>
          <w:tcPr>
            <w:tcW w:w="1373" w:type="dxa"/>
            <w:gridSpan w:val="2"/>
            <w:tcBorders>
              <w:top w:val="nil"/>
              <w:left w:val="nil"/>
              <w:bottom w:val="nil"/>
              <w:right w:val="nil"/>
            </w:tcBorders>
            <w:shd w:val="clear" w:color="auto" w:fill="auto"/>
            <w:noWrap/>
            <w:vAlign w:val="bottom"/>
            <w:hideMark/>
          </w:tcPr>
          <w:p w14:paraId="78680702"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(8,292)</w:t>
            </w:r>
          </w:p>
        </w:tc>
        <w:tc>
          <w:tcPr>
            <w:tcW w:w="1373" w:type="dxa"/>
            <w:gridSpan w:val="2"/>
            <w:tcBorders>
              <w:top w:val="nil"/>
              <w:left w:val="nil"/>
              <w:bottom w:val="nil"/>
              <w:right w:val="nil"/>
            </w:tcBorders>
            <w:shd w:val="clear" w:color="auto" w:fill="auto"/>
            <w:noWrap/>
            <w:vAlign w:val="bottom"/>
            <w:hideMark/>
          </w:tcPr>
          <w:p w14:paraId="49E1CA4B"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(8,305)</w:t>
            </w:r>
          </w:p>
        </w:tc>
        <w:tc>
          <w:tcPr>
            <w:tcW w:w="1373" w:type="dxa"/>
            <w:gridSpan w:val="2"/>
            <w:tcBorders>
              <w:top w:val="nil"/>
              <w:left w:val="nil"/>
              <w:bottom w:val="nil"/>
              <w:right w:val="nil"/>
            </w:tcBorders>
            <w:shd w:val="clear" w:color="auto" w:fill="auto"/>
            <w:noWrap/>
            <w:vAlign w:val="bottom"/>
            <w:hideMark/>
          </w:tcPr>
          <w:p w14:paraId="761A6EBE"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(31,021)</w:t>
            </w:r>
          </w:p>
        </w:tc>
        <w:tc>
          <w:tcPr>
            <w:tcW w:w="1374" w:type="dxa"/>
            <w:tcBorders>
              <w:top w:val="nil"/>
              <w:left w:val="nil"/>
              <w:bottom w:val="nil"/>
              <w:right w:val="nil"/>
            </w:tcBorders>
            <w:shd w:val="clear" w:color="auto" w:fill="auto"/>
            <w:noWrap/>
            <w:vAlign w:val="bottom"/>
            <w:hideMark/>
          </w:tcPr>
          <w:p w14:paraId="6F176482"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(31,113)</w:t>
            </w:r>
          </w:p>
        </w:tc>
      </w:tr>
      <w:tr w:rsidR="003B75A2" w:rsidRPr="003B75A2" w14:paraId="3541995E"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61498D1F" w14:textId="53F90B67"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Dependence: EU funding</w:t>
            </w:r>
          </w:p>
        </w:tc>
        <w:tc>
          <w:tcPr>
            <w:tcW w:w="1556" w:type="dxa"/>
            <w:gridSpan w:val="2"/>
            <w:tcBorders>
              <w:top w:val="nil"/>
              <w:left w:val="nil"/>
              <w:bottom w:val="nil"/>
              <w:right w:val="nil"/>
            </w:tcBorders>
            <w:shd w:val="clear" w:color="auto" w:fill="auto"/>
            <w:noWrap/>
            <w:vAlign w:val="bottom"/>
            <w:hideMark/>
          </w:tcPr>
          <w:p w14:paraId="5DB7CAAE"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-40.55</w:t>
            </w:r>
          </w:p>
        </w:tc>
        <w:tc>
          <w:tcPr>
            <w:tcW w:w="1373" w:type="dxa"/>
            <w:tcBorders>
              <w:top w:val="nil"/>
              <w:left w:val="nil"/>
              <w:bottom w:val="nil"/>
              <w:right w:val="nil"/>
            </w:tcBorders>
            <w:shd w:val="clear" w:color="auto" w:fill="auto"/>
            <w:noWrap/>
            <w:vAlign w:val="bottom"/>
            <w:hideMark/>
          </w:tcPr>
          <w:p w14:paraId="6EE76F0B"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3F9BE02C"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6,201</w:t>
            </w:r>
          </w:p>
        </w:tc>
        <w:tc>
          <w:tcPr>
            <w:tcW w:w="1373" w:type="dxa"/>
            <w:gridSpan w:val="2"/>
            <w:tcBorders>
              <w:top w:val="nil"/>
              <w:left w:val="nil"/>
              <w:bottom w:val="nil"/>
              <w:right w:val="nil"/>
            </w:tcBorders>
            <w:shd w:val="clear" w:color="auto" w:fill="auto"/>
            <w:noWrap/>
            <w:vAlign w:val="bottom"/>
            <w:hideMark/>
          </w:tcPr>
          <w:p w14:paraId="59F3D678"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7A77954E"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5,385</w:t>
            </w:r>
          </w:p>
        </w:tc>
        <w:tc>
          <w:tcPr>
            <w:tcW w:w="1374" w:type="dxa"/>
            <w:tcBorders>
              <w:top w:val="nil"/>
              <w:left w:val="nil"/>
              <w:bottom w:val="nil"/>
              <w:right w:val="nil"/>
            </w:tcBorders>
            <w:shd w:val="clear" w:color="auto" w:fill="auto"/>
            <w:noWrap/>
            <w:vAlign w:val="bottom"/>
            <w:hideMark/>
          </w:tcPr>
          <w:p w14:paraId="58A7B7C3" w14:textId="77777777" w:rsidR="003B75A2" w:rsidRPr="003B75A2" w:rsidRDefault="003B75A2" w:rsidP="003B75A2">
            <w:pPr>
              <w:jc w:val="center"/>
              <w:rPr>
                <w:rFonts w:ascii="Calibri" w:eastAsia="Times New Roman" w:hAnsi="Calibri" w:cs="Times New Roman"/>
                <w:sz w:val="20"/>
                <w:szCs w:val="20"/>
              </w:rPr>
            </w:pPr>
          </w:p>
        </w:tc>
      </w:tr>
      <w:tr w:rsidR="003B75A2" w:rsidRPr="003B75A2" w14:paraId="67E9B750"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30A589B6"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59A0C76F"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(3,749)</w:t>
            </w:r>
          </w:p>
        </w:tc>
        <w:tc>
          <w:tcPr>
            <w:tcW w:w="1373" w:type="dxa"/>
            <w:tcBorders>
              <w:top w:val="nil"/>
              <w:left w:val="nil"/>
              <w:bottom w:val="nil"/>
              <w:right w:val="nil"/>
            </w:tcBorders>
            <w:shd w:val="clear" w:color="auto" w:fill="auto"/>
            <w:noWrap/>
            <w:vAlign w:val="bottom"/>
            <w:hideMark/>
          </w:tcPr>
          <w:p w14:paraId="080FCFA2"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619D3950"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(3,630)</w:t>
            </w:r>
          </w:p>
        </w:tc>
        <w:tc>
          <w:tcPr>
            <w:tcW w:w="1373" w:type="dxa"/>
            <w:gridSpan w:val="2"/>
            <w:tcBorders>
              <w:top w:val="nil"/>
              <w:left w:val="nil"/>
              <w:bottom w:val="nil"/>
              <w:right w:val="nil"/>
            </w:tcBorders>
            <w:shd w:val="clear" w:color="auto" w:fill="auto"/>
            <w:noWrap/>
            <w:vAlign w:val="bottom"/>
            <w:hideMark/>
          </w:tcPr>
          <w:p w14:paraId="67ACAC7E"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66625655"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(3,425)</w:t>
            </w:r>
          </w:p>
        </w:tc>
        <w:tc>
          <w:tcPr>
            <w:tcW w:w="1374" w:type="dxa"/>
            <w:tcBorders>
              <w:top w:val="nil"/>
              <w:left w:val="nil"/>
              <w:bottom w:val="nil"/>
              <w:right w:val="nil"/>
            </w:tcBorders>
            <w:shd w:val="clear" w:color="auto" w:fill="auto"/>
            <w:noWrap/>
            <w:vAlign w:val="bottom"/>
            <w:hideMark/>
          </w:tcPr>
          <w:p w14:paraId="6596DEAE" w14:textId="77777777" w:rsidR="003B75A2" w:rsidRPr="003B75A2" w:rsidRDefault="003B75A2" w:rsidP="003B75A2">
            <w:pPr>
              <w:jc w:val="center"/>
              <w:rPr>
                <w:rFonts w:ascii="Calibri" w:eastAsia="Times New Roman" w:hAnsi="Calibri" w:cs="Times New Roman"/>
                <w:sz w:val="20"/>
                <w:szCs w:val="20"/>
              </w:rPr>
            </w:pPr>
          </w:p>
        </w:tc>
      </w:tr>
      <w:tr w:rsidR="003B75A2" w:rsidRPr="003B75A2" w14:paraId="1E2AADC0"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0C2A6CCE" w14:textId="7FBCFC26"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National transpositions</w:t>
            </w:r>
          </w:p>
        </w:tc>
        <w:tc>
          <w:tcPr>
            <w:tcW w:w="1556" w:type="dxa"/>
            <w:gridSpan w:val="2"/>
            <w:tcBorders>
              <w:top w:val="nil"/>
              <w:left w:val="nil"/>
              <w:bottom w:val="nil"/>
              <w:right w:val="nil"/>
            </w:tcBorders>
            <w:shd w:val="clear" w:color="auto" w:fill="auto"/>
            <w:noWrap/>
            <w:vAlign w:val="bottom"/>
            <w:hideMark/>
          </w:tcPr>
          <w:p w14:paraId="529CCE29"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-3,066*</w:t>
            </w:r>
          </w:p>
        </w:tc>
        <w:tc>
          <w:tcPr>
            <w:tcW w:w="1373" w:type="dxa"/>
            <w:tcBorders>
              <w:top w:val="nil"/>
              <w:left w:val="nil"/>
              <w:bottom w:val="nil"/>
              <w:right w:val="nil"/>
            </w:tcBorders>
            <w:shd w:val="clear" w:color="auto" w:fill="auto"/>
            <w:noWrap/>
            <w:vAlign w:val="bottom"/>
            <w:hideMark/>
          </w:tcPr>
          <w:p w14:paraId="649DE4FE"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-3,071**</w:t>
            </w:r>
          </w:p>
        </w:tc>
        <w:tc>
          <w:tcPr>
            <w:tcW w:w="1373" w:type="dxa"/>
            <w:gridSpan w:val="2"/>
            <w:tcBorders>
              <w:top w:val="nil"/>
              <w:left w:val="nil"/>
              <w:bottom w:val="nil"/>
              <w:right w:val="nil"/>
            </w:tcBorders>
            <w:shd w:val="clear" w:color="auto" w:fill="auto"/>
            <w:noWrap/>
            <w:vAlign w:val="bottom"/>
            <w:hideMark/>
          </w:tcPr>
          <w:p w14:paraId="1866C5E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-7,569***</w:t>
            </w:r>
          </w:p>
        </w:tc>
        <w:tc>
          <w:tcPr>
            <w:tcW w:w="1373" w:type="dxa"/>
            <w:gridSpan w:val="2"/>
            <w:tcBorders>
              <w:top w:val="nil"/>
              <w:left w:val="nil"/>
              <w:bottom w:val="nil"/>
              <w:right w:val="nil"/>
            </w:tcBorders>
            <w:shd w:val="clear" w:color="auto" w:fill="auto"/>
            <w:noWrap/>
            <w:vAlign w:val="bottom"/>
            <w:hideMark/>
          </w:tcPr>
          <w:p w14:paraId="39C322C2"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-6,773***</w:t>
            </w:r>
          </w:p>
        </w:tc>
        <w:tc>
          <w:tcPr>
            <w:tcW w:w="1373" w:type="dxa"/>
            <w:gridSpan w:val="2"/>
            <w:tcBorders>
              <w:top w:val="nil"/>
              <w:left w:val="nil"/>
              <w:bottom w:val="nil"/>
              <w:right w:val="nil"/>
            </w:tcBorders>
            <w:shd w:val="clear" w:color="auto" w:fill="auto"/>
            <w:noWrap/>
            <w:vAlign w:val="bottom"/>
            <w:hideMark/>
          </w:tcPr>
          <w:p w14:paraId="0E193F47"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-7,612***</w:t>
            </w:r>
          </w:p>
        </w:tc>
        <w:tc>
          <w:tcPr>
            <w:tcW w:w="1374" w:type="dxa"/>
            <w:tcBorders>
              <w:top w:val="nil"/>
              <w:left w:val="nil"/>
              <w:bottom w:val="nil"/>
              <w:right w:val="nil"/>
            </w:tcBorders>
            <w:shd w:val="clear" w:color="auto" w:fill="auto"/>
            <w:noWrap/>
            <w:vAlign w:val="bottom"/>
            <w:hideMark/>
          </w:tcPr>
          <w:p w14:paraId="799D2F40"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-6,919***</w:t>
            </w:r>
          </w:p>
        </w:tc>
      </w:tr>
      <w:tr w:rsidR="003B75A2" w:rsidRPr="003B75A2" w14:paraId="1E536D4C"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66587032"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69D51902"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(1,754)</w:t>
            </w:r>
          </w:p>
        </w:tc>
        <w:tc>
          <w:tcPr>
            <w:tcW w:w="1373" w:type="dxa"/>
            <w:tcBorders>
              <w:top w:val="nil"/>
              <w:left w:val="nil"/>
              <w:bottom w:val="nil"/>
              <w:right w:val="nil"/>
            </w:tcBorders>
            <w:shd w:val="clear" w:color="auto" w:fill="auto"/>
            <w:noWrap/>
            <w:vAlign w:val="bottom"/>
            <w:hideMark/>
          </w:tcPr>
          <w:p w14:paraId="2F2D62AE"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(1,412)</w:t>
            </w:r>
          </w:p>
        </w:tc>
        <w:tc>
          <w:tcPr>
            <w:tcW w:w="1373" w:type="dxa"/>
            <w:gridSpan w:val="2"/>
            <w:tcBorders>
              <w:top w:val="nil"/>
              <w:left w:val="nil"/>
              <w:bottom w:val="nil"/>
              <w:right w:val="nil"/>
            </w:tcBorders>
            <w:shd w:val="clear" w:color="auto" w:fill="auto"/>
            <w:noWrap/>
            <w:vAlign w:val="bottom"/>
            <w:hideMark/>
          </w:tcPr>
          <w:p w14:paraId="7B2F77D6"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(1,455)</w:t>
            </w:r>
          </w:p>
        </w:tc>
        <w:tc>
          <w:tcPr>
            <w:tcW w:w="1373" w:type="dxa"/>
            <w:gridSpan w:val="2"/>
            <w:tcBorders>
              <w:top w:val="nil"/>
              <w:left w:val="nil"/>
              <w:bottom w:val="nil"/>
              <w:right w:val="nil"/>
            </w:tcBorders>
            <w:shd w:val="clear" w:color="auto" w:fill="auto"/>
            <w:noWrap/>
            <w:vAlign w:val="bottom"/>
            <w:hideMark/>
          </w:tcPr>
          <w:p w14:paraId="671549A5"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(1,451)</w:t>
            </w:r>
          </w:p>
        </w:tc>
        <w:tc>
          <w:tcPr>
            <w:tcW w:w="1373" w:type="dxa"/>
            <w:gridSpan w:val="2"/>
            <w:tcBorders>
              <w:top w:val="nil"/>
              <w:left w:val="nil"/>
              <w:bottom w:val="nil"/>
              <w:right w:val="nil"/>
            </w:tcBorders>
            <w:shd w:val="clear" w:color="auto" w:fill="auto"/>
            <w:noWrap/>
            <w:vAlign w:val="bottom"/>
            <w:hideMark/>
          </w:tcPr>
          <w:p w14:paraId="36B7375A"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(1,411)</w:t>
            </w:r>
          </w:p>
        </w:tc>
        <w:tc>
          <w:tcPr>
            <w:tcW w:w="1374" w:type="dxa"/>
            <w:tcBorders>
              <w:top w:val="nil"/>
              <w:left w:val="nil"/>
              <w:bottom w:val="nil"/>
              <w:right w:val="nil"/>
            </w:tcBorders>
            <w:shd w:val="clear" w:color="auto" w:fill="auto"/>
            <w:noWrap/>
            <w:vAlign w:val="bottom"/>
            <w:hideMark/>
          </w:tcPr>
          <w:p w14:paraId="2DD34D91"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(1,332)</w:t>
            </w:r>
          </w:p>
        </w:tc>
      </w:tr>
      <w:tr w:rsidR="003B75A2" w:rsidRPr="003B75A2" w14:paraId="3F917F3C"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0194CA3D" w14:textId="6F964655"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 xml:space="preserve">Emissions </w:t>
            </w:r>
            <w:r w:rsidR="00A373F0">
              <w:rPr>
                <w:rFonts w:ascii="Calibri" w:eastAsia="Times New Roman" w:hAnsi="Calibri" w:cs="Times New Roman"/>
                <w:sz w:val="20"/>
                <w:szCs w:val="20"/>
              </w:rPr>
              <w:t>c</w:t>
            </w:r>
            <w:r w:rsidRPr="003B75A2">
              <w:rPr>
                <w:rFonts w:ascii="Calibri" w:eastAsia="Times New Roman" w:hAnsi="Calibri" w:cs="Times New Roman"/>
                <w:sz w:val="20"/>
                <w:szCs w:val="20"/>
              </w:rPr>
              <w:t>ap over GDP</w:t>
            </w:r>
          </w:p>
        </w:tc>
        <w:tc>
          <w:tcPr>
            <w:tcW w:w="1556" w:type="dxa"/>
            <w:gridSpan w:val="2"/>
            <w:tcBorders>
              <w:top w:val="nil"/>
              <w:left w:val="nil"/>
              <w:bottom w:val="nil"/>
              <w:right w:val="nil"/>
            </w:tcBorders>
            <w:shd w:val="clear" w:color="auto" w:fill="auto"/>
            <w:noWrap/>
            <w:vAlign w:val="bottom"/>
            <w:hideMark/>
          </w:tcPr>
          <w:p w14:paraId="441F408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35,669</w:t>
            </w:r>
          </w:p>
        </w:tc>
        <w:tc>
          <w:tcPr>
            <w:tcW w:w="1373" w:type="dxa"/>
            <w:tcBorders>
              <w:top w:val="nil"/>
              <w:left w:val="nil"/>
              <w:bottom w:val="nil"/>
              <w:right w:val="nil"/>
            </w:tcBorders>
            <w:shd w:val="clear" w:color="auto" w:fill="auto"/>
            <w:noWrap/>
            <w:vAlign w:val="bottom"/>
            <w:hideMark/>
          </w:tcPr>
          <w:p w14:paraId="7DFB67FD"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35,539</w:t>
            </w:r>
          </w:p>
        </w:tc>
        <w:tc>
          <w:tcPr>
            <w:tcW w:w="1373" w:type="dxa"/>
            <w:gridSpan w:val="2"/>
            <w:tcBorders>
              <w:top w:val="nil"/>
              <w:left w:val="nil"/>
              <w:bottom w:val="nil"/>
              <w:right w:val="nil"/>
            </w:tcBorders>
            <w:shd w:val="clear" w:color="auto" w:fill="auto"/>
            <w:noWrap/>
            <w:vAlign w:val="bottom"/>
            <w:hideMark/>
          </w:tcPr>
          <w:p w14:paraId="30D13E43"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-25,343</w:t>
            </w:r>
          </w:p>
        </w:tc>
        <w:tc>
          <w:tcPr>
            <w:tcW w:w="1373" w:type="dxa"/>
            <w:gridSpan w:val="2"/>
            <w:tcBorders>
              <w:top w:val="nil"/>
              <w:left w:val="nil"/>
              <w:bottom w:val="nil"/>
              <w:right w:val="nil"/>
            </w:tcBorders>
            <w:shd w:val="clear" w:color="auto" w:fill="auto"/>
            <w:noWrap/>
            <w:vAlign w:val="bottom"/>
            <w:hideMark/>
          </w:tcPr>
          <w:p w14:paraId="664E52CD"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-7,531</w:t>
            </w:r>
          </w:p>
        </w:tc>
        <w:tc>
          <w:tcPr>
            <w:tcW w:w="1373" w:type="dxa"/>
            <w:gridSpan w:val="2"/>
            <w:tcBorders>
              <w:top w:val="nil"/>
              <w:left w:val="nil"/>
              <w:bottom w:val="nil"/>
              <w:right w:val="nil"/>
            </w:tcBorders>
            <w:shd w:val="clear" w:color="auto" w:fill="auto"/>
            <w:noWrap/>
            <w:vAlign w:val="bottom"/>
            <w:hideMark/>
          </w:tcPr>
          <w:p w14:paraId="65CB60BB"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-36,398</w:t>
            </w:r>
          </w:p>
        </w:tc>
        <w:tc>
          <w:tcPr>
            <w:tcW w:w="1374" w:type="dxa"/>
            <w:tcBorders>
              <w:top w:val="nil"/>
              <w:left w:val="nil"/>
              <w:bottom w:val="nil"/>
              <w:right w:val="nil"/>
            </w:tcBorders>
            <w:shd w:val="clear" w:color="auto" w:fill="auto"/>
            <w:noWrap/>
            <w:vAlign w:val="bottom"/>
            <w:hideMark/>
          </w:tcPr>
          <w:p w14:paraId="464AD31B"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-20,761</w:t>
            </w:r>
          </w:p>
        </w:tc>
      </w:tr>
      <w:tr w:rsidR="003B75A2" w:rsidRPr="003B75A2" w14:paraId="1C48050E"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4BCB0520"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46907EC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(40,930)</w:t>
            </w:r>
          </w:p>
        </w:tc>
        <w:tc>
          <w:tcPr>
            <w:tcW w:w="1373" w:type="dxa"/>
            <w:tcBorders>
              <w:top w:val="nil"/>
              <w:left w:val="nil"/>
              <w:bottom w:val="nil"/>
              <w:right w:val="nil"/>
            </w:tcBorders>
            <w:shd w:val="clear" w:color="auto" w:fill="auto"/>
            <w:noWrap/>
            <w:vAlign w:val="bottom"/>
            <w:hideMark/>
          </w:tcPr>
          <w:p w14:paraId="305C968C"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(34,458)</w:t>
            </w:r>
          </w:p>
        </w:tc>
        <w:tc>
          <w:tcPr>
            <w:tcW w:w="1373" w:type="dxa"/>
            <w:gridSpan w:val="2"/>
            <w:tcBorders>
              <w:top w:val="nil"/>
              <w:left w:val="nil"/>
              <w:bottom w:val="nil"/>
              <w:right w:val="nil"/>
            </w:tcBorders>
            <w:shd w:val="clear" w:color="auto" w:fill="auto"/>
            <w:noWrap/>
            <w:vAlign w:val="bottom"/>
            <w:hideMark/>
          </w:tcPr>
          <w:p w14:paraId="6B08552B"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(38,525)</w:t>
            </w:r>
          </w:p>
        </w:tc>
        <w:tc>
          <w:tcPr>
            <w:tcW w:w="1373" w:type="dxa"/>
            <w:gridSpan w:val="2"/>
            <w:tcBorders>
              <w:top w:val="nil"/>
              <w:left w:val="nil"/>
              <w:bottom w:val="nil"/>
              <w:right w:val="nil"/>
            </w:tcBorders>
            <w:shd w:val="clear" w:color="auto" w:fill="auto"/>
            <w:noWrap/>
            <w:vAlign w:val="bottom"/>
            <w:hideMark/>
          </w:tcPr>
          <w:p w14:paraId="39B84A6F"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(34,903)</w:t>
            </w:r>
          </w:p>
        </w:tc>
        <w:tc>
          <w:tcPr>
            <w:tcW w:w="1373" w:type="dxa"/>
            <w:gridSpan w:val="2"/>
            <w:tcBorders>
              <w:top w:val="nil"/>
              <w:left w:val="nil"/>
              <w:bottom w:val="nil"/>
              <w:right w:val="nil"/>
            </w:tcBorders>
            <w:shd w:val="clear" w:color="auto" w:fill="auto"/>
            <w:noWrap/>
            <w:vAlign w:val="bottom"/>
            <w:hideMark/>
          </w:tcPr>
          <w:p w14:paraId="6E0C48E2"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(34,081)</w:t>
            </w:r>
          </w:p>
        </w:tc>
        <w:tc>
          <w:tcPr>
            <w:tcW w:w="1374" w:type="dxa"/>
            <w:tcBorders>
              <w:top w:val="nil"/>
              <w:left w:val="nil"/>
              <w:bottom w:val="nil"/>
              <w:right w:val="nil"/>
            </w:tcBorders>
            <w:shd w:val="clear" w:color="auto" w:fill="auto"/>
            <w:noWrap/>
            <w:vAlign w:val="bottom"/>
            <w:hideMark/>
          </w:tcPr>
          <w:p w14:paraId="6854E7A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(28,830)</w:t>
            </w:r>
          </w:p>
        </w:tc>
      </w:tr>
      <w:tr w:rsidR="00E3766F" w:rsidRPr="003B75A2" w14:paraId="5FCAD5EA" w14:textId="77777777" w:rsidTr="00BA3CD2">
        <w:trPr>
          <w:trHeight w:val="259"/>
          <w:jc w:val="center"/>
        </w:trPr>
        <w:tc>
          <w:tcPr>
            <w:tcW w:w="2303" w:type="dxa"/>
            <w:vMerge w:val="restart"/>
            <w:tcBorders>
              <w:top w:val="nil"/>
              <w:left w:val="nil"/>
              <w:right w:val="nil"/>
            </w:tcBorders>
            <w:shd w:val="clear" w:color="auto" w:fill="auto"/>
            <w:noWrap/>
            <w:hideMark/>
          </w:tcPr>
          <w:p w14:paraId="11F6A894" w14:textId="764B7843" w:rsidR="00E3766F" w:rsidRPr="003B75A2" w:rsidRDefault="00E3766F" w:rsidP="003B75A2">
            <w:pPr>
              <w:rPr>
                <w:rFonts w:ascii="Calibri" w:eastAsia="Times New Roman" w:hAnsi="Calibri" w:cs="Times New Roman"/>
                <w:sz w:val="20"/>
                <w:szCs w:val="20"/>
              </w:rPr>
            </w:pPr>
            <w:r w:rsidRPr="003B75A2">
              <w:rPr>
                <w:color w:val="000000"/>
                <w:sz w:val="20"/>
                <w:szCs w:val="20"/>
              </w:rPr>
              <w:t>EU support for sustainable growth</w:t>
            </w:r>
          </w:p>
        </w:tc>
        <w:tc>
          <w:tcPr>
            <w:tcW w:w="1556" w:type="dxa"/>
            <w:gridSpan w:val="2"/>
            <w:tcBorders>
              <w:top w:val="nil"/>
              <w:left w:val="nil"/>
              <w:bottom w:val="nil"/>
              <w:right w:val="nil"/>
            </w:tcBorders>
            <w:shd w:val="clear" w:color="auto" w:fill="auto"/>
            <w:noWrap/>
            <w:vAlign w:val="bottom"/>
            <w:hideMark/>
          </w:tcPr>
          <w:p w14:paraId="3EADFBF9" w14:textId="1B97191A"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-1.26</w:t>
            </w:r>
            <w:r w:rsidRPr="003B75A2">
              <w:rPr>
                <w:rFonts w:ascii="Calibri" w:eastAsia="Times New Roman" w:hAnsi="Calibri" w:cs="Times New Roman"/>
                <w:sz w:val="20"/>
                <w:szCs w:val="20"/>
              </w:rPr>
              <w:t>e+07***</w:t>
            </w:r>
          </w:p>
        </w:tc>
        <w:tc>
          <w:tcPr>
            <w:tcW w:w="1373" w:type="dxa"/>
            <w:tcBorders>
              <w:top w:val="nil"/>
              <w:left w:val="nil"/>
              <w:bottom w:val="nil"/>
              <w:right w:val="nil"/>
            </w:tcBorders>
            <w:shd w:val="clear" w:color="auto" w:fill="auto"/>
            <w:noWrap/>
            <w:vAlign w:val="bottom"/>
            <w:hideMark/>
          </w:tcPr>
          <w:p w14:paraId="33A860DD" w14:textId="76BCC2CF"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-1.26</w:t>
            </w:r>
            <w:r w:rsidRPr="003B75A2">
              <w:rPr>
                <w:rFonts w:ascii="Calibri" w:eastAsia="Times New Roman" w:hAnsi="Calibri" w:cs="Times New Roman"/>
                <w:sz w:val="20"/>
                <w:szCs w:val="20"/>
              </w:rPr>
              <w:t>e+07***</w:t>
            </w:r>
          </w:p>
        </w:tc>
        <w:tc>
          <w:tcPr>
            <w:tcW w:w="1373" w:type="dxa"/>
            <w:gridSpan w:val="2"/>
            <w:tcBorders>
              <w:top w:val="nil"/>
              <w:left w:val="nil"/>
              <w:bottom w:val="nil"/>
              <w:right w:val="nil"/>
            </w:tcBorders>
            <w:shd w:val="clear" w:color="auto" w:fill="auto"/>
            <w:noWrap/>
            <w:vAlign w:val="bottom"/>
            <w:hideMark/>
          </w:tcPr>
          <w:p w14:paraId="5D98DD38" w14:textId="4412F197"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-1.10</w:t>
            </w:r>
            <w:r w:rsidRPr="003B75A2">
              <w:rPr>
                <w:rFonts w:ascii="Calibri" w:eastAsia="Times New Roman" w:hAnsi="Calibri" w:cs="Times New Roman"/>
                <w:sz w:val="20"/>
                <w:szCs w:val="20"/>
              </w:rPr>
              <w:t>e+07***</w:t>
            </w:r>
          </w:p>
        </w:tc>
        <w:tc>
          <w:tcPr>
            <w:tcW w:w="1373" w:type="dxa"/>
            <w:gridSpan w:val="2"/>
            <w:tcBorders>
              <w:top w:val="nil"/>
              <w:left w:val="nil"/>
              <w:bottom w:val="nil"/>
              <w:right w:val="nil"/>
            </w:tcBorders>
            <w:shd w:val="clear" w:color="auto" w:fill="auto"/>
            <w:noWrap/>
            <w:vAlign w:val="bottom"/>
            <w:hideMark/>
          </w:tcPr>
          <w:p w14:paraId="4C6B8C81" w14:textId="5723BA21"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-9.52</w:t>
            </w:r>
            <w:r w:rsidRPr="003B75A2">
              <w:rPr>
                <w:rFonts w:ascii="Calibri" w:eastAsia="Times New Roman" w:hAnsi="Calibri" w:cs="Times New Roman"/>
                <w:sz w:val="20"/>
                <w:szCs w:val="20"/>
              </w:rPr>
              <w:t>e+06**</w:t>
            </w:r>
          </w:p>
        </w:tc>
        <w:tc>
          <w:tcPr>
            <w:tcW w:w="1373" w:type="dxa"/>
            <w:gridSpan w:val="2"/>
            <w:tcBorders>
              <w:top w:val="nil"/>
              <w:left w:val="nil"/>
              <w:bottom w:val="nil"/>
              <w:right w:val="nil"/>
            </w:tcBorders>
            <w:shd w:val="clear" w:color="auto" w:fill="auto"/>
            <w:noWrap/>
            <w:vAlign w:val="bottom"/>
            <w:hideMark/>
          </w:tcPr>
          <w:p w14:paraId="54F9FE90" w14:textId="2A43503A"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-1.22</w:t>
            </w:r>
            <w:r w:rsidRPr="003B75A2">
              <w:rPr>
                <w:rFonts w:ascii="Calibri" w:eastAsia="Times New Roman" w:hAnsi="Calibri" w:cs="Times New Roman"/>
                <w:sz w:val="20"/>
                <w:szCs w:val="20"/>
              </w:rPr>
              <w:t>e+07***</w:t>
            </w:r>
          </w:p>
        </w:tc>
        <w:tc>
          <w:tcPr>
            <w:tcW w:w="1374" w:type="dxa"/>
            <w:tcBorders>
              <w:top w:val="nil"/>
              <w:left w:val="nil"/>
              <w:bottom w:val="nil"/>
              <w:right w:val="nil"/>
            </w:tcBorders>
            <w:shd w:val="clear" w:color="auto" w:fill="auto"/>
            <w:noWrap/>
            <w:vAlign w:val="bottom"/>
            <w:hideMark/>
          </w:tcPr>
          <w:p w14:paraId="15A7C204" w14:textId="32E7AB28"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-1.09</w:t>
            </w:r>
            <w:r w:rsidRPr="003B75A2">
              <w:rPr>
                <w:rFonts w:ascii="Calibri" w:eastAsia="Times New Roman" w:hAnsi="Calibri" w:cs="Times New Roman"/>
                <w:sz w:val="20"/>
                <w:szCs w:val="20"/>
              </w:rPr>
              <w:t>e+07**</w:t>
            </w:r>
          </w:p>
        </w:tc>
      </w:tr>
      <w:tr w:rsidR="00E3766F" w:rsidRPr="003B75A2" w14:paraId="47BC37AB" w14:textId="77777777" w:rsidTr="00BA3CD2">
        <w:trPr>
          <w:trHeight w:val="259"/>
          <w:jc w:val="center"/>
        </w:trPr>
        <w:tc>
          <w:tcPr>
            <w:tcW w:w="2303" w:type="dxa"/>
            <w:vMerge/>
            <w:tcBorders>
              <w:left w:val="nil"/>
              <w:bottom w:val="nil"/>
              <w:right w:val="nil"/>
            </w:tcBorders>
            <w:shd w:val="clear" w:color="auto" w:fill="auto"/>
            <w:noWrap/>
            <w:vAlign w:val="bottom"/>
            <w:hideMark/>
          </w:tcPr>
          <w:p w14:paraId="037D5046" w14:textId="77777777" w:rsidR="00E3766F" w:rsidRPr="003B75A2" w:rsidRDefault="00E3766F"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797D2DDF" w14:textId="52D74CCE"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(3.1</w:t>
            </w:r>
            <w:r w:rsidRPr="003B75A2">
              <w:rPr>
                <w:rFonts w:ascii="Calibri" w:eastAsia="Times New Roman" w:hAnsi="Calibri" w:cs="Times New Roman"/>
                <w:sz w:val="20"/>
                <w:szCs w:val="20"/>
              </w:rPr>
              <w:t>7e+06)</w:t>
            </w:r>
          </w:p>
        </w:tc>
        <w:tc>
          <w:tcPr>
            <w:tcW w:w="1373" w:type="dxa"/>
            <w:tcBorders>
              <w:top w:val="nil"/>
              <w:left w:val="nil"/>
              <w:bottom w:val="nil"/>
              <w:right w:val="nil"/>
            </w:tcBorders>
            <w:shd w:val="clear" w:color="auto" w:fill="auto"/>
            <w:noWrap/>
            <w:vAlign w:val="bottom"/>
            <w:hideMark/>
          </w:tcPr>
          <w:p w14:paraId="5255B6CD" w14:textId="297F4285"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(3.39</w:t>
            </w:r>
            <w:r w:rsidRPr="003B75A2">
              <w:rPr>
                <w:rFonts w:ascii="Calibri" w:eastAsia="Times New Roman" w:hAnsi="Calibri" w:cs="Times New Roman"/>
                <w:sz w:val="20"/>
                <w:szCs w:val="20"/>
              </w:rPr>
              <w:t>e+06)</w:t>
            </w:r>
          </w:p>
        </w:tc>
        <w:tc>
          <w:tcPr>
            <w:tcW w:w="1373" w:type="dxa"/>
            <w:gridSpan w:val="2"/>
            <w:tcBorders>
              <w:top w:val="nil"/>
              <w:left w:val="nil"/>
              <w:bottom w:val="nil"/>
              <w:right w:val="nil"/>
            </w:tcBorders>
            <w:shd w:val="clear" w:color="auto" w:fill="auto"/>
            <w:noWrap/>
            <w:vAlign w:val="bottom"/>
            <w:hideMark/>
          </w:tcPr>
          <w:p w14:paraId="3D52BACD" w14:textId="1A3F0AFB"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(3.85</w:t>
            </w:r>
            <w:r w:rsidRPr="003B75A2">
              <w:rPr>
                <w:rFonts w:ascii="Calibri" w:eastAsia="Times New Roman" w:hAnsi="Calibri" w:cs="Times New Roman"/>
                <w:sz w:val="20"/>
                <w:szCs w:val="20"/>
              </w:rPr>
              <w:t>e+06)</w:t>
            </w:r>
          </w:p>
        </w:tc>
        <w:tc>
          <w:tcPr>
            <w:tcW w:w="1373" w:type="dxa"/>
            <w:gridSpan w:val="2"/>
            <w:tcBorders>
              <w:top w:val="nil"/>
              <w:left w:val="nil"/>
              <w:bottom w:val="nil"/>
              <w:right w:val="nil"/>
            </w:tcBorders>
            <w:shd w:val="clear" w:color="auto" w:fill="auto"/>
            <w:noWrap/>
            <w:vAlign w:val="bottom"/>
            <w:hideMark/>
          </w:tcPr>
          <w:p w14:paraId="29D52CA1" w14:textId="13D1652B"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(4.17</w:t>
            </w:r>
            <w:r w:rsidRPr="003B75A2">
              <w:rPr>
                <w:rFonts w:ascii="Calibri" w:eastAsia="Times New Roman" w:hAnsi="Calibri" w:cs="Times New Roman"/>
                <w:sz w:val="20"/>
                <w:szCs w:val="20"/>
              </w:rPr>
              <w:t>e+06)</w:t>
            </w:r>
          </w:p>
        </w:tc>
        <w:tc>
          <w:tcPr>
            <w:tcW w:w="1373" w:type="dxa"/>
            <w:gridSpan w:val="2"/>
            <w:tcBorders>
              <w:top w:val="nil"/>
              <w:left w:val="nil"/>
              <w:bottom w:val="nil"/>
              <w:right w:val="nil"/>
            </w:tcBorders>
            <w:shd w:val="clear" w:color="auto" w:fill="auto"/>
            <w:noWrap/>
            <w:vAlign w:val="bottom"/>
            <w:hideMark/>
          </w:tcPr>
          <w:p w14:paraId="721DF460" w14:textId="4B904257"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(4.08</w:t>
            </w:r>
            <w:r w:rsidRPr="003B75A2">
              <w:rPr>
                <w:rFonts w:ascii="Calibri" w:eastAsia="Times New Roman" w:hAnsi="Calibri" w:cs="Times New Roman"/>
                <w:sz w:val="20"/>
                <w:szCs w:val="20"/>
              </w:rPr>
              <w:t>e+06)</w:t>
            </w:r>
          </w:p>
        </w:tc>
        <w:tc>
          <w:tcPr>
            <w:tcW w:w="1374" w:type="dxa"/>
            <w:tcBorders>
              <w:top w:val="nil"/>
              <w:left w:val="nil"/>
              <w:bottom w:val="nil"/>
              <w:right w:val="nil"/>
            </w:tcBorders>
            <w:shd w:val="clear" w:color="auto" w:fill="auto"/>
            <w:noWrap/>
            <w:vAlign w:val="bottom"/>
            <w:hideMark/>
          </w:tcPr>
          <w:p w14:paraId="0235098E" w14:textId="5C58058D" w:rsidR="00E3766F" w:rsidRPr="003B75A2" w:rsidRDefault="00E3766F" w:rsidP="003B75A2">
            <w:pPr>
              <w:jc w:val="center"/>
              <w:rPr>
                <w:rFonts w:ascii="Calibri" w:eastAsia="Times New Roman" w:hAnsi="Calibri" w:cs="Times New Roman"/>
                <w:sz w:val="20"/>
                <w:szCs w:val="20"/>
              </w:rPr>
            </w:pPr>
            <w:r>
              <w:rPr>
                <w:rFonts w:ascii="Calibri" w:eastAsia="Times New Roman" w:hAnsi="Calibri" w:cs="Times New Roman"/>
                <w:sz w:val="20"/>
                <w:szCs w:val="20"/>
              </w:rPr>
              <w:t>(4.26</w:t>
            </w:r>
            <w:r w:rsidRPr="003B75A2">
              <w:rPr>
                <w:rFonts w:ascii="Calibri" w:eastAsia="Times New Roman" w:hAnsi="Calibri" w:cs="Times New Roman"/>
                <w:sz w:val="20"/>
                <w:szCs w:val="20"/>
              </w:rPr>
              <w:t>e+06)</w:t>
            </w:r>
          </w:p>
        </w:tc>
      </w:tr>
      <w:tr w:rsidR="00E3766F" w:rsidRPr="003B75A2" w14:paraId="0432B3C7" w14:textId="77777777" w:rsidTr="00BA3CD2">
        <w:trPr>
          <w:trHeight w:val="259"/>
          <w:jc w:val="center"/>
        </w:trPr>
        <w:tc>
          <w:tcPr>
            <w:tcW w:w="2303" w:type="dxa"/>
            <w:vMerge w:val="restart"/>
            <w:tcBorders>
              <w:top w:val="nil"/>
              <w:left w:val="nil"/>
              <w:right w:val="nil"/>
            </w:tcBorders>
            <w:shd w:val="clear" w:color="auto" w:fill="auto"/>
            <w:noWrap/>
            <w:hideMark/>
          </w:tcPr>
          <w:p w14:paraId="1AB085F9" w14:textId="7FA476EE" w:rsidR="00E3766F" w:rsidRPr="003B75A2" w:rsidRDefault="00E3766F" w:rsidP="003B75A2">
            <w:pPr>
              <w:rPr>
                <w:rFonts w:ascii="Calibri" w:eastAsia="Times New Roman" w:hAnsi="Calibri" w:cs="Times New Roman"/>
                <w:sz w:val="20"/>
                <w:szCs w:val="20"/>
              </w:rPr>
            </w:pPr>
            <w:r w:rsidRPr="003B75A2">
              <w:rPr>
                <w:rFonts w:ascii="Calibri" w:eastAsia="Times New Roman" w:hAnsi="Calibri" w:cs="Times New Roman"/>
                <w:sz w:val="20"/>
                <w:szCs w:val="20"/>
              </w:rPr>
              <w:t>International environmental treaty</w:t>
            </w:r>
          </w:p>
        </w:tc>
        <w:tc>
          <w:tcPr>
            <w:tcW w:w="1556" w:type="dxa"/>
            <w:gridSpan w:val="2"/>
            <w:tcBorders>
              <w:top w:val="nil"/>
              <w:left w:val="nil"/>
              <w:bottom w:val="nil"/>
              <w:right w:val="nil"/>
            </w:tcBorders>
            <w:shd w:val="clear" w:color="auto" w:fill="auto"/>
            <w:noWrap/>
            <w:vAlign w:val="bottom"/>
            <w:hideMark/>
          </w:tcPr>
          <w:p w14:paraId="01106CB0" w14:textId="77777777" w:rsidR="00E3766F" w:rsidRPr="003B75A2" w:rsidRDefault="00E3766F"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-5,204*</w:t>
            </w:r>
          </w:p>
        </w:tc>
        <w:tc>
          <w:tcPr>
            <w:tcW w:w="1373" w:type="dxa"/>
            <w:tcBorders>
              <w:top w:val="nil"/>
              <w:left w:val="nil"/>
              <w:bottom w:val="nil"/>
              <w:right w:val="nil"/>
            </w:tcBorders>
            <w:shd w:val="clear" w:color="auto" w:fill="auto"/>
            <w:noWrap/>
            <w:vAlign w:val="bottom"/>
            <w:hideMark/>
          </w:tcPr>
          <w:p w14:paraId="6E265D7F" w14:textId="77777777" w:rsidR="00E3766F" w:rsidRPr="003B75A2" w:rsidRDefault="00E3766F"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-5,188*</w:t>
            </w:r>
          </w:p>
        </w:tc>
        <w:tc>
          <w:tcPr>
            <w:tcW w:w="1373" w:type="dxa"/>
            <w:gridSpan w:val="2"/>
            <w:tcBorders>
              <w:top w:val="nil"/>
              <w:left w:val="nil"/>
              <w:bottom w:val="nil"/>
              <w:right w:val="nil"/>
            </w:tcBorders>
            <w:shd w:val="clear" w:color="auto" w:fill="auto"/>
            <w:noWrap/>
            <w:vAlign w:val="bottom"/>
            <w:hideMark/>
          </w:tcPr>
          <w:p w14:paraId="50DDCEDE" w14:textId="77777777" w:rsidR="00E3766F" w:rsidRPr="003B75A2" w:rsidRDefault="00E3766F"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-10,627***</w:t>
            </w:r>
          </w:p>
        </w:tc>
        <w:tc>
          <w:tcPr>
            <w:tcW w:w="1373" w:type="dxa"/>
            <w:gridSpan w:val="2"/>
            <w:tcBorders>
              <w:top w:val="nil"/>
              <w:left w:val="nil"/>
              <w:bottom w:val="nil"/>
              <w:right w:val="nil"/>
            </w:tcBorders>
            <w:shd w:val="clear" w:color="auto" w:fill="auto"/>
            <w:noWrap/>
            <w:vAlign w:val="bottom"/>
            <w:hideMark/>
          </w:tcPr>
          <w:p w14:paraId="6855F815" w14:textId="77777777" w:rsidR="00E3766F" w:rsidRPr="003B75A2" w:rsidRDefault="00E3766F"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-13,164***</w:t>
            </w:r>
          </w:p>
        </w:tc>
        <w:tc>
          <w:tcPr>
            <w:tcW w:w="1373" w:type="dxa"/>
            <w:gridSpan w:val="2"/>
            <w:tcBorders>
              <w:top w:val="nil"/>
              <w:left w:val="nil"/>
              <w:bottom w:val="nil"/>
              <w:right w:val="nil"/>
            </w:tcBorders>
            <w:shd w:val="clear" w:color="auto" w:fill="auto"/>
            <w:noWrap/>
            <w:vAlign w:val="bottom"/>
            <w:hideMark/>
          </w:tcPr>
          <w:p w14:paraId="451B2AE0" w14:textId="77777777" w:rsidR="00E3766F" w:rsidRPr="003B75A2" w:rsidRDefault="00E3766F"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-10,865***</w:t>
            </w:r>
          </w:p>
        </w:tc>
        <w:tc>
          <w:tcPr>
            <w:tcW w:w="1374" w:type="dxa"/>
            <w:tcBorders>
              <w:top w:val="nil"/>
              <w:left w:val="nil"/>
              <w:bottom w:val="nil"/>
              <w:right w:val="nil"/>
            </w:tcBorders>
            <w:shd w:val="clear" w:color="auto" w:fill="auto"/>
            <w:noWrap/>
            <w:vAlign w:val="bottom"/>
            <w:hideMark/>
          </w:tcPr>
          <w:p w14:paraId="3E48A6C5" w14:textId="77777777" w:rsidR="00E3766F" w:rsidRPr="003B75A2" w:rsidRDefault="00E3766F"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-13,059***</w:t>
            </w:r>
          </w:p>
        </w:tc>
      </w:tr>
      <w:tr w:rsidR="00E3766F" w:rsidRPr="003B75A2" w14:paraId="4C39DFA5" w14:textId="77777777" w:rsidTr="00BA3CD2">
        <w:trPr>
          <w:trHeight w:val="259"/>
          <w:jc w:val="center"/>
        </w:trPr>
        <w:tc>
          <w:tcPr>
            <w:tcW w:w="2303" w:type="dxa"/>
            <w:vMerge/>
            <w:tcBorders>
              <w:left w:val="nil"/>
              <w:bottom w:val="nil"/>
              <w:right w:val="nil"/>
            </w:tcBorders>
            <w:shd w:val="clear" w:color="auto" w:fill="auto"/>
            <w:noWrap/>
            <w:vAlign w:val="bottom"/>
            <w:hideMark/>
          </w:tcPr>
          <w:p w14:paraId="28279576" w14:textId="77777777" w:rsidR="00E3766F" w:rsidRPr="003B75A2" w:rsidRDefault="00E3766F"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119DA43D" w14:textId="77777777" w:rsidR="00E3766F" w:rsidRPr="003B75A2" w:rsidRDefault="00E3766F"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(2,739)</w:t>
            </w:r>
          </w:p>
        </w:tc>
        <w:tc>
          <w:tcPr>
            <w:tcW w:w="1373" w:type="dxa"/>
            <w:tcBorders>
              <w:top w:val="nil"/>
              <w:left w:val="nil"/>
              <w:bottom w:val="nil"/>
              <w:right w:val="nil"/>
            </w:tcBorders>
            <w:shd w:val="clear" w:color="auto" w:fill="auto"/>
            <w:noWrap/>
            <w:vAlign w:val="bottom"/>
            <w:hideMark/>
          </w:tcPr>
          <w:p w14:paraId="67B27FDD" w14:textId="77777777" w:rsidR="00E3766F" w:rsidRPr="003B75A2" w:rsidRDefault="00E3766F"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(2,777)</w:t>
            </w:r>
          </w:p>
        </w:tc>
        <w:tc>
          <w:tcPr>
            <w:tcW w:w="1373" w:type="dxa"/>
            <w:gridSpan w:val="2"/>
            <w:tcBorders>
              <w:top w:val="nil"/>
              <w:left w:val="nil"/>
              <w:bottom w:val="nil"/>
              <w:right w:val="nil"/>
            </w:tcBorders>
            <w:shd w:val="clear" w:color="auto" w:fill="auto"/>
            <w:noWrap/>
            <w:vAlign w:val="bottom"/>
            <w:hideMark/>
          </w:tcPr>
          <w:p w14:paraId="45E03AF8" w14:textId="77777777" w:rsidR="00E3766F" w:rsidRPr="003B75A2" w:rsidRDefault="00E3766F"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(3,233)</w:t>
            </w:r>
          </w:p>
        </w:tc>
        <w:tc>
          <w:tcPr>
            <w:tcW w:w="1373" w:type="dxa"/>
            <w:gridSpan w:val="2"/>
            <w:tcBorders>
              <w:top w:val="nil"/>
              <w:left w:val="nil"/>
              <w:bottom w:val="nil"/>
              <w:right w:val="nil"/>
            </w:tcBorders>
            <w:shd w:val="clear" w:color="auto" w:fill="auto"/>
            <w:noWrap/>
            <w:vAlign w:val="bottom"/>
            <w:hideMark/>
          </w:tcPr>
          <w:p w14:paraId="46431555" w14:textId="77777777" w:rsidR="00E3766F" w:rsidRPr="003B75A2" w:rsidRDefault="00E3766F"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(3,443)</w:t>
            </w:r>
          </w:p>
        </w:tc>
        <w:tc>
          <w:tcPr>
            <w:tcW w:w="1373" w:type="dxa"/>
            <w:gridSpan w:val="2"/>
            <w:tcBorders>
              <w:top w:val="nil"/>
              <w:left w:val="nil"/>
              <w:bottom w:val="nil"/>
              <w:right w:val="nil"/>
            </w:tcBorders>
            <w:shd w:val="clear" w:color="auto" w:fill="auto"/>
            <w:noWrap/>
            <w:vAlign w:val="bottom"/>
            <w:hideMark/>
          </w:tcPr>
          <w:p w14:paraId="16964489" w14:textId="77777777" w:rsidR="00E3766F" w:rsidRPr="003B75A2" w:rsidRDefault="00E3766F"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(3,077)</w:t>
            </w:r>
          </w:p>
        </w:tc>
        <w:tc>
          <w:tcPr>
            <w:tcW w:w="1374" w:type="dxa"/>
            <w:tcBorders>
              <w:top w:val="nil"/>
              <w:left w:val="nil"/>
              <w:bottom w:val="nil"/>
              <w:right w:val="nil"/>
            </w:tcBorders>
            <w:shd w:val="clear" w:color="auto" w:fill="auto"/>
            <w:noWrap/>
            <w:vAlign w:val="bottom"/>
            <w:hideMark/>
          </w:tcPr>
          <w:p w14:paraId="1DCFE967" w14:textId="77777777" w:rsidR="00E3766F" w:rsidRPr="003B75A2" w:rsidRDefault="00E3766F"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(3,228)</w:t>
            </w:r>
          </w:p>
        </w:tc>
      </w:tr>
      <w:tr w:rsidR="003B75A2" w:rsidRPr="003B75A2" w14:paraId="7E707DDE"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6345A4DD" w14:textId="5F0FF8F4"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Population growth</w:t>
            </w:r>
          </w:p>
        </w:tc>
        <w:tc>
          <w:tcPr>
            <w:tcW w:w="1556" w:type="dxa"/>
            <w:gridSpan w:val="2"/>
            <w:tcBorders>
              <w:top w:val="nil"/>
              <w:left w:val="nil"/>
              <w:bottom w:val="nil"/>
              <w:right w:val="nil"/>
            </w:tcBorders>
            <w:shd w:val="clear" w:color="auto" w:fill="auto"/>
            <w:noWrap/>
            <w:vAlign w:val="bottom"/>
            <w:hideMark/>
          </w:tcPr>
          <w:p w14:paraId="01D2B005"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58,099</w:t>
            </w:r>
          </w:p>
        </w:tc>
        <w:tc>
          <w:tcPr>
            <w:tcW w:w="1373" w:type="dxa"/>
            <w:tcBorders>
              <w:top w:val="nil"/>
              <w:left w:val="nil"/>
              <w:bottom w:val="nil"/>
              <w:right w:val="nil"/>
            </w:tcBorders>
            <w:shd w:val="clear" w:color="auto" w:fill="auto"/>
            <w:noWrap/>
            <w:vAlign w:val="bottom"/>
            <w:hideMark/>
          </w:tcPr>
          <w:p w14:paraId="0AB75B5A"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57,855***</w:t>
            </w:r>
          </w:p>
        </w:tc>
        <w:tc>
          <w:tcPr>
            <w:tcW w:w="1373" w:type="dxa"/>
            <w:gridSpan w:val="2"/>
            <w:tcBorders>
              <w:top w:val="nil"/>
              <w:left w:val="nil"/>
              <w:bottom w:val="nil"/>
              <w:right w:val="nil"/>
            </w:tcBorders>
            <w:shd w:val="clear" w:color="auto" w:fill="auto"/>
            <w:noWrap/>
            <w:vAlign w:val="bottom"/>
            <w:hideMark/>
          </w:tcPr>
          <w:p w14:paraId="373853A1"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7,015</w:t>
            </w:r>
          </w:p>
        </w:tc>
        <w:tc>
          <w:tcPr>
            <w:tcW w:w="1373" w:type="dxa"/>
            <w:gridSpan w:val="2"/>
            <w:tcBorders>
              <w:top w:val="nil"/>
              <w:left w:val="nil"/>
              <w:bottom w:val="nil"/>
              <w:right w:val="nil"/>
            </w:tcBorders>
            <w:shd w:val="clear" w:color="auto" w:fill="auto"/>
            <w:noWrap/>
            <w:vAlign w:val="bottom"/>
            <w:hideMark/>
          </w:tcPr>
          <w:p w14:paraId="06ED2059"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42,955**</w:t>
            </w:r>
          </w:p>
        </w:tc>
        <w:tc>
          <w:tcPr>
            <w:tcW w:w="1373" w:type="dxa"/>
            <w:gridSpan w:val="2"/>
            <w:tcBorders>
              <w:top w:val="nil"/>
              <w:left w:val="nil"/>
              <w:bottom w:val="nil"/>
              <w:right w:val="nil"/>
            </w:tcBorders>
            <w:shd w:val="clear" w:color="auto" w:fill="auto"/>
            <w:noWrap/>
            <w:vAlign w:val="bottom"/>
            <w:hideMark/>
          </w:tcPr>
          <w:p w14:paraId="51FEAADB"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15,382</w:t>
            </w:r>
          </w:p>
        </w:tc>
        <w:tc>
          <w:tcPr>
            <w:tcW w:w="1374" w:type="dxa"/>
            <w:tcBorders>
              <w:top w:val="nil"/>
              <w:left w:val="nil"/>
              <w:bottom w:val="nil"/>
              <w:right w:val="nil"/>
            </w:tcBorders>
            <w:shd w:val="clear" w:color="auto" w:fill="auto"/>
            <w:noWrap/>
            <w:vAlign w:val="bottom"/>
            <w:hideMark/>
          </w:tcPr>
          <w:p w14:paraId="31ED7A10"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46,659**</w:t>
            </w:r>
          </w:p>
        </w:tc>
      </w:tr>
      <w:tr w:rsidR="003B75A2" w:rsidRPr="003B75A2" w14:paraId="2D687AE0"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3C99A77B"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6DBB0102"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(35,612)</w:t>
            </w:r>
          </w:p>
        </w:tc>
        <w:tc>
          <w:tcPr>
            <w:tcW w:w="1373" w:type="dxa"/>
            <w:tcBorders>
              <w:top w:val="nil"/>
              <w:left w:val="nil"/>
              <w:bottom w:val="nil"/>
              <w:right w:val="nil"/>
            </w:tcBorders>
            <w:shd w:val="clear" w:color="auto" w:fill="auto"/>
            <w:noWrap/>
            <w:vAlign w:val="bottom"/>
            <w:hideMark/>
          </w:tcPr>
          <w:p w14:paraId="3A229613"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(16,776)</w:t>
            </w:r>
          </w:p>
        </w:tc>
        <w:tc>
          <w:tcPr>
            <w:tcW w:w="1373" w:type="dxa"/>
            <w:gridSpan w:val="2"/>
            <w:tcBorders>
              <w:top w:val="nil"/>
              <w:left w:val="nil"/>
              <w:bottom w:val="nil"/>
              <w:right w:val="nil"/>
            </w:tcBorders>
            <w:shd w:val="clear" w:color="auto" w:fill="auto"/>
            <w:noWrap/>
            <w:vAlign w:val="bottom"/>
            <w:hideMark/>
          </w:tcPr>
          <w:p w14:paraId="5BE4238D"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(34,008)</w:t>
            </w:r>
          </w:p>
        </w:tc>
        <w:tc>
          <w:tcPr>
            <w:tcW w:w="1373" w:type="dxa"/>
            <w:gridSpan w:val="2"/>
            <w:tcBorders>
              <w:top w:val="nil"/>
              <w:left w:val="nil"/>
              <w:bottom w:val="nil"/>
              <w:right w:val="nil"/>
            </w:tcBorders>
            <w:shd w:val="clear" w:color="auto" w:fill="auto"/>
            <w:noWrap/>
            <w:vAlign w:val="bottom"/>
            <w:hideMark/>
          </w:tcPr>
          <w:p w14:paraId="5A34D175"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(20,487)</w:t>
            </w:r>
          </w:p>
        </w:tc>
        <w:tc>
          <w:tcPr>
            <w:tcW w:w="1373" w:type="dxa"/>
            <w:gridSpan w:val="2"/>
            <w:tcBorders>
              <w:top w:val="nil"/>
              <w:left w:val="nil"/>
              <w:bottom w:val="nil"/>
              <w:right w:val="nil"/>
            </w:tcBorders>
            <w:shd w:val="clear" w:color="auto" w:fill="auto"/>
            <w:noWrap/>
            <w:vAlign w:val="bottom"/>
            <w:hideMark/>
          </w:tcPr>
          <w:p w14:paraId="37544B4C"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(34,279)</w:t>
            </w:r>
          </w:p>
        </w:tc>
        <w:tc>
          <w:tcPr>
            <w:tcW w:w="1374" w:type="dxa"/>
            <w:tcBorders>
              <w:top w:val="nil"/>
              <w:left w:val="nil"/>
              <w:bottom w:val="nil"/>
              <w:right w:val="nil"/>
            </w:tcBorders>
            <w:shd w:val="clear" w:color="auto" w:fill="auto"/>
            <w:noWrap/>
            <w:vAlign w:val="bottom"/>
            <w:hideMark/>
          </w:tcPr>
          <w:p w14:paraId="37D97BA0"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(20,967)</w:t>
            </w:r>
          </w:p>
        </w:tc>
      </w:tr>
      <w:tr w:rsidR="003B75A2" w:rsidRPr="003B75A2" w14:paraId="2B4F4AEA"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1C3E9D5F" w14:textId="49B8001A"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GDP per capita</w:t>
            </w:r>
          </w:p>
        </w:tc>
        <w:tc>
          <w:tcPr>
            <w:tcW w:w="1556" w:type="dxa"/>
            <w:gridSpan w:val="2"/>
            <w:tcBorders>
              <w:top w:val="nil"/>
              <w:left w:val="nil"/>
              <w:bottom w:val="nil"/>
              <w:right w:val="nil"/>
            </w:tcBorders>
            <w:shd w:val="clear" w:color="auto" w:fill="auto"/>
            <w:noWrap/>
            <w:vAlign w:val="bottom"/>
            <w:hideMark/>
          </w:tcPr>
          <w:p w14:paraId="29280F9E"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-3.475***</w:t>
            </w:r>
          </w:p>
        </w:tc>
        <w:tc>
          <w:tcPr>
            <w:tcW w:w="1373" w:type="dxa"/>
            <w:tcBorders>
              <w:top w:val="nil"/>
              <w:left w:val="nil"/>
              <w:bottom w:val="nil"/>
              <w:right w:val="nil"/>
            </w:tcBorders>
            <w:shd w:val="clear" w:color="auto" w:fill="auto"/>
            <w:noWrap/>
            <w:vAlign w:val="bottom"/>
            <w:hideMark/>
          </w:tcPr>
          <w:p w14:paraId="00EBEC8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-3.468***</w:t>
            </w:r>
          </w:p>
        </w:tc>
        <w:tc>
          <w:tcPr>
            <w:tcW w:w="1373" w:type="dxa"/>
            <w:gridSpan w:val="2"/>
            <w:tcBorders>
              <w:top w:val="nil"/>
              <w:left w:val="nil"/>
              <w:bottom w:val="nil"/>
              <w:right w:val="nil"/>
            </w:tcBorders>
            <w:shd w:val="clear" w:color="auto" w:fill="auto"/>
            <w:noWrap/>
            <w:vAlign w:val="bottom"/>
            <w:hideMark/>
          </w:tcPr>
          <w:p w14:paraId="75DDBF7F"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-4.459***</w:t>
            </w:r>
          </w:p>
        </w:tc>
        <w:tc>
          <w:tcPr>
            <w:tcW w:w="1373" w:type="dxa"/>
            <w:gridSpan w:val="2"/>
            <w:tcBorders>
              <w:top w:val="nil"/>
              <w:left w:val="nil"/>
              <w:bottom w:val="nil"/>
              <w:right w:val="nil"/>
            </w:tcBorders>
            <w:shd w:val="clear" w:color="auto" w:fill="auto"/>
            <w:noWrap/>
            <w:vAlign w:val="bottom"/>
            <w:hideMark/>
          </w:tcPr>
          <w:p w14:paraId="57085DC7"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-5.670***</w:t>
            </w:r>
          </w:p>
        </w:tc>
        <w:tc>
          <w:tcPr>
            <w:tcW w:w="1373" w:type="dxa"/>
            <w:gridSpan w:val="2"/>
            <w:tcBorders>
              <w:top w:val="nil"/>
              <w:left w:val="nil"/>
              <w:bottom w:val="nil"/>
              <w:right w:val="nil"/>
            </w:tcBorders>
            <w:shd w:val="clear" w:color="auto" w:fill="auto"/>
            <w:noWrap/>
            <w:vAlign w:val="bottom"/>
            <w:hideMark/>
          </w:tcPr>
          <w:p w14:paraId="77027D39"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-4.993***</w:t>
            </w:r>
          </w:p>
        </w:tc>
        <w:tc>
          <w:tcPr>
            <w:tcW w:w="1374" w:type="dxa"/>
            <w:tcBorders>
              <w:top w:val="nil"/>
              <w:left w:val="nil"/>
              <w:bottom w:val="nil"/>
              <w:right w:val="nil"/>
            </w:tcBorders>
            <w:shd w:val="clear" w:color="auto" w:fill="auto"/>
            <w:noWrap/>
            <w:vAlign w:val="bottom"/>
            <w:hideMark/>
          </w:tcPr>
          <w:p w14:paraId="358ADD0F"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-6.035***</w:t>
            </w:r>
          </w:p>
        </w:tc>
      </w:tr>
      <w:tr w:rsidR="003B75A2" w:rsidRPr="003B75A2" w14:paraId="1667F40B"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1BF9AAE8"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541E4D16"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(1.156)</w:t>
            </w:r>
          </w:p>
        </w:tc>
        <w:tc>
          <w:tcPr>
            <w:tcW w:w="1373" w:type="dxa"/>
            <w:tcBorders>
              <w:top w:val="nil"/>
              <w:left w:val="nil"/>
              <w:bottom w:val="nil"/>
              <w:right w:val="nil"/>
            </w:tcBorders>
            <w:shd w:val="clear" w:color="auto" w:fill="auto"/>
            <w:noWrap/>
            <w:vAlign w:val="bottom"/>
            <w:hideMark/>
          </w:tcPr>
          <w:p w14:paraId="298037C9"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(1.079)</w:t>
            </w:r>
          </w:p>
        </w:tc>
        <w:tc>
          <w:tcPr>
            <w:tcW w:w="1373" w:type="dxa"/>
            <w:gridSpan w:val="2"/>
            <w:tcBorders>
              <w:top w:val="nil"/>
              <w:left w:val="nil"/>
              <w:bottom w:val="nil"/>
              <w:right w:val="nil"/>
            </w:tcBorders>
            <w:shd w:val="clear" w:color="auto" w:fill="auto"/>
            <w:noWrap/>
            <w:vAlign w:val="bottom"/>
            <w:hideMark/>
          </w:tcPr>
          <w:p w14:paraId="36E8D7FC"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(1.102)</w:t>
            </w:r>
          </w:p>
        </w:tc>
        <w:tc>
          <w:tcPr>
            <w:tcW w:w="1373" w:type="dxa"/>
            <w:gridSpan w:val="2"/>
            <w:tcBorders>
              <w:top w:val="nil"/>
              <w:left w:val="nil"/>
              <w:bottom w:val="nil"/>
              <w:right w:val="nil"/>
            </w:tcBorders>
            <w:shd w:val="clear" w:color="auto" w:fill="auto"/>
            <w:noWrap/>
            <w:vAlign w:val="bottom"/>
            <w:hideMark/>
          </w:tcPr>
          <w:p w14:paraId="1DB2C0B5"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(1.226)</w:t>
            </w:r>
          </w:p>
        </w:tc>
        <w:tc>
          <w:tcPr>
            <w:tcW w:w="1373" w:type="dxa"/>
            <w:gridSpan w:val="2"/>
            <w:tcBorders>
              <w:top w:val="nil"/>
              <w:left w:val="nil"/>
              <w:bottom w:val="nil"/>
              <w:right w:val="nil"/>
            </w:tcBorders>
            <w:shd w:val="clear" w:color="auto" w:fill="auto"/>
            <w:noWrap/>
            <w:vAlign w:val="bottom"/>
            <w:hideMark/>
          </w:tcPr>
          <w:p w14:paraId="6D979147"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(1.151)</w:t>
            </w:r>
          </w:p>
        </w:tc>
        <w:tc>
          <w:tcPr>
            <w:tcW w:w="1374" w:type="dxa"/>
            <w:tcBorders>
              <w:top w:val="nil"/>
              <w:left w:val="nil"/>
              <w:bottom w:val="nil"/>
              <w:right w:val="nil"/>
            </w:tcBorders>
            <w:shd w:val="clear" w:color="auto" w:fill="auto"/>
            <w:noWrap/>
            <w:vAlign w:val="bottom"/>
            <w:hideMark/>
          </w:tcPr>
          <w:p w14:paraId="6AAD5377"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(1.164)</w:t>
            </w:r>
          </w:p>
        </w:tc>
      </w:tr>
      <w:tr w:rsidR="003B75A2" w:rsidRPr="003B75A2" w14:paraId="4D60A4E0"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2D0A0E7B" w14:textId="270A902B"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Exports to EU countries</w:t>
            </w:r>
          </w:p>
        </w:tc>
        <w:tc>
          <w:tcPr>
            <w:tcW w:w="1556" w:type="dxa"/>
            <w:gridSpan w:val="2"/>
            <w:tcBorders>
              <w:top w:val="nil"/>
              <w:left w:val="nil"/>
              <w:bottom w:val="nil"/>
              <w:right w:val="nil"/>
            </w:tcBorders>
            <w:shd w:val="clear" w:color="auto" w:fill="auto"/>
            <w:noWrap/>
            <w:vAlign w:val="bottom"/>
            <w:hideMark/>
          </w:tcPr>
          <w:p w14:paraId="75DA5F45"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58,391</w:t>
            </w:r>
          </w:p>
        </w:tc>
        <w:tc>
          <w:tcPr>
            <w:tcW w:w="1373" w:type="dxa"/>
            <w:tcBorders>
              <w:top w:val="nil"/>
              <w:left w:val="nil"/>
              <w:bottom w:val="nil"/>
              <w:right w:val="nil"/>
            </w:tcBorders>
            <w:shd w:val="clear" w:color="auto" w:fill="auto"/>
            <w:noWrap/>
            <w:vAlign w:val="bottom"/>
            <w:hideMark/>
          </w:tcPr>
          <w:p w14:paraId="5585CB0F"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58,881</w:t>
            </w:r>
          </w:p>
        </w:tc>
        <w:tc>
          <w:tcPr>
            <w:tcW w:w="1373" w:type="dxa"/>
            <w:gridSpan w:val="2"/>
            <w:tcBorders>
              <w:top w:val="nil"/>
              <w:left w:val="nil"/>
              <w:bottom w:val="nil"/>
              <w:right w:val="nil"/>
            </w:tcBorders>
            <w:shd w:val="clear" w:color="auto" w:fill="auto"/>
            <w:noWrap/>
            <w:vAlign w:val="bottom"/>
            <w:hideMark/>
          </w:tcPr>
          <w:p w14:paraId="08CBD4FF"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-65,248</w:t>
            </w:r>
          </w:p>
        </w:tc>
        <w:tc>
          <w:tcPr>
            <w:tcW w:w="1373" w:type="dxa"/>
            <w:gridSpan w:val="2"/>
            <w:tcBorders>
              <w:top w:val="nil"/>
              <w:left w:val="nil"/>
              <w:bottom w:val="nil"/>
              <w:right w:val="nil"/>
            </w:tcBorders>
            <w:shd w:val="clear" w:color="auto" w:fill="auto"/>
            <w:noWrap/>
            <w:vAlign w:val="bottom"/>
            <w:hideMark/>
          </w:tcPr>
          <w:p w14:paraId="0EB6E640"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-145,820*</w:t>
            </w:r>
          </w:p>
        </w:tc>
        <w:tc>
          <w:tcPr>
            <w:tcW w:w="1373" w:type="dxa"/>
            <w:gridSpan w:val="2"/>
            <w:tcBorders>
              <w:top w:val="nil"/>
              <w:left w:val="nil"/>
              <w:bottom w:val="nil"/>
              <w:right w:val="nil"/>
            </w:tcBorders>
            <w:shd w:val="clear" w:color="auto" w:fill="auto"/>
            <w:noWrap/>
            <w:vAlign w:val="bottom"/>
            <w:hideMark/>
          </w:tcPr>
          <w:p w14:paraId="19ABCDCA"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-59,774</w:t>
            </w:r>
          </w:p>
        </w:tc>
        <w:tc>
          <w:tcPr>
            <w:tcW w:w="1374" w:type="dxa"/>
            <w:tcBorders>
              <w:top w:val="nil"/>
              <w:left w:val="nil"/>
              <w:bottom w:val="nil"/>
              <w:right w:val="nil"/>
            </w:tcBorders>
            <w:shd w:val="clear" w:color="auto" w:fill="auto"/>
            <w:noWrap/>
            <w:vAlign w:val="bottom"/>
            <w:hideMark/>
          </w:tcPr>
          <w:p w14:paraId="6F027C1F"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-129,426</w:t>
            </w:r>
          </w:p>
        </w:tc>
      </w:tr>
      <w:tr w:rsidR="003B75A2" w:rsidRPr="003B75A2" w14:paraId="5BB0C434"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0FA209B5"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565B208C"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(54,467)</w:t>
            </w:r>
          </w:p>
        </w:tc>
        <w:tc>
          <w:tcPr>
            <w:tcW w:w="1373" w:type="dxa"/>
            <w:tcBorders>
              <w:top w:val="nil"/>
              <w:left w:val="nil"/>
              <w:bottom w:val="nil"/>
              <w:right w:val="nil"/>
            </w:tcBorders>
            <w:shd w:val="clear" w:color="auto" w:fill="auto"/>
            <w:noWrap/>
            <w:vAlign w:val="bottom"/>
            <w:hideMark/>
          </w:tcPr>
          <w:p w14:paraId="00FC72C1"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(78,593)</w:t>
            </w:r>
          </w:p>
        </w:tc>
        <w:tc>
          <w:tcPr>
            <w:tcW w:w="1373" w:type="dxa"/>
            <w:gridSpan w:val="2"/>
            <w:tcBorders>
              <w:top w:val="nil"/>
              <w:left w:val="nil"/>
              <w:bottom w:val="nil"/>
              <w:right w:val="nil"/>
            </w:tcBorders>
            <w:shd w:val="clear" w:color="auto" w:fill="auto"/>
            <w:noWrap/>
            <w:vAlign w:val="bottom"/>
            <w:hideMark/>
          </w:tcPr>
          <w:p w14:paraId="6FCB0C0F"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(56,180)</w:t>
            </w:r>
          </w:p>
        </w:tc>
        <w:tc>
          <w:tcPr>
            <w:tcW w:w="1373" w:type="dxa"/>
            <w:gridSpan w:val="2"/>
            <w:tcBorders>
              <w:top w:val="nil"/>
              <w:left w:val="nil"/>
              <w:bottom w:val="nil"/>
              <w:right w:val="nil"/>
            </w:tcBorders>
            <w:shd w:val="clear" w:color="auto" w:fill="auto"/>
            <w:noWrap/>
            <w:vAlign w:val="bottom"/>
            <w:hideMark/>
          </w:tcPr>
          <w:p w14:paraId="5B9A9342"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(75,556)</w:t>
            </w:r>
          </w:p>
        </w:tc>
        <w:tc>
          <w:tcPr>
            <w:tcW w:w="1373" w:type="dxa"/>
            <w:gridSpan w:val="2"/>
            <w:tcBorders>
              <w:top w:val="nil"/>
              <w:left w:val="nil"/>
              <w:bottom w:val="nil"/>
              <w:right w:val="nil"/>
            </w:tcBorders>
            <w:shd w:val="clear" w:color="auto" w:fill="auto"/>
            <w:noWrap/>
            <w:vAlign w:val="bottom"/>
            <w:hideMark/>
          </w:tcPr>
          <w:p w14:paraId="54104170"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(59,232)</w:t>
            </w:r>
          </w:p>
        </w:tc>
        <w:tc>
          <w:tcPr>
            <w:tcW w:w="1374" w:type="dxa"/>
            <w:tcBorders>
              <w:top w:val="nil"/>
              <w:left w:val="nil"/>
              <w:bottom w:val="nil"/>
              <w:right w:val="nil"/>
            </w:tcBorders>
            <w:shd w:val="clear" w:color="auto" w:fill="auto"/>
            <w:noWrap/>
            <w:vAlign w:val="bottom"/>
            <w:hideMark/>
          </w:tcPr>
          <w:p w14:paraId="0EAB4633"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(76,825)</w:t>
            </w:r>
          </w:p>
        </w:tc>
      </w:tr>
      <w:tr w:rsidR="003B75A2" w:rsidRPr="003B75A2" w14:paraId="6BEB97E7"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2763E924" w14:textId="17E143DD"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Liabilities</w:t>
            </w:r>
          </w:p>
        </w:tc>
        <w:tc>
          <w:tcPr>
            <w:tcW w:w="1556" w:type="dxa"/>
            <w:gridSpan w:val="2"/>
            <w:tcBorders>
              <w:top w:val="nil"/>
              <w:left w:val="nil"/>
              <w:bottom w:val="nil"/>
              <w:right w:val="nil"/>
            </w:tcBorders>
            <w:shd w:val="clear" w:color="auto" w:fill="auto"/>
            <w:noWrap/>
            <w:vAlign w:val="bottom"/>
            <w:hideMark/>
          </w:tcPr>
          <w:p w14:paraId="3EF3D349" w14:textId="77777777" w:rsidR="003B75A2" w:rsidRPr="003B75A2" w:rsidRDefault="003B75A2" w:rsidP="003B75A2">
            <w:pPr>
              <w:jc w:val="center"/>
              <w:rPr>
                <w:rFonts w:ascii="Calibri" w:eastAsia="Times New Roman" w:hAnsi="Calibri" w:cs="Times New Roman"/>
                <w:sz w:val="20"/>
                <w:szCs w:val="20"/>
              </w:rPr>
            </w:pPr>
          </w:p>
        </w:tc>
        <w:tc>
          <w:tcPr>
            <w:tcW w:w="1373" w:type="dxa"/>
            <w:tcBorders>
              <w:top w:val="nil"/>
              <w:left w:val="nil"/>
              <w:bottom w:val="nil"/>
              <w:right w:val="nil"/>
            </w:tcBorders>
            <w:shd w:val="clear" w:color="auto" w:fill="auto"/>
            <w:noWrap/>
            <w:vAlign w:val="bottom"/>
            <w:hideMark/>
          </w:tcPr>
          <w:p w14:paraId="2AFD5CC1"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54DC2BA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8.00e-06</w:t>
            </w:r>
          </w:p>
        </w:tc>
        <w:tc>
          <w:tcPr>
            <w:tcW w:w="1373" w:type="dxa"/>
            <w:gridSpan w:val="2"/>
            <w:tcBorders>
              <w:top w:val="nil"/>
              <w:left w:val="nil"/>
              <w:bottom w:val="nil"/>
              <w:right w:val="nil"/>
            </w:tcBorders>
            <w:shd w:val="clear" w:color="auto" w:fill="auto"/>
            <w:noWrap/>
            <w:vAlign w:val="bottom"/>
            <w:hideMark/>
          </w:tcPr>
          <w:p w14:paraId="1D83BA2E"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7.92e-06</w:t>
            </w:r>
          </w:p>
        </w:tc>
        <w:tc>
          <w:tcPr>
            <w:tcW w:w="1373" w:type="dxa"/>
            <w:gridSpan w:val="2"/>
            <w:tcBorders>
              <w:top w:val="nil"/>
              <w:left w:val="nil"/>
              <w:bottom w:val="nil"/>
              <w:right w:val="nil"/>
            </w:tcBorders>
            <w:shd w:val="clear" w:color="auto" w:fill="auto"/>
            <w:noWrap/>
            <w:vAlign w:val="bottom"/>
            <w:hideMark/>
          </w:tcPr>
          <w:p w14:paraId="618A2AA2" w14:textId="77777777" w:rsidR="003B75A2" w:rsidRPr="003B75A2" w:rsidRDefault="003B75A2" w:rsidP="003B75A2">
            <w:pPr>
              <w:jc w:val="center"/>
              <w:rPr>
                <w:rFonts w:ascii="Calibri" w:eastAsia="Times New Roman" w:hAnsi="Calibri" w:cs="Times New Roman"/>
                <w:sz w:val="20"/>
                <w:szCs w:val="20"/>
              </w:rPr>
            </w:pPr>
          </w:p>
        </w:tc>
        <w:tc>
          <w:tcPr>
            <w:tcW w:w="1374" w:type="dxa"/>
            <w:tcBorders>
              <w:top w:val="nil"/>
              <w:left w:val="nil"/>
              <w:bottom w:val="nil"/>
              <w:right w:val="nil"/>
            </w:tcBorders>
            <w:shd w:val="clear" w:color="auto" w:fill="auto"/>
            <w:noWrap/>
            <w:vAlign w:val="bottom"/>
            <w:hideMark/>
          </w:tcPr>
          <w:p w14:paraId="0C928456" w14:textId="77777777" w:rsidR="003B75A2" w:rsidRPr="003B75A2" w:rsidRDefault="003B75A2" w:rsidP="003B75A2">
            <w:pPr>
              <w:jc w:val="center"/>
              <w:rPr>
                <w:rFonts w:ascii="Calibri" w:eastAsia="Times New Roman" w:hAnsi="Calibri" w:cs="Times New Roman"/>
                <w:sz w:val="20"/>
                <w:szCs w:val="20"/>
              </w:rPr>
            </w:pPr>
          </w:p>
        </w:tc>
      </w:tr>
      <w:tr w:rsidR="003B75A2" w:rsidRPr="003B75A2" w14:paraId="4237BF05"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482F6FC1"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5EDF1C3F" w14:textId="77777777" w:rsidR="003B75A2" w:rsidRPr="003B75A2" w:rsidRDefault="003B75A2" w:rsidP="003B75A2">
            <w:pPr>
              <w:jc w:val="center"/>
              <w:rPr>
                <w:rFonts w:ascii="Calibri" w:eastAsia="Times New Roman" w:hAnsi="Calibri" w:cs="Times New Roman"/>
                <w:sz w:val="20"/>
                <w:szCs w:val="20"/>
              </w:rPr>
            </w:pPr>
          </w:p>
        </w:tc>
        <w:tc>
          <w:tcPr>
            <w:tcW w:w="1373" w:type="dxa"/>
            <w:tcBorders>
              <w:top w:val="nil"/>
              <w:left w:val="nil"/>
              <w:bottom w:val="nil"/>
              <w:right w:val="nil"/>
            </w:tcBorders>
            <w:shd w:val="clear" w:color="auto" w:fill="auto"/>
            <w:noWrap/>
            <w:vAlign w:val="bottom"/>
            <w:hideMark/>
          </w:tcPr>
          <w:p w14:paraId="304B94A0"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5E917BA4"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(5.30e-06)</w:t>
            </w:r>
          </w:p>
        </w:tc>
        <w:tc>
          <w:tcPr>
            <w:tcW w:w="1373" w:type="dxa"/>
            <w:gridSpan w:val="2"/>
            <w:tcBorders>
              <w:top w:val="nil"/>
              <w:left w:val="nil"/>
              <w:bottom w:val="nil"/>
              <w:right w:val="nil"/>
            </w:tcBorders>
            <w:shd w:val="clear" w:color="auto" w:fill="auto"/>
            <w:noWrap/>
            <w:vAlign w:val="bottom"/>
            <w:hideMark/>
          </w:tcPr>
          <w:p w14:paraId="0E41214A"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(5.22e-06)</w:t>
            </w:r>
          </w:p>
        </w:tc>
        <w:tc>
          <w:tcPr>
            <w:tcW w:w="1373" w:type="dxa"/>
            <w:gridSpan w:val="2"/>
            <w:tcBorders>
              <w:top w:val="nil"/>
              <w:left w:val="nil"/>
              <w:bottom w:val="nil"/>
              <w:right w:val="nil"/>
            </w:tcBorders>
            <w:shd w:val="clear" w:color="auto" w:fill="auto"/>
            <w:noWrap/>
            <w:vAlign w:val="bottom"/>
            <w:hideMark/>
          </w:tcPr>
          <w:p w14:paraId="73A6DE22" w14:textId="77777777" w:rsidR="003B75A2" w:rsidRPr="003B75A2" w:rsidRDefault="003B75A2" w:rsidP="003B75A2">
            <w:pPr>
              <w:jc w:val="center"/>
              <w:rPr>
                <w:rFonts w:ascii="Calibri" w:eastAsia="Times New Roman" w:hAnsi="Calibri" w:cs="Times New Roman"/>
                <w:sz w:val="20"/>
                <w:szCs w:val="20"/>
              </w:rPr>
            </w:pPr>
          </w:p>
        </w:tc>
        <w:tc>
          <w:tcPr>
            <w:tcW w:w="1374" w:type="dxa"/>
            <w:tcBorders>
              <w:top w:val="nil"/>
              <w:left w:val="nil"/>
              <w:bottom w:val="nil"/>
              <w:right w:val="nil"/>
            </w:tcBorders>
            <w:shd w:val="clear" w:color="auto" w:fill="auto"/>
            <w:noWrap/>
            <w:vAlign w:val="bottom"/>
            <w:hideMark/>
          </w:tcPr>
          <w:p w14:paraId="63A4BEC7" w14:textId="77777777" w:rsidR="003B75A2" w:rsidRPr="003B75A2" w:rsidRDefault="003B75A2" w:rsidP="003B75A2">
            <w:pPr>
              <w:jc w:val="center"/>
              <w:rPr>
                <w:rFonts w:ascii="Calibri" w:eastAsia="Times New Roman" w:hAnsi="Calibri" w:cs="Times New Roman"/>
                <w:sz w:val="20"/>
                <w:szCs w:val="20"/>
              </w:rPr>
            </w:pPr>
          </w:p>
        </w:tc>
      </w:tr>
      <w:tr w:rsidR="003B75A2" w:rsidRPr="003B75A2" w14:paraId="440123F1"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6FA7FDC7" w14:textId="56121104" w:rsidR="003B75A2" w:rsidRPr="003B75A2" w:rsidRDefault="003B75A2" w:rsidP="003B75A2">
            <w:pPr>
              <w:rPr>
                <w:rFonts w:ascii="Calibri" w:eastAsia="Times New Roman" w:hAnsi="Calibri" w:cs="Times New Roman"/>
                <w:sz w:val="20"/>
                <w:szCs w:val="20"/>
              </w:rPr>
            </w:pPr>
            <w:proofErr w:type="spellStart"/>
            <w:r w:rsidRPr="003B75A2">
              <w:rPr>
                <w:rFonts w:ascii="Calibri" w:eastAsia="Times New Roman" w:hAnsi="Calibri" w:cs="Times New Roman"/>
                <w:sz w:val="20"/>
                <w:szCs w:val="20"/>
              </w:rPr>
              <w:t>Ebitda</w:t>
            </w:r>
            <w:proofErr w:type="spellEnd"/>
          </w:p>
        </w:tc>
        <w:tc>
          <w:tcPr>
            <w:tcW w:w="1556" w:type="dxa"/>
            <w:gridSpan w:val="2"/>
            <w:tcBorders>
              <w:top w:val="nil"/>
              <w:left w:val="nil"/>
              <w:bottom w:val="nil"/>
              <w:right w:val="nil"/>
            </w:tcBorders>
            <w:shd w:val="clear" w:color="auto" w:fill="auto"/>
            <w:noWrap/>
            <w:vAlign w:val="bottom"/>
            <w:hideMark/>
          </w:tcPr>
          <w:p w14:paraId="1ABFA8C4" w14:textId="77777777" w:rsidR="003B75A2" w:rsidRPr="003B75A2" w:rsidRDefault="003B75A2" w:rsidP="003B75A2">
            <w:pPr>
              <w:jc w:val="center"/>
              <w:rPr>
                <w:rFonts w:ascii="Calibri" w:eastAsia="Times New Roman" w:hAnsi="Calibri" w:cs="Times New Roman"/>
                <w:sz w:val="20"/>
                <w:szCs w:val="20"/>
              </w:rPr>
            </w:pPr>
          </w:p>
        </w:tc>
        <w:tc>
          <w:tcPr>
            <w:tcW w:w="1373" w:type="dxa"/>
            <w:tcBorders>
              <w:top w:val="nil"/>
              <w:left w:val="nil"/>
              <w:bottom w:val="nil"/>
              <w:right w:val="nil"/>
            </w:tcBorders>
            <w:shd w:val="clear" w:color="auto" w:fill="auto"/>
            <w:noWrap/>
            <w:vAlign w:val="bottom"/>
            <w:hideMark/>
          </w:tcPr>
          <w:p w14:paraId="45BA2937"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11CBFDCC"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59D43447"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3CE67856"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5.06e-05</w:t>
            </w:r>
          </w:p>
        </w:tc>
        <w:tc>
          <w:tcPr>
            <w:tcW w:w="1374" w:type="dxa"/>
            <w:tcBorders>
              <w:top w:val="nil"/>
              <w:left w:val="nil"/>
              <w:bottom w:val="nil"/>
              <w:right w:val="nil"/>
            </w:tcBorders>
            <w:shd w:val="clear" w:color="auto" w:fill="auto"/>
            <w:noWrap/>
            <w:vAlign w:val="bottom"/>
            <w:hideMark/>
          </w:tcPr>
          <w:p w14:paraId="70A34E56"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5.13e-05</w:t>
            </w:r>
          </w:p>
        </w:tc>
      </w:tr>
      <w:tr w:rsidR="003B75A2" w:rsidRPr="003B75A2" w14:paraId="4290FAF5"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7ACCA133"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17511AC4" w14:textId="77777777" w:rsidR="003B75A2" w:rsidRPr="003B75A2" w:rsidRDefault="003B75A2" w:rsidP="003B75A2">
            <w:pPr>
              <w:jc w:val="center"/>
              <w:rPr>
                <w:rFonts w:ascii="Calibri" w:eastAsia="Times New Roman" w:hAnsi="Calibri" w:cs="Times New Roman"/>
                <w:sz w:val="20"/>
                <w:szCs w:val="20"/>
              </w:rPr>
            </w:pPr>
          </w:p>
        </w:tc>
        <w:tc>
          <w:tcPr>
            <w:tcW w:w="1373" w:type="dxa"/>
            <w:tcBorders>
              <w:top w:val="nil"/>
              <w:left w:val="nil"/>
              <w:bottom w:val="nil"/>
              <w:right w:val="nil"/>
            </w:tcBorders>
            <w:shd w:val="clear" w:color="auto" w:fill="auto"/>
            <w:noWrap/>
            <w:vAlign w:val="bottom"/>
            <w:hideMark/>
          </w:tcPr>
          <w:p w14:paraId="1D7C80C9"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4C655F9B"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6811AD2D"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092D7875"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(3.08e-05)</w:t>
            </w:r>
          </w:p>
        </w:tc>
        <w:tc>
          <w:tcPr>
            <w:tcW w:w="1374" w:type="dxa"/>
            <w:tcBorders>
              <w:top w:val="nil"/>
              <w:left w:val="nil"/>
              <w:bottom w:val="nil"/>
              <w:right w:val="nil"/>
            </w:tcBorders>
            <w:shd w:val="clear" w:color="auto" w:fill="auto"/>
            <w:noWrap/>
            <w:vAlign w:val="bottom"/>
            <w:hideMark/>
          </w:tcPr>
          <w:p w14:paraId="3072E391"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(3.09e-05)</w:t>
            </w:r>
          </w:p>
        </w:tc>
      </w:tr>
      <w:tr w:rsidR="003B75A2" w:rsidRPr="003B75A2" w14:paraId="21AC0132"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4EF85535" w14:textId="77777777"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Constant</w:t>
            </w:r>
          </w:p>
        </w:tc>
        <w:tc>
          <w:tcPr>
            <w:tcW w:w="1556" w:type="dxa"/>
            <w:gridSpan w:val="2"/>
            <w:tcBorders>
              <w:top w:val="nil"/>
              <w:left w:val="nil"/>
              <w:bottom w:val="nil"/>
              <w:right w:val="nil"/>
            </w:tcBorders>
            <w:shd w:val="clear" w:color="auto" w:fill="auto"/>
            <w:noWrap/>
            <w:vAlign w:val="bottom"/>
            <w:hideMark/>
          </w:tcPr>
          <w:p w14:paraId="27E9A1AE"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-880,085</w:t>
            </w:r>
          </w:p>
        </w:tc>
        <w:tc>
          <w:tcPr>
            <w:tcW w:w="1373" w:type="dxa"/>
            <w:tcBorders>
              <w:top w:val="nil"/>
              <w:left w:val="nil"/>
              <w:bottom w:val="nil"/>
              <w:right w:val="nil"/>
            </w:tcBorders>
            <w:shd w:val="clear" w:color="auto" w:fill="auto"/>
            <w:noWrap/>
            <w:vAlign w:val="bottom"/>
            <w:hideMark/>
          </w:tcPr>
          <w:p w14:paraId="48EC585E"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-880,513</w:t>
            </w:r>
          </w:p>
        </w:tc>
        <w:tc>
          <w:tcPr>
            <w:tcW w:w="1373" w:type="dxa"/>
            <w:gridSpan w:val="2"/>
            <w:tcBorders>
              <w:top w:val="nil"/>
              <w:left w:val="nil"/>
              <w:bottom w:val="nil"/>
              <w:right w:val="nil"/>
            </w:tcBorders>
            <w:shd w:val="clear" w:color="auto" w:fill="auto"/>
            <w:noWrap/>
            <w:vAlign w:val="bottom"/>
            <w:hideMark/>
          </w:tcPr>
          <w:p w14:paraId="2E06E4EB"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699,678***</w:t>
            </w:r>
          </w:p>
        </w:tc>
        <w:tc>
          <w:tcPr>
            <w:tcW w:w="1373" w:type="dxa"/>
            <w:gridSpan w:val="2"/>
            <w:tcBorders>
              <w:top w:val="nil"/>
              <w:left w:val="nil"/>
              <w:bottom w:val="nil"/>
              <w:right w:val="nil"/>
            </w:tcBorders>
            <w:shd w:val="clear" w:color="auto" w:fill="auto"/>
            <w:noWrap/>
            <w:vAlign w:val="bottom"/>
            <w:hideMark/>
          </w:tcPr>
          <w:p w14:paraId="5988CBE2"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769,437***</w:t>
            </w:r>
          </w:p>
        </w:tc>
        <w:tc>
          <w:tcPr>
            <w:tcW w:w="1373" w:type="dxa"/>
            <w:gridSpan w:val="2"/>
            <w:tcBorders>
              <w:top w:val="nil"/>
              <w:left w:val="nil"/>
              <w:bottom w:val="nil"/>
              <w:right w:val="nil"/>
            </w:tcBorders>
            <w:shd w:val="clear" w:color="auto" w:fill="auto"/>
            <w:noWrap/>
            <w:vAlign w:val="bottom"/>
            <w:hideMark/>
          </w:tcPr>
          <w:p w14:paraId="70028600"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699,172***</w:t>
            </w:r>
          </w:p>
        </w:tc>
        <w:tc>
          <w:tcPr>
            <w:tcW w:w="1374" w:type="dxa"/>
            <w:tcBorders>
              <w:top w:val="nil"/>
              <w:left w:val="nil"/>
              <w:bottom w:val="nil"/>
              <w:right w:val="nil"/>
            </w:tcBorders>
            <w:shd w:val="clear" w:color="auto" w:fill="auto"/>
            <w:noWrap/>
            <w:vAlign w:val="bottom"/>
            <w:hideMark/>
          </w:tcPr>
          <w:p w14:paraId="2BDB933B"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759,093***</w:t>
            </w:r>
          </w:p>
        </w:tc>
      </w:tr>
      <w:tr w:rsidR="003B75A2" w:rsidRPr="003B75A2" w14:paraId="6A529EB7"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5EB6AEEF"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2161E383"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(932,160)</w:t>
            </w:r>
          </w:p>
        </w:tc>
        <w:tc>
          <w:tcPr>
            <w:tcW w:w="1373" w:type="dxa"/>
            <w:tcBorders>
              <w:top w:val="nil"/>
              <w:left w:val="nil"/>
              <w:bottom w:val="nil"/>
              <w:right w:val="nil"/>
            </w:tcBorders>
            <w:shd w:val="clear" w:color="auto" w:fill="auto"/>
            <w:noWrap/>
            <w:vAlign w:val="bottom"/>
            <w:hideMark/>
          </w:tcPr>
          <w:p w14:paraId="4361E684"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(932,002)</w:t>
            </w:r>
          </w:p>
        </w:tc>
        <w:tc>
          <w:tcPr>
            <w:tcW w:w="1373" w:type="dxa"/>
            <w:gridSpan w:val="2"/>
            <w:tcBorders>
              <w:top w:val="nil"/>
              <w:left w:val="nil"/>
              <w:bottom w:val="nil"/>
              <w:right w:val="nil"/>
            </w:tcBorders>
            <w:shd w:val="clear" w:color="auto" w:fill="auto"/>
            <w:noWrap/>
            <w:vAlign w:val="bottom"/>
            <w:hideMark/>
          </w:tcPr>
          <w:p w14:paraId="1DD52C33"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(117,132)</w:t>
            </w:r>
          </w:p>
        </w:tc>
        <w:tc>
          <w:tcPr>
            <w:tcW w:w="1373" w:type="dxa"/>
            <w:gridSpan w:val="2"/>
            <w:tcBorders>
              <w:top w:val="nil"/>
              <w:left w:val="nil"/>
              <w:bottom w:val="nil"/>
              <w:right w:val="nil"/>
            </w:tcBorders>
            <w:shd w:val="clear" w:color="auto" w:fill="auto"/>
            <w:noWrap/>
            <w:vAlign w:val="bottom"/>
            <w:hideMark/>
          </w:tcPr>
          <w:p w14:paraId="160D56A1"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(151,534)</w:t>
            </w:r>
          </w:p>
        </w:tc>
        <w:tc>
          <w:tcPr>
            <w:tcW w:w="1373" w:type="dxa"/>
            <w:gridSpan w:val="2"/>
            <w:tcBorders>
              <w:top w:val="nil"/>
              <w:left w:val="nil"/>
              <w:bottom w:val="nil"/>
              <w:right w:val="nil"/>
            </w:tcBorders>
            <w:shd w:val="clear" w:color="auto" w:fill="auto"/>
            <w:noWrap/>
            <w:vAlign w:val="bottom"/>
            <w:hideMark/>
          </w:tcPr>
          <w:p w14:paraId="18C11783"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(115,856)</w:t>
            </w:r>
          </w:p>
        </w:tc>
        <w:tc>
          <w:tcPr>
            <w:tcW w:w="1374" w:type="dxa"/>
            <w:tcBorders>
              <w:top w:val="nil"/>
              <w:left w:val="nil"/>
              <w:bottom w:val="nil"/>
              <w:right w:val="nil"/>
            </w:tcBorders>
            <w:shd w:val="clear" w:color="auto" w:fill="auto"/>
            <w:noWrap/>
            <w:vAlign w:val="bottom"/>
            <w:hideMark/>
          </w:tcPr>
          <w:p w14:paraId="42AFB8D5"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(140,674)</w:t>
            </w:r>
          </w:p>
        </w:tc>
      </w:tr>
      <w:tr w:rsidR="003B75A2" w:rsidRPr="003B75A2" w14:paraId="20C71B82"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7E9FBC6D" w14:textId="77777777" w:rsidR="003B75A2" w:rsidRPr="003B75A2" w:rsidRDefault="003B75A2" w:rsidP="003B75A2">
            <w:pPr>
              <w:rPr>
                <w:rFonts w:ascii="Calibri" w:eastAsia="Times New Roman" w:hAnsi="Calibri" w:cs="Times New Roman"/>
                <w:sz w:val="20"/>
                <w:szCs w:val="20"/>
              </w:rPr>
            </w:pPr>
          </w:p>
        </w:tc>
        <w:tc>
          <w:tcPr>
            <w:tcW w:w="1556" w:type="dxa"/>
            <w:gridSpan w:val="2"/>
            <w:tcBorders>
              <w:top w:val="nil"/>
              <w:left w:val="nil"/>
              <w:bottom w:val="nil"/>
              <w:right w:val="nil"/>
            </w:tcBorders>
            <w:shd w:val="clear" w:color="auto" w:fill="auto"/>
            <w:noWrap/>
            <w:vAlign w:val="bottom"/>
            <w:hideMark/>
          </w:tcPr>
          <w:p w14:paraId="510C9BA8" w14:textId="77777777" w:rsidR="003B75A2" w:rsidRPr="003B75A2" w:rsidRDefault="003B75A2" w:rsidP="003B75A2">
            <w:pPr>
              <w:jc w:val="center"/>
              <w:rPr>
                <w:rFonts w:ascii="Calibri" w:eastAsia="Times New Roman" w:hAnsi="Calibri" w:cs="Times New Roman"/>
                <w:sz w:val="20"/>
                <w:szCs w:val="20"/>
              </w:rPr>
            </w:pPr>
          </w:p>
        </w:tc>
        <w:tc>
          <w:tcPr>
            <w:tcW w:w="1373" w:type="dxa"/>
            <w:tcBorders>
              <w:top w:val="nil"/>
              <w:left w:val="nil"/>
              <w:bottom w:val="nil"/>
              <w:right w:val="nil"/>
            </w:tcBorders>
            <w:shd w:val="clear" w:color="auto" w:fill="auto"/>
            <w:noWrap/>
            <w:vAlign w:val="bottom"/>
            <w:hideMark/>
          </w:tcPr>
          <w:p w14:paraId="6BBC51D2"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329BE4AB"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21A045DF" w14:textId="77777777" w:rsidR="003B75A2" w:rsidRPr="003B75A2" w:rsidRDefault="003B75A2" w:rsidP="003B75A2">
            <w:pPr>
              <w:jc w:val="cente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1CA53602" w14:textId="77777777" w:rsidR="003B75A2" w:rsidRPr="003B75A2" w:rsidRDefault="003B75A2" w:rsidP="003B75A2">
            <w:pPr>
              <w:jc w:val="center"/>
              <w:rPr>
                <w:rFonts w:ascii="Calibri" w:eastAsia="Times New Roman" w:hAnsi="Calibri" w:cs="Times New Roman"/>
                <w:sz w:val="20"/>
                <w:szCs w:val="20"/>
              </w:rPr>
            </w:pPr>
          </w:p>
        </w:tc>
        <w:tc>
          <w:tcPr>
            <w:tcW w:w="1374" w:type="dxa"/>
            <w:tcBorders>
              <w:top w:val="nil"/>
              <w:left w:val="nil"/>
              <w:bottom w:val="nil"/>
              <w:right w:val="nil"/>
            </w:tcBorders>
            <w:shd w:val="clear" w:color="auto" w:fill="auto"/>
            <w:noWrap/>
            <w:vAlign w:val="bottom"/>
            <w:hideMark/>
          </w:tcPr>
          <w:p w14:paraId="0915B4D6" w14:textId="77777777" w:rsidR="003B75A2" w:rsidRPr="003B75A2" w:rsidRDefault="003B75A2" w:rsidP="003B75A2">
            <w:pPr>
              <w:jc w:val="center"/>
              <w:rPr>
                <w:rFonts w:ascii="Calibri" w:eastAsia="Times New Roman" w:hAnsi="Calibri" w:cs="Times New Roman"/>
                <w:sz w:val="20"/>
                <w:szCs w:val="20"/>
              </w:rPr>
            </w:pPr>
          </w:p>
        </w:tc>
      </w:tr>
      <w:tr w:rsidR="003B75A2" w:rsidRPr="003B75A2" w14:paraId="48286B62" w14:textId="77777777" w:rsidTr="00BA3CD2">
        <w:trPr>
          <w:trHeight w:val="259"/>
          <w:jc w:val="center"/>
        </w:trPr>
        <w:tc>
          <w:tcPr>
            <w:tcW w:w="2303" w:type="dxa"/>
            <w:tcBorders>
              <w:top w:val="nil"/>
              <w:left w:val="nil"/>
              <w:bottom w:val="nil"/>
              <w:right w:val="nil"/>
            </w:tcBorders>
            <w:shd w:val="clear" w:color="auto" w:fill="auto"/>
            <w:noWrap/>
            <w:vAlign w:val="bottom"/>
            <w:hideMark/>
          </w:tcPr>
          <w:p w14:paraId="117712AF" w14:textId="77777777"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Observations</w:t>
            </w:r>
          </w:p>
        </w:tc>
        <w:tc>
          <w:tcPr>
            <w:tcW w:w="1556" w:type="dxa"/>
            <w:gridSpan w:val="2"/>
            <w:tcBorders>
              <w:top w:val="nil"/>
              <w:left w:val="nil"/>
              <w:bottom w:val="nil"/>
              <w:right w:val="nil"/>
            </w:tcBorders>
            <w:shd w:val="clear" w:color="auto" w:fill="auto"/>
            <w:noWrap/>
            <w:vAlign w:val="bottom"/>
            <w:hideMark/>
          </w:tcPr>
          <w:p w14:paraId="20148FDA"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337</w:t>
            </w:r>
          </w:p>
        </w:tc>
        <w:tc>
          <w:tcPr>
            <w:tcW w:w="1373" w:type="dxa"/>
            <w:tcBorders>
              <w:top w:val="nil"/>
              <w:left w:val="nil"/>
              <w:bottom w:val="nil"/>
              <w:right w:val="nil"/>
            </w:tcBorders>
            <w:shd w:val="clear" w:color="auto" w:fill="auto"/>
            <w:noWrap/>
            <w:vAlign w:val="bottom"/>
            <w:hideMark/>
          </w:tcPr>
          <w:p w14:paraId="4FDF7496"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337</w:t>
            </w:r>
          </w:p>
        </w:tc>
        <w:tc>
          <w:tcPr>
            <w:tcW w:w="1373" w:type="dxa"/>
            <w:gridSpan w:val="2"/>
            <w:tcBorders>
              <w:top w:val="nil"/>
              <w:left w:val="nil"/>
              <w:bottom w:val="nil"/>
              <w:right w:val="nil"/>
            </w:tcBorders>
            <w:shd w:val="clear" w:color="auto" w:fill="auto"/>
            <w:noWrap/>
            <w:vAlign w:val="bottom"/>
            <w:hideMark/>
          </w:tcPr>
          <w:p w14:paraId="4A8888E4"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422</w:t>
            </w:r>
          </w:p>
        </w:tc>
        <w:tc>
          <w:tcPr>
            <w:tcW w:w="1373" w:type="dxa"/>
            <w:gridSpan w:val="2"/>
            <w:tcBorders>
              <w:top w:val="nil"/>
              <w:left w:val="nil"/>
              <w:bottom w:val="nil"/>
              <w:right w:val="nil"/>
            </w:tcBorders>
            <w:shd w:val="clear" w:color="auto" w:fill="auto"/>
            <w:noWrap/>
            <w:vAlign w:val="bottom"/>
            <w:hideMark/>
          </w:tcPr>
          <w:p w14:paraId="72F869F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422</w:t>
            </w:r>
          </w:p>
        </w:tc>
        <w:tc>
          <w:tcPr>
            <w:tcW w:w="1373" w:type="dxa"/>
            <w:gridSpan w:val="2"/>
            <w:tcBorders>
              <w:top w:val="nil"/>
              <w:left w:val="nil"/>
              <w:bottom w:val="nil"/>
              <w:right w:val="nil"/>
            </w:tcBorders>
            <w:shd w:val="clear" w:color="auto" w:fill="auto"/>
            <w:noWrap/>
            <w:vAlign w:val="bottom"/>
            <w:hideMark/>
          </w:tcPr>
          <w:p w14:paraId="3F063273"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421</w:t>
            </w:r>
          </w:p>
        </w:tc>
        <w:tc>
          <w:tcPr>
            <w:tcW w:w="1374" w:type="dxa"/>
            <w:tcBorders>
              <w:top w:val="nil"/>
              <w:left w:val="nil"/>
              <w:bottom w:val="nil"/>
              <w:right w:val="nil"/>
            </w:tcBorders>
            <w:shd w:val="clear" w:color="auto" w:fill="auto"/>
            <w:noWrap/>
            <w:vAlign w:val="bottom"/>
            <w:hideMark/>
          </w:tcPr>
          <w:p w14:paraId="6BCA3A3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421</w:t>
            </w:r>
          </w:p>
        </w:tc>
      </w:tr>
      <w:tr w:rsidR="003B75A2" w:rsidRPr="003B75A2" w14:paraId="0642CC30" w14:textId="77777777" w:rsidTr="00BA3CD2">
        <w:trPr>
          <w:trHeight w:val="259"/>
          <w:jc w:val="center"/>
        </w:trPr>
        <w:tc>
          <w:tcPr>
            <w:tcW w:w="2303" w:type="dxa"/>
            <w:tcBorders>
              <w:top w:val="nil"/>
              <w:left w:val="nil"/>
              <w:bottom w:val="single" w:sz="4" w:space="0" w:color="auto"/>
              <w:right w:val="nil"/>
            </w:tcBorders>
            <w:shd w:val="clear" w:color="auto" w:fill="auto"/>
            <w:noWrap/>
            <w:vAlign w:val="bottom"/>
            <w:hideMark/>
          </w:tcPr>
          <w:p w14:paraId="51AC5DF3" w14:textId="77777777" w:rsidR="003B75A2" w:rsidRPr="003B75A2" w:rsidRDefault="003B75A2" w:rsidP="003B75A2">
            <w:pPr>
              <w:rPr>
                <w:rFonts w:ascii="Calibri" w:eastAsia="Times New Roman" w:hAnsi="Calibri" w:cs="Times New Roman"/>
                <w:sz w:val="20"/>
                <w:szCs w:val="20"/>
              </w:rPr>
            </w:pPr>
            <w:r w:rsidRPr="003B75A2">
              <w:rPr>
                <w:rFonts w:ascii="Calibri" w:eastAsia="Times New Roman" w:hAnsi="Calibri" w:cs="Times New Roman"/>
                <w:sz w:val="20"/>
                <w:szCs w:val="20"/>
              </w:rPr>
              <w:t>R-squared</w:t>
            </w:r>
          </w:p>
        </w:tc>
        <w:tc>
          <w:tcPr>
            <w:tcW w:w="1556" w:type="dxa"/>
            <w:gridSpan w:val="2"/>
            <w:tcBorders>
              <w:top w:val="nil"/>
              <w:left w:val="nil"/>
              <w:bottom w:val="single" w:sz="4" w:space="0" w:color="auto"/>
              <w:right w:val="nil"/>
            </w:tcBorders>
            <w:shd w:val="clear" w:color="auto" w:fill="auto"/>
            <w:noWrap/>
            <w:vAlign w:val="bottom"/>
            <w:hideMark/>
          </w:tcPr>
          <w:p w14:paraId="5C9D1AD4"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0.175</w:t>
            </w:r>
          </w:p>
        </w:tc>
        <w:tc>
          <w:tcPr>
            <w:tcW w:w="1373" w:type="dxa"/>
            <w:tcBorders>
              <w:top w:val="nil"/>
              <w:left w:val="nil"/>
              <w:bottom w:val="single" w:sz="4" w:space="0" w:color="auto"/>
              <w:right w:val="nil"/>
            </w:tcBorders>
            <w:shd w:val="clear" w:color="auto" w:fill="auto"/>
            <w:noWrap/>
            <w:vAlign w:val="bottom"/>
            <w:hideMark/>
          </w:tcPr>
          <w:p w14:paraId="121B11E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0.175</w:t>
            </w:r>
          </w:p>
        </w:tc>
        <w:tc>
          <w:tcPr>
            <w:tcW w:w="1373" w:type="dxa"/>
            <w:gridSpan w:val="2"/>
            <w:tcBorders>
              <w:top w:val="nil"/>
              <w:left w:val="nil"/>
              <w:bottom w:val="single" w:sz="4" w:space="0" w:color="auto"/>
              <w:right w:val="nil"/>
            </w:tcBorders>
            <w:shd w:val="clear" w:color="auto" w:fill="auto"/>
            <w:noWrap/>
            <w:vAlign w:val="bottom"/>
            <w:hideMark/>
          </w:tcPr>
          <w:p w14:paraId="338AB16C"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0.205</w:t>
            </w:r>
          </w:p>
        </w:tc>
        <w:tc>
          <w:tcPr>
            <w:tcW w:w="1373" w:type="dxa"/>
            <w:gridSpan w:val="2"/>
            <w:tcBorders>
              <w:top w:val="nil"/>
              <w:left w:val="nil"/>
              <w:bottom w:val="single" w:sz="4" w:space="0" w:color="auto"/>
              <w:right w:val="nil"/>
            </w:tcBorders>
            <w:shd w:val="clear" w:color="auto" w:fill="auto"/>
            <w:noWrap/>
            <w:vAlign w:val="bottom"/>
            <w:hideMark/>
          </w:tcPr>
          <w:p w14:paraId="6AC5424A"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0.203</w:t>
            </w:r>
          </w:p>
        </w:tc>
        <w:tc>
          <w:tcPr>
            <w:tcW w:w="1373" w:type="dxa"/>
            <w:gridSpan w:val="2"/>
            <w:tcBorders>
              <w:top w:val="nil"/>
              <w:left w:val="nil"/>
              <w:bottom w:val="single" w:sz="4" w:space="0" w:color="auto"/>
              <w:right w:val="nil"/>
            </w:tcBorders>
            <w:shd w:val="clear" w:color="auto" w:fill="auto"/>
            <w:noWrap/>
            <w:vAlign w:val="bottom"/>
            <w:hideMark/>
          </w:tcPr>
          <w:p w14:paraId="2C8D0AB8"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0.214</w:t>
            </w:r>
          </w:p>
        </w:tc>
        <w:tc>
          <w:tcPr>
            <w:tcW w:w="1374" w:type="dxa"/>
            <w:tcBorders>
              <w:top w:val="nil"/>
              <w:left w:val="nil"/>
              <w:bottom w:val="single" w:sz="4" w:space="0" w:color="auto"/>
              <w:right w:val="nil"/>
            </w:tcBorders>
            <w:shd w:val="clear" w:color="auto" w:fill="auto"/>
            <w:noWrap/>
            <w:vAlign w:val="bottom"/>
            <w:hideMark/>
          </w:tcPr>
          <w:p w14:paraId="39E0F5CF" w14:textId="77777777" w:rsidR="003B75A2" w:rsidRPr="003B75A2" w:rsidRDefault="003B75A2" w:rsidP="003B75A2">
            <w:pPr>
              <w:jc w:val="center"/>
              <w:rPr>
                <w:rFonts w:ascii="Calibri" w:eastAsia="Times New Roman" w:hAnsi="Calibri" w:cs="Times New Roman"/>
                <w:sz w:val="20"/>
                <w:szCs w:val="20"/>
              </w:rPr>
            </w:pPr>
            <w:r w:rsidRPr="003B75A2">
              <w:rPr>
                <w:rFonts w:ascii="Calibri" w:eastAsia="Times New Roman" w:hAnsi="Calibri" w:cs="Times New Roman"/>
                <w:sz w:val="20"/>
                <w:szCs w:val="20"/>
              </w:rPr>
              <w:t>0.213</w:t>
            </w:r>
          </w:p>
        </w:tc>
      </w:tr>
      <w:tr w:rsidR="00E3766F" w:rsidRPr="003B75A2" w14:paraId="6C55A39A" w14:textId="77777777" w:rsidTr="00E3766F">
        <w:trPr>
          <w:trHeight w:val="259"/>
          <w:jc w:val="center"/>
        </w:trPr>
        <w:tc>
          <w:tcPr>
            <w:tcW w:w="3514" w:type="dxa"/>
            <w:gridSpan w:val="2"/>
            <w:tcBorders>
              <w:top w:val="nil"/>
              <w:left w:val="nil"/>
              <w:bottom w:val="nil"/>
              <w:right w:val="nil"/>
            </w:tcBorders>
            <w:shd w:val="clear" w:color="auto" w:fill="auto"/>
            <w:noWrap/>
            <w:vAlign w:val="bottom"/>
            <w:hideMark/>
          </w:tcPr>
          <w:p w14:paraId="525039B3" w14:textId="4F7FB741" w:rsidR="00E3766F" w:rsidRPr="003B75A2" w:rsidRDefault="00E3766F" w:rsidP="003B75A2">
            <w:pPr>
              <w:rPr>
                <w:rFonts w:ascii="Calibri" w:eastAsia="Times New Roman" w:hAnsi="Calibri" w:cs="Times New Roman"/>
                <w:sz w:val="20"/>
                <w:szCs w:val="20"/>
              </w:rPr>
            </w:pPr>
            <w:r w:rsidRPr="003B75A2">
              <w:rPr>
                <w:rFonts w:ascii="Calibri" w:eastAsia="Times New Roman" w:hAnsi="Calibri" w:cs="Times New Roman"/>
                <w:sz w:val="20"/>
                <w:szCs w:val="20"/>
              </w:rPr>
              <w:t>Robust standard errors in parentheses</w:t>
            </w:r>
          </w:p>
        </w:tc>
        <w:tc>
          <w:tcPr>
            <w:tcW w:w="1803" w:type="dxa"/>
            <w:gridSpan w:val="3"/>
            <w:tcBorders>
              <w:top w:val="nil"/>
              <w:left w:val="nil"/>
              <w:bottom w:val="nil"/>
              <w:right w:val="nil"/>
            </w:tcBorders>
            <w:shd w:val="clear" w:color="auto" w:fill="auto"/>
            <w:noWrap/>
            <w:vAlign w:val="bottom"/>
            <w:hideMark/>
          </w:tcPr>
          <w:p w14:paraId="6AC2660F" w14:textId="77777777" w:rsidR="00E3766F" w:rsidRPr="003B75A2" w:rsidRDefault="00E3766F" w:rsidP="003B75A2">
            <w:pPr>
              <w:rPr>
                <w:rFonts w:ascii="Calibri" w:eastAsia="Times New Roman" w:hAnsi="Calibri" w:cs="Times New Roman"/>
                <w:sz w:val="20"/>
                <w:szCs w:val="20"/>
              </w:rPr>
            </w:pPr>
          </w:p>
        </w:tc>
        <w:tc>
          <w:tcPr>
            <w:tcW w:w="1802" w:type="dxa"/>
            <w:gridSpan w:val="2"/>
            <w:tcBorders>
              <w:top w:val="nil"/>
              <w:left w:val="nil"/>
              <w:bottom w:val="nil"/>
              <w:right w:val="nil"/>
            </w:tcBorders>
            <w:shd w:val="clear" w:color="auto" w:fill="auto"/>
            <w:noWrap/>
            <w:vAlign w:val="bottom"/>
            <w:hideMark/>
          </w:tcPr>
          <w:p w14:paraId="3ED24C14" w14:textId="77777777" w:rsidR="00E3766F" w:rsidRPr="003B75A2" w:rsidRDefault="00E3766F" w:rsidP="003B75A2">
            <w:pPr>
              <w:rPr>
                <w:rFonts w:ascii="Calibri" w:eastAsia="Times New Roman" w:hAnsi="Calibri" w:cs="Times New Roman"/>
                <w:sz w:val="20"/>
                <w:szCs w:val="20"/>
              </w:rPr>
            </w:pPr>
          </w:p>
        </w:tc>
        <w:tc>
          <w:tcPr>
            <w:tcW w:w="1803" w:type="dxa"/>
            <w:gridSpan w:val="2"/>
            <w:tcBorders>
              <w:top w:val="nil"/>
              <w:left w:val="nil"/>
              <w:bottom w:val="nil"/>
              <w:right w:val="nil"/>
            </w:tcBorders>
            <w:shd w:val="clear" w:color="auto" w:fill="auto"/>
            <w:noWrap/>
            <w:vAlign w:val="bottom"/>
            <w:hideMark/>
          </w:tcPr>
          <w:p w14:paraId="24BD740F" w14:textId="77777777" w:rsidR="00E3766F" w:rsidRPr="003B75A2" w:rsidRDefault="00E3766F" w:rsidP="003B75A2">
            <w:pPr>
              <w:rPr>
                <w:rFonts w:ascii="Calibri" w:eastAsia="Times New Roman" w:hAnsi="Calibri" w:cs="Times New Roman"/>
                <w:sz w:val="20"/>
                <w:szCs w:val="20"/>
              </w:rPr>
            </w:pPr>
          </w:p>
        </w:tc>
        <w:tc>
          <w:tcPr>
            <w:tcW w:w="1803" w:type="dxa"/>
            <w:gridSpan w:val="2"/>
            <w:tcBorders>
              <w:top w:val="nil"/>
              <w:left w:val="nil"/>
              <w:bottom w:val="nil"/>
              <w:right w:val="nil"/>
            </w:tcBorders>
            <w:shd w:val="clear" w:color="auto" w:fill="auto"/>
            <w:noWrap/>
            <w:vAlign w:val="bottom"/>
            <w:hideMark/>
          </w:tcPr>
          <w:p w14:paraId="131A204B" w14:textId="77777777" w:rsidR="00E3766F" w:rsidRPr="003B75A2" w:rsidRDefault="00E3766F" w:rsidP="003B75A2">
            <w:pPr>
              <w:rPr>
                <w:rFonts w:ascii="Calibri" w:eastAsia="Times New Roman" w:hAnsi="Calibri" w:cs="Times New Roman"/>
                <w:sz w:val="20"/>
                <w:szCs w:val="20"/>
              </w:rPr>
            </w:pPr>
          </w:p>
        </w:tc>
      </w:tr>
      <w:tr w:rsidR="00E3766F" w:rsidRPr="003B75A2" w14:paraId="0A1C145B" w14:textId="77777777" w:rsidTr="00E3766F">
        <w:trPr>
          <w:trHeight w:val="259"/>
          <w:jc w:val="center"/>
        </w:trPr>
        <w:tc>
          <w:tcPr>
            <w:tcW w:w="3859" w:type="dxa"/>
            <w:gridSpan w:val="3"/>
            <w:tcBorders>
              <w:top w:val="nil"/>
              <w:left w:val="nil"/>
              <w:bottom w:val="nil"/>
              <w:right w:val="nil"/>
            </w:tcBorders>
            <w:shd w:val="clear" w:color="auto" w:fill="auto"/>
            <w:noWrap/>
            <w:vAlign w:val="bottom"/>
            <w:hideMark/>
          </w:tcPr>
          <w:p w14:paraId="3532FFBA" w14:textId="139D44B0" w:rsidR="00E3766F" w:rsidRPr="003B75A2" w:rsidRDefault="00E3766F" w:rsidP="003B75A2">
            <w:pPr>
              <w:rPr>
                <w:rFonts w:ascii="Calibri" w:eastAsia="Times New Roman" w:hAnsi="Calibri" w:cs="Times New Roman"/>
                <w:sz w:val="20"/>
                <w:szCs w:val="20"/>
              </w:rPr>
            </w:pPr>
            <w:r w:rsidRPr="003B75A2">
              <w:rPr>
                <w:rFonts w:ascii="Calibri" w:eastAsia="Times New Roman" w:hAnsi="Calibri" w:cs="Times New Roman"/>
                <w:sz w:val="20"/>
                <w:szCs w:val="20"/>
              </w:rPr>
              <w:t>*** p&lt;0.01, ** p&lt;0.05, * p&lt;0.1</w:t>
            </w:r>
          </w:p>
        </w:tc>
        <w:tc>
          <w:tcPr>
            <w:tcW w:w="1373" w:type="dxa"/>
            <w:tcBorders>
              <w:top w:val="nil"/>
              <w:left w:val="nil"/>
              <w:bottom w:val="nil"/>
              <w:right w:val="nil"/>
            </w:tcBorders>
            <w:shd w:val="clear" w:color="auto" w:fill="auto"/>
            <w:noWrap/>
            <w:vAlign w:val="bottom"/>
            <w:hideMark/>
          </w:tcPr>
          <w:p w14:paraId="00894A0E" w14:textId="77777777" w:rsidR="00E3766F" w:rsidRPr="003B75A2" w:rsidRDefault="00E3766F" w:rsidP="003B75A2">
            <w:pP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2DEAB981" w14:textId="77777777" w:rsidR="00E3766F" w:rsidRPr="003B75A2" w:rsidRDefault="00E3766F" w:rsidP="003B75A2">
            <w:pP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20DB491B" w14:textId="77777777" w:rsidR="00E3766F" w:rsidRPr="003B75A2" w:rsidRDefault="00E3766F" w:rsidP="003B75A2">
            <w:pPr>
              <w:rPr>
                <w:rFonts w:ascii="Calibri" w:eastAsia="Times New Roman" w:hAnsi="Calibri" w:cs="Times New Roman"/>
                <w:sz w:val="20"/>
                <w:szCs w:val="20"/>
              </w:rPr>
            </w:pPr>
          </w:p>
        </w:tc>
        <w:tc>
          <w:tcPr>
            <w:tcW w:w="1373" w:type="dxa"/>
            <w:gridSpan w:val="2"/>
            <w:tcBorders>
              <w:top w:val="nil"/>
              <w:left w:val="nil"/>
              <w:bottom w:val="nil"/>
              <w:right w:val="nil"/>
            </w:tcBorders>
            <w:shd w:val="clear" w:color="auto" w:fill="auto"/>
            <w:noWrap/>
            <w:vAlign w:val="bottom"/>
            <w:hideMark/>
          </w:tcPr>
          <w:p w14:paraId="17905B7A" w14:textId="77777777" w:rsidR="00E3766F" w:rsidRPr="003B75A2" w:rsidRDefault="00E3766F" w:rsidP="003B75A2">
            <w:pPr>
              <w:rPr>
                <w:rFonts w:ascii="Calibri" w:eastAsia="Times New Roman" w:hAnsi="Calibri" w:cs="Times New Roman"/>
                <w:sz w:val="20"/>
                <w:szCs w:val="20"/>
              </w:rPr>
            </w:pPr>
          </w:p>
        </w:tc>
        <w:tc>
          <w:tcPr>
            <w:tcW w:w="1374" w:type="dxa"/>
            <w:tcBorders>
              <w:top w:val="nil"/>
              <w:left w:val="nil"/>
              <w:bottom w:val="nil"/>
              <w:right w:val="nil"/>
            </w:tcBorders>
            <w:shd w:val="clear" w:color="auto" w:fill="auto"/>
            <w:noWrap/>
            <w:vAlign w:val="bottom"/>
            <w:hideMark/>
          </w:tcPr>
          <w:p w14:paraId="18121E2B" w14:textId="77777777" w:rsidR="00E3766F" w:rsidRPr="003B75A2" w:rsidRDefault="00E3766F" w:rsidP="003B75A2">
            <w:pPr>
              <w:rPr>
                <w:rFonts w:ascii="Calibri" w:eastAsia="Times New Roman" w:hAnsi="Calibri" w:cs="Times New Roman"/>
                <w:sz w:val="20"/>
                <w:szCs w:val="20"/>
              </w:rPr>
            </w:pPr>
          </w:p>
        </w:tc>
      </w:tr>
    </w:tbl>
    <w:p w14:paraId="73300695" w14:textId="77777777" w:rsidR="0057759E" w:rsidRDefault="0057759E" w:rsidP="00E3766F"/>
    <w:sectPr w:rsidR="0057759E" w:rsidSect="00D600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8A36" w14:textId="77777777" w:rsidR="00B313C9" w:rsidRDefault="00B313C9" w:rsidP="0013029E">
      <w:r>
        <w:separator/>
      </w:r>
    </w:p>
  </w:endnote>
  <w:endnote w:type="continuationSeparator" w:id="0">
    <w:p w14:paraId="3673AEE7" w14:textId="77777777" w:rsidR="00B313C9" w:rsidRDefault="00B313C9" w:rsidP="0013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Cambria"/>
    <w:panose1 w:val="020B0604020202020204"/>
    <w:charset w:val="4D"/>
    <w:family w:val="roman"/>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Noteworthy Bold">
    <w:altName w:val="Noteworthy"/>
    <w:panose1 w:val="02000400000000000000"/>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4607049"/>
      <w:docPartObj>
        <w:docPartGallery w:val="Page Numbers (Bottom of Page)"/>
        <w:docPartUnique/>
      </w:docPartObj>
    </w:sdtPr>
    <w:sdtContent>
      <w:p w14:paraId="1CF70058" w14:textId="66C41FF3" w:rsidR="007F3C48" w:rsidRDefault="007F3C48" w:rsidP="00924A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DB37C3" w14:textId="77777777" w:rsidR="007F3C48" w:rsidRDefault="007F3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4551921"/>
      <w:docPartObj>
        <w:docPartGallery w:val="Page Numbers (Bottom of Page)"/>
        <w:docPartUnique/>
      </w:docPartObj>
    </w:sdtPr>
    <w:sdtContent>
      <w:p w14:paraId="4F608606" w14:textId="2DBA1289" w:rsidR="007F3C48" w:rsidRDefault="007F3C48" w:rsidP="00924A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sdtContent>
  </w:sdt>
  <w:p w14:paraId="72A8C37D" w14:textId="77777777" w:rsidR="007F3C48" w:rsidRDefault="007F3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251B" w14:textId="77777777" w:rsidR="00B313C9" w:rsidRDefault="00B313C9" w:rsidP="0013029E">
      <w:r>
        <w:separator/>
      </w:r>
    </w:p>
  </w:footnote>
  <w:footnote w:type="continuationSeparator" w:id="0">
    <w:p w14:paraId="7EF691A7" w14:textId="77777777" w:rsidR="00B313C9" w:rsidRDefault="00B313C9" w:rsidP="0013029E">
      <w:r>
        <w:continuationSeparator/>
      </w:r>
    </w:p>
  </w:footnote>
  <w:footnote w:id="1">
    <w:p w14:paraId="73070441" w14:textId="77777777" w:rsidR="007F3C48" w:rsidRPr="00AE4B0D" w:rsidRDefault="007F3C48" w:rsidP="00AE4B0D">
      <w:pPr>
        <w:pStyle w:val="FootnoteText"/>
        <w:rPr>
          <w:rFonts w:ascii="Times New Roman" w:eastAsia="DengXian" w:hAnsi="Times New Roman" w:cs="Times New Roman"/>
          <w:color w:val="000000"/>
          <w:lang w:eastAsia="ko-KR"/>
        </w:rPr>
      </w:pPr>
      <w:r w:rsidRPr="00EB712C">
        <w:rPr>
          <w:rStyle w:val="FootnoteReference"/>
          <w:rFonts w:ascii="Times New Roman" w:hAnsi="Times New Roman" w:cs="Times New Roman"/>
        </w:rPr>
        <w:footnoteRef/>
      </w:r>
      <w:r w:rsidRPr="00EB712C">
        <w:rPr>
          <w:rFonts w:ascii="Times New Roman" w:hAnsi="Times New Roman" w:cs="Times New Roman"/>
        </w:rPr>
        <w:t xml:space="preserve"> Regulators often consult private-sector experts in the regulatory development processes, and firms that have made proactive moves are often considered experts and invited to the tab</w:t>
      </w:r>
      <w:r w:rsidRPr="00A365AE">
        <w:rPr>
          <w:rFonts w:ascii="Times New Roman" w:hAnsi="Times New Roman" w:cs="Times New Roman"/>
        </w:rPr>
        <w:t xml:space="preserve">le. </w:t>
      </w:r>
      <w:r w:rsidRPr="00AE4B0D">
        <w:rPr>
          <w:rFonts w:ascii="Times New Roman" w:hAnsi="Times New Roman" w:cs="Times New Roman"/>
          <w:color w:val="000000"/>
        </w:rPr>
        <w:t xml:space="preserve">See, for example, </w:t>
      </w:r>
      <w:hyperlink r:id="rId1" w:history="1">
        <w:r w:rsidRPr="00AE4B0D">
          <w:rPr>
            <w:rStyle w:val="Hyperlink"/>
            <w:rFonts w:ascii="Times New Roman" w:hAnsi="Times New Roman" w:cs="Times New Roman"/>
            <w:color w:val="000000"/>
          </w:rPr>
          <w:t>http://www.sciencemag.org/news/2016/04/us-looking-expert-panel-predict-future-gm-products</w:t>
        </w:r>
      </w:hyperlink>
      <w:r w:rsidRPr="00AE4B0D">
        <w:rPr>
          <w:rFonts w:ascii="Times New Roman" w:hAnsi="Times New Roman" w:cs="Times New Roman"/>
          <w:color w:val="000000"/>
        </w:rPr>
        <w:t>,</w:t>
      </w:r>
    </w:p>
    <w:p w14:paraId="6F3B2766" w14:textId="77777777" w:rsidR="007F3C48" w:rsidRPr="00AE4B0D" w:rsidRDefault="007F3C48" w:rsidP="00AE4B0D">
      <w:pPr>
        <w:pStyle w:val="FootnoteText"/>
        <w:rPr>
          <w:rFonts w:ascii="Times New Roman" w:hAnsi="Times New Roman" w:cs="Times New Roman"/>
          <w:color w:val="000000"/>
        </w:rPr>
      </w:pPr>
      <w:r w:rsidRPr="00AE4B0D">
        <w:rPr>
          <w:rFonts w:ascii="Times New Roman" w:hAnsi="Times New Roman" w:cs="Times New Roman"/>
          <w:color w:val="000000"/>
        </w:rPr>
        <w:t xml:space="preserve"> a science magazine article about how </w:t>
      </w:r>
      <w:r w:rsidRPr="00AE4B0D">
        <w:rPr>
          <w:rFonts w:ascii="Times New Roman" w:hAnsi="Times New Roman" w:cs="Times New Roman"/>
          <w:color w:val="000000"/>
          <w:shd w:val="clear" w:color="auto" w:fill="FFFFFF"/>
        </w:rPr>
        <w:t>U.S. regulatory agencies prepare to update the legal framework</w:t>
      </w:r>
      <w:r w:rsidRPr="00AE4B0D">
        <w:rPr>
          <w:rStyle w:val="apple-converted-space"/>
          <w:rFonts w:ascii="Times New Roman" w:hAnsi="Times New Roman" w:cs="Times New Roman"/>
          <w:color w:val="000000"/>
          <w:shd w:val="clear" w:color="auto" w:fill="FFFFFF"/>
        </w:rPr>
        <w:t xml:space="preserve"> regarding new biotechnologies by learning from the private sector as well as from academics. </w:t>
      </w:r>
    </w:p>
  </w:footnote>
  <w:footnote w:id="2">
    <w:p w14:paraId="789982AB" w14:textId="77777777" w:rsidR="007F3C48" w:rsidRPr="00DB4023" w:rsidRDefault="007F3C48" w:rsidP="0013029E">
      <w:pPr>
        <w:pStyle w:val="FootnoteText"/>
        <w:rPr>
          <w:rFonts w:ascii="Times New Roman" w:hAnsi="Times New Roman" w:cs="Times New Roman"/>
        </w:rPr>
      </w:pPr>
      <w:r w:rsidRPr="00DB4023">
        <w:rPr>
          <w:rStyle w:val="FootnoteReference"/>
          <w:rFonts w:ascii="Times New Roman" w:hAnsi="Times New Roman" w:cs="Times New Roman"/>
        </w:rPr>
        <w:footnoteRef/>
      </w:r>
      <w:r w:rsidRPr="00DB4023">
        <w:rPr>
          <w:rFonts w:ascii="Times New Roman" w:hAnsi="Times New Roman" w:cs="Times New Roman"/>
        </w:rPr>
        <w:t xml:space="preserve"> Accession Negotiations with Croatia, Chapter 27: Environment, Council of Brussels, 17 December 2008. </w:t>
      </w:r>
    </w:p>
  </w:footnote>
  <w:footnote w:id="3">
    <w:p w14:paraId="2FDD3042" w14:textId="1020029B" w:rsidR="007F3C48" w:rsidRPr="007C7F2A" w:rsidRDefault="007F3C48">
      <w:pPr>
        <w:pStyle w:val="FootnoteText"/>
        <w:rPr>
          <w:rFonts w:ascii="Times New Roman" w:hAnsi="Times New Roman" w:cs="Times New Roman"/>
        </w:rPr>
      </w:pPr>
      <w:r w:rsidRPr="007C7F2A">
        <w:rPr>
          <w:rStyle w:val="FootnoteReference"/>
          <w:rFonts w:ascii="Times New Roman" w:hAnsi="Times New Roman" w:cs="Times New Roman"/>
        </w:rPr>
        <w:footnoteRef/>
      </w:r>
      <w:r w:rsidRPr="007C7F2A">
        <w:rPr>
          <w:rFonts w:ascii="Times New Roman" w:hAnsi="Times New Roman" w:cs="Times New Roman"/>
        </w:rPr>
        <w:t xml:space="preserve"> https://europa.eu/european-union/eu-law/legal-acts_en</w:t>
      </w:r>
    </w:p>
  </w:footnote>
  <w:footnote w:id="4">
    <w:p w14:paraId="5BC0257F" w14:textId="77777777" w:rsidR="007F3C48" w:rsidRPr="007145E9" w:rsidRDefault="007F3C48" w:rsidP="00DE4871">
      <w:pPr>
        <w:pStyle w:val="FootnoteText"/>
        <w:rPr>
          <w:rFonts w:ascii="Times New Roman" w:hAnsi="Times New Roman" w:cs="Times New Roman"/>
        </w:rPr>
      </w:pPr>
      <w:r w:rsidRPr="007145E9">
        <w:rPr>
          <w:rStyle w:val="FootnoteReference"/>
          <w:rFonts w:ascii="Times New Roman" w:hAnsi="Times New Roman" w:cs="Times New Roman"/>
        </w:rPr>
        <w:footnoteRef/>
      </w:r>
      <w:r w:rsidRPr="007145E9">
        <w:rPr>
          <w:rFonts w:ascii="Times New Roman" w:hAnsi="Times New Roman" w:cs="Times New Roman"/>
        </w:rPr>
        <w:t xml:space="preserve"> https://ec.europa.eu/clima/policies/ets/pre2013/nap_en#tab-0-1</w:t>
      </w:r>
    </w:p>
  </w:footnote>
  <w:footnote w:id="5">
    <w:p w14:paraId="39DFA6AF" w14:textId="77777777" w:rsidR="007F3C48" w:rsidRPr="006200F8" w:rsidRDefault="007F3C48" w:rsidP="009D699B">
      <w:pPr>
        <w:pStyle w:val="FootnoteText"/>
        <w:rPr>
          <w:rFonts w:ascii="Times New Roman" w:hAnsi="Times New Roman"/>
        </w:rPr>
      </w:pPr>
      <w:r w:rsidRPr="006200F8">
        <w:rPr>
          <w:rStyle w:val="FootnoteReference"/>
          <w:rFonts w:ascii="Times New Roman" w:hAnsi="Times New Roman"/>
        </w:rPr>
        <w:footnoteRef/>
      </w:r>
      <w:r w:rsidRPr="006200F8">
        <w:rPr>
          <w:rFonts w:ascii="Times New Roman" w:hAnsi="Times New Roman"/>
        </w:rPr>
        <w:t xml:space="preserve"> Report from the Commission to the Council and the European Parliament (52010DC0382), Sep 23, 2010.</w:t>
      </w:r>
    </w:p>
  </w:footnote>
  <w:footnote w:id="6">
    <w:p w14:paraId="540A6502" w14:textId="77777777" w:rsidR="007F3C48" w:rsidRPr="006200F8" w:rsidRDefault="007F3C48" w:rsidP="009D699B">
      <w:pPr>
        <w:pStyle w:val="FootnoteText"/>
        <w:rPr>
          <w:rFonts w:ascii="Times New Roman" w:hAnsi="Times New Roman"/>
        </w:rPr>
      </w:pPr>
      <w:r w:rsidRPr="006200F8">
        <w:rPr>
          <w:rStyle w:val="FootnoteReference"/>
          <w:rFonts w:ascii="Times New Roman" w:hAnsi="Times New Roman"/>
        </w:rPr>
        <w:footnoteRef/>
      </w:r>
      <w:r w:rsidRPr="006200F8">
        <w:rPr>
          <w:rFonts w:ascii="Times New Roman" w:hAnsi="Times New Roman"/>
        </w:rPr>
        <w:t xml:space="preserve"> 2013/537/EU, Euratom: Decision of the European Parliament of 17 April 2013 on discharge in respect of the implementation of the general budget of the European Union for the financial year 2011.</w:t>
      </w:r>
    </w:p>
  </w:footnote>
  <w:footnote w:id="7">
    <w:p w14:paraId="2DD1EAF9" w14:textId="77777777" w:rsidR="007F3C48" w:rsidRPr="006200F8" w:rsidRDefault="007F3C48" w:rsidP="009D699B">
      <w:pPr>
        <w:pStyle w:val="FootnoteText"/>
        <w:rPr>
          <w:rFonts w:ascii="Times New Roman" w:hAnsi="Times New Roman"/>
        </w:rPr>
      </w:pPr>
      <w:r w:rsidRPr="006200F8">
        <w:rPr>
          <w:rStyle w:val="FootnoteReference"/>
          <w:rFonts w:ascii="Times New Roman" w:hAnsi="Times New Roman"/>
        </w:rPr>
        <w:footnoteRef/>
      </w:r>
      <w:r w:rsidRPr="006200F8">
        <w:rPr>
          <w:rFonts w:ascii="Times New Roman" w:hAnsi="Times New Roman"/>
        </w:rPr>
        <w:t xml:space="preserve"> What was case C-304/02, Commission v French Republic about? http://europa.eu/rapid/press-release_MEMO-05-482_en.htm?locale=en</w:t>
      </w:r>
    </w:p>
  </w:footnote>
  <w:footnote w:id="8">
    <w:p w14:paraId="693025DA" w14:textId="77777777" w:rsidR="007F3C48" w:rsidRDefault="007F3C48" w:rsidP="009D699B">
      <w:pPr>
        <w:pStyle w:val="FootnoteText"/>
      </w:pPr>
      <w:r w:rsidRPr="006200F8">
        <w:rPr>
          <w:rStyle w:val="FootnoteReference"/>
          <w:rFonts w:ascii="Times New Roman" w:hAnsi="Times New Roman"/>
        </w:rPr>
        <w:footnoteRef/>
      </w:r>
      <w:r w:rsidRPr="006200F8">
        <w:rPr>
          <w:rFonts w:ascii="Times New Roman" w:hAnsi="Times New Roman"/>
        </w:rPr>
        <w:t xml:space="preserve"> Communication from the Commission to the European Parliament, the Council, and the Court of Auditors. Protection of the EU budget to End 2015. European Commission, Brussels, 18.7.2016. COM(2016)486 final.</w:t>
      </w:r>
    </w:p>
  </w:footnote>
  <w:footnote w:id="9">
    <w:p w14:paraId="7728FC66" w14:textId="77777777" w:rsidR="007F3C48" w:rsidRPr="00F723BD" w:rsidRDefault="007F3C48" w:rsidP="009D699B">
      <w:pPr>
        <w:pStyle w:val="FootnoteText"/>
        <w:rPr>
          <w:rFonts w:ascii="Times New Roman" w:hAnsi="Times New Roman"/>
        </w:rPr>
      </w:pPr>
      <w:r w:rsidRPr="00F723BD">
        <w:rPr>
          <w:rStyle w:val="FootnoteReference"/>
          <w:rFonts w:ascii="Times New Roman" w:hAnsi="Times New Roman"/>
        </w:rPr>
        <w:footnoteRef/>
      </w:r>
      <w:r w:rsidRPr="00F723BD">
        <w:rPr>
          <w:rFonts w:ascii="Times New Roman" w:hAnsi="Times New Roman"/>
        </w:rPr>
        <w:t xml:space="preserve"> https://eur-lex.europa.eu/legal-content/EN/ALL/?uri=COM:2015:0503:FIN</w:t>
      </w:r>
    </w:p>
  </w:footnote>
  <w:footnote w:id="10">
    <w:p w14:paraId="6DF64632" w14:textId="77777777" w:rsidR="007F3C48" w:rsidRDefault="007F3C48" w:rsidP="00AC37C5">
      <w:pPr>
        <w:pStyle w:val="FootnoteText"/>
      </w:pPr>
      <w:r w:rsidRPr="003A1FBB">
        <w:rPr>
          <w:rStyle w:val="FootnoteReference"/>
          <w:rFonts w:ascii="Times New Roman" w:hAnsi="Times New Roman" w:cs="Times New Roman"/>
        </w:rPr>
        <w:footnoteRef/>
      </w:r>
      <w:r w:rsidRPr="003A1FBB">
        <w:rPr>
          <w:rFonts w:ascii="Times New Roman" w:hAnsi="Times New Roman" w:cs="Times New Roman"/>
        </w:rPr>
        <w:t xml:space="preserve"> European Parliamentary Research Service, Understanding electricity markets in the EU, November 2016.</w:t>
      </w:r>
    </w:p>
  </w:footnote>
  <w:footnote w:id="11">
    <w:p w14:paraId="73ECEB1D" w14:textId="757958B0" w:rsidR="007F3C48" w:rsidRPr="00832F7F" w:rsidRDefault="007F3C48" w:rsidP="00832F7F">
      <w:pPr>
        <w:rPr>
          <w:rFonts w:ascii="Times New Roman" w:hAnsi="Times New Roman" w:cs="Times New Roman"/>
          <w:sz w:val="20"/>
          <w:szCs w:val="20"/>
        </w:rPr>
      </w:pPr>
      <w:r w:rsidRPr="00832F7F">
        <w:rPr>
          <w:rStyle w:val="FootnoteReference"/>
          <w:rFonts w:ascii="Times New Roman" w:hAnsi="Times New Roman" w:cs="Times New Roman"/>
          <w:sz w:val="20"/>
          <w:szCs w:val="20"/>
        </w:rPr>
        <w:footnoteRef/>
      </w:r>
      <w:r w:rsidRPr="00832F7F">
        <w:rPr>
          <w:rFonts w:ascii="Times New Roman" w:hAnsi="Times New Roman" w:cs="Times New Roman"/>
          <w:sz w:val="20"/>
          <w:szCs w:val="20"/>
        </w:rPr>
        <w:t xml:space="preserve"> We focus on the number of national implement</w:t>
      </w:r>
      <w:r>
        <w:rPr>
          <w:rFonts w:ascii="Times New Roman" w:hAnsi="Times New Roman" w:cs="Times New Roman"/>
          <w:sz w:val="20"/>
          <w:szCs w:val="20"/>
        </w:rPr>
        <w:t>ation</w:t>
      </w:r>
      <w:r w:rsidRPr="00832F7F">
        <w:rPr>
          <w:rFonts w:ascii="Times New Roman" w:hAnsi="Times New Roman" w:cs="Times New Roman"/>
          <w:sz w:val="20"/>
          <w:szCs w:val="20"/>
        </w:rPr>
        <w:t xml:space="preserve"> measures because the timing of transpositions of the EU-ETS directive (2003/87/EC) was </w:t>
      </w:r>
      <w:r>
        <w:rPr>
          <w:rFonts w:ascii="Times New Roman" w:hAnsi="Times New Roman" w:cs="Times New Roman"/>
          <w:sz w:val="20"/>
          <w:szCs w:val="20"/>
        </w:rPr>
        <w:t>essentially the same</w:t>
      </w:r>
      <w:r w:rsidRPr="00832F7F">
        <w:rPr>
          <w:rFonts w:ascii="Times New Roman" w:hAnsi="Times New Roman" w:cs="Times New Roman"/>
          <w:sz w:val="20"/>
          <w:szCs w:val="20"/>
        </w:rPr>
        <w:t xml:space="preserve"> across the EU member countries.</w:t>
      </w:r>
    </w:p>
  </w:footnote>
  <w:footnote w:id="12">
    <w:p w14:paraId="78B7272C" w14:textId="7679270B" w:rsidR="007F3C48" w:rsidRPr="00706228" w:rsidRDefault="007F3C48" w:rsidP="00706228">
      <w:pPr>
        <w:rPr>
          <w:rFonts w:ascii="Times New Roman" w:hAnsi="Times New Roman" w:cs="Times New Roman"/>
          <w:sz w:val="20"/>
          <w:szCs w:val="20"/>
        </w:rPr>
      </w:pPr>
      <w:r w:rsidRPr="00706228">
        <w:rPr>
          <w:rStyle w:val="FootnoteReference"/>
          <w:rFonts w:ascii="Times New Roman" w:hAnsi="Times New Roman" w:cs="Times New Roman"/>
          <w:sz w:val="20"/>
          <w:szCs w:val="20"/>
        </w:rPr>
        <w:footnoteRef/>
      </w:r>
      <w:r w:rsidRPr="00706228">
        <w:rPr>
          <w:rFonts w:ascii="Times New Roman" w:hAnsi="Times New Roman" w:cs="Times New Roman"/>
          <w:sz w:val="20"/>
          <w:szCs w:val="20"/>
        </w:rPr>
        <w:t xml:space="preserve"> In regressions not shown in the paper, we alternatively use the number of legal measures </w:t>
      </w:r>
      <w:r>
        <w:rPr>
          <w:rFonts w:ascii="Times New Roman" w:hAnsi="Times New Roman" w:cs="Times New Roman"/>
          <w:sz w:val="20"/>
          <w:szCs w:val="20"/>
        </w:rPr>
        <w:t>government</w:t>
      </w:r>
      <w:r w:rsidRPr="00706228">
        <w:rPr>
          <w:rFonts w:ascii="Times New Roman" w:hAnsi="Times New Roman" w:cs="Times New Roman"/>
          <w:sz w:val="20"/>
          <w:szCs w:val="20"/>
        </w:rPr>
        <w:t xml:space="preserve"> agencies adopted between 2004 and 2009, and the regression results are very similar.</w:t>
      </w:r>
    </w:p>
    <w:p w14:paraId="55A7FB66" w14:textId="2C028BBA" w:rsidR="007F3C48" w:rsidRDefault="007F3C48">
      <w:pPr>
        <w:pStyle w:val="FootnoteText"/>
      </w:pPr>
    </w:p>
  </w:footnote>
  <w:footnote w:id="13">
    <w:p w14:paraId="0AD22450" w14:textId="6F615778" w:rsidR="007F3C48" w:rsidRPr="00C56A24" w:rsidRDefault="007F3C48" w:rsidP="00C56A24">
      <w:pPr>
        <w:rPr>
          <w:rFonts w:ascii="Times New Roman" w:hAnsi="Times New Roman" w:cs="Times New Roman"/>
          <w:sz w:val="20"/>
          <w:szCs w:val="20"/>
          <w:lang w:val="en"/>
        </w:rPr>
      </w:pPr>
      <w:r w:rsidRPr="00C56A24">
        <w:rPr>
          <w:rStyle w:val="FootnoteReference"/>
          <w:rFonts w:ascii="Times New Roman" w:hAnsi="Times New Roman" w:cs="Times New Roman"/>
          <w:sz w:val="20"/>
          <w:szCs w:val="20"/>
        </w:rPr>
        <w:footnoteRef/>
      </w:r>
      <w:r w:rsidRPr="00C56A24">
        <w:rPr>
          <w:rFonts w:ascii="Times New Roman" w:hAnsi="Times New Roman" w:cs="Times New Roman"/>
          <w:sz w:val="20"/>
          <w:szCs w:val="20"/>
        </w:rPr>
        <w:t xml:space="preserve"> </w:t>
      </w:r>
      <w:r>
        <w:rPr>
          <w:rFonts w:ascii="Times New Roman" w:hAnsi="Times New Roman" w:cs="Times New Roman"/>
          <w:sz w:val="20"/>
          <w:szCs w:val="20"/>
        </w:rPr>
        <w:t>“</w:t>
      </w:r>
      <w:r w:rsidRPr="00C56A24">
        <w:rPr>
          <w:rFonts w:ascii="Times New Roman" w:hAnsi="Times New Roman" w:cs="Times New Roman"/>
          <w:sz w:val="20"/>
          <w:szCs w:val="20"/>
          <w:lang w:val="en"/>
        </w:rPr>
        <w:t>In phase one (2005-2007), almost all allowances were given to businesses free of charge. The total allocation of EU-ETS allowances exceeded demand by a sizeable margin and in 2007 the price of phase one allowances fell to zero…. In phase two (2007-2013), the proportion of general allowances given away for free fell slightly to at least 90%.... On the basis of the veriﬁed emissions reported during phase one, the European Commission tightened the cap by cutting the total volume of emission allowances by some 6.5% compared with the 2005 level. However, the economic crisis that began in late 2008 depressed emissions, and thus demand for allowances, by an even greater margin. This led to a large and growing surplus of unused allowances and credits which weighed heavily on the carbon price throughout the second trading period.</w:t>
      </w:r>
      <w:r>
        <w:rPr>
          <w:rFonts w:ascii="Times New Roman" w:hAnsi="Times New Roman" w:cs="Times New Roman"/>
          <w:sz w:val="20"/>
          <w:szCs w:val="20"/>
          <w:lang w:val="en"/>
        </w:rPr>
        <w:t>” (</w:t>
      </w:r>
      <w:r w:rsidRPr="00C56A24">
        <w:rPr>
          <w:rFonts w:ascii="Times New Roman" w:hAnsi="Times New Roman" w:cs="Times New Roman"/>
          <w:sz w:val="20"/>
          <w:szCs w:val="20"/>
          <w:lang w:val="en"/>
        </w:rPr>
        <w:t>http://ec.europa.eu/clima/policies/ets/pre2013/index_en.htm</w:t>
      </w:r>
      <w:r>
        <w:rPr>
          <w:rFonts w:ascii="Times New Roman" w:hAnsi="Times New Roman" w:cs="Times New Roman"/>
          <w:sz w:val="20"/>
          <w:szCs w:val="20"/>
          <w:lang w:val="en"/>
        </w:rPr>
        <w:t>)</w:t>
      </w:r>
    </w:p>
  </w:footnote>
  <w:footnote w:id="14">
    <w:p w14:paraId="050E912A" w14:textId="77777777" w:rsidR="007F3C48" w:rsidRPr="005D0F33" w:rsidRDefault="007F3C48" w:rsidP="00F41FAF">
      <w:pPr>
        <w:pStyle w:val="FootnoteText"/>
        <w:rPr>
          <w:rFonts w:ascii="Times New Roman" w:hAnsi="Times New Roman" w:cs="Times New Roman"/>
        </w:rPr>
      </w:pPr>
      <w:r w:rsidRPr="005D0F33">
        <w:rPr>
          <w:rStyle w:val="FootnoteReference"/>
          <w:rFonts w:ascii="Times New Roman" w:hAnsi="Times New Roman" w:cs="Times New Roman"/>
        </w:rPr>
        <w:footnoteRef/>
      </w:r>
      <w:r w:rsidRPr="005D0F33">
        <w:rPr>
          <w:rFonts w:ascii="Times New Roman" w:hAnsi="Times New Roman" w:cs="Times New Roman"/>
        </w:rPr>
        <w:t xml:space="preserve"> </w:t>
      </w:r>
      <w:r w:rsidRPr="005D0F33">
        <w:rPr>
          <w:rFonts w:ascii="Times New Roman" w:hAnsi="Times New Roman" w:cs="Times New Roman"/>
          <w:color w:val="000000"/>
        </w:rPr>
        <w:t>The EU was formally established in 1993 with 12 member states and expanded through a series of accession waves. Austria, Finland, and Sweden joined in 1995 (EU-15). Cyprus, the Czech Republic, Estonia, Hungary, Latvia, Lithuania, Malta, Poland, Slovakia, and Slovenia joined in 2004 (EU-25). Bulgaria and Romania joined in 2007 (EU-27). Croatia joined in 2013 (EU-28).</w:t>
      </w:r>
    </w:p>
  </w:footnote>
  <w:footnote w:id="15">
    <w:p w14:paraId="06816CC0" w14:textId="77777777" w:rsidR="007F3C48" w:rsidRDefault="007F3C48" w:rsidP="00335366">
      <w:pPr>
        <w:pStyle w:val="FootnoteText"/>
      </w:pPr>
      <w:r w:rsidRPr="008666C8">
        <w:rPr>
          <w:rStyle w:val="FootnoteReference"/>
          <w:rFonts w:ascii="Times New Roman" w:hAnsi="Times New Roman" w:cs="Times New Roman"/>
        </w:rPr>
        <w:footnoteRef/>
      </w:r>
      <w:r w:rsidRPr="008666C8">
        <w:rPr>
          <w:rFonts w:ascii="Times New Roman" w:hAnsi="Times New Roman" w:cs="Times New Roman"/>
        </w:rPr>
        <w:t xml:space="preserve"> http://unfccc.int/kyoto_protocol/background/items/2882.php</w:t>
      </w:r>
    </w:p>
  </w:footnote>
  <w:footnote w:id="16">
    <w:p w14:paraId="1BF72268" w14:textId="4B4C440F" w:rsidR="007F3C48" w:rsidRDefault="007F3C48" w:rsidP="00335366">
      <w:pPr>
        <w:pStyle w:val="FootnoteText"/>
      </w:pPr>
      <w:r>
        <w:rPr>
          <w:rStyle w:val="FootnoteReference"/>
        </w:rPr>
        <w:footnoteRef/>
      </w:r>
      <w:r>
        <w:t xml:space="preserve"> </w:t>
      </w:r>
      <w:r>
        <w:rPr>
          <w:rFonts w:ascii="Times New Roman" w:eastAsia="Times New Roman" w:hAnsi="Times New Roman" w:cs="Times New Roman"/>
          <w:color w:val="222222"/>
          <w:shd w:val="clear" w:color="auto" w:fill="FFFFFF"/>
        </w:rPr>
        <w:t>This site</w:t>
      </w:r>
      <w:r w:rsidRPr="001C780D">
        <w:rPr>
          <w:rFonts w:ascii="Times New Roman" w:eastAsia="Times New Roman" w:hAnsi="Times New Roman" w:cs="Times New Roman"/>
          <w:color w:val="222222"/>
          <w:shd w:val="clear" w:color="auto" w:fill="FFFFFF"/>
        </w:rPr>
        <w:t xml:space="preserve"> provides information for each joint implementation program with start year and end year, so we assumed equal distribution across years and aggregated that information to the country level.</w:t>
      </w:r>
    </w:p>
  </w:footnote>
  <w:footnote w:id="17">
    <w:p w14:paraId="19511AD9" w14:textId="77777777" w:rsidR="007F3C48" w:rsidRPr="00907650" w:rsidRDefault="007F3C48" w:rsidP="00AC6FC3">
      <w:pPr>
        <w:pStyle w:val="FootnoteText"/>
        <w:rPr>
          <w:rFonts w:ascii="Times New Roman" w:hAnsi="Times New Roman" w:cs="Times New Roman"/>
        </w:rPr>
      </w:pPr>
      <w:r w:rsidRPr="00907650">
        <w:rPr>
          <w:rStyle w:val="FootnoteReference"/>
          <w:rFonts w:ascii="Times New Roman" w:hAnsi="Times New Roman" w:cs="Times New Roman"/>
        </w:rPr>
        <w:footnoteRef/>
      </w:r>
      <w:r w:rsidRPr="00907650">
        <w:rPr>
          <w:rFonts w:ascii="Times New Roman" w:hAnsi="Times New Roman" w:cs="Times New Roman"/>
        </w:rPr>
        <w:t xml:space="preserve"> “On Climate Change, a Change of Thinking,” </w:t>
      </w:r>
      <w:r w:rsidRPr="00907650">
        <w:rPr>
          <w:rFonts w:ascii="Times New Roman" w:hAnsi="Times New Roman" w:cs="Times New Roman"/>
          <w:i/>
        </w:rPr>
        <w:t>The New York Times</w:t>
      </w:r>
      <w:r w:rsidRPr="00907650">
        <w:rPr>
          <w:rFonts w:ascii="Times New Roman" w:hAnsi="Times New Roman" w:cs="Times New Roman"/>
        </w:rPr>
        <w:t>, December 4,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A2C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147DF"/>
    <w:multiLevelType w:val="multilevel"/>
    <w:tmpl w:val="00B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30577"/>
    <w:multiLevelType w:val="hybridMultilevel"/>
    <w:tmpl w:val="635E75A4"/>
    <w:lvl w:ilvl="0" w:tplc="B0623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F75E0"/>
    <w:multiLevelType w:val="multilevel"/>
    <w:tmpl w:val="A60A524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B4389"/>
    <w:multiLevelType w:val="multilevel"/>
    <w:tmpl w:val="4544C71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B75D90"/>
    <w:multiLevelType w:val="multilevel"/>
    <w:tmpl w:val="28F6AC44"/>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51C4D"/>
    <w:multiLevelType w:val="hybridMultilevel"/>
    <w:tmpl w:val="6DA49CCE"/>
    <w:lvl w:ilvl="0" w:tplc="7D640AB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A0E37"/>
    <w:multiLevelType w:val="hybridMultilevel"/>
    <w:tmpl w:val="F96E8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A7E15"/>
    <w:multiLevelType w:val="multilevel"/>
    <w:tmpl w:val="854ADD9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7C14FB"/>
    <w:multiLevelType w:val="hybridMultilevel"/>
    <w:tmpl w:val="E20811C8"/>
    <w:lvl w:ilvl="0" w:tplc="3F946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C02CD"/>
    <w:multiLevelType w:val="hybridMultilevel"/>
    <w:tmpl w:val="2AB6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B6F70"/>
    <w:multiLevelType w:val="multilevel"/>
    <w:tmpl w:val="DD0E1D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
  </w:num>
  <w:num w:numId="4">
    <w:abstractNumId w:val="8"/>
  </w:num>
  <w:num w:numId="5">
    <w:abstractNumId w:val="4"/>
  </w:num>
  <w:num w:numId="6">
    <w:abstractNumId w:val="11"/>
  </w:num>
  <w:num w:numId="7">
    <w:abstractNumId w:val="5"/>
  </w:num>
  <w:num w:numId="8">
    <w:abstractNumId w:val="3"/>
  </w:num>
  <w:num w:numId="9">
    <w:abstractNumId w:val="7"/>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FC"/>
    <w:rsid w:val="00000909"/>
    <w:rsid w:val="000011E9"/>
    <w:rsid w:val="00014883"/>
    <w:rsid w:val="000218ED"/>
    <w:rsid w:val="00022238"/>
    <w:rsid w:val="000310D9"/>
    <w:rsid w:val="000320D4"/>
    <w:rsid w:val="00032C96"/>
    <w:rsid w:val="00042085"/>
    <w:rsid w:val="00044268"/>
    <w:rsid w:val="000446AB"/>
    <w:rsid w:val="00045285"/>
    <w:rsid w:val="00046ACA"/>
    <w:rsid w:val="00046BD2"/>
    <w:rsid w:val="00047879"/>
    <w:rsid w:val="00047CEC"/>
    <w:rsid w:val="00050452"/>
    <w:rsid w:val="00051F9F"/>
    <w:rsid w:val="00057E40"/>
    <w:rsid w:val="00063167"/>
    <w:rsid w:val="000639E2"/>
    <w:rsid w:val="000644DC"/>
    <w:rsid w:val="00067C0A"/>
    <w:rsid w:val="00067E7B"/>
    <w:rsid w:val="000747F0"/>
    <w:rsid w:val="00075237"/>
    <w:rsid w:val="00076061"/>
    <w:rsid w:val="00076991"/>
    <w:rsid w:val="00080A94"/>
    <w:rsid w:val="00082857"/>
    <w:rsid w:val="000829FA"/>
    <w:rsid w:val="00084F16"/>
    <w:rsid w:val="0008664A"/>
    <w:rsid w:val="00086B83"/>
    <w:rsid w:val="00090672"/>
    <w:rsid w:val="00092D65"/>
    <w:rsid w:val="00093812"/>
    <w:rsid w:val="000A3139"/>
    <w:rsid w:val="000A38CF"/>
    <w:rsid w:val="000A65D3"/>
    <w:rsid w:val="000B2C32"/>
    <w:rsid w:val="000B4127"/>
    <w:rsid w:val="000B610C"/>
    <w:rsid w:val="000B6D13"/>
    <w:rsid w:val="000C203B"/>
    <w:rsid w:val="000C540B"/>
    <w:rsid w:val="000C56DF"/>
    <w:rsid w:val="000D0EDB"/>
    <w:rsid w:val="000D4C25"/>
    <w:rsid w:val="000D618E"/>
    <w:rsid w:val="000E02F3"/>
    <w:rsid w:val="000E2F6F"/>
    <w:rsid w:val="000E518D"/>
    <w:rsid w:val="000E6B63"/>
    <w:rsid w:val="000E7A88"/>
    <w:rsid w:val="000E7F7A"/>
    <w:rsid w:val="000F2E60"/>
    <w:rsid w:val="000F5DBB"/>
    <w:rsid w:val="000F7358"/>
    <w:rsid w:val="0010290D"/>
    <w:rsid w:val="001038CC"/>
    <w:rsid w:val="00106D67"/>
    <w:rsid w:val="001078DA"/>
    <w:rsid w:val="00110B8B"/>
    <w:rsid w:val="00116CCE"/>
    <w:rsid w:val="00120A3E"/>
    <w:rsid w:val="00121B93"/>
    <w:rsid w:val="0013029E"/>
    <w:rsid w:val="00130C77"/>
    <w:rsid w:val="00131276"/>
    <w:rsid w:val="001319B0"/>
    <w:rsid w:val="00133544"/>
    <w:rsid w:val="00133C60"/>
    <w:rsid w:val="00134D2B"/>
    <w:rsid w:val="00135FF8"/>
    <w:rsid w:val="00136F78"/>
    <w:rsid w:val="00140038"/>
    <w:rsid w:val="00141A78"/>
    <w:rsid w:val="00142193"/>
    <w:rsid w:val="0014522F"/>
    <w:rsid w:val="00146236"/>
    <w:rsid w:val="00151D24"/>
    <w:rsid w:val="001526C7"/>
    <w:rsid w:val="0015304C"/>
    <w:rsid w:val="00153125"/>
    <w:rsid w:val="001549E9"/>
    <w:rsid w:val="00155AE6"/>
    <w:rsid w:val="00161DF7"/>
    <w:rsid w:val="001658D4"/>
    <w:rsid w:val="00170F25"/>
    <w:rsid w:val="00172C33"/>
    <w:rsid w:val="00174626"/>
    <w:rsid w:val="0018046B"/>
    <w:rsid w:val="001825F2"/>
    <w:rsid w:val="00193473"/>
    <w:rsid w:val="0019585E"/>
    <w:rsid w:val="001A67BC"/>
    <w:rsid w:val="001B7370"/>
    <w:rsid w:val="001B78BD"/>
    <w:rsid w:val="001C27F4"/>
    <w:rsid w:val="001C55A5"/>
    <w:rsid w:val="001C63AE"/>
    <w:rsid w:val="001C780D"/>
    <w:rsid w:val="001D0332"/>
    <w:rsid w:val="001D18B9"/>
    <w:rsid w:val="001D416F"/>
    <w:rsid w:val="001D46C3"/>
    <w:rsid w:val="001D507A"/>
    <w:rsid w:val="001D6BE0"/>
    <w:rsid w:val="001E07B9"/>
    <w:rsid w:val="001E38AD"/>
    <w:rsid w:val="001E3EED"/>
    <w:rsid w:val="001E437B"/>
    <w:rsid w:val="001E5451"/>
    <w:rsid w:val="001E69F0"/>
    <w:rsid w:val="001F3931"/>
    <w:rsid w:val="001F5A30"/>
    <w:rsid w:val="00203CA5"/>
    <w:rsid w:val="002103A8"/>
    <w:rsid w:val="00210469"/>
    <w:rsid w:val="00210D18"/>
    <w:rsid w:val="00211388"/>
    <w:rsid w:val="0021262C"/>
    <w:rsid w:val="002150C4"/>
    <w:rsid w:val="00220D92"/>
    <w:rsid w:val="00221856"/>
    <w:rsid w:val="002269B2"/>
    <w:rsid w:val="00226D81"/>
    <w:rsid w:val="002277BE"/>
    <w:rsid w:val="0023250D"/>
    <w:rsid w:val="002359AB"/>
    <w:rsid w:val="00251E23"/>
    <w:rsid w:val="00251EAD"/>
    <w:rsid w:val="00252003"/>
    <w:rsid w:val="00253772"/>
    <w:rsid w:val="00254DC1"/>
    <w:rsid w:val="00255867"/>
    <w:rsid w:val="00255A50"/>
    <w:rsid w:val="002563B1"/>
    <w:rsid w:val="002579C6"/>
    <w:rsid w:val="00257A90"/>
    <w:rsid w:val="00261864"/>
    <w:rsid w:val="00261E6E"/>
    <w:rsid w:val="0026242D"/>
    <w:rsid w:val="002654A7"/>
    <w:rsid w:val="00271FA1"/>
    <w:rsid w:val="00273AD6"/>
    <w:rsid w:val="00274846"/>
    <w:rsid w:val="00282171"/>
    <w:rsid w:val="002904F4"/>
    <w:rsid w:val="002972C6"/>
    <w:rsid w:val="002A336F"/>
    <w:rsid w:val="002A4EF9"/>
    <w:rsid w:val="002A6FEF"/>
    <w:rsid w:val="002A7AE5"/>
    <w:rsid w:val="002B1C8B"/>
    <w:rsid w:val="002B1DED"/>
    <w:rsid w:val="002B400B"/>
    <w:rsid w:val="002B572D"/>
    <w:rsid w:val="002B6F55"/>
    <w:rsid w:val="002C104B"/>
    <w:rsid w:val="002C5E50"/>
    <w:rsid w:val="002D6F0C"/>
    <w:rsid w:val="002E25C1"/>
    <w:rsid w:val="002E3B07"/>
    <w:rsid w:val="002F6AE5"/>
    <w:rsid w:val="00302101"/>
    <w:rsid w:val="00307A07"/>
    <w:rsid w:val="00316858"/>
    <w:rsid w:val="00321290"/>
    <w:rsid w:val="00322A11"/>
    <w:rsid w:val="00326D7E"/>
    <w:rsid w:val="00331081"/>
    <w:rsid w:val="00335366"/>
    <w:rsid w:val="00343424"/>
    <w:rsid w:val="003444E6"/>
    <w:rsid w:val="00346AE1"/>
    <w:rsid w:val="00347618"/>
    <w:rsid w:val="003478E9"/>
    <w:rsid w:val="003479C9"/>
    <w:rsid w:val="0035000B"/>
    <w:rsid w:val="00351FF6"/>
    <w:rsid w:val="0035238F"/>
    <w:rsid w:val="00353A50"/>
    <w:rsid w:val="00357C24"/>
    <w:rsid w:val="0036033E"/>
    <w:rsid w:val="00361239"/>
    <w:rsid w:val="00361981"/>
    <w:rsid w:val="003700FD"/>
    <w:rsid w:val="00370586"/>
    <w:rsid w:val="00370F08"/>
    <w:rsid w:val="00371093"/>
    <w:rsid w:val="003769ED"/>
    <w:rsid w:val="00382DBB"/>
    <w:rsid w:val="00386568"/>
    <w:rsid w:val="003975C2"/>
    <w:rsid w:val="003A737A"/>
    <w:rsid w:val="003B1821"/>
    <w:rsid w:val="003B3AEE"/>
    <w:rsid w:val="003B525B"/>
    <w:rsid w:val="003B5FBF"/>
    <w:rsid w:val="003B6745"/>
    <w:rsid w:val="003B75A2"/>
    <w:rsid w:val="003C1CF6"/>
    <w:rsid w:val="003C2D6A"/>
    <w:rsid w:val="003C3D3C"/>
    <w:rsid w:val="003C46F3"/>
    <w:rsid w:val="003C6316"/>
    <w:rsid w:val="003C7D42"/>
    <w:rsid w:val="003D3B42"/>
    <w:rsid w:val="003D4FE8"/>
    <w:rsid w:val="003D72AE"/>
    <w:rsid w:val="003E01D6"/>
    <w:rsid w:val="003E0991"/>
    <w:rsid w:val="003E6CD3"/>
    <w:rsid w:val="003F0FA0"/>
    <w:rsid w:val="003F196A"/>
    <w:rsid w:val="003F548F"/>
    <w:rsid w:val="004031B7"/>
    <w:rsid w:val="004061F1"/>
    <w:rsid w:val="00410CC4"/>
    <w:rsid w:val="004245F0"/>
    <w:rsid w:val="00426BD2"/>
    <w:rsid w:val="00430AAE"/>
    <w:rsid w:val="00433456"/>
    <w:rsid w:val="00435B7D"/>
    <w:rsid w:val="00440369"/>
    <w:rsid w:val="004558DA"/>
    <w:rsid w:val="004667E6"/>
    <w:rsid w:val="0046748B"/>
    <w:rsid w:val="0046795D"/>
    <w:rsid w:val="004702FF"/>
    <w:rsid w:val="004707E6"/>
    <w:rsid w:val="00476F10"/>
    <w:rsid w:val="00480497"/>
    <w:rsid w:val="0048130A"/>
    <w:rsid w:val="00482D4C"/>
    <w:rsid w:val="00484053"/>
    <w:rsid w:val="00485372"/>
    <w:rsid w:val="00490E65"/>
    <w:rsid w:val="004919FA"/>
    <w:rsid w:val="004922F6"/>
    <w:rsid w:val="00493364"/>
    <w:rsid w:val="00495D4F"/>
    <w:rsid w:val="00497436"/>
    <w:rsid w:val="00497479"/>
    <w:rsid w:val="004A1798"/>
    <w:rsid w:val="004A475F"/>
    <w:rsid w:val="004A6485"/>
    <w:rsid w:val="004B6D21"/>
    <w:rsid w:val="004C1859"/>
    <w:rsid w:val="004C20D4"/>
    <w:rsid w:val="004D3415"/>
    <w:rsid w:val="004D3498"/>
    <w:rsid w:val="004D5FDC"/>
    <w:rsid w:val="004D6690"/>
    <w:rsid w:val="004D6AAB"/>
    <w:rsid w:val="004E23AD"/>
    <w:rsid w:val="004E5F99"/>
    <w:rsid w:val="004F54A0"/>
    <w:rsid w:val="00501543"/>
    <w:rsid w:val="00501A91"/>
    <w:rsid w:val="00501DCE"/>
    <w:rsid w:val="00502473"/>
    <w:rsid w:val="0050617E"/>
    <w:rsid w:val="005075E7"/>
    <w:rsid w:val="00513121"/>
    <w:rsid w:val="00522090"/>
    <w:rsid w:val="00527E1B"/>
    <w:rsid w:val="00530BCE"/>
    <w:rsid w:val="0053250D"/>
    <w:rsid w:val="00534E63"/>
    <w:rsid w:val="00536599"/>
    <w:rsid w:val="0054336D"/>
    <w:rsid w:val="00547191"/>
    <w:rsid w:val="00551A02"/>
    <w:rsid w:val="00552823"/>
    <w:rsid w:val="005540A8"/>
    <w:rsid w:val="00563F19"/>
    <w:rsid w:val="005719D5"/>
    <w:rsid w:val="00574440"/>
    <w:rsid w:val="005761EB"/>
    <w:rsid w:val="0057759E"/>
    <w:rsid w:val="00577BB2"/>
    <w:rsid w:val="0058108F"/>
    <w:rsid w:val="0058215F"/>
    <w:rsid w:val="00584C95"/>
    <w:rsid w:val="0058535B"/>
    <w:rsid w:val="0058597B"/>
    <w:rsid w:val="0058614F"/>
    <w:rsid w:val="00586F15"/>
    <w:rsid w:val="00591AC2"/>
    <w:rsid w:val="005930CB"/>
    <w:rsid w:val="005939F1"/>
    <w:rsid w:val="00594231"/>
    <w:rsid w:val="005973D9"/>
    <w:rsid w:val="005A1EB1"/>
    <w:rsid w:val="005B2EA1"/>
    <w:rsid w:val="005B4DF4"/>
    <w:rsid w:val="005C1011"/>
    <w:rsid w:val="005C208A"/>
    <w:rsid w:val="005C5856"/>
    <w:rsid w:val="005D0202"/>
    <w:rsid w:val="005E01BE"/>
    <w:rsid w:val="005E1056"/>
    <w:rsid w:val="005E3504"/>
    <w:rsid w:val="005E4195"/>
    <w:rsid w:val="005F02C9"/>
    <w:rsid w:val="006024EB"/>
    <w:rsid w:val="00603595"/>
    <w:rsid w:val="00603F07"/>
    <w:rsid w:val="00605726"/>
    <w:rsid w:val="00611CBC"/>
    <w:rsid w:val="00613440"/>
    <w:rsid w:val="006135E0"/>
    <w:rsid w:val="00615749"/>
    <w:rsid w:val="00616C0D"/>
    <w:rsid w:val="00617D30"/>
    <w:rsid w:val="0063538D"/>
    <w:rsid w:val="006416EB"/>
    <w:rsid w:val="0064273E"/>
    <w:rsid w:val="006451CB"/>
    <w:rsid w:val="00646829"/>
    <w:rsid w:val="00646ED7"/>
    <w:rsid w:val="006477C8"/>
    <w:rsid w:val="00650D08"/>
    <w:rsid w:val="0065338A"/>
    <w:rsid w:val="00663AB9"/>
    <w:rsid w:val="00665DD4"/>
    <w:rsid w:val="00670C61"/>
    <w:rsid w:val="006730DD"/>
    <w:rsid w:val="006831A7"/>
    <w:rsid w:val="00693DC5"/>
    <w:rsid w:val="006B46B3"/>
    <w:rsid w:val="006C12F6"/>
    <w:rsid w:val="006C1DBD"/>
    <w:rsid w:val="006C51D3"/>
    <w:rsid w:val="006C54BE"/>
    <w:rsid w:val="006C58D5"/>
    <w:rsid w:val="006D35D9"/>
    <w:rsid w:val="006D3E92"/>
    <w:rsid w:val="006D6BBE"/>
    <w:rsid w:val="006E11E9"/>
    <w:rsid w:val="006F1B6E"/>
    <w:rsid w:val="006F1CDA"/>
    <w:rsid w:val="006F3A52"/>
    <w:rsid w:val="00700DA3"/>
    <w:rsid w:val="00703686"/>
    <w:rsid w:val="00705A03"/>
    <w:rsid w:val="00706228"/>
    <w:rsid w:val="00706484"/>
    <w:rsid w:val="0070653F"/>
    <w:rsid w:val="00710244"/>
    <w:rsid w:val="0071356C"/>
    <w:rsid w:val="007145E9"/>
    <w:rsid w:val="00714926"/>
    <w:rsid w:val="0072012B"/>
    <w:rsid w:val="007215B1"/>
    <w:rsid w:val="007232F4"/>
    <w:rsid w:val="00725C8D"/>
    <w:rsid w:val="007307DB"/>
    <w:rsid w:val="0073468A"/>
    <w:rsid w:val="007349BD"/>
    <w:rsid w:val="00754496"/>
    <w:rsid w:val="007628F3"/>
    <w:rsid w:val="00763197"/>
    <w:rsid w:val="00763CD5"/>
    <w:rsid w:val="00763E39"/>
    <w:rsid w:val="007663ED"/>
    <w:rsid w:val="00781766"/>
    <w:rsid w:val="007829E2"/>
    <w:rsid w:val="0078337B"/>
    <w:rsid w:val="0079268A"/>
    <w:rsid w:val="00793109"/>
    <w:rsid w:val="007969D4"/>
    <w:rsid w:val="007A5DDD"/>
    <w:rsid w:val="007B4D88"/>
    <w:rsid w:val="007C16E4"/>
    <w:rsid w:val="007C58A2"/>
    <w:rsid w:val="007C7890"/>
    <w:rsid w:val="007C7A1F"/>
    <w:rsid w:val="007C7F2A"/>
    <w:rsid w:val="007D092E"/>
    <w:rsid w:val="007D12A4"/>
    <w:rsid w:val="007D4AF9"/>
    <w:rsid w:val="007D59E5"/>
    <w:rsid w:val="007D6521"/>
    <w:rsid w:val="007D6567"/>
    <w:rsid w:val="007D7D34"/>
    <w:rsid w:val="007E53DF"/>
    <w:rsid w:val="007F0EB4"/>
    <w:rsid w:val="007F3C48"/>
    <w:rsid w:val="007F4DDC"/>
    <w:rsid w:val="007F6D88"/>
    <w:rsid w:val="00803D2F"/>
    <w:rsid w:val="00806295"/>
    <w:rsid w:val="00822E04"/>
    <w:rsid w:val="0083188E"/>
    <w:rsid w:val="00832F7F"/>
    <w:rsid w:val="00835F11"/>
    <w:rsid w:val="00844502"/>
    <w:rsid w:val="00846372"/>
    <w:rsid w:val="008557BC"/>
    <w:rsid w:val="008573EC"/>
    <w:rsid w:val="00862047"/>
    <w:rsid w:val="00862BE6"/>
    <w:rsid w:val="00862E9E"/>
    <w:rsid w:val="00873534"/>
    <w:rsid w:val="00880276"/>
    <w:rsid w:val="00884ABD"/>
    <w:rsid w:val="00893B3A"/>
    <w:rsid w:val="008A4980"/>
    <w:rsid w:val="008A570C"/>
    <w:rsid w:val="008B335B"/>
    <w:rsid w:val="008B4D74"/>
    <w:rsid w:val="008B5785"/>
    <w:rsid w:val="008B742A"/>
    <w:rsid w:val="008B7853"/>
    <w:rsid w:val="008B7E8E"/>
    <w:rsid w:val="008C0641"/>
    <w:rsid w:val="008C24D7"/>
    <w:rsid w:val="008C363C"/>
    <w:rsid w:val="008C46A6"/>
    <w:rsid w:val="008D3AB8"/>
    <w:rsid w:val="008D74F2"/>
    <w:rsid w:val="008E1543"/>
    <w:rsid w:val="008E3F06"/>
    <w:rsid w:val="008E5463"/>
    <w:rsid w:val="008E5EF8"/>
    <w:rsid w:val="008F0C1E"/>
    <w:rsid w:val="008F6F29"/>
    <w:rsid w:val="00906F85"/>
    <w:rsid w:val="00907650"/>
    <w:rsid w:val="00911571"/>
    <w:rsid w:val="00911583"/>
    <w:rsid w:val="0091571E"/>
    <w:rsid w:val="009168EC"/>
    <w:rsid w:val="00923ACA"/>
    <w:rsid w:val="00923B92"/>
    <w:rsid w:val="00924AA7"/>
    <w:rsid w:val="0092572F"/>
    <w:rsid w:val="009304CC"/>
    <w:rsid w:val="009360CE"/>
    <w:rsid w:val="00944FA2"/>
    <w:rsid w:val="009463C5"/>
    <w:rsid w:val="009508B3"/>
    <w:rsid w:val="00950AE3"/>
    <w:rsid w:val="0095174A"/>
    <w:rsid w:val="00951880"/>
    <w:rsid w:val="00954C67"/>
    <w:rsid w:val="009557D2"/>
    <w:rsid w:val="00956386"/>
    <w:rsid w:val="00966C95"/>
    <w:rsid w:val="00973622"/>
    <w:rsid w:val="00974B1F"/>
    <w:rsid w:val="00974D46"/>
    <w:rsid w:val="00977350"/>
    <w:rsid w:val="00981AEA"/>
    <w:rsid w:val="00991E45"/>
    <w:rsid w:val="009929E1"/>
    <w:rsid w:val="00995ACD"/>
    <w:rsid w:val="00996AE0"/>
    <w:rsid w:val="009A07D8"/>
    <w:rsid w:val="009A1DEF"/>
    <w:rsid w:val="009A3131"/>
    <w:rsid w:val="009A7DAE"/>
    <w:rsid w:val="009B00E9"/>
    <w:rsid w:val="009B1949"/>
    <w:rsid w:val="009C3DD4"/>
    <w:rsid w:val="009C5951"/>
    <w:rsid w:val="009D557A"/>
    <w:rsid w:val="009D699B"/>
    <w:rsid w:val="009E12C0"/>
    <w:rsid w:val="009E1DF9"/>
    <w:rsid w:val="009E712B"/>
    <w:rsid w:val="009E735B"/>
    <w:rsid w:val="009F24C5"/>
    <w:rsid w:val="009F4CD1"/>
    <w:rsid w:val="009F6D9D"/>
    <w:rsid w:val="00A01061"/>
    <w:rsid w:val="00A01F76"/>
    <w:rsid w:val="00A023D1"/>
    <w:rsid w:val="00A04DCD"/>
    <w:rsid w:val="00A04EB1"/>
    <w:rsid w:val="00A05CCA"/>
    <w:rsid w:val="00A06399"/>
    <w:rsid w:val="00A15122"/>
    <w:rsid w:val="00A16541"/>
    <w:rsid w:val="00A16772"/>
    <w:rsid w:val="00A21A19"/>
    <w:rsid w:val="00A224B7"/>
    <w:rsid w:val="00A22CF5"/>
    <w:rsid w:val="00A266FE"/>
    <w:rsid w:val="00A33AD6"/>
    <w:rsid w:val="00A34171"/>
    <w:rsid w:val="00A3437F"/>
    <w:rsid w:val="00A373F0"/>
    <w:rsid w:val="00A412DD"/>
    <w:rsid w:val="00A4154A"/>
    <w:rsid w:val="00A419EB"/>
    <w:rsid w:val="00A43178"/>
    <w:rsid w:val="00A445BE"/>
    <w:rsid w:val="00A45B9C"/>
    <w:rsid w:val="00A5372D"/>
    <w:rsid w:val="00A54F60"/>
    <w:rsid w:val="00A60B7B"/>
    <w:rsid w:val="00A626CA"/>
    <w:rsid w:val="00A66868"/>
    <w:rsid w:val="00A70D11"/>
    <w:rsid w:val="00A72741"/>
    <w:rsid w:val="00A74F70"/>
    <w:rsid w:val="00A766BF"/>
    <w:rsid w:val="00A7701D"/>
    <w:rsid w:val="00A83C69"/>
    <w:rsid w:val="00A85E87"/>
    <w:rsid w:val="00A871A1"/>
    <w:rsid w:val="00A90AD9"/>
    <w:rsid w:val="00A91788"/>
    <w:rsid w:val="00A91915"/>
    <w:rsid w:val="00A937CF"/>
    <w:rsid w:val="00A961FA"/>
    <w:rsid w:val="00AA15C8"/>
    <w:rsid w:val="00AA3B06"/>
    <w:rsid w:val="00AB091D"/>
    <w:rsid w:val="00AB1F36"/>
    <w:rsid w:val="00AB58EE"/>
    <w:rsid w:val="00AC0BA6"/>
    <w:rsid w:val="00AC37C5"/>
    <w:rsid w:val="00AC3D4F"/>
    <w:rsid w:val="00AC56BB"/>
    <w:rsid w:val="00AC6EC7"/>
    <w:rsid w:val="00AC6FC3"/>
    <w:rsid w:val="00AD0004"/>
    <w:rsid w:val="00AD01F1"/>
    <w:rsid w:val="00AD05A4"/>
    <w:rsid w:val="00AD3223"/>
    <w:rsid w:val="00AD3E08"/>
    <w:rsid w:val="00AD7A23"/>
    <w:rsid w:val="00AE4B0D"/>
    <w:rsid w:val="00AE7FF3"/>
    <w:rsid w:val="00AF1680"/>
    <w:rsid w:val="00AF591F"/>
    <w:rsid w:val="00AF7071"/>
    <w:rsid w:val="00B0085A"/>
    <w:rsid w:val="00B07937"/>
    <w:rsid w:val="00B1024A"/>
    <w:rsid w:val="00B138A4"/>
    <w:rsid w:val="00B15DCC"/>
    <w:rsid w:val="00B171A0"/>
    <w:rsid w:val="00B221C2"/>
    <w:rsid w:val="00B24BBC"/>
    <w:rsid w:val="00B26CF1"/>
    <w:rsid w:val="00B304ED"/>
    <w:rsid w:val="00B313C9"/>
    <w:rsid w:val="00B35FFE"/>
    <w:rsid w:val="00B41568"/>
    <w:rsid w:val="00B41753"/>
    <w:rsid w:val="00B41EFE"/>
    <w:rsid w:val="00B44193"/>
    <w:rsid w:val="00B44DB5"/>
    <w:rsid w:val="00B47942"/>
    <w:rsid w:val="00B51E41"/>
    <w:rsid w:val="00B541D5"/>
    <w:rsid w:val="00B54323"/>
    <w:rsid w:val="00B5567A"/>
    <w:rsid w:val="00B5599F"/>
    <w:rsid w:val="00B57C29"/>
    <w:rsid w:val="00B60CE9"/>
    <w:rsid w:val="00B644D2"/>
    <w:rsid w:val="00B66370"/>
    <w:rsid w:val="00B67216"/>
    <w:rsid w:val="00B67A13"/>
    <w:rsid w:val="00B7612B"/>
    <w:rsid w:val="00B80CBB"/>
    <w:rsid w:val="00B82F83"/>
    <w:rsid w:val="00B85E39"/>
    <w:rsid w:val="00B867DD"/>
    <w:rsid w:val="00B92015"/>
    <w:rsid w:val="00B92811"/>
    <w:rsid w:val="00BA3CD2"/>
    <w:rsid w:val="00BA3F55"/>
    <w:rsid w:val="00BA553B"/>
    <w:rsid w:val="00BB1425"/>
    <w:rsid w:val="00BB1435"/>
    <w:rsid w:val="00BB16F8"/>
    <w:rsid w:val="00BB17D1"/>
    <w:rsid w:val="00BB3778"/>
    <w:rsid w:val="00BB5096"/>
    <w:rsid w:val="00BB6551"/>
    <w:rsid w:val="00BC3D0E"/>
    <w:rsid w:val="00BD667B"/>
    <w:rsid w:val="00BE557E"/>
    <w:rsid w:val="00BF4162"/>
    <w:rsid w:val="00BF5B69"/>
    <w:rsid w:val="00C01930"/>
    <w:rsid w:val="00C030A2"/>
    <w:rsid w:val="00C04E04"/>
    <w:rsid w:val="00C04F1B"/>
    <w:rsid w:val="00C05CAE"/>
    <w:rsid w:val="00C07323"/>
    <w:rsid w:val="00C07BAC"/>
    <w:rsid w:val="00C1353B"/>
    <w:rsid w:val="00C2006C"/>
    <w:rsid w:val="00C21990"/>
    <w:rsid w:val="00C24FE1"/>
    <w:rsid w:val="00C26DB7"/>
    <w:rsid w:val="00C3639B"/>
    <w:rsid w:val="00C37D60"/>
    <w:rsid w:val="00C47487"/>
    <w:rsid w:val="00C47768"/>
    <w:rsid w:val="00C51F1C"/>
    <w:rsid w:val="00C56A24"/>
    <w:rsid w:val="00C6099B"/>
    <w:rsid w:val="00C61567"/>
    <w:rsid w:val="00C61BF1"/>
    <w:rsid w:val="00C6343D"/>
    <w:rsid w:val="00C717FB"/>
    <w:rsid w:val="00C752EF"/>
    <w:rsid w:val="00C829A6"/>
    <w:rsid w:val="00C82C6B"/>
    <w:rsid w:val="00C83830"/>
    <w:rsid w:val="00C86CA3"/>
    <w:rsid w:val="00C91ECD"/>
    <w:rsid w:val="00C92410"/>
    <w:rsid w:val="00C956DF"/>
    <w:rsid w:val="00CA4616"/>
    <w:rsid w:val="00CA64C7"/>
    <w:rsid w:val="00CB147B"/>
    <w:rsid w:val="00CB796A"/>
    <w:rsid w:val="00CC036A"/>
    <w:rsid w:val="00CC0CAE"/>
    <w:rsid w:val="00CC1720"/>
    <w:rsid w:val="00CC2635"/>
    <w:rsid w:val="00CC431A"/>
    <w:rsid w:val="00CC7F1C"/>
    <w:rsid w:val="00CD2065"/>
    <w:rsid w:val="00CD6CD9"/>
    <w:rsid w:val="00CE0520"/>
    <w:rsid w:val="00CF1B74"/>
    <w:rsid w:val="00CF2FBB"/>
    <w:rsid w:val="00CF5A93"/>
    <w:rsid w:val="00D00BC2"/>
    <w:rsid w:val="00D029B3"/>
    <w:rsid w:val="00D06B30"/>
    <w:rsid w:val="00D126B1"/>
    <w:rsid w:val="00D168A3"/>
    <w:rsid w:val="00D24070"/>
    <w:rsid w:val="00D31108"/>
    <w:rsid w:val="00D31141"/>
    <w:rsid w:val="00D32D69"/>
    <w:rsid w:val="00D32E9B"/>
    <w:rsid w:val="00D339FC"/>
    <w:rsid w:val="00D33A66"/>
    <w:rsid w:val="00D373F8"/>
    <w:rsid w:val="00D42BAE"/>
    <w:rsid w:val="00D450D9"/>
    <w:rsid w:val="00D52C3B"/>
    <w:rsid w:val="00D60008"/>
    <w:rsid w:val="00D6569A"/>
    <w:rsid w:val="00D82773"/>
    <w:rsid w:val="00D8476C"/>
    <w:rsid w:val="00D8739A"/>
    <w:rsid w:val="00D87A47"/>
    <w:rsid w:val="00D94D42"/>
    <w:rsid w:val="00DA1C16"/>
    <w:rsid w:val="00DA27D2"/>
    <w:rsid w:val="00DA3CE4"/>
    <w:rsid w:val="00DA3F7A"/>
    <w:rsid w:val="00DB1692"/>
    <w:rsid w:val="00DB27BC"/>
    <w:rsid w:val="00DB2B59"/>
    <w:rsid w:val="00DB5334"/>
    <w:rsid w:val="00DC352E"/>
    <w:rsid w:val="00DC3B4C"/>
    <w:rsid w:val="00DD05DC"/>
    <w:rsid w:val="00DD286C"/>
    <w:rsid w:val="00DD2A98"/>
    <w:rsid w:val="00DD2B33"/>
    <w:rsid w:val="00DD3C19"/>
    <w:rsid w:val="00DE4871"/>
    <w:rsid w:val="00DE6279"/>
    <w:rsid w:val="00DE704E"/>
    <w:rsid w:val="00DE7A7A"/>
    <w:rsid w:val="00DF28F9"/>
    <w:rsid w:val="00DF5CD1"/>
    <w:rsid w:val="00E06D5D"/>
    <w:rsid w:val="00E12CC4"/>
    <w:rsid w:val="00E1340E"/>
    <w:rsid w:val="00E15347"/>
    <w:rsid w:val="00E207E0"/>
    <w:rsid w:val="00E23657"/>
    <w:rsid w:val="00E25DAA"/>
    <w:rsid w:val="00E27DC6"/>
    <w:rsid w:val="00E30FF4"/>
    <w:rsid w:val="00E34844"/>
    <w:rsid w:val="00E351AD"/>
    <w:rsid w:val="00E3766F"/>
    <w:rsid w:val="00E427F3"/>
    <w:rsid w:val="00E4770D"/>
    <w:rsid w:val="00E53C38"/>
    <w:rsid w:val="00E5484D"/>
    <w:rsid w:val="00E61C2D"/>
    <w:rsid w:val="00E61E25"/>
    <w:rsid w:val="00E76740"/>
    <w:rsid w:val="00E80588"/>
    <w:rsid w:val="00E81293"/>
    <w:rsid w:val="00E82823"/>
    <w:rsid w:val="00E83886"/>
    <w:rsid w:val="00E8422D"/>
    <w:rsid w:val="00E87CFC"/>
    <w:rsid w:val="00E90D30"/>
    <w:rsid w:val="00E96CD0"/>
    <w:rsid w:val="00EA17BD"/>
    <w:rsid w:val="00EB30C2"/>
    <w:rsid w:val="00EC01BF"/>
    <w:rsid w:val="00EC3CCD"/>
    <w:rsid w:val="00EC6A82"/>
    <w:rsid w:val="00EC6C1F"/>
    <w:rsid w:val="00EC6F39"/>
    <w:rsid w:val="00ED317C"/>
    <w:rsid w:val="00ED7675"/>
    <w:rsid w:val="00EE04C6"/>
    <w:rsid w:val="00EE081B"/>
    <w:rsid w:val="00EE3E15"/>
    <w:rsid w:val="00EF53AA"/>
    <w:rsid w:val="00EF6A73"/>
    <w:rsid w:val="00EF7E89"/>
    <w:rsid w:val="00F00C02"/>
    <w:rsid w:val="00F01150"/>
    <w:rsid w:val="00F02281"/>
    <w:rsid w:val="00F101EA"/>
    <w:rsid w:val="00F138F7"/>
    <w:rsid w:val="00F21F04"/>
    <w:rsid w:val="00F26052"/>
    <w:rsid w:val="00F26F67"/>
    <w:rsid w:val="00F26FFC"/>
    <w:rsid w:val="00F329DF"/>
    <w:rsid w:val="00F32BA1"/>
    <w:rsid w:val="00F32C0A"/>
    <w:rsid w:val="00F338F1"/>
    <w:rsid w:val="00F3683A"/>
    <w:rsid w:val="00F37E18"/>
    <w:rsid w:val="00F4022A"/>
    <w:rsid w:val="00F41FAF"/>
    <w:rsid w:val="00F53248"/>
    <w:rsid w:val="00F56D4A"/>
    <w:rsid w:val="00F77951"/>
    <w:rsid w:val="00F82334"/>
    <w:rsid w:val="00F86E20"/>
    <w:rsid w:val="00F900CE"/>
    <w:rsid w:val="00F90997"/>
    <w:rsid w:val="00F917D7"/>
    <w:rsid w:val="00FA33BC"/>
    <w:rsid w:val="00FB1B8B"/>
    <w:rsid w:val="00FB257B"/>
    <w:rsid w:val="00FB32AC"/>
    <w:rsid w:val="00FB55B5"/>
    <w:rsid w:val="00FB783C"/>
    <w:rsid w:val="00FC2874"/>
    <w:rsid w:val="00FC52E3"/>
    <w:rsid w:val="00FC565B"/>
    <w:rsid w:val="00FC5D5F"/>
    <w:rsid w:val="00FD04DA"/>
    <w:rsid w:val="00FD0BF6"/>
    <w:rsid w:val="00FD6AE7"/>
    <w:rsid w:val="00FE3F9F"/>
    <w:rsid w:val="00FE468C"/>
    <w:rsid w:val="00FE51E2"/>
    <w:rsid w:val="00FE57DC"/>
    <w:rsid w:val="00FE6BD0"/>
    <w:rsid w:val="00FF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6125D"/>
  <w15:docId w15:val="{1EDA83B6-2C44-4E4A-976E-4C55AD11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029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3B182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3029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3029E"/>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9E"/>
    <w:rPr>
      <w:rFonts w:ascii="Times" w:hAnsi="Times"/>
      <w:b/>
      <w:bCs/>
      <w:kern w:val="36"/>
      <w:sz w:val="48"/>
      <w:szCs w:val="48"/>
    </w:rPr>
  </w:style>
  <w:style w:type="character" w:customStyle="1" w:styleId="Heading3Char">
    <w:name w:val="Heading 3 Char"/>
    <w:basedOn w:val="DefaultParagraphFont"/>
    <w:link w:val="Heading3"/>
    <w:uiPriority w:val="9"/>
    <w:semiHidden/>
    <w:rsid w:val="0013029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3029E"/>
    <w:rPr>
      <w:rFonts w:asciiTheme="majorHAnsi" w:eastAsiaTheme="majorEastAsia" w:hAnsiTheme="majorHAnsi" w:cstheme="majorBidi"/>
      <w:b/>
      <w:bCs/>
      <w:i/>
      <w:iCs/>
      <w:color w:val="4472C4" w:themeColor="accent1"/>
    </w:rPr>
  </w:style>
  <w:style w:type="paragraph" w:styleId="NormalWeb">
    <w:name w:val="Normal (Web)"/>
    <w:basedOn w:val="Normal"/>
    <w:link w:val="NormalWebChar"/>
    <w:uiPriority w:val="99"/>
    <w:rsid w:val="0013029E"/>
    <w:pPr>
      <w:spacing w:before="100" w:beforeAutospacing="1" w:after="100" w:afterAutospacing="1"/>
    </w:pPr>
    <w:rPr>
      <w:rFonts w:ascii="Times New Roman" w:eastAsia="Batang" w:hAnsi="Times New Roman" w:cs="Times New Roman"/>
      <w:lang w:eastAsia="ko-KR"/>
    </w:rPr>
  </w:style>
  <w:style w:type="paragraph" w:styleId="BalloonText">
    <w:name w:val="Balloon Text"/>
    <w:basedOn w:val="Normal"/>
    <w:link w:val="BalloonTextChar"/>
    <w:uiPriority w:val="99"/>
    <w:semiHidden/>
    <w:unhideWhenUsed/>
    <w:rsid w:val="0013029E"/>
    <w:rPr>
      <w:rFonts w:ascii="Tahoma" w:hAnsi="Tahoma" w:cs="Tahoma"/>
      <w:sz w:val="16"/>
      <w:szCs w:val="16"/>
    </w:rPr>
  </w:style>
  <w:style w:type="character" w:customStyle="1" w:styleId="BalloonTextChar">
    <w:name w:val="Balloon Text Char"/>
    <w:basedOn w:val="DefaultParagraphFont"/>
    <w:link w:val="BalloonText"/>
    <w:uiPriority w:val="99"/>
    <w:semiHidden/>
    <w:rsid w:val="0013029E"/>
    <w:rPr>
      <w:rFonts w:ascii="Tahoma" w:hAnsi="Tahoma" w:cs="Tahoma"/>
      <w:sz w:val="16"/>
      <w:szCs w:val="16"/>
    </w:rPr>
  </w:style>
  <w:style w:type="character" w:customStyle="1" w:styleId="apple-converted-space">
    <w:name w:val="apple-converted-space"/>
    <w:basedOn w:val="DefaultParagraphFont"/>
    <w:rsid w:val="0013029E"/>
  </w:style>
  <w:style w:type="character" w:styleId="Hyperlink">
    <w:name w:val="Hyperlink"/>
    <w:basedOn w:val="DefaultParagraphFont"/>
    <w:uiPriority w:val="99"/>
    <w:unhideWhenUsed/>
    <w:rsid w:val="0013029E"/>
    <w:rPr>
      <w:color w:val="0000FF"/>
      <w:u w:val="single"/>
    </w:rPr>
  </w:style>
  <w:style w:type="character" w:styleId="Strong">
    <w:name w:val="Strong"/>
    <w:basedOn w:val="DefaultParagraphFont"/>
    <w:uiPriority w:val="22"/>
    <w:qFormat/>
    <w:rsid w:val="0013029E"/>
    <w:rPr>
      <w:b/>
      <w:bCs/>
    </w:rPr>
  </w:style>
  <w:style w:type="paragraph" w:styleId="FootnoteText">
    <w:name w:val="footnote text"/>
    <w:basedOn w:val="Normal"/>
    <w:link w:val="FootnoteTextChar"/>
    <w:uiPriority w:val="99"/>
    <w:unhideWhenUsed/>
    <w:rsid w:val="0013029E"/>
    <w:rPr>
      <w:sz w:val="20"/>
      <w:szCs w:val="20"/>
    </w:rPr>
  </w:style>
  <w:style w:type="character" w:customStyle="1" w:styleId="FootnoteTextChar">
    <w:name w:val="Footnote Text Char"/>
    <w:basedOn w:val="DefaultParagraphFont"/>
    <w:link w:val="FootnoteText"/>
    <w:uiPriority w:val="99"/>
    <w:rsid w:val="0013029E"/>
    <w:rPr>
      <w:sz w:val="20"/>
      <w:szCs w:val="20"/>
    </w:rPr>
  </w:style>
  <w:style w:type="character" w:styleId="FootnoteReference">
    <w:name w:val="footnote reference"/>
    <w:basedOn w:val="DefaultParagraphFont"/>
    <w:uiPriority w:val="99"/>
    <w:unhideWhenUsed/>
    <w:rsid w:val="0013029E"/>
    <w:rPr>
      <w:vertAlign w:val="superscript"/>
    </w:rPr>
  </w:style>
  <w:style w:type="character" w:styleId="Emphasis">
    <w:name w:val="Emphasis"/>
    <w:basedOn w:val="DefaultParagraphFont"/>
    <w:uiPriority w:val="20"/>
    <w:qFormat/>
    <w:rsid w:val="0013029E"/>
    <w:rPr>
      <w:i/>
      <w:iCs/>
    </w:rPr>
  </w:style>
  <w:style w:type="paragraph" w:styleId="Header">
    <w:name w:val="header"/>
    <w:basedOn w:val="Normal"/>
    <w:link w:val="HeaderChar"/>
    <w:uiPriority w:val="99"/>
    <w:unhideWhenUsed/>
    <w:rsid w:val="0013029E"/>
    <w:pPr>
      <w:tabs>
        <w:tab w:val="center" w:pos="4680"/>
        <w:tab w:val="right" w:pos="9360"/>
      </w:tabs>
    </w:pPr>
    <w:rPr>
      <w:sz w:val="22"/>
      <w:szCs w:val="22"/>
    </w:rPr>
  </w:style>
  <w:style w:type="character" w:customStyle="1" w:styleId="HeaderChar">
    <w:name w:val="Header Char"/>
    <w:basedOn w:val="DefaultParagraphFont"/>
    <w:link w:val="Header"/>
    <w:uiPriority w:val="99"/>
    <w:rsid w:val="0013029E"/>
    <w:rPr>
      <w:sz w:val="22"/>
      <w:szCs w:val="22"/>
    </w:rPr>
  </w:style>
  <w:style w:type="paragraph" w:styleId="Footer">
    <w:name w:val="footer"/>
    <w:basedOn w:val="Normal"/>
    <w:link w:val="FooterChar"/>
    <w:uiPriority w:val="99"/>
    <w:unhideWhenUsed/>
    <w:rsid w:val="0013029E"/>
    <w:pPr>
      <w:tabs>
        <w:tab w:val="center" w:pos="4680"/>
        <w:tab w:val="right" w:pos="9360"/>
      </w:tabs>
    </w:pPr>
    <w:rPr>
      <w:sz w:val="22"/>
      <w:szCs w:val="22"/>
    </w:rPr>
  </w:style>
  <w:style w:type="character" w:customStyle="1" w:styleId="FooterChar">
    <w:name w:val="Footer Char"/>
    <w:basedOn w:val="DefaultParagraphFont"/>
    <w:link w:val="Footer"/>
    <w:uiPriority w:val="99"/>
    <w:rsid w:val="0013029E"/>
    <w:rPr>
      <w:sz w:val="22"/>
      <w:szCs w:val="22"/>
    </w:rPr>
  </w:style>
  <w:style w:type="paragraph" w:styleId="ListParagraph">
    <w:name w:val="List Paragraph"/>
    <w:basedOn w:val="Normal"/>
    <w:uiPriority w:val="34"/>
    <w:qFormat/>
    <w:rsid w:val="0013029E"/>
    <w:pPr>
      <w:spacing w:after="200" w:line="276" w:lineRule="auto"/>
      <w:ind w:left="720"/>
      <w:contextualSpacing/>
    </w:pPr>
    <w:rPr>
      <w:sz w:val="22"/>
      <w:szCs w:val="22"/>
    </w:rPr>
  </w:style>
  <w:style w:type="paragraph" w:styleId="EndnoteText">
    <w:name w:val="endnote text"/>
    <w:basedOn w:val="Normal"/>
    <w:link w:val="EndnoteTextChar"/>
    <w:uiPriority w:val="99"/>
    <w:unhideWhenUsed/>
    <w:rsid w:val="0013029E"/>
    <w:rPr>
      <w:sz w:val="20"/>
      <w:szCs w:val="20"/>
    </w:rPr>
  </w:style>
  <w:style w:type="character" w:customStyle="1" w:styleId="EndnoteTextChar">
    <w:name w:val="Endnote Text Char"/>
    <w:basedOn w:val="DefaultParagraphFont"/>
    <w:link w:val="EndnoteText"/>
    <w:uiPriority w:val="99"/>
    <w:rsid w:val="0013029E"/>
    <w:rPr>
      <w:sz w:val="20"/>
      <w:szCs w:val="20"/>
    </w:rPr>
  </w:style>
  <w:style w:type="character" w:styleId="EndnoteReference">
    <w:name w:val="endnote reference"/>
    <w:basedOn w:val="DefaultParagraphFont"/>
    <w:uiPriority w:val="99"/>
    <w:unhideWhenUsed/>
    <w:rsid w:val="0013029E"/>
    <w:rPr>
      <w:vertAlign w:val="superscript"/>
    </w:rPr>
  </w:style>
  <w:style w:type="character" w:customStyle="1" w:styleId="articlealttitle1">
    <w:name w:val="articlealttitle1"/>
    <w:basedOn w:val="DefaultParagraphFont"/>
    <w:rsid w:val="0013029E"/>
    <w:rPr>
      <w:sz w:val="24"/>
      <w:szCs w:val="24"/>
      <w:bdr w:val="none" w:sz="0" w:space="0" w:color="auto" w:frame="1"/>
      <w:vertAlign w:val="baseline"/>
    </w:rPr>
  </w:style>
  <w:style w:type="character" w:customStyle="1" w:styleId="m8133770817445588626gmail-msofootnotereference">
    <w:name w:val="m_8133770817445588626gmail-msofootnotereference"/>
    <w:basedOn w:val="DefaultParagraphFont"/>
    <w:rsid w:val="0013029E"/>
  </w:style>
  <w:style w:type="paragraph" w:customStyle="1" w:styleId="m8133770817445588626gmail-mtop">
    <w:name w:val="m_8133770817445588626gmail-mtop"/>
    <w:basedOn w:val="Normal"/>
    <w:rsid w:val="0013029E"/>
    <w:pPr>
      <w:spacing w:before="100" w:beforeAutospacing="1" w:after="100" w:afterAutospacing="1"/>
    </w:pPr>
    <w:rPr>
      <w:rFonts w:ascii="Times" w:hAnsi="Times"/>
      <w:sz w:val="20"/>
      <w:szCs w:val="20"/>
    </w:rPr>
  </w:style>
  <w:style w:type="paragraph" w:customStyle="1" w:styleId="EndNoteBibliographyTitle">
    <w:name w:val="EndNote Bibliography Title"/>
    <w:basedOn w:val="Normal"/>
    <w:link w:val="EndNoteBibliographyTitleChar"/>
    <w:rsid w:val="0013029E"/>
    <w:pPr>
      <w:spacing w:line="276" w:lineRule="auto"/>
      <w:jc w:val="center"/>
    </w:pPr>
    <w:rPr>
      <w:rFonts w:ascii="Calibri" w:eastAsia="Batang" w:hAnsi="Calibri" w:cs="Calibri"/>
      <w:noProof/>
      <w:sz w:val="22"/>
      <w:szCs w:val="22"/>
      <w:lang w:eastAsia="ko-KR"/>
    </w:rPr>
  </w:style>
  <w:style w:type="character" w:customStyle="1" w:styleId="NormalWebChar">
    <w:name w:val="Normal (Web) Char"/>
    <w:basedOn w:val="DefaultParagraphFont"/>
    <w:link w:val="NormalWeb"/>
    <w:uiPriority w:val="99"/>
    <w:rsid w:val="0013029E"/>
    <w:rPr>
      <w:rFonts w:ascii="Times New Roman" w:eastAsia="Batang" w:hAnsi="Times New Roman" w:cs="Times New Roman"/>
      <w:lang w:eastAsia="ko-KR"/>
    </w:rPr>
  </w:style>
  <w:style w:type="character" w:customStyle="1" w:styleId="EndNoteBibliographyTitleChar">
    <w:name w:val="EndNote Bibliography Title Char"/>
    <w:basedOn w:val="NormalWebChar"/>
    <w:link w:val="EndNoteBibliographyTitle"/>
    <w:rsid w:val="0013029E"/>
    <w:rPr>
      <w:rFonts w:ascii="Calibri" w:eastAsia="Batang" w:hAnsi="Calibri" w:cs="Calibri"/>
      <w:noProof/>
      <w:sz w:val="22"/>
      <w:szCs w:val="22"/>
      <w:lang w:eastAsia="ko-KR"/>
    </w:rPr>
  </w:style>
  <w:style w:type="paragraph" w:customStyle="1" w:styleId="EndNoteBibliography">
    <w:name w:val="EndNote Bibliography"/>
    <w:basedOn w:val="Normal"/>
    <w:link w:val="EndNoteBibliographyChar"/>
    <w:rsid w:val="0013029E"/>
    <w:pPr>
      <w:spacing w:after="200"/>
    </w:pPr>
    <w:rPr>
      <w:rFonts w:ascii="Calibri" w:eastAsia="Batang" w:hAnsi="Calibri" w:cs="Calibri"/>
      <w:noProof/>
      <w:sz w:val="22"/>
      <w:szCs w:val="22"/>
      <w:lang w:eastAsia="ko-KR"/>
    </w:rPr>
  </w:style>
  <w:style w:type="character" w:customStyle="1" w:styleId="EndNoteBibliographyChar">
    <w:name w:val="EndNote Bibliography Char"/>
    <w:basedOn w:val="NormalWebChar"/>
    <w:link w:val="EndNoteBibliography"/>
    <w:rsid w:val="0013029E"/>
    <w:rPr>
      <w:rFonts w:ascii="Calibri" w:eastAsia="Batang" w:hAnsi="Calibri" w:cs="Calibri"/>
      <w:noProof/>
      <w:sz w:val="22"/>
      <w:szCs w:val="22"/>
      <w:lang w:eastAsia="ko-KR"/>
    </w:rPr>
  </w:style>
  <w:style w:type="character" w:styleId="CommentReference">
    <w:name w:val="annotation reference"/>
    <w:basedOn w:val="DefaultParagraphFont"/>
    <w:uiPriority w:val="99"/>
    <w:semiHidden/>
    <w:unhideWhenUsed/>
    <w:rsid w:val="0013029E"/>
    <w:rPr>
      <w:sz w:val="16"/>
      <w:szCs w:val="16"/>
    </w:rPr>
  </w:style>
  <w:style w:type="paragraph" w:styleId="CommentText">
    <w:name w:val="annotation text"/>
    <w:basedOn w:val="Normal"/>
    <w:link w:val="CommentTextChar"/>
    <w:uiPriority w:val="99"/>
    <w:semiHidden/>
    <w:unhideWhenUsed/>
    <w:rsid w:val="0013029E"/>
    <w:pPr>
      <w:spacing w:after="200"/>
    </w:pPr>
    <w:rPr>
      <w:sz w:val="20"/>
      <w:szCs w:val="20"/>
    </w:rPr>
  </w:style>
  <w:style w:type="character" w:customStyle="1" w:styleId="CommentTextChar">
    <w:name w:val="Comment Text Char"/>
    <w:basedOn w:val="DefaultParagraphFont"/>
    <w:link w:val="CommentText"/>
    <w:uiPriority w:val="99"/>
    <w:semiHidden/>
    <w:rsid w:val="0013029E"/>
    <w:rPr>
      <w:sz w:val="20"/>
      <w:szCs w:val="20"/>
    </w:rPr>
  </w:style>
  <w:style w:type="paragraph" w:styleId="CommentSubject">
    <w:name w:val="annotation subject"/>
    <w:basedOn w:val="CommentText"/>
    <w:next w:val="CommentText"/>
    <w:link w:val="CommentSubjectChar"/>
    <w:uiPriority w:val="99"/>
    <w:semiHidden/>
    <w:unhideWhenUsed/>
    <w:rsid w:val="0013029E"/>
    <w:rPr>
      <w:b/>
      <w:bCs/>
    </w:rPr>
  </w:style>
  <w:style w:type="character" w:customStyle="1" w:styleId="CommentSubjectChar">
    <w:name w:val="Comment Subject Char"/>
    <w:basedOn w:val="CommentTextChar"/>
    <w:link w:val="CommentSubject"/>
    <w:uiPriority w:val="99"/>
    <w:semiHidden/>
    <w:rsid w:val="0013029E"/>
    <w:rPr>
      <w:b/>
      <w:bCs/>
      <w:sz w:val="20"/>
      <w:szCs w:val="20"/>
    </w:rPr>
  </w:style>
  <w:style w:type="paragraph" w:styleId="Revision">
    <w:name w:val="Revision"/>
    <w:hidden/>
    <w:uiPriority w:val="99"/>
    <w:semiHidden/>
    <w:rsid w:val="0013029E"/>
    <w:rPr>
      <w:sz w:val="22"/>
      <w:szCs w:val="22"/>
    </w:rPr>
  </w:style>
  <w:style w:type="paragraph" w:customStyle="1" w:styleId="Pa45">
    <w:name w:val="Pa45"/>
    <w:basedOn w:val="Normal"/>
    <w:next w:val="Normal"/>
    <w:uiPriority w:val="99"/>
    <w:rsid w:val="0013029E"/>
    <w:pPr>
      <w:widowControl w:val="0"/>
      <w:autoSpaceDE w:val="0"/>
      <w:autoSpaceDN w:val="0"/>
      <w:adjustRightInd w:val="0"/>
      <w:spacing w:line="213" w:lineRule="atLeast"/>
    </w:pPr>
    <w:rPr>
      <w:rFonts w:ascii="Adobe Garamond Pro" w:eastAsiaTheme="minorEastAsia" w:hAnsi="Adobe Garamond Pro" w:cs="Times New Roman"/>
    </w:rPr>
  </w:style>
  <w:style w:type="character" w:customStyle="1" w:styleId="A2">
    <w:name w:val="A2"/>
    <w:uiPriority w:val="99"/>
    <w:rsid w:val="0013029E"/>
    <w:rPr>
      <w:rFonts w:cs="Adobe Garamond Pro"/>
      <w:color w:val="221E1F"/>
      <w:sz w:val="21"/>
      <w:szCs w:val="21"/>
    </w:rPr>
  </w:style>
  <w:style w:type="character" w:styleId="PlaceholderText">
    <w:name w:val="Placeholder Text"/>
    <w:basedOn w:val="DefaultParagraphFont"/>
    <w:uiPriority w:val="99"/>
    <w:semiHidden/>
    <w:rsid w:val="0013029E"/>
    <w:rPr>
      <w:color w:val="808080"/>
    </w:rPr>
  </w:style>
  <w:style w:type="character" w:customStyle="1" w:styleId="m-2460635446633028903gmail-m-5117302585882894009gmail-msoins">
    <w:name w:val="m_-2460635446633028903gmail-m_-5117302585882894009gmail-msoins"/>
    <w:basedOn w:val="DefaultParagraphFont"/>
    <w:rsid w:val="0013029E"/>
  </w:style>
  <w:style w:type="character" w:styleId="PageNumber">
    <w:name w:val="page number"/>
    <w:basedOn w:val="DefaultParagraphFont"/>
    <w:uiPriority w:val="99"/>
    <w:semiHidden/>
    <w:unhideWhenUsed/>
    <w:rsid w:val="0013029E"/>
  </w:style>
  <w:style w:type="character" w:customStyle="1" w:styleId="nlmstring-name">
    <w:name w:val="nlm_string-name"/>
    <w:basedOn w:val="DefaultParagraphFont"/>
    <w:rsid w:val="0013029E"/>
  </w:style>
  <w:style w:type="character" w:customStyle="1" w:styleId="publicationcontentepubdate">
    <w:name w:val="publicationcontentepubdate"/>
    <w:basedOn w:val="DefaultParagraphFont"/>
    <w:rsid w:val="0013029E"/>
  </w:style>
  <w:style w:type="character" w:styleId="FollowedHyperlink">
    <w:name w:val="FollowedHyperlink"/>
    <w:basedOn w:val="DefaultParagraphFont"/>
    <w:uiPriority w:val="99"/>
    <w:semiHidden/>
    <w:unhideWhenUsed/>
    <w:rsid w:val="0013029E"/>
    <w:rPr>
      <w:color w:val="954F72" w:themeColor="followedHyperlink"/>
      <w:u w:val="single"/>
    </w:rPr>
  </w:style>
  <w:style w:type="character" w:customStyle="1" w:styleId="il">
    <w:name w:val="il"/>
    <w:basedOn w:val="DefaultParagraphFont"/>
    <w:rsid w:val="001038CC"/>
  </w:style>
  <w:style w:type="character" w:customStyle="1" w:styleId="contribdegrees">
    <w:name w:val="contribdegrees"/>
    <w:basedOn w:val="DefaultParagraphFont"/>
    <w:rsid w:val="00120A3E"/>
  </w:style>
  <w:style w:type="character" w:customStyle="1" w:styleId="Heading2Char">
    <w:name w:val="Heading 2 Char"/>
    <w:basedOn w:val="DefaultParagraphFont"/>
    <w:link w:val="Heading2"/>
    <w:uiPriority w:val="9"/>
    <w:semiHidden/>
    <w:rsid w:val="003B1821"/>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4253">
      <w:bodyDiv w:val="1"/>
      <w:marLeft w:val="0"/>
      <w:marRight w:val="0"/>
      <w:marTop w:val="0"/>
      <w:marBottom w:val="0"/>
      <w:divBdr>
        <w:top w:val="none" w:sz="0" w:space="0" w:color="auto"/>
        <w:left w:val="none" w:sz="0" w:space="0" w:color="auto"/>
        <w:bottom w:val="none" w:sz="0" w:space="0" w:color="auto"/>
        <w:right w:val="none" w:sz="0" w:space="0" w:color="auto"/>
      </w:divBdr>
    </w:div>
    <w:div w:id="165021161">
      <w:bodyDiv w:val="1"/>
      <w:marLeft w:val="0"/>
      <w:marRight w:val="0"/>
      <w:marTop w:val="0"/>
      <w:marBottom w:val="0"/>
      <w:divBdr>
        <w:top w:val="none" w:sz="0" w:space="0" w:color="auto"/>
        <w:left w:val="none" w:sz="0" w:space="0" w:color="auto"/>
        <w:bottom w:val="none" w:sz="0" w:space="0" w:color="auto"/>
        <w:right w:val="none" w:sz="0" w:space="0" w:color="auto"/>
      </w:divBdr>
    </w:div>
    <w:div w:id="179858247">
      <w:bodyDiv w:val="1"/>
      <w:marLeft w:val="0"/>
      <w:marRight w:val="0"/>
      <w:marTop w:val="0"/>
      <w:marBottom w:val="0"/>
      <w:divBdr>
        <w:top w:val="none" w:sz="0" w:space="0" w:color="auto"/>
        <w:left w:val="none" w:sz="0" w:space="0" w:color="auto"/>
        <w:bottom w:val="none" w:sz="0" w:space="0" w:color="auto"/>
        <w:right w:val="none" w:sz="0" w:space="0" w:color="auto"/>
      </w:divBdr>
    </w:div>
    <w:div w:id="258873382">
      <w:bodyDiv w:val="1"/>
      <w:marLeft w:val="0"/>
      <w:marRight w:val="0"/>
      <w:marTop w:val="0"/>
      <w:marBottom w:val="0"/>
      <w:divBdr>
        <w:top w:val="none" w:sz="0" w:space="0" w:color="auto"/>
        <w:left w:val="none" w:sz="0" w:space="0" w:color="auto"/>
        <w:bottom w:val="none" w:sz="0" w:space="0" w:color="auto"/>
        <w:right w:val="none" w:sz="0" w:space="0" w:color="auto"/>
      </w:divBdr>
    </w:div>
    <w:div w:id="297534394">
      <w:bodyDiv w:val="1"/>
      <w:marLeft w:val="0"/>
      <w:marRight w:val="0"/>
      <w:marTop w:val="0"/>
      <w:marBottom w:val="0"/>
      <w:divBdr>
        <w:top w:val="none" w:sz="0" w:space="0" w:color="auto"/>
        <w:left w:val="none" w:sz="0" w:space="0" w:color="auto"/>
        <w:bottom w:val="none" w:sz="0" w:space="0" w:color="auto"/>
        <w:right w:val="none" w:sz="0" w:space="0" w:color="auto"/>
      </w:divBdr>
    </w:div>
    <w:div w:id="309943600">
      <w:bodyDiv w:val="1"/>
      <w:marLeft w:val="0"/>
      <w:marRight w:val="0"/>
      <w:marTop w:val="0"/>
      <w:marBottom w:val="0"/>
      <w:divBdr>
        <w:top w:val="none" w:sz="0" w:space="0" w:color="auto"/>
        <w:left w:val="none" w:sz="0" w:space="0" w:color="auto"/>
        <w:bottom w:val="none" w:sz="0" w:space="0" w:color="auto"/>
        <w:right w:val="none" w:sz="0" w:space="0" w:color="auto"/>
      </w:divBdr>
    </w:div>
    <w:div w:id="412314701">
      <w:bodyDiv w:val="1"/>
      <w:marLeft w:val="0"/>
      <w:marRight w:val="0"/>
      <w:marTop w:val="0"/>
      <w:marBottom w:val="0"/>
      <w:divBdr>
        <w:top w:val="none" w:sz="0" w:space="0" w:color="auto"/>
        <w:left w:val="none" w:sz="0" w:space="0" w:color="auto"/>
        <w:bottom w:val="none" w:sz="0" w:space="0" w:color="auto"/>
        <w:right w:val="none" w:sz="0" w:space="0" w:color="auto"/>
      </w:divBdr>
    </w:div>
    <w:div w:id="490409771">
      <w:bodyDiv w:val="1"/>
      <w:marLeft w:val="0"/>
      <w:marRight w:val="0"/>
      <w:marTop w:val="0"/>
      <w:marBottom w:val="0"/>
      <w:divBdr>
        <w:top w:val="none" w:sz="0" w:space="0" w:color="auto"/>
        <w:left w:val="none" w:sz="0" w:space="0" w:color="auto"/>
        <w:bottom w:val="none" w:sz="0" w:space="0" w:color="auto"/>
        <w:right w:val="none" w:sz="0" w:space="0" w:color="auto"/>
      </w:divBdr>
    </w:div>
    <w:div w:id="607584405">
      <w:bodyDiv w:val="1"/>
      <w:marLeft w:val="0"/>
      <w:marRight w:val="0"/>
      <w:marTop w:val="0"/>
      <w:marBottom w:val="0"/>
      <w:divBdr>
        <w:top w:val="none" w:sz="0" w:space="0" w:color="auto"/>
        <w:left w:val="none" w:sz="0" w:space="0" w:color="auto"/>
        <w:bottom w:val="none" w:sz="0" w:space="0" w:color="auto"/>
        <w:right w:val="none" w:sz="0" w:space="0" w:color="auto"/>
      </w:divBdr>
    </w:div>
    <w:div w:id="801969119">
      <w:bodyDiv w:val="1"/>
      <w:marLeft w:val="0"/>
      <w:marRight w:val="0"/>
      <w:marTop w:val="0"/>
      <w:marBottom w:val="0"/>
      <w:divBdr>
        <w:top w:val="none" w:sz="0" w:space="0" w:color="auto"/>
        <w:left w:val="none" w:sz="0" w:space="0" w:color="auto"/>
        <w:bottom w:val="none" w:sz="0" w:space="0" w:color="auto"/>
        <w:right w:val="none" w:sz="0" w:space="0" w:color="auto"/>
      </w:divBdr>
    </w:div>
    <w:div w:id="942615605">
      <w:bodyDiv w:val="1"/>
      <w:marLeft w:val="0"/>
      <w:marRight w:val="0"/>
      <w:marTop w:val="0"/>
      <w:marBottom w:val="0"/>
      <w:divBdr>
        <w:top w:val="none" w:sz="0" w:space="0" w:color="auto"/>
        <w:left w:val="none" w:sz="0" w:space="0" w:color="auto"/>
        <w:bottom w:val="none" w:sz="0" w:space="0" w:color="auto"/>
        <w:right w:val="none" w:sz="0" w:space="0" w:color="auto"/>
      </w:divBdr>
    </w:div>
    <w:div w:id="964458343">
      <w:bodyDiv w:val="1"/>
      <w:marLeft w:val="0"/>
      <w:marRight w:val="0"/>
      <w:marTop w:val="0"/>
      <w:marBottom w:val="0"/>
      <w:divBdr>
        <w:top w:val="none" w:sz="0" w:space="0" w:color="auto"/>
        <w:left w:val="none" w:sz="0" w:space="0" w:color="auto"/>
        <w:bottom w:val="none" w:sz="0" w:space="0" w:color="auto"/>
        <w:right w:val="none" w:sz="0" w:space="0" w:color="auto"/>
      </w:divBdr>
    </w:div>
    <w:div w:id="1043603058">
      <w:bodyDiv w:val="1"/>
      <w:marLeft w:val="0"/>
      <w:marRight w:val="0"/>
      <w:marTop w:val="0"/>
      <w:marBottom w:val="0"/>
      <w:divBdr>
        <w:top w:val="none" w:sz="0" w:space="0" w:color="auto"/>
        <w:left w:val="none" w:sz="0" w:space="0" w:color="auto"/>
        <w:bottom w:val="none" w:sz="0" w:space="0" w:color="auto"/>
        <w:right w:val="none" w:sz="0" w:space="0" w:color="auto"/>
      </w:divBdr>
    </w:div>
    <w:div w:id="1114397947">
      <w:bodyDiv w:val="1"/>
      <w:marLeft w:val="0"/>
      <w:marRight w:val="0"/>
      <w:marTop w:val="0"/>
      <w:marBottom w:val="0"/>
      <w:divBdr>
        <w:top w:val="none" w:sz="0" w:space="0" w:color="auto"/>
        <w:left w:val="none" w:sz="0" w:space="0" w:color="auto"/>
        <w:bottom w:val="none" w:sz="0" w:space="0" w:color="auto"/>
        <w:right w:val="none" w:sz="0" w:space="0" w:color="auto"/>
      </w:divBdr>
      <w:divsChild>
        <w:div w:id="969365344">
          <w:marLeft w:val="0"/>
          <w:marRight w:val="0"/>
          <w:marTop w:val="0"/>
          <w:marBottom w:val="0"/>
          <w:divBdr>
            <w:top w:val="none" w:sz="0" w:space="0" w:color="auto"/>
            <w:left w:val="none" w:sz="0" w:space="0" w:color="auto"/>
            <w:bottom w:val="none" w:sz="0" w:space="0" w:color="auto"/>
            <w:right w:val="none" w:sz="0" w:space="0" w:color="auto"/>
          </w:divBdr>
          <w:divsChild>
            <w:div w:id="1302615021">
              <w:marLeft w:val="0"/>
              <w:marRight w:val="0"/>
              <w:marTop w:val="0"/>
              <w:marBottom w:val="0"/>
              <w:divBdr>
                <w:top w:val="none" w:sz="0" w:space="0" w:color="auto"/>
                <w:left w:val="none" w:sz="0" w:space="0" w:color="auto"/>
                <w:bottom w:val="none" w:sz="0" w:space="0" w:color="auto"/>
                <w:right w:val="none" w:sz="0" w:space="0" w:color="auto"/>
              </w:divBdr>
            </w:div>
          </w:divsChild>
        </w:div>
        <w:div w:id="1115518599">
          <w:marLeft w:val="0"/>
          <w:marRight w:val="0"/>
          <w:marTop w:val="0"/>
          <w:marBottom w:val="150"/>
          <w:divBdr>
            <w:top w:val="none" w:sz="0" w:space="0" w:color="auto"/>
            <w:left w:val="none" w:sz="0" w:space="0" w:color="auto"/>
            <w:bottom w:val="none" w:sz="0" w:space="0" w:color="auto"/>
            <w:right w:val="none" w:sz="0" w:space="0" w:color="auto"/>
          </w:divBdr>
          <w:divsChild>
            <w:div w:id="484012108">
              <w:marLeft w:val="0"/>
              <w:marRight w:val="0"/>
              <w:marTop w:val="0"/>
              <w:marBottom w:val="0"/>
              <w:divBdr>
                <w:top w:val="none" w:sz="0" w:space="0" w:color="auto"/>
                <w:left w:val="none" w:sz="0" w:space="0" w:color="auto"/>
                <w:bottom w:val="none" w:sz="0" w:space="0" w:color="auto"/>
                <w:right w:val="none" w:sz="0" w:space="0" w:color="auto"/>
              </w:divBdr>
              <w:divsChild>
                <w:div w:id="329716344">
                  <w:marLeft w:val="0"/>
                  <w:marRight w:val="0"/>
                  <w:marTop w:val="0"/>
                  <w:marBottom w:val="0"/>
                  <w:divBdr>
                    <w:top w:val="none" w:sz="0" w:space="0" w:color="auto"/>
                    <w:left w:val="none" w:sz="0" w:space="0" w:color="auto"/>
                    <w:bottom w:val="none" w:sz="0" w:space="0" w:color="auto"/>
                    <w:right w:val="none" w:sz="0" w:space="0" w:color="auto"/>
                  </w:divBdr>
                  <w:divsChild>
                    <w:div w:id="4690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2301">
      <w:bodyDiv w:val="1"/>
      <w:marLeft w:val="0"/>
      <w:marRight w:val="0"/>
      <w:marTop w:val="0"/>
      <w:marBottom w:val="0"/>
      <w:divBdr>
        <w:top w:val="none" w:sz="0" w:space="0" w:color="auto"/>
        <w:left w:val="none" w:sz="0" w:space="0" w:color="auto"/>
        <w:bottom w:val="none" w:sz="0" w:space="0" w:color="auto"/>
        <w:right w:val="none" w:sz="0" w:space="0" w:color="auto"/>
      </w:divBdr>
    </w:div>
    <w:div w:id="1210995409">
      <w:bodyDiv w:val="1"/>
      <w:marLeft w:val="0"/>
      <w:marRight w:val="0"/>
      <w:marTop w:val="0"/>
      <w:marBottom w:val="0"/>
      <w:divBdr>
        <w:top w:val="none" w:sz="0" w:space="0" w:color="auto"/>
        <w:left w:val="none" w:sz="0" w:space="0" w:color="auto"/>
        <w:bottom w:val="none" w:sz="0" w:space="0" w:color="auto"/>
        <w:right w:val="none" w:sz="0" w:space="0" w:color="auto"/>
      </w:divBdr>
      <w:divsChild>
        <w:div w:id="1745027431">
          <w:marLeft w:val="0"/>
          <w:marRight w:val="0"/>
          <w:marTop w:val="225"/>
          <w:marBottom w:val="225"/>
          <w:divBdr>
            <w:top w:val="none" w:sz="0" w:space="0" w:color="auto"/>
            <w:left w:val="none" w:sz="0" w:space="0" w:color="auto"/>
            <w:bottom w:val="none" w:sz="0" w:space="0" w:color="auto"/>
            <w:right w:val="none" w:sz="0" w:space="0" w:color="auto"/>
          </w:divBdr>
          <w:divsChild>
            <w:div w:id="1608194179">
              <w:marLeft w:val="0"/>
              <w:marRight w:val="0"/>
              <w:marTop w:val="0"/>
              <w:marBottom w:val="0"/>
              <w:divBdr>
                <w:top w:val="none" w:sz="0" w:space="0" w:color="auto"/>
                <w:left w:val="none" w:sz="0" w:space="0" w:color="auto"/>
                <w:bottom w:val="none" w:sz="0" w:space="0" w:color="auto"/>
                <w:right w:val="none" w:sz="0" w:space="0" w:color="auto"/>
              </w:divBdr>
              <w:divsChild>
                <w:div w:id="15734087">
                  <w:marLeft w:val="0"/>
                  <w:marRight w:val="0"/>
                  <w:marTop w:val="0"/>
                  <w:marBottom w:val="0"/>
                  <w:divBdr>
                    <w:top w:val="none" w:sz="0" w:space="0" w:color="auto"/>
                    <w:left w:val="none" w:sz="0" w:space="0" w:color="auto"/>
                    <w:bottom w:val="none" w:sz="0" w:space="0" w:color="auto"/>
                    <w:right w:val="none" w:sz="0" w:space="0" w:color="auto"/>
                  </w:divBdr>
                  <w:divsChild>
                    <w:div w:id="791897575">
                      <w:marLeft w:val="0"/>
                      <w:marRight w:val="0"/>
                      <w:marTop w:val="0"/>
                      <w:marBottom w:val="0"/>
                      <w:divBdr>
                        <w:top w:val="none" w:sz="0" w:space="0" w:color="auto"/>
                        <w:left w:val="none" w:sz="0" w:space="0" w:color="auto"/>
                        <w:bottom w:val="none" w:sz="0" w:space="0" w:color="auto"/>
                        <w:right w:val="none" w:sz="0" w:space="0" w:color="auto"/>
                      </w:divBdr>
                    </w:div>
                    <w:div w:id="3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730">
      <w:bodyDiv w:val="1"/>
      <w:marLeft w:val="0"/>
      <w:marRight w:val="0"/>
      <w:marTop w:val="0"/>
      <w:marBottom w:val="0"/>
      <w:divBdr>
        <w:top w:val="none" w:sz="0" w:space="0" w:color="auto"/>
        <w:left w:val="none" w:sz="0" w:space="0" w:color="auto"/>
        <w:bottom w:val="none" w:sz="0" w:space="0" w:color="auto"/>
        <w:right w:val="none" w:sz="0" w:space="0" w:color="auto"/>
      </w:divBdr>
      <w:divsChild>
        <w:div w:id="1818958306">
          <w:marLeft w:val="0"/>
          <w:marRight w:val="0"/>
          <w:marTop w:val="0"/>
          <w:marBottom w:val="0"/>
          <w:divBdr>
            <w:top w:val="none" w:sz="0" w:space="0" w:color="auto"/>
            <w:left w:val="none" w:sz="0" w:space="0" w:color="auto"/>
            <w:bottom w:val="none" w:sz="0" w:space="0" w:color="auto"/>
            <w:right w:val="none" w:sz="0" w:space="0" w:color="auto"/>
          </w:divBdr>
        </w:div>
        <w:div w:id="4137182">
          <w:marLeft w:val="0"/>
          <w:marRight w:val="0"/>
          <w:marTop w:val="0"/>
          <w:marBottom w:val="0"/>
          <w:divBdr>
            <w:top w:val="none" w:sz="0" w:space="0" w:color="auto"/>
            <w:left w:val="none" w:sz="0" w:space="0" w:color="auto"/>
            <w:bottom w:val="none" w:sz="0" w:space="0" w:color="auto"/>
            <w:right w:val="none" w:sz="0" w:space="0" w:color="auto"/>
          </w:divBdr>
        </w:div>
        <w:div w:id="1958679075">
          <w:marLeft w:val="0"/>
          <w:marRight w:val="0"/>
          <w:marTop w:val="0"/>
          <w:marBottom w:val="0"/>
          <w:divBdr>
            <w:top w:val="none" w:sz="0" w:space="0" w:color="auto"/>
            <w:left w:val="none" w:sz="0" w:space="0" w:color="auto"/>
            <w:bottom w:val="none" w:sz="0" w:space="0" w:color="auto"/>
            <w:right w:val="none" w:sz="0" w:space="0" w:color="auto"/>
          </w:divBdr>
        </w:div>
      </w:divsChild>
    </w:div>
    <w:div w:id="1657881133">
      <w:bodyDiv w:val="1"/>
      <w:marLeft w:val="0"/>
      <w:marRight w:val="0"/>
      <w:marTop w:val="0"/>
      <w:marBottom w:val="0"/>
      <w:divBdr>
        <w:top w:val="none" w:sz="0" w:space="0" w:color="auto"/>
        <w:left w:val="none" w:sz="0" w:space="0" w:color="auto"/>
        <w:bottom w:val="none" w:sz="0" w:space="0" w:color="auto"/>
        <w:right w:val="none" w:sz="0" w:space="0" w:color="auto"/>
      </w:divBdr>
    </w:div>
    <w:div w:id="1742556999">
      <w:bodyDiv w:val="1"/>
      <w:marLeft w:val="0"/>
      <w:marRight w:val="0"/>
      <w:marTop w:val="0"/>
      <w:marBottom w:val="0"/>
      <w:divBdr>
        <w:top w:val="none" w:sz="0" w:space="0" w:color="auto"/>
        <w:left w:val="none" w:sz="0" w:space="0" w:color="auto"/>
        <w:bottom w:val="none" w:sz="0" w:space="0" w:color="auto"/>
        <w:right w:val="none" w:sz="0" w:space="0" w:color="auto"/>
      </w:divBdr>
      <w:divsChild>
        <w:div w:id="1069379646">
          <w:marLeft w:val="0"/>
          <w:marRight w:val="0"/>
          <w:marTop w:val="0"/>
          <w:marBottom w:val="0"/>
          <w:divBdr>
            <w:top w:val="none" w:sz="0" w:space="0" w:color="auto"/>
            <w:left w:val="none" w:sz="0" w:space="0" w:color="auto"/>
            <w:bottom w:val="none" w:sz="0" w:space="0" w:color="auto"/>
            <w:right w:val="none" w:sz="0" w:space="0" w:color="auto"/>
          </w:divBdr>
        </w:div>
        <w:div w:id="463935058">
          <w:marLeft w:val="0"/>
          <w:marRight w:val="0"/>
          <w:marTop w:val="0"/>
          <w:marBottom w:val="0"/>
          <w:divBdr>
            <w:top w:val="none" w:sz="0" w:space="0" w:color="auto"/>
            <w:left w:val="none" w:sz="0" w:space="0" w:color="auto"/>
            <w:bottom w:val="none" w:sz="0" w:space="0" w:color="auto"/>
            <w:right w:val="none" w:sz="0" w:space="0" w:color="auto"/>
          </w:divBdr>
        </w:div>
        <w:div w:id="1190218380">
          <w:marLeft w:val="0"/>
          <w:marRight w:val="0"/>
          <w:marTop w:val="0"/>
          <w:marBottom w:val="0"/>
          <w:divBdr>
            <w:top w:val="none" w:sz="0" w:space="0" w:color="auto"/>
            <w:left w:val="none" w:sz="0" w:space="0" w:color="auto"/>
            <w:bottom w:val="none" w:sz="0" w:space="0" w:color="auto"/>
            <w:right w:val="none" w:sz="0" w:space="0" w:color="auto"/>
          </w:divBdr>
        </w:div>
        <w:div w:id="2127003122">
          <w:marLeft w:val="0"/>
          <w:marRight w:val="0"/>
          <w:marTop w:val="0"/>
          <w:marBottom w:val="0"/>
          <w:divBdr>
            <w:top w:val="none" w:sz="0" w:space="0" w:color="auto"/>
            <w:left w:val="none" w:sz="0" w:space="0" w:color="auto"/>
            <w:bottom w:val="none" w:sz="0" w:space="0" w:color="auto"/>
            <w:right w:val="none" w:sz="0" w:space="0" w:color="auto"/>
          </w:divBdr>
        </w:div>
      </w:divsChild>
    </w:div>
    <w:div w:id="1801604288">
      <w:bodyDiv w:val="1"/>
      <w:marLeft w:val="0"/>
      <w:marRight w:val="0"/>
      <w:marTop w:val="0"/>
      <w:marBottom w:val="0"/>
      <w:divBdr>
        <w:top w:val="none" w:sz="0" w:space="0" w:color="auto"/>
        <w:left w:val="none" w:sz="0" w:space="0" w:color="auto"/>
        <w:bottom w:val="none" w:sz="0" w:space="0" w:color="auto"/>
        <w:right w:val="none" w:sz="0" w:space="0" w:color="auto"/>
      </w:divBdr>
    </w:div>
    <w:div w:id="1850825555">
      <w:bodyDiv w:val="1"/>
      <w:marLeft w:val="0"/>
      <w:marRight w:val="0"/>
      <w:marTop w:val="0"/>
      <w:marBottom w:val="0"/>
      <w:divBdr>
        <w:top w:val="none" w:sz="0" w:space="0" w:color="auto"/>
        <w:left w:val="none" w:sz="0" w:space="0" w:color="auto"/>
        <w:bottom w:val="none" w:sz="0" w:space="0" w:color="auto"/>
        <w:right w:val="none" w:sz="0" w:space="0" w:color="auto"/>
      </w:divBdr>
    </w:div>
    <w:div w:id="1972132544">
      <w:bodyDiv w:val="1"/>
      <w:marLeft w:val="0"/>
      <w:marRight w:val="0"/>
      <w:marTop w:val="0"/>
      <w:marBottom w:val="0"/>
      <w:divBdr>
        <w:top w:val="none" w:sz="0" w:space="0" w:color="auto"/>
        <w:left w:val="none" w:sz="0" w:space="0" w:color="auto"/>
        <w:bottom w:val="none" w:sz="0" w:space="0" w:color="auto"/>
        <w:right w:val="none" w:sz="0" w:space="0" w:color="auto"/>
      </w:divBdr>
    </w:div>
    <w:div w:id="1984770459">
      <w:bodyDiv w:val="1"/>
      <w:marLeft w:val="0"/>
      <w:marRight w:val="0"/>
      <w:marTop w:val="0"/>
      <w:marBottom w:val="0"/>
      <w:divBdr>
        <w:top w:val="none" w:sz="0" w:space="0" w:color="auto"/>
        <w:left w:val="none" w:sz="0" w:space="0" w:color="auto"/>
        <w:bottom w:val="none" w:sz="0" w:space="0" w:color="auto"/>
        <w:right w:val="none" w:sz="0" w:space="0" w:color="auto"/>
      </w:divBdr>
    </w:div>
    <w:div w:id="2039505002">
      <w:bodyDiv w:val="1"/>
      <w:marLeft w:val="0"/>
      <w:marRight w:val="0"/>
      <w:marTop w:val="0"/>
      <w:marBottom w:val="0"/>
      <w:divBdr>
        <w:top w:val="none" w:sz="0" w:space="0" w:color="auto"/>
        <w:left w:val="none" w:sz="0" w:space="0" w:color="auto"/>
        <w:bottom w:val="none" w:sz="0" w:space="0" w:color="auto"/>
        <w:right w:val="none" w:sz="0" w:space="0" w:color="auto"/>
      </w:divBdr>
    </w:div>
    <w:div w:id="20921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0018392156014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177/00018392187715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111/j.1541-0072.1980.tb01266.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ciencemag.org/news/2016/04/us-looking-expert-panel-predict-future-g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37</Pages>
  <Words>10911</Words>
  <Characters>62194</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2018-12-31T22:39:00Z</cp:lastPrinted>
  <dcterms:created xsi:type="dcterms:W3CDTF">2019-01-14T16:16:00Z</dcterms:created>
  <dcterms:modified xsi:type="dcterms:W3CDTF">2019-01-14T17:16:00Z</dcterms:modified>
</cp:coreProperties>
</file>