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277EB" w14:textId="04C310E4" w:rsidR="00F43CB1" w:rsidRPr="00451105" w:rsidRDefault="00F43CB1" w:rsidP="008D4F39">
      <w:pPr>
        <w:widowControl w:val="0"/>
        <w:autoSpaceDE w:val="0"/>
        <w:autoSpaceDN w:val="0"/>
        <w:adjustRightInd w:val="0"/>
        <w:spacing w:after="240"/>
        <w:ind w:firstLine="720"/>
        <w:jc w:val="center"/>
        <w:rPr>
          <w:rFonts w:cs="Times New Roman"/>
          <w:b/>
          <w:bCs/>
          <w:sz w:val="28"/>
          <w:szCs w:val="28"/>
        </w:rPr>
      </w:pPr>
      <w:r w:rsidRPr="00451105">
        <w:rPr>
          <w:rFonts w:cs="Times New Roman"/>
          <w:b/>
          <w:bCs/>
          <w:sz w:val="28"/>
          <w:szCs w:val="28"/>
        </w:rPr>
        <w:t>RECKONING CONTRACT DAMAGES: VALUATION OF THE CONTRACT AS AN ASSET</w:t>
      </w:r>
    </w:p>
    <w:p w14:paraId="008F2254" w14:textId="34ADFBAF" w:rsidR="00F43CB1" w:rsidRDefault="00F43CB1" w:rsidP="008D4F39">
      <w:pPr>
        <w:widowControl w:val="0"/>
        <w:autoSpaceDE w:val="0"/>
        <w:autoSpaceDN w:val="0"/>
        <w:adjustRightInd w:val="0"/>
        <w:spacing w:after="240"/>
        <w:ind w:firstLine="720"/>
        <w:jc w:val="center"/>
        <w:rPr>
          <w:rFonts w:cs="Times New Roman"/>
          <w:b/>
        </w:rPr>
      </w:pPr>
      <w:r w:rsidRPr="00451105">
        <w:rPr>
          <w:rFonts w:cs="Times New Roman"/>
          <w:b/>
        </w:rPr>
        <w:t xml:space="preserve">Victor </w:t>
      </w:r>
      <w:r w:rsidR="007C474E">
        <w:rPr>
          <w:rFonts w:cs="Times New Roman"/>
          <w:b/>
        </w:rPr>
        <w:t xml:space="preserve">P. </w:t>
      </w:r>
      <w:r w:rsidRPr="00451105">
        <w:rPr>
          <w:rFonts w:cs="Times New Roman"/>
          <w:b/>
        </w:rPr>
        <w:t>Goldberg</w:t>
      </w:r>
    </w:p>
    <w:p w14:paraId="33195F87" w14:textId="3F708712" w:rsidR="00044A00" w:rsidRPr="00451105" w:rsidRDefault="002E24C5" w:rsidP="007B20F5">
      <w:pPr>
        <w:widowControl w:val="0"/>
        <w:autoSpaceDE w:val="0"/>
        <w:autoSpaceDN w:val="0"/>
        <w:adjustRightInd w:val="0"/>
        <w:ind w:firstLine="720"/>
        <w:rPr>
          <w:rFonts w:cs="Times New Roman"/>
        </w:rPr>
      </w:pPr>
      <w:r w:rsidRPr="00451105">
        <w:rPr>
          <w:rFonts w:cs="Times New Roman"/>
        </w:rPr>
        <w:t xml:space="preserve">When a contract is breached the law typically provides some version of the aphorism that the non-breaching party should be made whole. </w:t>
      </w:r>
      <w:r w:rsidR="009026AB" w:rsidRPr="00451105">
        <w:rPr>
          <w:rFonts w:cs="Times New Roman"/>
        </w:rPr>
        <w:t>The UCC provides that “[t]he remedies provided by this Act shall be liberally administered to the end that the aggrieved party may be put in as good a position as if the other party had fully performed.”</w:t>
      </w:r>
      <w:r w:rsidR="009026AB" w:rsidRPr="00451105">
        <w:rPr>
          <w:rStyle w:val="FootnoteReference"/>
          <w:rFonts w:cs="Times New Roman"/>
        </w:rPr>
        <w:footnoteReference w:id="1"/>
      </w:r>
      <w:r w:rsidRPr="00451105">
        <w:rPr>
          <w:rFonts w:cs="Times New Roman"/>
        </w:rPr>
        <w:t xml:space="preserve"> </w:t>
      </w:r>
      <w:r w:rsidR="00245D5B" w:rsidRPr="00451105">
        <w:rPr>
          <w:rFonts w:cs="Times New Roman"/>
        </w:rPr>
        <w:t>The English version, going</w:t>
      </w:r>
      <w:r w:rsidR="006C6FE2" w:rsidRPr="00451105">
        <w:rPr>
          <w:rFonts w:cs="Times New Roman"/>
        </w:rPr>
        <w:t xml:space="preserve"> back to</w:t>
      </w:r>
      <w:r w:rsidR="0047722B" w:rsidRPr="00451105">
        <w:rPr>
          <w:rFonts w:cs="Times New Roman"/>
        </w:rPr>
        <w:t xml:space="preserve"> </w:t>
      </w:r>
      <w:r w:rsidR="006C6FE2" w:rsidRPr="00451105">
        <w:rPr>
          <w:rFonts w:cs="Times New Roman"/>
          <w:i/>
        </w:rPr>
        <w:t>Robinson v Harman</w:t>
      </w:r>
      <w:r w:rsidR="006C6FE2" w:rsidRPr="00451105">
        <w:rPr>
          <w:rFonts w:cs="Times New Roman"/>
        </w:rPr>
        <w:t xml:space="preserve"> (1848),</w:t>
      </w:r>
      <w:r w:rsidR="006C6FE2" w:rsidRPr="00451105">
        <w:rPr>
          <w:rStyle w:val="FootnoteReference"/>
          <w:rFonts w:cs="Times New Roman"/>
        </w:rPr>
        <w:footnoteReference w:id="2"/>
      </w:r>
      <w:r w:rsidR="006C6FE2" w:rsidRPr="00451105">
        <w:rPr>
          <w:rFonts w:cs="Times New Roman"/>
        </w:rPr>
        <w:t xml:space="preserve"> is “that where a party sustains a loss by reason of breach of contract, he is, so far as money can do it, to be placed in the same situation, with respect to damages, as if the contract had been performed”. </w:t>
      </w:r>
      <w:r w:rsidR="006176CE">
        <w:rPr>
          <w:rFonts w:cs="Times New Roman"/>
        </w:rPr>
        <w:t xml:space="preserve">Similarly, under Article 74 of </w:t>
      </w:r>
      <w:r w:rsidR="006176CE">
        <w:rPr>
          <w:rFonts w:cs="Times New Roman"/>
          <w:color w:val="000000"/>
        </w:rPr>
        <w:t>t</w:t>
      </w:r>
      <w:r w:rsidR="00764A31" w:rsidRPr="00451105">
        <w:rPr>
          <w:rFonts w:cs="Times New Roman"/>
          <w:color w:val="000000"/>
        </w:rPr>
        <w:t xml:space="preserve">he CISG </w:t>
      </w:r>
      <w:r w:rsidR="00875E74" w:rsidRPr="00451105">
        <w:rPr>
          <w:rFonts w:cs="Times New Roman"/>
          <w:color w:val="000000"/>
        </w:rPr>
        <w:t>“</w:t>
      </w:r>
      <w:r w:rsidR="00875E74" w:rsidRPr="00451105">
        <w:rPr>
          <w:rFonts w:eastAsia="Times New Roman" w:cs="Times New Roman"/>
        </w:rPr>
        <w:t>damages are based on the principle that damages should provide the injured party with the benefit of the bargain, including expectation and reliance damages.”</w:t>
      </w:r>
      <w:r w:rsidR="00875E74" w:rsidRPr="00451105">
        <w:rPr>
          <w:rStyle w:val="FootnoteReference"/>
          <w:rFonts w:eastAsia="Times New Roman" w:cs="Times New Roman"/>
        </w:rPr>
        <w:footnoteReference w:id="3"/>
      </w:r>
      <w:r w:rsidR="00875E74" w:rsidRPr="00451105">
        <w:rPr>
          <w:rFonts w:eastAsia="Times New Roman" w:cs="Times New Roman"/>
        </w:rPr>
        <w:t xml:space="preserve"> </w:t>
      </w:r>
      <w:r w:rsidR="00044A00" w:rsidRPr="00451105">
        <w:rPr>
          <w:rFonts w:cs="Times New Roman"/>
          <w:color w:val="000000"/>
        </w:rPr>
        <w:t xml:space="preserve">International arbitrations often cite the so-called </w:t>
      </w:r>
      <w:r w:rsidR="00044A00" w:rsidRPr="00451105">
        <w:rPr>
          <w:rFonts w:cs="Times New Roman"/>
          <w:i/>
          <w:color w:val="000000"/>
        </w:rPr>
        <w:t>Chorzow Factory</w:t>
      </w:r>
      <w:r w:rsidR="00044A00" w:rsidRPr="00451105">
        <w:rPr>
          <w:rFonts w:cs="Times New Roman"/>
          <w:color w:val="000000"/>
        </w:rPr>
        <w:t xml:space="preserve"> rule: “</w:t>
      </w:r>
      <w:r w:rsidR="00044A00" w:rsidRPr="00451105">
        <w:rPr>
          <w:rFonts w:cs="Times New Roman"/>
        </w:rPr>
        <w:t>reparation must, as far as possible, wipe out all the consequences of the illegal act and reestablish the situation which would, in all probability, have existed if that act had not been committed.”</w:t>
      </w:r>
      <w:r w:rsidR="00044A00" w:rsidRPr="00451105">
        <w:rPr>
          <w:rStyle w:val="FootnoteReference"/>
          <w:rFonts w:cs="Times New Roman"/>
        </w:rPr>
        <w:footnoteReference w:id="4"/>
      </w:r>
      <w:r w:rsidR="00EF27A1" w:rsidRPr="00451105">
        <w:rPr>
          <w:rFonts w:cs="Times New Roman"/>
        </w:rPr>
        <w:t xml:space="preserve"> </w:t>
      </w:r>
      <w:r w:rsidR="006176CE">
        <w:rPr>
          <w:rFonts w:cs="Times New Roman"/>
        </w:rPr>
        <w:t>However, a</w:t>
      </w:r>
      <w:r w:rsidR="007B20F5" w:rsidRPr="00451105">
        <w:rPr>
          <w:rFonts w:cs="Times New Roman"/>
        </w:rPr>
        <w:t>pplication</w:t>
      </w:r>
      <w:r w:rsidR="00F2386E" w:rsidRPr="00451105">
        <w:rPr>
          <w:rFonts w:cs="Times New Roman"/>
        </w:rPr>
        <w:t xml:space="preserve"> of the aphorism has proven more problematic. In this paper I propose a gener</w:t>
      </w:r>
      <w:r w:rsidR="00986F86" w:rsidRPr="00451105">
        <w:rPr>
          <w:rFonts w:cs="Times New Roman"/>
        </w:rPr>
        <w:t xml:space="preserve">al principle that should guide </w:t>
      </w:r>
      <w:r w:rsidR="007B20F5" w:rsidRPr="00451105">
        <w:rPr>
          <w:rFonts w:cs="Times New Roman"/>
        </w:rPr>
        <w:t>applic</w:t>
      </w:r>
      <w:r w:rsidR="00F2386E" w:rsidRPr="00451105">
        <w:rPr>
          <w:rFonts w:cs="Times New Roman"/>
        </w:rPr>
        <w:t>ation</w:t>
      </w:r>
      <w:r w:rsidR="00875E74" w:rsidRPr="00451105">
        <w:rPr>
          <w:rFonts w:cs="Times New Roman"/>
        </w:rPr>
        <w:t>—the contract is an asset and the problem is one of valuation of that asset at the time of the breach.</w:t>
      </w:r>
      <w:r w:rsidR="00875E74" w:rsidRPr="00451105">
        <w:rPr>
          <w:rStyle w:val="FootnoteReference"/>
          <w:rFonts w:cs="Times New Roman"/>
        </w:rPr>
        <w:footnoteReference w:id="5"/>
      </w:r>
      <w:r w:rsidR="006024B2" w:rsidRPr="00451105">
        <w:rPr>
          <w:rFonts w:cs="Times New Roman"/>
        </w:rPr>
        <w:t xml:space="preserve"> </w:t>
      </w:r>
      <w:r w:rsidR="00EE63E6">
        <w:rPr>
          <w:rFonts w:cs="Times New Roman"/>
        </w:rPr>
        <w:t>This</w:t>
      </w:r>
      <w:r w:rsidR="006024B2" w:rsidRPr="00451105">
        <w:rPr>
          <w:rFonts w:cs="Times New Roman"/>
        </w:rPr>
        <w:t xml:space="preserve"> provide</w:t>
      </w:r>
      <w:r w:rsidR="00EE63E6">
        <w:rPr>
          <w:rFonts w:cs="Times New Roman"/>
        </w:rPr>
        <w:t>s</w:t>
      </w:r>
      <w:r w:rsidR="006024B2" w:rsidRPr="00451105">
        <w:rPr>
          <w:rFonts w:cs="Times New Roman"/>
        </w:rPr>
        <w:t>, I argue, a framework that will help clear up some conceptual problems in damage assessment.</w:t>
      </w:r>
      <w:r w:rsidR="00551FAF">
        <w:rPr>
          <w:rFonts w:cs="Times New Roman"/>
        </w:rPr>
        <w:t xml:space="preserve"> In particular, it will integrate three concepts—cover, lost profits, and mitigation—under the asset valuation umbrella.</w:t>
      </w:r>
    </w:p>
    <w:p w14:paraId="68F26B28" w14:textId="77777777" w:rsidR="007B20F5" w:rsidRPr="00451105" w:rsidRDefault="007B20F5" w:rsidP="007B20F5">
      <w:pPr>
        <w:widowControl w:val="0"/>
        <w:autoSpaceDE w:val="0"/>
        <w:autoSpaceDN w:val="0"/>
        <w:adjustRightInd w:val="0"/>
        <w:ind w:firstLine="720"/>
        <w:rPr>
          <w:rFonts w:cs="Times New Roman"/>
        </w:rPr>
      </w:pPr>
    </w:p>
    <w:p w14:paraId="45F51DC6" w14:textId="330983AB" w:rsidR="00392CE9" w:rsidRDefault="008E0F72" w:rsidP="000F0835">
      <w:pPr>
        <w:ind w:firstLine="720"/>
      </w:pPr>
      <w:r w:rsidRPr="00451105">
        <w:rPr>
          <w:rFonts w:cs="Times New Roman"/>
        </w:rPr>
        <w:t>Consider</w:t>
      </w:r>
      <w:r w:rsidR="00282830" w:rsidRPr="00451105">
        <w:rPr>
          <w:rFonts w:cs="Times New Roman"/>
        </w:rPr>
        <w:t xml:space="preserve"> three patterns in which a contract might be breached. In the first, the breach occurs at the time of performance. That is the simplest case. </w:t>
      </w:r>
      <w:r w:rsidR="00AC58EF" w:rsidRPr="00451105">
        <w:rPr>
          <w:rFonts w:cs="Times New Roman"/>
        </w:rPr>
        <w:t xml:space="preserve">The second </w:t>
      </w:r>
      <w:r w:rsidR="00282830" w:rsidRPr="00451105">
        <w:rPr>
          <w:rFonts w:cs="Times New Roman"/>
        </w:rPr>
        <w:t>is an anticipatory repudiation in which the b</w:t>
      </w:r>
      <w:r w:rsidR="006176CE">
        <w:rPr>
          <w:rFonts w:cs="Times New Roman"/>
        </w:rPr>
        <w:t>reach occurs before the time for</w:t>
      </w:r>
      <w:r w:rsidR="00282830" w:rsidRPr="00451105">
        <w:rPr>
          <w:rFonts w:cs="Times New Roman"/>
        </w:rPr>
        <w:t xml:space="preserve"> performance, and the litigation takes place after the date of performance. Finally, the </w:t>
      </w:r>
      <w:r w:rsidR="00AC58EF" w:rsidRPr="00451105">
        <w:rPr>
          <w:rFonts w:cs="Times New Roman"/>
        </w:rPr>
        <w:t>third involves a breach</w:t>
      </w:r>
      <w:r w:rsidR="00282830" w:rsidRPr="00451105">
        <w:rPr>
          <w:rFonts w:cs="Times New Roman"/>
        </w:rPr>
        <w:t xml:space="preserve"> of a long-term contract</w:t>
      </w:r>
      <w:r w:rsidR="00AC58EF" w:rsidRPr="00451105">
        <w:rPr>
          <w:rFonts w:cs="Times New Roman"/>
        </w:rPr>
        <w:t>,</w:t>
      </w:r>
      <w:r w:rsidR="00282830" w:rsidRPr="00451105">
        <w:rPr>
          <w:rFonts w:cs="Times New Roman"/>
        </w:rPr>
        <w:t xml:space="preserve"> the performance </w:t>
      </w:r>
      <w:r w:rsidR="00AC58EF" w:rsidRPr="00451105">
        <w:rPr>
          <w:rFonts w:cs="Times New Roman"/>
        </w:rPr>
        <w:t xml:space="preserve">of which </w:t>
      </w:r>
      <w:r w:rsidR="00282830" w:rsidRPr="00451105">
        <w:rPr>
          <w:rFonts w:cs="Times New Roman"/>
        </w:rPr>
        <w:t xml:space="preserve">was to continue past the date the litigation would be resolved. At what point should damages be reckoned? </w:t>
      </w:r>
      <w:r w:rsidR="00392CE9">
        <w:t xml:space="preserve">I will argue that at the moment of breach or repudiation, the damages would be the change in the value of the contract (the asset). That implies that when assessing damages, to the extent possible, post-breach facts should be ignored. </w:t>
      </w:r>
    </w:p>
    <w:p w14:paraId="6784064D" w14:textId="5F8EB05C" w:rsidR="00392CE9" w:rsidRPr="00451105" w:rsidRDefault="00392CE9" w:rsidP="000A37DD">
      <w:pPr>
        <w:rPr>
          <w:rFonts w:cs="Times New Roman"/>
        </w:rPr>
      </w:pPr>
    </w:p>
    <w:p w14:paraId="755E40E4" w14:textId="135E0E01" w:rsidR="009026AB" w:rsidRPr="00451105" w:rsidRDefault="00986F86" w:rsidP="00083949">
      <w:pPr>
        <w:ind w:firstLine="720"/>
        <w:rPr>
          <w:rFonts w:cs="Times New Roman"/>
        </w:rPr>
      </w:pPr>
      <w:r w:rsidRPr="00451105">
        <w:rPr>
          <w:rFonts w:cs="Times New Roman"/>
        </w:rPr>
        <w:t>Let us begin with the simple</w:t>
      </w:r>
      <w:r w:rsidR="008E46DB" w:rsidRPr="00451105">
        <w:rPr>
          <w:rFonts w:cs="Times New Roman"/>
        </w:rPr>
        <w:t xml:space="preserve"> case. </w:t>
      </w:r>
      <w:r w:rsidR="009026AB" w:rsidRPr="00451105">
        <w:rPr>
          <w:rFonts w:cs="Times New Roman"/>
        </w:rPr>
        <w:t xml:space="preserve">Suppose </w:t>
      </w:r>
      <w:r w:rsidR="00AC58EF" w:rsidRPr="00451105">
        <w:rPr>
          <w:rFonts w:cs="Times New Roman"/>
        </w:rPr>
        <w:t xml:space="preserve">that </w:t>
      </w:r>
      <w:r w:rsidR="00911145" w:rsidRPr="00451105">
        <w:rPr>
          <w:rFonts w:cs="Times New Roman"/>
        </w:rPr>
        <w:t xml:space="preserve">Sam </w:t>
      </w:r>
      <w:r w:rsidR="009026AB" w:rsidRPr="00451105">
        <w:rPr>
          <w:rFonts w:cs="Times New Roman"/>
        </w:rPr>
        <w:t xml:space="preserve">Smith agrees to sell 1,000 shares of Widgetco stock to </w:t>
      </w:r>
      <w:r w:rsidR="00911145" w:rsidRPr="00451105">
        <w:rPr>
          <w:rFonts w:cs="Times New Roman"/>
        </w:rPr>
        <w:t xml:space="preserve">Betsy </w:t>
      </w:r>
      <w:r w:rsidR="009026AB" w:rsidRPr="00451105">
        <w:rPr>
          <w:rFonts w:cs="Times New Roman"/>
        </w:rPr>
        <w:t>Brown for delivery on June 1</w:t>
      </w:r>
      <w:r w:rsidR="00733C45" w:rsidRPr="00451105">
        <w:rPr>
          <w:rFonts w:cs="Times New Roman"/>
        </w:rPr>
        <w:t xml:space="preserve"> at $10 per share. On June 1 the market price is $16 and Smith reneges. The case is decided on December 1, (hypothetical courts can work very fast) at which time the price has fall</w:t>
      </w:r>
      <w:r w:rsidR="00AC58EF" w:rsidRPr="00451105">
        <w:rPr>
          <w:rFonts w:cs="Times New Roman"/>
        </w:rPr>
        <w:t>en to $9. Brown sues for $6,000, the contract-market differential</w:t>
      </w:r>
      <w:r w:rsidR="006176CE">
        <w:rPr>
          <w:rFonts w:cs="Times New Roman"/>
        </w:rPr>
        <w:t xml:space="preserve"> at the date of breach</w:t>
      </w:r>
      <w:r w:rsidR="00AC58EF" w:rsidRPr="00451105">
        <w:rPr>
          <w:rFonts w:cs="Times New Roman"/>
        </w:rPr>
        <w:t>.</w:t>
      </w:r>
      <w:r w:rsidR="00733C45" w:rsidRPr="00451105">
        <w:rPr>
          <w:rFonts w:cs="Times New Roman"/>
        </w:rPr>
        <w:t xml:space="preserve"> Smith counters, </w:t>
      </w:r>
      <w:r w:rsidR="00733C45" w:rsidRPr="00451105">
        <w:rPr>
          <w:rFonts w:cs="Times New Roman"/>
        </w:rPr>
        <w:lastRenderedPageBreak/>
        <w:t>claiming that he had done Brown a favor and that there should be no damages</w:t>
      </w:r>
      <w:r w:rsidR="00C77432">
        <w:rPr>
          <w:rFonts w:cs="Times New Roman"/>
        </w:rPr>
        <w:t>; the $6,000 would be a windfall for Brown</w:t>
      </w:r>
      <w:r w:rsidR="00733C45" w:rsidRPr="00451105">
        <w:rPr>
          <w:rFonts w:cs="Times New Roman"/>
        </w:rPr>
        <w:t xml:space="preserve">. </w:t>
      </w:r>
      <w:r w:rsidR="00517F1C" w:rsidRPr="00451105">
        <w:rPr>
          <w:rFonts w:cs="Times New Roman"/>
        </w:rPr>
        <w:t>Alternatively, suppose that on December 1 the price had risen to $25 per share. Bro</w:t>
      </w:r>
      <w:r w:rsidR="00AC58EF" w:rsidRPr="00451105">
        <w:rPr>
          <w:rFonts w:cs="Times New Roman"/>
        </w:rPr>
        <w:t xml:space="preserve">wn </w:t>
      </w:r>
      <w:r w:rsidR="006176CE">
        <w:rPr>
          <w:rFonts w:cs="Times New Roman"/>
        </w:rPr>
        <w:t>would now claim</w:t>
      </w:r>
      <w:r w:rsidR="00AC58EF" w:rsidRPr="00451105">
        <w:rPr>
          <w:rFonts w:cs="Times New Roman"/>
        </w:rPr>
        <w:t xml:space="preserve"> that her damage should be</w:t>
      </w:r>
      <w:r w:rsidR="00517F1C" w:rsidRPr="00451105">
        <w:rPr>
          <w:rFonts w:cs="Times New Roman"/>
        </w:rPr>
        <w:t xml:space="preserve"> measured by the price differential on December 1</w:t>
      </w:r>
      <w:r w:rsidR="00AC58EF" w:rsidRPr="00451105">
        <w:rPr>
          <w:rFonts w:cs="Times New Roman"/>
        </w:rPr>
        <w:t>,</w:t>
      </w:r>
      <w:r w:rsidR="00517F1C" w:rsidRPr="00451105">
        <w:rPr>
          <w:rFonts w:cs="Times New Roman"/>
        </w:rPr>
        <w:t xml:space="preserve"> and therefore she should receive $15,000.</w:t>
      </w:r>
      <w:r w:rsidR="008E46DB" w:rsidRPr="00451105">
        <w:rPr>
          <w:rFonts w:cs="Times New Roman"/>
        </w:rPr>
        <w:t xml:space="preserve"> </w:t>
      </w:r>
      <w:r w:rsidR="006176CE">
        <w:rPr>
          <w:rFonts w:cs="Times New Roman"/>
        </w:rPr>
        <w:t xml:space="preserve">Smith would argue that damages should be measured by the differential at the date of breach, June 1. </w:t>
      </w:r>
      <w:r w:rsidR="008E46DB" w:rsidRPr="00451105">
        <w:rPr>
          <w:rFonts w:cs="Times New Roman"/>
        </w:rPr>
        <w:t xml:space="preserve">At the time the claim is being litigated it clearly would matter whether we chose the date of breach or the date of litigation as the appropriate date for assessing damages. But at the time the parties entered into the contract, would it matter? </w:t>
      </w:r>
    </w:p>
    <w:p w14:paraId="0F1324C2" w14:textId="77777777" w:rsidR="00620A84" w:rsidRPr="00451105" w:rsidRDefault="00620A84" w:rsidP="00083949">
      <w:pPr>
        <w:ind w:firstLine="720"/>
        <w:rPr>
          <w:rFonts w:cs="Times New Roman"/>
        </w:rPr>
      </w:pPr>
    </w:p>
    <w:p w14:paraId="48DF498D" w14:textId="09BF7E7B" w:rsidR="00D4604C" w:rsidRPr="00451105" w:rsidRDefault="00620A84" w:rsidP="00D4604C">
      <w:pPr>
        <w:ind w:firstLine="720"/>
        <w:rPr>
          <w:rFonts w:cs="Times New Roman"/>
        </w:rPr>
      </w:pPr>
      <w:r w:rsidRPr="00451105">
        <w:rPr>
          <w:rFonts w:cs="Times New Roman"/>
        </w:rPr>
        <w:t xml:space="preserve">Subject to a caveat to be developed below, the answer is </w:t>
      </w:r>
      <w:r w:rsidR="006176CE">
        <w:rPr>
          <w:rFonts w:cs="Times New Roman"/>
        </w:rPr>
        <w:t>“</w:t>
      </w:r>
      <w:r w:rsidRPr="00451105">
        <w:rPr>
          <w:rFonts w:cs="Times New Roman"/>
        </w:rPr>
        <w:t>No.</w:t>
      </w:r>
      <w:r w:rsidR="006176CE">
        <w:rPr>
          <w:rFonts w:cs="Times New Roman"/>
        </w:rPr>
        <w:t>”</w:t>
      </w:r>
      <w:r w:rsidRPr="00451105">
        <w:rPr>
          <w:rFonts w:cs="Times New Roman"/>
        </w:rPr>
        <w:t xml:space="preserve"> The </w:t>
      </w:r>
      <w:r w:rsidR="003D1EA7">
        <w:rPr>
          <w:rFonts w:cs="Times New Roman"/>
        </w:rPr>
        <w:t xml:space="preserve">forward price </w:t>
      </w:r>
      <w:r w:rsidRPr="00451105">
        <w:rPr>
          <w:rFonts w:cs="Times New Roman"/>
        </w:rPr>
        <w:t>at the time of</w:t>
      </w:r>
      <w:r w:rsidR="003D1EA7">
        <w:rPr>
          <w:rFonts w:cs="Times New Roman"/>
        </w:rPr>
        <w:t xml:space="preserve"> the breach (or repudiation)</w:t>
      </w:r>
      <w:r w:rsidRPr="00451105">
        <w:rPr>
          <w:rFonts w:cs="Times New Roman"/>
        </w:rPr>
        <w:t xml:space="preserve"> should be the </w:t>
      </w:r>
      <w:r w:rsidR="003D1EA7">
        <w:rPr>
          <w:rFonts w:cs="Times New Roman"/>
          <w:i/>
        </w:rPr>
        <w:t xml:space="preserve">expected </w:t>
      </w:r>
      <w:r w:rsidRPr="00451105">
        <w:rPr>
          <w:rFonts w:cs="Times New Roman"/>
        </w:rPr>
        <w:t xml:space="preserve">value at the time of the </w:t>
      </w:r>
      <w:r w:rsidR="003D1EA7">
        <w:rPr>
          <w:rFonts w:cs="Times New Roman"/>
        </w:rPr>
        <w:t>litigation</w:t>
      </w:r>
      <w:r w:rsidRPr="00451105">
        <w:rPr>
          <w:rFonts w:cs="Times New Roman"/>
        </w:rPr>
        <w:t xml:space="preserve">. </w:t>
      </w:r>
      <w:r w:rsidR="0028471F">
        <w:rPr>
          <w:rFonts w:cs="Times New Roman"/>
        </w:rPr>
        <w:t xml:space="preserve">That is, </w:t>
      </w:r>
      <w:r w:rsidR="00B12BD3">
        <w:rPr>
          <w:rFonts w:cs="Times New Roman"/>
        </w:rPr>
        <w:t xml:space="preserve">when entering into the contract, </w:t>
      </w:r>
      <w:r w:rsidR="0028471F">
        <w:rPr>
          <w:rFonts w:cs="Times New Roman"/>
        </w:rPr>
        <w:t>given the choice of remedy between the forward price at the time of breach and the actual price at the time of litigation, parties should be indifferent.</w:t>
      </w:r>
      <w:r w:rsidR="00B12BD3">
        <w:rPr>
          <w:rFonts w:cs="Times New Roman"/>
        </w:rPr>
        <w:t xml:space="preserve"> </w:t>
      </w:r>
      <w:r w:rsidRPr="00451105">
        <w:rPr>
          <w:rFonts w:cs="Times New Roman"/>
        </w:rPr>
        <w:t xml:space="preserve">Whether we invoke rational expectations, efficient markets, or arbitrage, the conclusion is robust. </w:t>
      </w:r>
      <w:r w:rsidR="00BF79DB" w:rsidRPr="00451105">
        <w:rPr>
          <w:rFonts w:cs="Times New Roman"/>
        </w:rPr>
        <w:t>The caveat has to do with the time value of money. If legal prejudgment interest rates were to differ from the market rate, the equality would no longer hold.</w:t>
      </w:r>
      <w:r w:rsidR="00BF79DB" w:rsidRPr="00451105">
        <w:rPr>
          <w:rStyle w:val="FootnoteReference"/>
          <w:rFonts w:cs="Times New Roman"/>
        </w:rPr>
        <w:footnoteReference w:id="6"/>
      </w:r>
      <w:r w:rsidR="00D55807" w:rsidRPr="00451105">
        <w:rPr>
          <w:rFonts w:cs="Times New Roman"/>
        </w:rPr>
        <w:t xml:space="preserve"> In this paper I am going to assume that issues concerning the time value of money can be adequately dealt with; but this can be an especially serious problem when dealing with </w:t>
      </w:r>
      <w:r w:rsidR="002D76CA">
        <w:rPr>
          <w:rFonts w:cs="Times New Roman"/>
        </w:rPr>
        <w:t>cases in which the litigation goes on for many years</w:t>
      </w:r>
      <w:r w:rsidR="00D55807" w:rsidRPr="00451105">
        <w:rPr>
          <w:rFonts w:cs="Times New Roman"/>
        </w:rPr>
        <w:t>.</w:t>
      </w:r>
      <w:r w:rsidR="00D55807" w:rsidRPr="00451105">
        <w:rPr>
          <w:rStyle w:val="FootnoteReference"/>
          <w:rFonts w:cs="Times New Roman"/>
        </w:rPr>
        <w:footnoteReference w:id="7"/>
      </w:r>
      <w:r w:rsidR="002D76CA">
        <w:rPr>
          <w:rFonts w:cs="Times New Roman"/>
        </w:rPr>
        <w:t xml:space="preserve"> So, conceptually we sh</w:t>
      </w:r>
      <w:r w:rsidR="00020CEB" w:rsidRPr="00451105">
        <w:rPr>
          <w:rFonts w:cs="Times New Roman"/>
        </w:rPr>
        <w:t>ould be indifferent between a rule that says always use the breach date or always use the litigation date</w:t>
      </w:r>
      <w:r w:rsidR="002D76CA">
        <w:rPr>
          <w:rFonts w:cs="Times New Roman"/>
        </w:rPr>
        <w:t>—the measurement date should be chosen behind a “veil of ignorance.”</w:t>
      </w:r>
      <w:r w:rsidR="00020CEB" w:rsidRPr="00451105">
        <w:rPr>
          <w:rFonts w:cs="Times New Roman"/>
        </w:rPr>
        <w:t xml:space="preserve"> </w:t>
      </w:r>
      <w:r w:rsidR="00D4604C" w:rsidRPr="00451105">
        <w:rPr>
          <w:rFonts w:cs="Times New Roman"/>
        </w:rPr>
        <w:t xml:space="preserve">The existence of a firm rule is more important than the content of the rule. Otherwise, the parties would invoke the rule more favorable to them at the time of the trial and the court would have little guidance in choosing between the proffered measures. </w:t>
      </w:r>
    </w:p>
    <w:p w14:paraId="425C7926" w14:textId="77777777" w:rsidR="001C5A16" w:rsidRPr="00451105" w:rsidRDefault="001C5A16" w:rsidP="00D4604C">
      <w:pPr>
        <w:rPr>
          <w:rFonts w:cs="Times New Roman"/>
        </w:rPr>
      </w:pPr>
    </w:p>
    <w:p w14:paraId="0429A3A9" w14:textId="712FD73E" w:rsidR="00F75EA7" w:rsidRDefault="000131CD" w:rsidP="008D4F39">
      <w:pPr>
        <w:ind w:firstLine="720"/>
        <w:rPr>
          <w:rFonts w:cs="Times New Roman"/>
        </w:rPr>
      </w:pPr>
      <w:r w:rsidRPr="00451105">
        <w:rPr>
          <w:rFonts w:cs="Times New Roman"/>
        </w:rPr>
        <w:t xml:space="preserve">Having said that, I will proceed by choosing the breach date as the appropriate date. </w:t>
      </w:r>
      <w:r w:rsidR="00EC653D" w:rsidRPr="00451105">
        <w:rPr>
          <w:rFonts w:cs="Times New Roman"/>
        </w:rPr>
        <w:t>The advantage is that the party contemplating nonperformance will find it easier to weigh the costs and benefits of going forward. I recognize that some courts and commentators object strongly to the notion that breach is an option. I</w:t>
      </w:r>
      <w:r w:rsidR="00BA2136" w:rsidRPr="00451105">
        <w:rPr>
          <w:rFonts w:cs="Times New Roman"/>
        </w:rPr>
        <w:t xml:space="preserve"> </w:t>
      </w:r>
      <w:r w:rsidR="00EC653D" w:rsidRPr="00451105">
        <w:rPr>
          <w:rFonts w:cs="Times New Roman"/>
        </w:rPr>
        <w:t>have suggested elsewhere that it is useful in this context to think of the damage remedy as the price of the implicit termination option.</w:t>
      </w:r>
      <w:r w:rsidR="00EC653D" w:rsidRPr="00451105">
        <w:rPr>
          <w:rStyle w:val="FootnoteReference"/>
          <w:rFonts w:cs="Times New Roman"/>
        </w:rPr>
        <w:footnoteReference w:id="8"/>
      </w:r>
      <w:r w:rsidR="00EC653D" w:rsidRPr="00451105">
        <w:rPr>
          <w:rFonts w:cs="Times New Roman"/>
        </w:rPr>
        <w:t xml:space="preserve"> </w:t>
      </w:r>
      <w:r w:rsidR="00F75EA7" w:rsidRPr="00451105">
        <w:rPr>
          <w:rFonts w:cs="Times New Roman"/>
        </w:rPr>
        <w:t xml:space="preserve">Using the breach date makes the price more transparent, making the decision easier. (Determining that price can still be very difficult, a point that will become clear in Parts </w:t>
      </w:r>
      <w:r w:rsidR="003D1EA7">
        <w:rPr>
          <w:rFonts w:cs="Times New Roman"/>
        </w:rPr>
        <w:t>I</w:t>
      </w:r>
      <w:r w:rsidR="00197F5A">
        <w:rPr>
          <w:rFonts w:cs="Times New Roman"/>
        </w:rPr>
        <w:t>II</w:t>
      </w:r>
      <w:r w:rsidR="002D0D8E">
        <w:rPr>
          <w:rFonts w:cs="Times New Roman"/>
        </w:rPr>
        <w:t xml:space="preserve"> and </w:t>
      </w:r>
      <w:r w:rsidR="00197F5A">
        <w:rPr>
          <w:rFonts w:cs="Times New Roman"/>
        </w:rPr>
        <w:t>I</w:t>
      </w:r>
      <w:r w:rsidR="002D0D8E">
        <w:rPr>
          <w:rFonts w:cs="Times New Roman"/>
        </w:rPr>
        <w:t>V</w:t>
      </w:r>
      <w:r w:rsidR="00F75EA7" w:rsidRPr="00451105">
        <w:rPr>
          <w:rFonts w:cs="Times New Roman"/>
        </w:rPr>
        <w:t>.)</w:t>
      </w:r>
      <w:r w:rsidR="00DC4100" w:rsidRPr="00451105">
        <w:rPr>
          <w:rFonts w:cs="Times New Roman"/>
        </w:rPr>
        <w:t xml:space="preserve"> </w:t>
      </w:r>
    </w:p>
    <w:p w14:paraId="5AF855B2" w14:textId="77777777" w:rsidR="00EF6D1B" w:rsidRDefault="00EF6D1B" w:rsidP="008D4F39">
      <w:pPr>
        <w:ind w:firstLine="720"/>
        <w:rPr>
          <w:rFonts w:cs="Times New Roman"/>
        </w:rPr>
      </w:pPr>
    </w:p>
    <w:p w14:paraId="1EBE64C1" w14:textId="10A59D09" w:rsidR="00EF6D1B" w:rsidRDefault="00EF6D1B" w:rsidP="00EF6D1B">
      <w:pPr>
        <w:ind w:firstLine="720"/>
      </w:pPr>
      <w:r>
        <w:t xml:space="preserve">The first two patterns have received substantial treatment in the literature. Surprisingly, significant scholars, notably J. J. White and Robert Summers in their </w:t>
      </w:r>
      <w:r>
        <w:lastRenderedPageBreak/>
        <w:t>treatise, have rejected the breach-date rule.</w:t>
      </w:r>
      <w:r>
        <w:rPr>
          <w:rStyle w:val="FootnoteReference"/>
        </w:rPr>
        <w:footnoteReference w:id="9"/>
      </w:r>
      <w:r>
        <w:t xml:space="preserve"> With regard to the first, they argue that there is a conflict between the UC</w:t>
      </w:r>
      <w:r w:rsidR="007E7BBF">
        <w:t>C remedies for a buyer’s breach.</w:t>
      </w:r>
      <w:r>
        <w:t xml:space="preserve"> </w:t>
      </w:r>
      <w:r w:rsidRPr="00451105">
        <w:t xml:space="preserve">Section </w:t>
      </w:r>
      <w:r w:rsidRPr="00451105">
        <w:rPr>
          <w:bCs/>
          <w:color w:val="555555"/>
        </w:rPr>
        <w:t xml:space="preserve">2-706 allows the seller </w:t>
      </w:r>
      <w:r>
        <w:rPr>
          <w:bCs/>
          <w:color w:val="555555"/>
        </w:rPr>
        <w:t xml:space="preserve">to </w:t>
      </w:r>
      <w:r w:rsidRPr="00451105">
        <w:rPr>
          <w:bCs/>
          <w:color w:val="555555"/>
        </w:rPr>
        <w:t>resell</w:t>
      </w:r>
      <w:r>
        <w:rPr>
          <w:bCs/>
          <w:color w:val="555555"/>
        </w:rPr>
        <w:t xml:space="preserve"> the goods (</w:t>
      </w:r>
      <w:r w:rsidRPr="00451105">
        <w:rPr>
          <w:bCs/>
          <w:color w:val="555555"/>
        </w:rPr>
        <w:t xml:space="preserve">to </w:t>
      </w:r>
      <w:r>
        <w:rPr>
          <w:bCs/>
          <w:color w:val="555555"/>
        </w:rPr>
        <w:t xml:space="preserve">cover) </w:t>
      </w:r>
      <w:r w:rsidR="007E7BBF">
        <w:rPr>
          <w:bCs/>
          <w:color w:val="555555"/>
        </w:rPr>
        <w:t>while</w:t>
      </w:r>
      <w:r>
        <w:rPr>
          <w:bCs/>
          <w:color w:val="555555"/>
        </w:rPr>
        <w:t xml:space="preserve"> </w:t>
      </w:r>
      <w:r w:rsidRPr="00451105">
        <w:rPr>
          <w:bCs/>
          <w:color w:val="555555"/>
        </w:rPr>
        <w:t>Section 2-708(1)</w:t>
      </w:r>
      <w:r>
        <w:rPr>
          <w:bCs/>
          <w:color w:val="555555"/>
        </w:rPr>
        <w:t xml:space="preserve"> gives the contract-market differential. Properly conceived, there is no conflict, as I will show in Section I.</w:t>
      </w:r>
      <w:r w:rsidRPr="005D7C1A">
        <w:t xml:space="preserve"> </w:t>
      </w:r>
      <w:r w:rsidR="00A17E1E">
        <w:t>W</w:t>
      </w:r>
      <w:r>
        <w:t xml:space="preserve">ith regard to the second, </w:t>
      </w:r>
      <w:r>
        <w:rPr>
          <w:bCs/>
          <w:color w:val="555555"/>
        </w:rPr>
        <w:t>White and Summers assert that “[m]</w:t>
      </w:r>
      <w:r>
        <w:rPr>
          <w:rFonts w:ascii="Times" w:hAnsi="Times" w:cs="Times"/>
        </w:rPr>
        <w:t>easuring buyer’s damages under 2-713 upon an anticipatory repudiation presents one of the most impenetrable interpretive problems in the entire Code.”</w:t>
      </w:r>
      <w:r>
        <w:rPr>
          <w:rStyle w:val="FootnoteReference"/>
          <w:rFonts w:ascii="Times" w:hAnsi="Times" w:cs="Times"/>
        </w:rPr>
        <w:footnoteReference w:id="10"/>
      </w:r>
      <w:r>
        <w:rPr>
          <w:rFonts w:ascii="Times" w:hAnsi="Times" w:cs="Times"/>
        </w:rPr>
        <w:t xml:space="preserve"> The difficulties, as we shall see in Section II, arise because of a failure to adopt the breach-date rule. Not all the commentary has followed the White &amp; Summers position. </w:t>
      </w:r>
      <w:r>
        <w:t>Robert Scott</w:t>
      </w:r>
      <w:r>
        <w:rPr>
          <w:rStyle w:val="FootnoteReference"/>
        </w:rPr>
        <w:footnoteReference w:id="11"/>
      </w:r>
      <w:r>
        <w:t xml:space="preserve"> argued for the breach-date rule regarding the first pattern a generation ago and Tom Jackson</w:t>
      </w:r>
      <w:r>
        <w:rPr>
          <w:rStyle w:val="FootnoteReference"/>
        </w:rPr>
        <w:footnoteReference w:id="12"/>
      </w:r>
      <w:r>
        <w:t xml:space="preserve"> did the same for an anticipatory repudiation even earlier. My analysis of these two cases parallels theirs. Sections I and II will be devoted to these two problems.</w:t>
      </w:r>
    </w:p>
    <w:p w14:paraId="3B0FE013" w14:textId="77777777" w:rsidR="00197F5A" w:rsidRDefault="00197F5A" w:rsidP="008D4F39">
      <w:pPr>
        <w:ind w:firstLine="720"/>
        <w:rPr>
          <w:rFonts w:cs="Times New Roman"/>
        </w:rPr>
      </w:pPr>
    </w:p>
    <w:p w14:paraId="594549CE" w14:textId="3A0A2222" w:rsidR="00197F5A" w:rsidRDefault="00197F5A" w:rsidP="00197F5A">
      <w:pPr>
        <w:ind w:firstLine="720"/>
      </w:pPr>
      <w:r>
        <w:t>The third pattern</w:t>
      </w:r>
      <w:r w:rsidR="00EF6D1B">
        <w:t>, which</w:t>
      </w:r>
      <w:r>
        <w:t xml:space="preserve"> has attracte</w:t>
      </w:r>
      <w:r w:rsidR="00EF6D1B">
        <w:t xml:space="preserve">d much less scholarly attention, </w:t>
      </w:r>
      <w:r>
        <w:t>raises a number of problems not present in the first two.  How, if at all, should the damage measur</w:t>
      </w:r>
      <w:r w:rsidR="00EF6D1B">
        <w:t xml:space="preserve">ement take account of possible losses </w:t>
      </w:r>
      <w:r>
        <w:t xml:space="preserve">that </w:t>
      </w:r>
      <w:r w:rsidR="00EF6D1B">
        <w:t>might occur</w:t>
      </w:r>
      <w:r>
        <w:t xml:space="preserve"> post-decision? Should damages for breach of an installment be determined in the same manner as an anticipatory repudiation? </w:t>
      </w:r>
      <w:r w:rsidR="00EF6D1B">
        <w:t>In</w:t>
      </w:r>
      <w:r>
        <w:t xml:space="preserve"> a take-or-pay or minimum quantity contract, should there be different damage theories for a failure to take as opposed to an anticipatory repudiation of the contract? </w:t>
      </w:r>
      <w:r w:rsidR="00EF6D1B">
        <w:t xml:space="preserve">The case law, particularly regarding take-or-pay contracts, has been extremely muddled. </w:t>
      </w:r>
      <w:r>
        <w:t xml:space="preserve">In Section III, I </w:t>
      </w:r>
      <w:r w:rsidR="00EF6D1B">
        <w:t>will</w:t>
      </w:r>
      <w:r>
        <w:t xml:space="preserve"> </w:t>
      </w:r>
      <w:r w:rsidR="00EF6D1B">
        <w:t xml:space="preserve">clarify the issues. Central to the argument is that for an anticipatory repudiation the focus should be on the change in the value of the contract at the time of the breach. </w:t>
      </w:r>
      <w:r>
        <w:t>The analysis</w:t>
      </w:r>
      <w:r w:rsidR="00C77432">
        <w:t xml:space="preserve"> will also shed light on a classic casebook case</w:t>
      </w:r>
      <w:r>
        <w:t>—</w:t>
      </w:r>
      <w:r w:rsidRPr="00464570">
        <w:rPr>
          <w:i/>
        </w:rPr>
        <w:t xml:space="preserve"> </w:t>
      </w:r>
      <w:r w:rsidRPr="00451105">
        <w:rPr>
          <w:rFonts w:cs="Times New Roman"/>
          <w:i/>
        </w:rPr>
        <w:t>Lake River v. Carborundum</w:t>
      </w:r>
      <w:r w:rsidR="00C77432">
        <w:rPr>
          <w:rFonts w:cs="Times New Roman"/>
          <w:i/>
        </w:rPr>
        <w:t>.</w:t>
      </w:r>
      <w:r w:rsidRPr="00972FCD">
        <w:rPr>
          <w:rStyle w:val="FootnoteReference"/>
          <w:rFonts w:cs="Times New Roman"/>
        </w:rPr>
        <w:footnoteReference w:id="13"/>
      </w:r>
    </w:p>
    <w:p w14:paraId="282D8CE2" w14:textId="77777777" w:rsidR="00C63035" w:rsidRPr="00451105" w:rsidRDefault="00C63035" w:rsidP="008B2AED">
      <w:pPr>
        <w:rPr>
          <w:rFonts w:cs="Times New Roman"/>
        </w:rPr>
      </w:pPr>
    </w:p>
    <w:p w14:paraId="2C92B6CF" w14:textId="3500B4D8" w:rsidR="00413EE4" w:rsidRDefault="00413EE4" w:rsidP="00413EE4">
      <w:pPr>
        <w:ind w:firstLine="720"/>
        <w:rPr>
          <w:rFonts w:cs="Times New Roman"/>
        </w:rPr>
      </w:pPr>
      <w:r>
        <w:rPr>
          <w:rFonts w:cs="Times New Roman"/>
        </w:rPr>
        <w:t>To get a better handle on ascertaining damages in long-term contracts, it</w:t>
      </w:r>
      <w:r w:rsidR="00C63035" w:rsidRPr="00451105">
        <w:rPr>
          <w:rFonts w:cs="Times New Roman"/>
        </w:rPr>
        <w:t xml:space="preserve"> is useful to unp</w:t>
      </w:r>
      <w:r w:rsidR="006E489D">
        <w:rPr>
          <w:rFonts w:cs="Times New Roman"/>
        </w:rPr>
        <w:t xml:space="preserve">ack the Widgetco hypothetical. </w:t>
      </w:r>
      <w:r w:rsidR="00C63035" w:rsidRPr="00451105">
        <w:rPr>
          <w:rFonts w:cs="Times New Roman"/>
        </w:rPr>
        <w:t>Where does the June 1 share price of $16 come from? Widgetco’s value is not a function of the past; it depends on projecting earnings in</w:t>
      </w:r>
      <w:r w:rsidR="00245D5B" w:rsidRPr="00451105">
        <w:rPr>
          <w:rFonts w:cs="Times New Roman"/>
        </w:rPr>
        <w:t>to</w:t>
      </w:r>
      <w:r w:rsidR="00C63035" w:rsidRPr="00451105">
        <w:rPr>
          <w:rFonts w:cs="Times New Roman"/>
        </w:rPr>
        <w:t xml:space="preserve"> the future. All sorts of things might happen that will affect Widgetco’s future ear</w:t>
      </w:r>
      <w:r w:rsidR="0081256F" w:rsidRPr="00451105">
        <w:rPr>
          <w:rFonts w:cs="Times New Roman"/>
        </w:rPr>
        <w:t>n</w:t>
      </w:r>
      <w:r w:rsidR="00C63035" w:rsidRPr="00451105">
        <w:rPr>
          <w:rFonts w:cs="Times New Roman"/>
        </w:rPr>
        <w:t>ings</w:t>
      </w:r>
      <w:r w:rsidR="0081256F" w:rsidRPr="00451105">
        <w:rPr>
          <w:rFonts w:cs="Times New Roman"/>
        </w:rPr>
        <w:t xml:space="preserve">. Recessions, inflation, war, market shifts, currency fluctuations, </w:t>
      </w:r>
      <w:r w:rsidR="00A057D0" w:rsidRPr="00451105">
        <w:rPr>
          <w:rFonts w:cs="Times New Roman"/>
        </w:rPr>
        <w:t xml:space="preserve">pestilence, </w:t>
      </w:r>
      <w:r w:rsidR="0081256F" w:rsidRPr="00451105">
        <w:rPr>
          <w:rFonts w:cs="Times New Roman"/>
        </w:rPr>
        <w:t xml:space="preserve">the health of key personnel, oil embargos, </w:t>
      </w:r>
      <w:r w:rsidR="00BF0B71" w:rsidRPr="00451105">
        <w:rPr>
          <w:rFonts w:cs="Times New Roman"/>
        </w:rPr>
        <w:t xml:space="preserve">and </w:t>
      </w:r>
      <w:r w:rsidR="0081256F" w:rsidRPr="00451105">
        <w:rPr>
          <w:rFonts w:cs="Times New Roman"/>
        </w:rPr>
        <w:t>expropriations all might affect the value of Widgetco. Its current market price reflects the collective best guess as to the likelihood and impact of all of these and any other contingencies.</w:t>
      </w:r>
      <w:r w:rsidR="00A057D0" w:rsidRPr="00451105">
        <w:rPr>
          <w:rFonts w:cs="Times New Roman"/>
        </w:rPr>
        <w:t xml:space="preserve"> That is, all the uncertainty about the future has been in</w:t>
      </w:r>
      <w:r w:rsidR="006E489D">
        <w:rPr>
          <w:rFonts w:cs="Times New Roman"/>
        </w:rPr>
        <w:t xml:space="preserve">corporated into a single number: </w:t>
      </w:r>
      <w:r w:rsidR="00A057D0" w:rsidRPr="00451105">
        <w:rPr>
          <w:rFonts w:cs="Times New Roman"/>
        </w:rPr>
        <w:t xml:space="preserve">the price. </w:t>
      </w:r>
      <w:r>
        <w:rPr>
          <w:rFonts w:cs="Times New Roman"/>
        </w:rPr>
        <w:t>The same methodology can be applied when estimating damages for the anticipatory repudiation of a twenty-year take-or-pay contract or</w:t>
      </w:r>
      <w:r w:rsidRPr="00451105">
        <w:rPr>
          <w:rFonts w:cs="Times New Roman"/>
        </w:rPr>
        <w:t xml:space="preserve"> an expropriation of an oil concession with many years yet to run.</w:t>
      </w:r>
      <w:r>
        <w:rPr>
          <w:rFonts w:cs="Times New Roman"/>
        </w:rPr>
        <w:t xml:space="preserve"> </w:t>
      </w:r>
      <w:r w:rsidRPr="00451105">
        <w:rPr>
          <w:rFonts w:cs="Times New Roman"/>
        </w:rPr>
        <w:t xml:space="preserve">The future path of costs, prices, demand, and the many factors alluded to above </w:t>
      </w:r>
      <w:r>
        <w:rPr>
          <w:rFonts w:cs="Times New Roman"/>
        </w:rPr>
        <w:t xml:space="preserve">would also </w:t>
      </w:r>
      <w:r w:rsidRPr="00451105">
        <w:rPr>
          <w:rFonts w:cs="Times New Roman"/>
        </w:rPr>
        <w:t xml:space="preserve">make the future </w:t>
      </w:r>
      <w:r>
        <w:rPr>
          <w:rFonts w:cs="Times New Roman"/>
        </w:rPr>
        <w:t xml:space="preserve">value of the contract </w:t>
      </w:r>
      <w:r w:rsidRPr="00451105">
        <w:rPr>
          <w:rFonts w:cs="Times New Roman"/>
        </w:rPr>
        <w:t xml:space="preserve">uncertain. </w:t>
      </w:r>
      <w:r w:rsidR="00F75EA7" w:rsidRPr="00451105">
        <w:rPr>
          <w:rFonts w:cs="Times New Roman"/>
        </w:rPr>
        <w:t xml:space="preserve">The </w:t>
      </w:r>
      <w:r w:rsidR="0076180F" w:rsidRPr="00451105">
        <w:rPr>
          <w:rFonts w:cs="Times New Roman"/>
        </w:rPr>
        <w:t xml:space="preserve">inquiry </w:t>
      </w:r>
      <w:r>
        <w:rPr>
          <w:rFonts w:cs="Times New Roman"/>
        </w:rPr>
        <w:t>would</w:t>
      </w:r>
      <w:r w:rsidR="00AF2289" w:rsidRPr="00451105">
        <w:rPr>
          <w:rFonts w:cs="Times New Roman"/>
        </w:rPr>
        <w:t xml:space="preserve"> </w:t>
      </w:r>
      <w:r w:rsidR="0076180F" w:rsidRPr="00451105">
        <w:rPr>
          <w:rFonts w:cs="Times New Roman"/>
        </w:rPr>
        <w:t>concern</w:t>
      </w:r>
      <w:r w:rsidR="00AF2289" w:rsidRPr="00451105">
        <w:rPr>
          <w:rFonts w:cs="Times New Roman"/>
        </w:rPr>
        <w:t xml:space="preserve"> the </w:t>
      </w:r>
      <w:r w:rsidR="00AF2289" w:rsidRPr="00451105">
        <w:rPr>
          <w:rFonts w:cs="Times New Roman"/>
        </w:rPr>
        <w:lastRenderedPageBreak/>
        <w:t>change in the price of a single asset—the contract—at the time of the event (breach, repudiation, or expropri</w:t>
      </w:r>
      <w:r>
        <w:rPr>
          <w:rFonts w:cs="Times New Roman"/>
        </w:rPr>
        <w:t>ation)</w:t>
      </w:r>
      <w:r w:rsidRPr="00451105">
        <w:rPr>
          <w:rFonts w:cs="Times New Roman"/>
        </w:rPr>
        <w:t>.</w:t>
      </w:r>
      <w:r w:rsidRPr="00413EE4">
        <w:rPr>
          <w:rFonts w:cs="Times New Roman"/>
        </w:rPr>
        <w:t xml:space="preserve"> </w:t>
      </w:r>
      <w:r w:rsidRPr="00451105">
        <w:rPr>
          <w:rFonts w:cs="Times New Roman"/>
        </w:rPr>
        <w:t xml:space="preserve">I do not mean to suggest that it would be easy. But the principle is important. </w:t>
      </w:r>
      <w:r>
        <w:rPr>
          <w:rFonts w:cs="Times New Roman"/>
        </w:rPr>
        <w:t>The argument will be developed in Section III (long-term contracts) and Section IV (international investment arbitrations).</w:t>
      </w:r>
    </w:p>
    <w:p w14:paraId="66FD0623" w14:textId="77777777" w:rsidR="00EE63E6" w:rsidRDefault="00EE63E6" w:rsidP="00413EE4">
      <w:pPr>
        <w:rPr>
          <w:rFonts w:cs="Times New Roman"/>
        </w:rPr>
      </w:pPr>
    </w:p>
    <w:p w14:paraId="7B6AC104" w14:textId="6924E91C" w:rsidR="00C63035" w:rsidRPr="00451105" w:rsidRDefault="00AB2C07" w:rsidP="008D4F39">
      <w:pPr>
        <w:ind w:firstLine="720"/>
        <w:rPr>
          <w:rFonts w:cs="Times New Roman"/>
        </w:rPr>
      </w:pPr>
      <w:r>
        <w:rPr>
          <w:rFonts w:cs="Times New Roman"/>
        </w:rPr>
        <w:t>T</w:t>
      </w:r>
      <w:r w:rsidRPr="00451105">
        <w:rPr>
          <w:rFonts w:cs="Times New Roman"/>
        </w:rPr>
        <w:t>hroughout this paper</w:t>
      </w:r>
      <w:r>
        <w:rPr>
          <w:rFonts w:cs="Times New Roman"/>
        </w:rPr>
        <w:t>,</w:t>
      </w:r>
      <w:r w:rsidRPr="00451105">
        <w:rPr>
          <w:rFonts w:cs="Times New Roman"/>
        </w:rPr>
        <w:t xml:space="preserve"> </w:t>
      </w:r>
      <w:r w:rsidR="00A61805" w:rsidRPr="00451105">
        <w:rPr>
          <w:rFonts w:cs="Times New Roman"/>
        </w:rPr>
        <w:t xml:space="preserve">I will refer to the </w:t>
      </w:r>
      <w:r w:rsidR="002D0D8E">
        <w:rPr>
          <w:rFonts w:cs="Times New Roman"/>
        </w:rPr>
        <w:t>damage measure</w:t>
      </w:r>
      <w:r w:rsidR="00A61805" w:rsidRPr="00451105">
        <w:rPr>
          <w:rFonts w:cs="Times New Roman"/>
        </w:rPr>
        <w:t xml:space="preserve"> as the market-contract </w:t>
      </w:r>
      <w:r w:rsidR="00DC41A5" w:rsidRPr="00451105">
        <w:rPr>
          <w:rFonts w:cs="Times New Roman"/>
        </w:rPr>
        <w:t>price differential</w:t>
      </w:r>
      <w:r w:rsidR="00A61805" w:rsidRPr="00451105">
        <w:rPr>
          <w:rFonts w:cs="Times New Roman"/>
        </w:rPr>
        <w:t>. Since, in practice, there will often not be an actual market price, it might be better to label this the “current-contract” price differential. The reader should feel free to use the two interchangeably.</w:t>
      </w:r>
    </w:p>
    <w:p w14:paraId="34A00CF8" w14:textId="77777777" w:rsidR="00083949" w:rsidRPr="00451105" w:rsidRDefault="00083949" w:rsidP="00494669">
      <w:pPr>
        <w:jc w:val="center"/>
        <w:rPr>
          <w:rFonts w:cs="Times New Roman"/>
        </w:rPr>
      </w:pPr>
    </w:p>
    <w:p w14:paraId="7B1E5EA8" w14:textId="3E685231" w:rsidR="00083949" w:rsidRPr="00451105" w:rsidRDefault="00494669" w:rsidP="00494669">
      <w:pPr>
        <w:ind w:firstLine="720"/>
        <w:jc w:val="center"/>
        <w:rPr>
          <w:rFonts w:cs="Times New Roman"/>
          <w:b/>
        </w:rPr>
      </w:pPr>
      <w:r w:rsidRPr="00451105">
        <w:rPr>
          <w:rFonts w:cs="Times New Roman"/>
          <w:b/>
        </w:rPr>
        <w:t>I</w:t>
      </w:r>
      <w:r w:rsidR="00083949" w:rsidRPr="00451105">
        <w:rPr>
          <w:rFonts w:cs="Times New Roman"/>
          <w:b/>
        </w:rPr>
        <w:t xml:space="preserve">. </w:t>
      </w:r>
      <w:r w:rsidR="00B56FDD" w:rsidRPr="00451105">
        <w:rPr>
          <w:rFonts w:cs="Times New Roman"/>
          <w:b/>
        </w:rPr>
        <w:t>THE SELLER’S REMEDY FOR BREACH</w:t>
      </w:r>
    </w:p>
    <w:p w14:paraId="06A65FB2" w14:textId="77777777" w:rsidR="00083949" w:rsidRPr="00451105" w:rsidRDefault="00083949" w:rsidP="00245D5B">
      <w:pPr>
        <w:rPr>
          <w:rFonts w:cs="Times New Roman"/>
        </w:rPr>
      </w:pPr>
    </w:p>
    <w:p w14:paraId="27AC3874" w14:textId="1E8A0CB3" w:rsidR="00392CE9" w:rsidRDefault="00392CE9" w:rsidP="00392CE9">
      <w:pPr>
        <w:ind w:firstLine="720"/>
        <w:rPr>
          <w:rFonts w:cs="Times New Roman"/>
        </w:rPr>
      </w:pPr>
      <w:r>
        <w:rPr>
          <w:rFonts w:cs="Times New Roman"/>
        </w:rPr>
        <w:t xml:space="preserve">In a contract for the sale of goods, </w:t>
      </w:r>
      <w:r w:rsidR="006E489D">
        <w:rPr>
          <w:rFonts w:cs="Times New Roman"/>
        </w:rPr>
        <w:t>w</w:t>
      </w:r>
      <w:r w:rsidRPr="00451105">
        <w:rPr>
          <w:rFonts w:cs="Times New Roman"/>
        </w:rPr>
        <w:t>hen the buyer breaches, the UCC provides two alternative remedies and that has led to some confusion.</w:t>
      </w:r>
      <w:r w:rsidR="0017002A">
        <w:rPr>
          <w:rStyle w:val="FootnoteReference"/>
          <w:rFonts w:cs="Times New Roman"/>
        </w:rPr>
        <w:footnoteReference w:id="14"/>
      </w:r>
      <w:r w:rsidRPr="00451105">
        <w:rPr>
          <w:rFonts w:cs="Times New Roman"/>
        </w:rPr>
        <w:t xml:space="preserve"> Section </w:t>
      </w:r>
      <w:r w:rsidRPr="00451105">
        <w:rPr>
          <w:rFonts w:cs="Times New Roman"/>
          <w:bCs/>
          <w:color w:val="555555"/>
        </w:rPr>
        <w:t xml:space="preserve">2-706 allows the seller </w:t>
      </w:r>
      <w:r>
        <w:rPr>
          <w:rFonts w:cs="Times New Roman"/>
          <w:bCs/>
          <w:color w:val="555555"/>
        </w:rPr>
        <w:t xml:space="preserve">to </w:t>
      </w:r>
      <w:r w:rsidRPr="00451105">
        <w:rPr>
          <w:rFonts w:cs="Times New Roman"/>
          <w:bCs/>
          <w:color w:val="555555"/>
        </w:rPr>
        <w:t>resell</w:t>
      </w:r>
      <w:r>
        <w:rPr>
          <w:rFonts w:cs="Times New Roman"/>
          <w:bCs/>
          <w:color w:val="555555"/>
        </w:rPr>
        <w:t xml:space="preserve"> the goods (</w:t>
      </w:r>
      <w:r w:rsidRPr="00451105">
        <w:rPr>
          <w:rFonts w:cs="Times New Roman"/>
          <w:bCs/>
          <w:color w:val="555555"/>
        </w:rPr>
        <w:t xml:space="preserve">to </w:t>
      </w:r>
      <w:r>
        <w:rPr>
          <w:rFonts w:cs="Times New Roman"/>
          <w:bCs/>
          <w:color w:val="555555"/>
        </w:rPr>
        <w:t xml:space="preserve">cover), </w:t>
      </w:r>
      <w:r w:rsidRPr="00451105">
        <w:rPr>
          <w:rFonts w:cs="Times New Roman"/>
          <w:bCs/>
          <w:color w:val="555555"/>
        </w:rPr>
        <w:t>and reckons the damages as the difference between the contract price and the price at which the goods were sold.</w:t>
      </w:r>
      <w:r w:rsidRPr="00451105">
        <w:rPr>
          <w:rFonts w:cs="Times New Roman"/>
        </w:rPr>
        <w:t xml:space="preserve"> </w:t>
      </w:r>
      <w:r w:rsidRPr="00451105">
        <w:rPr>
          <w:rFonts w:cs="Times New Roman"/>
          <w:bCs/>
          <w:color w:val="555555"/>
        </w:rPr>
        <w:t xml:space="preserve">Section 2-708(1) provides for the market-contract differential. If at the time of a buyer breach the market price had fallen, the buyer’s liability would be the market-contract differential. </w:t>
      </w:r>
      <w:r>
        <w:rPr>
          <w:rFonts w:cs="Times New Roman"/>
          <w:bCs/>
          <w:color w:val="555555"/>
        </w:rPr>
        <w:t>But</w:t>
      </w:r>
      <w:r w:rsidRPr="00451105">
        <w:rPr>
          <w:rFonts w:cs="Times New Roman"/>
          <w:bCs/>
          <w:color w:val="555555"/>
        </w:rPr>
        <w:t xml:space="preserve"> </w:t>
      </w:r>
      <w:r>
        <w:rPr>
          <w:rFonts w:cs="Times New Roman"/>
          <w:bCs/>
          <w:color w:val="555555"/>
        </w:rPr>
        <w:t>suppose that</w:t>
      </w:r>
      <w:r w:rsidRPr="00451105">
        <w:rPr>
          <w:rFonts w:cs="Times New Roman"/>
          <w:bCs/>
          <w:color w:val="555555"/>
        </w:rPr>
        <w:t xml:space="preserve"> the market price </w:t>
      </w:r>
      <w:r w:rsidR="006C4665">
        <w:rPr>
          <w:rFonts w:cs="Times New Roman"/>
          <w:bCs/>
          <w:color w:val="555555"/>
        </w:rPr>
        <w:t>subsequently</w:t>
      </w:r>
      <w:r>
        <w:rPr>
          <w:rFonts w:cs="Times New Roman"/>
          <w:bCs/>
          <w:color w:val="555555"/>
        </w:rPr>
        <w:t xml:space="preserve"> rose and </w:t>
      </w:r>
      <w:r w:rsidRPr="00451105">
        <w:rPr>
          <w:rFonts w:cs="Times New Roman"/>
          <w:bCs/>
          <w:color w:val="555555"/>
        </w:rPr>
        <w:t xml:space="preserve">the seller </w:t>
      </w:r>
      <w:r>
        <w:rPr>
          <w:rFonts w:cs="Times New Roman"/>
          <w:bCs/>
          <w:color w:val="555555"/>
        </w:rPr>
        <w:t>resold</w:t>
      </w:r>
      <w:r w:rsidRPr="00451105">
        <w:rPr>
          <w:rFonts w:cs="Times New Roman"/>
          <w:bCs/>
          <w:color w:val="555555"/>
        </w:rPr>
        <w:t xml:space="preserve"> the goods at a price </w:t>
      </w:r>
      <w:r>
        <w:rPr>
          <w:rFonts w:cs="Times New Roman"/>
          <w:bCs/>
          <w:color w:val="555555"/>
        </w:rPr>
        <w:t>greater than the contract price. Some commentators would argue that the seller had not suffered a loss at all.</w:t>
      </w:r>
      <w:r w:rsidRPr="00451105">
        <w:rPr>
          <w:rFonts w:cs="Times New Roman"/>
          <w:bCs/>
          <w:color w:val="555555"/>
        </w:rPr>
        <w:t xml:space="preserve"> </w:t>
      </w:r>
      <w:r>
        <w:rPr>
          <w:rFonts w:cs="Times New Roman"/>
          <w:bCs/>
          <w:color w:val="555555"/>
        </w:rPr>
        <w:t>They</w:t>
      </w:r>
      <w:r w:rsidRPr="00451105">
        <w:rPr>
          <w:rFonts w:cs="Times New Roman"/>
          <w:bCs/>
          <w:color w:val="555555"/>
        </w:rPr>
        <w:t xml:space="preserve"> </w:t>
      </w:r>
      <w:r>
        <w:t>perceive a conflict between 708 and 706, arguing</w:t>
      </w:r>
      <w:r w:rsidRPr="00451105">
        <w:rPr>
          <w:rFonts w:cs="Times New Roman"/>
          <w:bCs/>
          <w:color w:val="555555"/>
        </w:rPr>
        <w:t xml:space="preserve"> that allowing recovery of the contract-market differential would give the seller a windfall. White and Summers, while noting that the UCC is unclear, opt for restricting recovery: “</w:t>
      </w:r>
      <w:r w:rsidRPr="00451105">
        <w:rPr>
          <w:rFonts w:cs="Times New Roman"/>
        </w:rPr>
        <w:t>Whether the drafters intended a seller who has resold to recover more in damages under 2-708(1) than he could recover under 2-706 is not clear. We conclude that a seller should not be permitted to recover more under 2-708(1) than under 2-706, but we admit we are swimming upstream against a heavy current of implication which flows from the comments and the Code history.”</w:t>
      </w:r>
      <w:r w:rsidRPr="00451105">
        <w:rPr>
          <w:rStyle w:val="FootnoteReference"/>
          <w:rFonts w:cs="Times New Roman"/>
        </w:rPr>
        <w:footnoteReference w:id="15"/>
      </w:r>
      <w:r w:rsidRPr="00451105">
        <w:rPr>
          <w:rFonts w:cs="Times New Roman"/>
        </w:rPr>
        <w:t xml:space="preserve"> Some courts and other commentators have joined White and Summers in their concern about a possible windfall.</w:t>
      </w:r>
      <w:r w:rsidRPr="00451105">
        <w:rPr>
          <w:rStyle w:val="FootnoteReference"/>
          <w:rFonts w:cs="Times New Roman"/>
        </w:rPr>
        <w:footnoteReference w:id="16"/>
      </w:r>
      <w:r w:rsidRPr="00451105">
        <w:rPr>
          <w:rFonts w:cs="Times New Roman"/>
        </w:rPr>
        <w:t xml:space="preserve"> </w:t>
      </w:r>
      <w:r>
        <w:rPr>
          <w:rFonts w:cs="Times New Roman"/>
        </w:rPr>
        <w:t>Robert</w:t>
      </w:r>
      <w:r w:rsidRPr="00451105">
        <w:rPr>
          <w:rFonts w:cs="Times New Roman"/>
        </w:rPr>
        <w:t xml:space="preserve"> Scott</w:t>
      </w:r>
      <w:r w:rsidRPr="00451105">
        <w:rPr>
          <w:rStyle w:val="FootnoteReference"/>
          <w:rFonts w:cs="Times New Roman"/>
        </w:rPr>
        <w:footnoteReference w:id="17"/>
      </w:r>
      <w:r w:rsidRPr="00451105">
        <w:rPr>
          <w:rFonts w:cs="Times New Roman"/>
        </w:rPr>
        <w:t xml:space="preserve"> debunked the idea over two decades ago, but it still hangs on. I will have another go at it </w:t>
      </w:r>
      <w:r w:rsidR="00780DD2">
        <w:rPr>
          <w:rFonts w:cs="Times New Roman"/>
        </w:rPr>
        <w:t>here.</w:t>
      </w:r>
    </w:p>
    <w:p w14:paraId="7CA87AA7" w14:textId="77777777" w:rsidR="00392CE9" w:rsidRDefault="00392CE9" w:rsidP="00392CE9">
      <w:pPr>
        <w:ind w:firstLine="720"/>
        <w:rPr>
          <w:rFonts w:cs="Times New Roman"/>
        </w:rPr>
      </w:pPr>
    </w:p>
    <w:p w14:paraId="37B1E670" w14:textId="3D4F4267" w:rsidR="00083949" w:rsidRPr="00451105" w:rsidRDefault="00271A6A" w:rsidP="00083949">
      <w:pPr>
        <w:ind w:firstLine="720"/>
        <w:rPr>
          <w:rFonts w:cs="Times New Roman"/>
        </w:rPr>
      </w:pPr>
      <w:r w:rsidRPr="00451105">
        <w:rPr>
          <w:rFonts w:cs="Times New Roman"/>
        </w:rPr>
        <w:t xml:space="preserve">Some jurisdictions have taken the position </w:t>
      </w:r>
      <w:r w:rsidR="00083949" w:rsidRPr="00451105">
        <w:rPr>
          <w:rFonts w:cs="Times New Roman"/>
        </w:rPr>
        <w:t>that awarding the contract-market differential could overcompensate</w:t>
      </w:r>
      <w:r w:rsidR="008F33A0" w:rsidRPr="00451105">
        <w:rPr>
          <w:rFonts w:cs="Times New Roman"/>
        </w:rPr>
        <w:t xml:space="preserve"> sellers</w:t>
      </w:r>
      <w:r w:rsidR="00083949" w:rsidRPr="00451105">
        <w:rPr>
          <w:rFonts w:cs="Times New Roman"/>
        </w:rPr>
        <w:t xml:space="preserve">. Consider a simple example. </w:t>
      </w:r>
      <w:r w:rsidR="00927471">
        <w:rPr>
          <w:rFonts w:cs="Times New Roman"/>
        </w:rPr>
        <w:t>Widgetco</w:t>
      </w:r>
      <w:r w:rsidR="00083949" w:rsidRPr="00451105">
        <w:rPr>
          <w:rFonts w:cs="Times New Roman"/>
        </w:rPr>
        <w:t xml:space="preserve"> promises to sell to </w:t>
      </w:r>
      <w:r w:rsidR="00927471">
        <w:rPr>
          <w:rFonts w:cs="Times New Roman"/>
        </w:rPr>
        <w:t>Buildco</w:t>
      </w:r>
      <w:r w:rsidR="00083949" w:rsidRPr="00451105">
        <w:rPr>
          <w:rFonts w:cs="Times New Roman"/>
        </w:rPr>
        <w:t xml:space="preserve"> 1,000 tons of widgets for delivery on January 1 for $100,000. On January 1, </w:t>
      </w:r>
      <w:r w:rsidR="00927471">
        <w:rPr>
          <w:rFonts w:cs="Times New Roman"/>
        </w:rPr>
        <w:t>Buildco</w:t>
      </w:r>
      <w:r w:rsidR="00083949" w:rsidRPr="00451105">
        <w:rPr>
          <w:rFonts w:cs="Times New Roman"/>
        </w:rPr>
        <w:t xml:space="preserve"> breaches and the market value is $70,000. Damages? $30,000. But, B</w:t>
      </w:r>
      <w:r w:rsidR="00927471">
        <w:rPr>
          <w:rFonts w:cs="Times New Roman"/>
        </w:rPr>
        <w:t>uildco</w:t>
      </w:r>
      <w:r w:rsidR="00083949" w:rsidRPr="00451105">
        <w:rPr>
          <w:rFonts w:cs="Times New Roman"/>
        </w:rPr>
        <w:t xml:space="preserve"> argues, </w:t>
      </w:r>
      <w:r w:rsidR="00927471">
        <w:rPr>
          <w:rFonts w:cs="Times New Roman"/>
        </w:rPr>
        <w:t>Widgetco didn’t sell right away; it</w:t>
      </w:r>
      <w:r w:rsidR="00083949" w:rsidRPr="00451105">
        <w:rPr>
          <w:rFonts w:cs="Times New Roman"/>
        </w:rPr>
        <w:t xml:space="preserve"> held the widgets for four more years</w:t>
      </w:r>
      <w:r w:rsidR="00927471">
        <w:rPr>
          <w:rFonts w:cs="Times New Roman"/>
        </w:rPr>
        <w:t xml:space="preserve">, ultimately selling them </w:t>
      </w:r>
      <w:r w:rsidR="00083949" w:rsidRPr="00451105">
        <w:rPr>
          <w:rFonts w:cs="Times New Roman"/>
        </w:rPr>
        <w:t>for $120,000. Citing 2-706, B</w:t>
      </w:r>
      <w:r w:rsidR="00927471">
        <w:rPr>
          <w:rFonts w:cs="Times New Roman"/>
        </w:rPr>
        <w:t>uildco</w:t>
      </w:r>
      <w:r w:rsidR="00083949" w:rsidRPr="00451105">
        <w:rPr>
          <w:rFonts w:cs="Times New Roman"/>
        </w:rPr>
        <w:t xml:space="preserve"> claims that the resale </w:t>
      </w:r>
      <w:r w:rsidR="00083949" w:rsidRPr="00451105">
        <w:rPr>
          <w:rFonts w:cs="Times New Roman"/>
        </w:rPr>
        <w:lastRenderedPageBreak/>
        <w:t xml:space="preserve">should be taken into account and that </w:t>
      </w:r>
      <w:r w:rsidR="00927471">
        <w:rPr>
          <w:rFonts w:cs="Times New Roman"/>
        </w:rPr>
        <w:t>Widgetco</w:t>
      </w:r>
      <w:r w:rsidR="00083949" w:rsidRPr="00451105">
        <w:rPr>
          <w:rFonts w:cs="Times New Roman"/>
        </w:rPr>
        <w:t xml:space="preserve"> didn’t lose $30,000 a</w:t>
      </w:r>
      <w:r w:rsidR="00245D5B" w:rsidRPr="00451105">
        <w:rPr>
          <w:rFonts w:cs="Times New Roman"/>
        </w:rPr>
        <w:t>f</w:t>
      </w:r>
      <w:r w:rsidR="00083949" w:rsidRPr="00451105">
        <w:rPr>
          <w:rFonts w:cs="Times New Roman"/>
        </w:rPr>
        <w:t>t</w:t>
      </w:r>
      <w:r w:rsidR="00245D5B" w:rsidRPr="00451105">
        <w:rPr>
          <w:rFonts w:cs="Times New Roman"/>
        </w:rPr>
        <w:t>er</w:t>
      </w:r>
      <w:r w:rsidR="00083949" w:rsidRPr="00451105">
        <w:rPr>
          <w:rFonts w:cs="Times New Roman"/>
        </w:rPr>
        <w:t xml:space="preserve"> all. Compensating </w:t>
      </w:r>
      <w:r w:rsidR="00927471">
        <w:rPr>
          <w:rFonts w:cs="Times New Roman"/>
        </w:rPr>
        <w:t>it</w:t>
      </w:r>
      <w:r w:rsidR="00083949" w:rsidRPr="00451105">
        <w:rPr>
          <w:rFonts w:cs="Times New Roman"/>
        </w:rPr>
        <w:t xml:space="preserve"> that amount would mean that </w:t>
      </w:r>
      <w:r w:rsidR="00927471">
        <w:rPr>
          <w:rFonts w:cs="Times New Roman"/>
        </w:rPr>
        <w:t>Widgetco</w:t>
      </w:r>
      <w:r w:rsidR="00083949" w:rsidRPr="00451105">
        <w:rPr>
          <w:rFonts w:cs="Times New Roman"/>
        </w:rPr>
        <w:t xml:space="preserve"> would net $50,000, which would be a windfall. So goes the argument.</w:t>
      </w:r>
    </w:p>
    <w:p w14:paraId="3EE2280F" w14:textId="77777777" w:rsidR="00083949" w:rsidRPr="00451105" w:rsidRDefault="00083949" w:rsidP="00083949">
      <w:pPr>
        <w:rPr>
          <w:rFonts w:cs="Times New Roman"/>
          <w:bCs/>
          <w:color w:val="555555"/>
        </w:rPr>
      </w:pPr>
    </w:p>
    <w:p w14:paraId="0527AB55" w14:textId="3D07889D" w:rsidR="00083949" w:rsidRPr="00451105" w:rsidRDefault="00083949" w:rsidP="00083949">
      <w:pPr>
        <w:rPr>
          <w:rFonts w:cs="Times New Roman"/>
          <w:bCs/>
          <w:color w:val="555555"/>
        </w:rPr>
      </w:pPr>
      <w:r w:rsidRPr="00451105">
        <w:rPr>
          <w:rFonts w:cs="Times New Roman"/>
          <w:bCs/>
          <w:color w:val="555555"/>
        </w:rPr>
        <w:tab/>
        <w:t xml:space="preserve">The widgets four years hence might well be physically identical, but they are not economically identical. At the moment of breach, </w:t>
      </w:r>
      <w:r w:rsidR="00927471">
        <w:rPr>
          <w:rFonts w:cs="Times New Roman"/>
          <w:bCs/>
          <w:color w:val="555555"/>
        </w:rPr>
        <w:t>Widgetco</w:t>
      </w:r>
      <w:r w:rsidRPr="00451105">
        <w:rPr>
          <w:rFonts w:cs="Times New Roman"/>
          <w:bCs/>
          <w:color w:val="555555"/>
        </w:rPr>
        <w:t xml:space="preserve"> has lost an asset, the right to the net proceeds of sale on January 1. In this case it happens to be a positive amount,  $30,000. The right to sell widgets on January 1 is not the same as the right to sell physically identical widgets at some subsequent date. Awarding </w:t>
      </w:r>
      <w:r w:rsidR="00927471">
        <w:rPr>
          <w:rFonts w:cs="Times New Roman"/>
          <w:bCs/>
          <w:color w:val="555555"/>
        </w:rPr>
        <w:t xml:space="preserve">Widgetco </w:t>
      </w:r>
      <w:r w:rsidRPr="00451105">
        <w:rPr>
          <w:rFonts w:cs="Times New Roman"/>
          <w:bCs/>
          <w:color w:val="555555"/>
        </w:rPr>
        <w:t xml:space="preserve">$30,000 puts </w:t>
      </w:r>
      <w:r w:rsidR="00927471">
        <w:rPr>
          <w:rFonts w:cs="Times New Roman"/>
          <w:bCs/>
          <w:color w:val="555555"/>
        </w:rPr>
        <w:t xml:space="preserve">it </w:t>
      </w:r>
      <w:r w:rsidR="00E14581" w:rsidRPr="00451105">
        <w:rPr>
          <w:rFonts w:cs="Times New Roman"/>
          <w:bCs/>
          <w:color w:val="555555"/>
        </w:rPr>
        <w:t>in</w:t>
      </w:r>
      <w:r w:rsidR="00BF0B71" w:rsidRPr="00451105">
        <w:rPr>
          <w:rFonts w:cs="Times New Roman"/>
          <w:bCs/>
          <w:color w:val="555555"/>
        </w:rPr>
        <w:t xml:space="preserve"> </w:t>
      </w:r>
      <w:r w:rsidRPr="00451105">
        <w:rPr>
          <w:rFonts w:cs="Times New Roman"/>
          <w:bCs/>
          <w:color w:val="555555"/>
        </w:rPr>
        <w:t>as good a position as if the other party had fully performed. Howeve</w:t>
      </w:r>
      <w:r w:rsidR="00927471">
        <w:rPr>
          <w:rFonts w:cs="Times New Roman"/>
          <w:bCs/>
          <w:color w:val="555555"/>
        </w:rPr>
        <w:t>r, in addition to the $30,000 it</w:t>
      </w:r>
      <w:r w:rsidRPr="00451105">
        <w:rPr>
          <w:rFonts w:cs="Times New Roman"/>
          <w:bCs/>
          <w:color w:val="555555"/>
        </w:rPr>
        <w:t xml:space="preserve"> would still have the widgets, which would be worth $30,000 less than they were when</w:t>
      </w:r>
      <w:r w:rsidR="00927471">
        <w:rPr>
          <w:rFonts w:cs="Times New Roman"/>
          <w:bCs/>
          <w:color w:val="555555"/>
        </w:rPr>
        <w:t xml:space="preserve"> the contract was formed. Had it</w:t>
      </w:r>
      <w:r w:rsidRPr="00451105">
        <w:rPr>
          <w:rFonts w:cs="Times New Roman"/>
          <w:bCs/>
          <w:color w:val="555555"/>
        </w:rPr>
        <w:t xml:space="preserve"> in fact sold the widgets at the market price at the moment of breach, </w:t>
      </w:r>
      <w:r w:rsidR="00927471">
        <w:rPr>
          <w:rFonts w:cs="Times New Roman"/>
          <w:bCs/>
          <w:color w:val="555555"/>
        </w:rPr>
        <w:t>Widgetco</w:t>
      </w:r>
      <w:r w:rsidRPr="00451105">
        <w:rPr>
          <w:rFonts w:cs="Times New Roman"/>
          <w:bCs/>
          <w:color w:val="555555"/>
        </w:rPr>
        <w:t xml:space="preserve"> would be in exactly the same position as if the contract had been performed (ignoring the costs of both finding a new buyer and litigation). </w:t>
      </w:r>
    </w:p>
    <w:p w14:paraId="5DE49439" w14:textId="77777777" w:rsidR="00083949" w:rsidRPr="00451105" w:rsidRDefault="00083949" w:rsidP="00083949">
      <w:pPr>
        <w:rPr>
          <w:rFonts w:cs="Times New Roman"/>
          <w:bCs/>
          <w:color w:val="555555"/>
        </w:rPr>
      </w:pPr>
    </w:p>
    <w:p w14:paraId="25173F54" w14:textId="740AC153" w:rsidR="00083949" w:rsidRPr="00451105" w:rsidRDefault="00927471" w:rsidP="00083949">
      <w:pPr>
        <w:ind w:firstLine="720"/>
        <w:rPr>
          <w:rFonts w:cs="Times New Roman"/>
          <w:color w:val="000000"/>
        </w:rPr>
      </w:pPr>
      <w:r>
        <w:rPr>
          <w:rFonts w:cs="Times New Roman"/>
          <w:bCs/>
          <w:color w:val="555555"/>
        </w:rPr>
        <w:t>After January 1, it</w:t>
      </w:r>
      <w:r w:rsidR="00083949" w:rsidRPr="00451105">
        <w:rPr>
          <w:rFonts w:cs="Times New Roman"/>
          <w:bCs/>
          <w:color w:val="555555"/>
        </w:rPr>
        <w:t xml:space="preserve"> would be free to buy, sell, or use widgets or any other assets. The subsequent course of prices of widgets (or any other asse</w:t>
      </w:r>
      <w:r>
        <w:rPr>
          <w:rFonts w:cs="Times New Roman"/>
          <w:bCs/>
          <w:color w:val="555555"/>
        </w:rPr>
        <w:t>ts) bears no relation to what it</w:t>
      </w:r>
      <w:r w:rsidR="00083949" w:rsidRPr="00451105">
        <w:rPr>
          <w:rFonts w:cs="Times New Roman"/>
          <w:bCs/>
          <w:color w:val="555555"/>
        </w:rPr>
        <w:t xml:space="preserve"> had lost at the time of the buyer’s breach. </w:t>
      </w:r>
      <w:r w:rsidR="008708E3">
        <w:rPr>
          <w:rFonts w:cs="Times New Roman"/>
          <w:bCs/>
          <w:color w:val="555555"/>
        </w:rPr>
        <w:t xml:space="preserve">If it held the widgets, it bore the risk of subsequent price changes. </w:t>
      </w:r>
      <w:r w:rsidR="00083949" w:rsidRPr="00451105">
        <w:rPr>
          <w:rFonts w:cs="Times New Roman"/>
          <w:bCs/>
          <w:color w:val="555555"/>
        </w:rPr>
        <w:t>Suppose that in the f</w:t>
      </w:r>
      <w:r>
        <w:rPr>
          <w:rFonts w:cs="Times New Roman"/>
          <w:bCs/>
          <w:color w:val="555555"/>
        </w:rPr>
        <w:t>our years following January 1 it</w:t>
      </w:r>
      <w:r w:rsidR="00083949" w:rsidRPr="00451105">
        <w:rPr>
          <w:rFonts w:cs="Times New Roman"/>
          <w:bCs/>
          <w:color w:val="555555"/>
        </w:rPr>
        <w:t xml:space="preserve"> had, at various dates, bought and sold physically identical widgets. The prices of those tr</w:t>
      </w:r>
      <w:r>
        <w:rPr>
          <w:rFonts w:cs="Times New Roman"/>
          <w:bCs/>
          <w:color w:val="555555"/>
        </w:rPr>
        <w:t>ansactions are as relevant to it</w:t>
      </w:r>
      <w:r w:rsidR="00083949" w:rsidRPr="00451105">
        <w:rPr>
          <w:rFonts w:cs="Times New Roman"/>
          <w:bCs/>
          <w:color w:val="555555"/>
        </w:rPr>
        <w:t xml:space="preserve">s damage award as the prices of </w:t>
      </w:r>
      <w:r w:rsidR="008F33A0" w:rsidRPr="00451105">
        <w:rPr>
          <w:rFonts w:cs="Times New Roman"/>
          <w:bCs/>
          <w:color w:val="555555"/>
        </w:rPr>
        <w:t xml:space="preserve">Widgetco </w:t>
      </w:r>
      <w:r>
        <w:rPr>
          <w:rFonts w:cs="Times New Roman"/>
          <w:bCs/>
          <w:color w:val="555555"/>
        </w:rPr>
        <w:t>stock or any other assets it</w:t>
      </w:r>
      <w:r w:rsidR="00083949" w:rsidRPr="00451105">
        <w:rPr>
          <w:rFonts w:cs="Times New Roman"/>
          <w:bCs/>
          <w:color w:val="555555"/>
        </w:rPr>
        <w:t xml:space="preserve"> might have bought or sold in that subsequent period—namely, no relevance at all. The simple point is this: </w:t>
      </w:r>
      <w:r w:rsidR="00083949" w:rsidRPr="00451105">
        <w:rPr>
          <w:rFonts w:cs="Times New Roman"/>
          <w:color w:val="000000"/>
        </w:rPr>
        <w:t>If the market price information is easily available, the quest for the remedy should be over. If the seller decides to hold, use, eat, or resell the item, that ought to be of no concern to the breaching buyer.</w:t>
      </w:r>
      <w:r w:rsidR="00083949" w:rsidRPr="00451105">
        <w:rPr>
          <w:rStyle w:val="FootnoteReference"/>
          <w:rFonts w:cs="Times New Roman"/>
          <w:color w:val="000000"/>
        </w:rPr>
        <w:footnoteReference w:id="18"/>
      </w:r>
    </w:p>
    <w:p w14:paraId="77D809D7" w14:textId="77777777" w:rsidR="00271A6A" w:rsidRPr="00451105" w:rsidRDefault="00271A6A" w:rsidP="00083949">
      <w:pPr>
        <w:ind w:firstLine="720"/>
        <w:rPr>
          <w:rFonts w:cs="Times New Roman"/>
          <w:bCs/>
          <w:color w:val="555555"/>
        </w:rPr>
      </w:pPr>
    </w:p>
    <w:p w14:paraId="07E52D38" w14:textId="325F3CCA" w:rsidR="00083949" w:rsidRPr="00451105" w:rsidRDefault="00271A6A" w:rsidP="00271A6A">
      <w:pPr>
        <w:ind w:firstLine="720"/>
        <w:rPr>
          <w:rFonts w:cs="Times New Roman"/>
          <w:color w:val="000000"/>
        </w:rPr>
      </w:pPr>
      <w:r w:rsidRPr="00451105">
        <w:rPr>
          <w:rFonts w:cs="Times New Roman"/>
          <w:bCs/>
          <w:color w:val="555555"/>
        </w:rPr>
        <w:t xml:space="preserve">For an amusing example of the correct treatment of the issue in a non-UCC context, see </w:t>
      </w:r>
      <w:r w:rsidRPr="00451105">
        <w:rPr>
          <w:rFonts w:cs="Times New Roman"/>
          <w:bCs/>
          <w:i/>
          <w:color w:val="555555"/>
        </w:rPr>
        <w:t>Kearl v. Rausser</w:t>
      </w:r>
      <w:r w:rsidRPr="00451105">
        <w:rPr>
          <w:rFonts w:cs="Times New Roman"/>
          <w:bCs/>
          <w:color w:val="555555"/>
        </w:rPr>
        <w:t>,</w:t>
      </w:r>
      <w:r w:rsidRPr="00451105">
        <w:rPr>
          <w:rStyle w:val="FootnoteReference"/>
          <w:rFonts w:cs="Times New Roman"/>
          <w:bCs/>
          <w:color w:val="555555"/>
        </w:rPr>
        <w:footnoteReference w:id="19"/>
      </w:r>
      <w:r w:rsidRPr="00451105">
        <w:rPr>
          <w:rFonts w:cs="Times New Roman"/>
          <w:bCs/>
          <w:color w:val="555555"/>
        </w:rPr>
        <w:t xml:space="preserve"> a double-barreled battle of the experts. One group of economic experts was suing another expert for breach of contract and the experts presented conflicting expert opinions on the damages. The issue concerned the valuation of shares of stock.</w:t>
      </w:r>
      <w:r w:rsidR="008708E3">
        <w:rPr>
          <w:rStyle w:val="FootnoteReference"/>
          <w:rFonts w:cs="Times New Roman"/>
          <w:bCs/>
          <w:color w:val="555555"/>
        </w:rPr>
        <w:footnoteReference w:id="20"/>
      </w:r>
      <w:r w:rsidRPr="00451105">
        <w:rPr>
          <w:rFonts w:cs="Times New Roman"/>
          <w:bCs/>
          <w:color w:val="555555"/>
        </w:rPr>
        <w:t xml:space="preserve"> After the breach, the stock price had risen and the defendant</w:t>
      </w:r>
      <w:r w:rsidR="002D0D8E">
        <w:rPr>
          <w:rFonts w:cs="Times New Roman"/>
          <w:bCs/>
          <w:color w:val="555555"/>
        </w:rPr>
        <w:t xml:space="preserve"> (Rausser)</w:t>
      </w:r>
      <w:r w:rsidRPr="00451105">
        <w:rPr>
          <w:rFonts w:cs="Times New Roman"/>
          <w:bCs/>
          <w:color w:val="555555"/>
        </w:rPr>
        <w:t xml:space="preserve"> had sold shares at various dates at prices above the price on the date of breach. The plaintiffs won a jury verdict based on the post-breach sale prices; the Court of Appeals reversed. “</w:t>
      </w:r>
      <w:r w:rsidRPr="00451105">
        <w:rPr>
          <w:rFonts w:cs="Times New Roman"/>
          <w:color w:val="000000"/>
        </w:rPr>
        <w:t>Instead of seeking to measure their losses as of the date of Dr. Rausser’s breach, plaintiffs were free under the jury instructions given to argue for damages months and even years after any possible breach date. Indeed, plaintiffs’ damages theory valued the stock as of the dates of Dr. Rausser’s sales and, for the stock he retained, the date of trial.”</w:t>
      </w:r>
      <w:r w:rsidRPr="00451105">
        <w:rPr>
          <w:rStyle w:val="FootnoteReference"/>
          <w:rFonts w:cs="Times New Roman"/>
          <w:color w:val="000000"/>
        </w:rPr>
        <w:footnoteReference w:id="21"/>
      </w:r>
    </w:p>
    <w:p w14:paraId="7D5F655C" w14:textId="77777777" w:rsidR="00271A6A" w:rsidRPr="00451105" w:rsidRDefault="00271A6A" w:rsidP="00271A6A">
      <w:pPr>
        <w:ind w:firstLine="720"/>
        <w:rPr>
          <w:rFonts w:cs="Times New Roman"/>
          <w:bCs/>
          <w:color w:val="555555"/>
        </w:rPr>
      </w:pPr>
    </w:p>
    <w:p w14:paraId="7E047D8E" w14:textId="25FDB55A" w:rsidR="00083949" w:rsidRPr="00451105" w:rsidRDefault="00083949" w:rsidP="00083949">
      <w:pPr>
        <w:ind w:firstLine="720"/>
        <w:rPr>
          <w:rFonts w:cs="Times New Roman"/>
          <w:bCs/>
          <w:color w:val="555555"/>
        </w:rPr>
      </w:pPr>
      <w:r w:rsidRPr="00451105">
        <w:rPr>
          <w:rFonts w:cs="Times New Roman"/>
          <w:bCs/>
          <w:color w:val="555555"/>
        </w:rPr>
        <w:lastRenderedPageBreak/>
        <w:t>If the market price were not so easily available, then the proceeds of resale might come into play. Rather than treat 2-706 as an alternative or coequal remedy, it is more useful to view it as a possible source of evidence of the market price at the time of the breach.</w:t>
      </w:r>
      <w:r w:rsidRPr="00451105">
        <w:rPr>
          <w:rStyle w:val="FootnoteReference"/>
          <w:rFonts w:cs="Times New Roman"/>
          <w:bCs/>
          <w:color w:val="555555"/>
        </w:rPr>
        <w:footnoteReference w:id="22"/>
      </w:r>
      <w:r w:rsidRPr="00451105">
        <w:rPr>
          <w:rFonts w:cs="Times New Roman"/>
          <w:bCs/>
          <w:color w:val="555555"/>
        </w:rPr>
        <w:t xml:space="preserve"> The persuasiveness of the evidence from a subsequent resale would depend on the temporal proximity and on the availability of other evidence.</w:t>
      </w:r>
      <w:r w:rsidR="002D0D8E">
        <w:rPr>
          <w:rFonts w:cs="Times New Roman"/>
          <w:bCs/>
          <w:color w:val="555555"/>
        </w:rPr>
        <w:t xml:space="preserve"> </w:t>
      </w:r>
      <w:r w:rsidR="002D0D8E" w:rsidRPr="00D75D2F">
        <w:rPr>
          <w:rFonts w:cs="Times New Roman"/>
        </w:rPr>
        <w:t>I</w:t>
      </w:r>
      <w:r w:rsidR="002D0D8E" w:rsidRPr="00D75D2F">
        <w:rPr>
          <w:rFonts w:eastAsia="Times New Roman" w:cs="Times New Roman"/>
          <w:color w:val="222222"/>
          <w:shd w:val="clear" w:color="auto" w:fill="FFFFFF"/>
        </w:rPr>
        <w:t>f the seller were to resell promptly that would be good evidence of the market price and the burden should be on the buyer to show that the sale price was unreasonable. If the market were thin, this would be especially important and the buyer’s proof burden should be high.</w:t>
      </w:r>
      <w:r w:rsidR="000A3B8A">
        <w:rPr>
          <w:rFonts w:eastAsia="Times New Roman" w:cs="Times New Roman"/>
          <w:color w:val="222222"/>
          <w:shd w:val="clear" w:color="auto" w:fill="FFFFFF"/>
        </w:rPr>
        <w:t xml:space="preserve"> </w:t>
      </w:r>
      <w:r w:rsidR="000A3B8A" w:rsidRPr="00D75D2F">
        <w:rPr>
          <w:rFonts w:eastAsia="Times New Roman" w:cs="Times New Roman"/>
          <w:color w:val="222222"/>
          <w:shd w:val="clear" w:color="auto" w:fill="FFFFFF"/>
        </w:rPr>
        <w:t xml:space="preserve">So, for example, </w:t>
      </w:r>
      <w:r w:rsidR="009A58B7">
        <w:rPr>
          <w:rFonts w:eastAsia="Times New Roman" w:cs="Times New Roman"/>
          <w:color w:val="222222"/>
          <w:shd w:val="clear" w:color="auto" w:fill="FFFFFF"/>
        </w:rPr>
        <w:t xml:space="preserve">in a well-known casebook case, </w:t>
      </w:r>
      <w:r w:rsidR="000A3B8A" w:rsidRPr="00D75D2F">
        <w:rPr>
          <w:rFonts w:eastAsia="Times New Roman" w:cs="Times New Roman"/>
          <w:color w:val="222222"/>
          <w:shd w:val="clear" w:color="auto" w:fill="FFFFFF"/>
        </w:rPr>
        <w:t>Columbia Nitrogen’s claim that Royster resold its fertilizer at too low a price should have been met with great skepticism.</w:t>
      </w:r>
      <w:r w:rsidRPr="00451105">
        <w:rPr>
          <w:rStyle w:val="FootnoteReference"/>
          <w:rFonts w:cs="Times New Roman"/>
          <w:bCs/>
          <w:color w:val="555555"/>
        </w:rPr>
        <w:footnoteReference w:id="23"/>
      </w:r>
      <w:r w:rsidRPr="00451105">
        <w:rPr>
          <w:rFonts w:cs="Times New Roman"/>
          <w:bCs/>
          <w:color w:val="555555"/>
        </w:rPr>
        <w:t xml:space="preserve"> The four years in the hypothetical should certainly not qualify as reasonable evidence.</w:t>
      </w:r>
    </w:p>
    <w:p w14:paraId="0D51A3FB" w14:textId="77777777" w:rsidR="00083949" w:rsidRPr="00451105" w:rsidRDefault="00083949" w:rsidP="00083949">
      <w:pPr>
        <w:rPr>
          <w:rFonts w:cs="Times New Roman"/>
          <w:bCs/>
          <w:color w:val="555555"/>
        </w:rPr>
      </w:pPr>
    </w:p>
    <w:p w14:paraId="100C7D2C" w14:textId="500D441D" w:rsidR="00083949" w:rsidRPr="00451105" w:rsidRDefault="00083949" w:rsidP="00083949">
      <w:pPr>
        <w:ind w:firstLine="720"/>
        <w:rPr>
          <w:rFonts w:cs="Times New Roman"/>
          <w:bCs/>
          <w:color w:val="555555"/>
        </w:rPr>
      </w:pPr>
      <w:r w:rsidRPr="00451105">
        <w:rPr>
          <w:rFonts w:cs="Times New Roman"/>
          <w:bCs/>
          <w:color w:val="555555"/>
        </w:rPr>
        <w:t xml:space="preserve">How does this play out in practice? </w:t>
      </w:r>
      <w:r w:rsidR="00303063">
        <w:rPr>
          <w:rFonts w:cs="Times New Roman"/>
          <w:bCs/>
          <w:color w:val="555555"/>
        </w:rPr>
        <w:t>T</w:t>
      </w:r>
      <w:r w:rsidRPr="00451105">
        <w:rPr>
          <w:rFonts w:cs="Times New Roman"/>
          <w:bCs/>
          <w:color w:val="555555"/>
        </w:rPr>
        <w:t>he Oregon Supreme Cour</w:t>
      </w:r>
      <w:r w:rsidR="00303063">
        <w:rPr>
          <w:rFonts w:cs="Times New Roman"/>
          <w:bCs/>
          <w:color w:val="555555"/>
        </w:rPr>
        <w:t>t was faced with the problem in</w:t>
      </w:r>
      <w:r w:rsidR="00303063" w:rsidRPr="00451105">
        <w:rPr>
          <w:rFonts w:cs="Times New Roman"/>
          <w:bCs/>
          <w:color w:val="555555"/>
        </w:rPr>
        <w:t xml:space="preserve"> a recent case, </w:t>
      </w:r>
      <w:r w:rsidRPr="00451105">
        <w:rPr>
          <w:rFonts w:cs="Times New Roman"/>
          <w:bCs/>
          <w:i/>
          <w:color w:val="555555"/>
        </w:rPr>
        <w:t>Peace River Seed Co-Operative, Ltd. v. Proseeds Marketing, Inc</w:t>
      </w:r>
      <w:r w:rsidRPr="00950D15">
        <w:rPr>
          <w:rFonts w:cs="Times New Roman"/>
          <w:bCs/>
          <w:color w:val="555555"/>
        </w:rPr>
        <w:t>.</w:t>
      </w:r>
      <w:r w:rsidRPr="00950D15">
        <w:rPr>
          <w:rStyle w:val="FootnoteReference"/>
          <w:rFonts w:cs="Times New Roman"/>
          <w:bCs/>
          <w:color w:val="555555"/>
        </w:rPr>
        <w:footnoteReference w:id="24"/>
      </w:r>
      <w:r w:rsidRPr="00950D15">
        <w:rPr>
          <w:rFonts w:cs="Times New Roman"/>
          <w:bCs/>
          <w:color w:val="555555"/>
        </w:rPr>
        <w:t xml:space="preserve"> The</w:t>
      </w:r>
      <w:r w:rsidRPr="00451105">
        <w:rPr>
          <w:rFonts w:cs="Times New Roman"/>
          <w:bCs/>
          <w:color w:val="555555"/>
        </w:rPr>
        <w:t xml:space="preserve"> seller of grass seed was an agricultural cooperative of grass seed producers. It entered into a number of fixed price contracts with a single buyer to sell fungible seeds over a two-year period. The buyer was to provide shipping and delivery instructions. The market price fell and the buyer refused to provide shipping instructions. After buyer’s continued refusal, seller cancelled the contracts; the court concluded that the buyer had breached and all that was left was the determination of damages. There is no discussion in the case as to whether the performance date for all the contracts had passed. The court focused on a single contract and I will do likewise.</w:t>
      </w:r>
    </w:p>
    <w:p w14:paraId="4A2AC22C" w14:textId="77777777" w:rsidR="00083949" w:rsidRPr="00451105" w:rsidRDefault="00083949" w:rsidP="00083949">
      <w:pPr>
        <w:rPr>
          <w:rFonts w:cs="Times New Roman"/>
          <w:bCs/>
          <w:color w:val="555555"/>
        </w:rPr>
      </w:pPr>
    </w:p>
    <w:p w14:paraId="6567ECDF" w14:textId="13512FD0" w:rsidR="00083949" w:rsidRPr="005665C4" w:rsidRDefault="00083949" w:rsidP="009A58B7">
      <w:pPr>
        <w:pStyle w:val="FootnoteText"/>
        <w:ind w:firstLine="720"/>
      </w:pPr>
      <w:r w:rsidRPr="00451105">
        <w:rPr>
          <w:rFonts w:cs="Times New Roman"/>
          <w:bCs/>
          <w:color w:val="555555"/>
        </w:rPr>
        <w:t>The contract price was 72 cents per pound. The market price at that time of the breach was 64 cents</w:t>
      </w:r>
      <w:r w:rsidR="0080299C">
        <w:rPr>
          <w:rFonts w:cs="Times New Roman"/>
          <w:bCs/>
          <w:color w:val="555555"/>
        </w:rPr>
        <w:t>,</w:t>
      </w:r>
      <w:r w:rsidRPr="00451105">
        <w:rPr>
          <w:rFonts w:cs="Times New Roman"/>
          <w:bCs/>
          <w:color w:val="555555"/>
        </w:rPr>
        <w:t xml:space="preserve"> so under 2-708 the damages would be eight cents per pound. However, “[o]</w:t>
      </w:r>
      <w:r w:rsidRPr="00451105">
        <w:rPr>
          <w:rFonts w:cs="Times New Roman"/>
          <w:color w:val="000000"/>
        </w:rPr>
        <w:t>ver the next three years, plaintiff was able to sell at least some of the seed that defendant had agreed to purchase to other buyers.”</w:t>
      </w:r>
      <w:r w:rsidRPr="00451105">
        <w:rPr>
          <w:rStyle w:val="FootnoteReference"/>
          <w:rFonts w:cs="Times New Roman"/>
          <w:color w:val="000000"/>
        </w:rPr>
        <w:footnoteReference w:id="25"/>
      </w:r>
      <w:r w:rsidRPr="00451105">
        <w:rPr>
          <w:rFonts w:cs="Times New Roman"/>
          <w:color w:val="000000"/>
        </w:rPr>
        <w:t xml:space="preserve"> Some of the contract seed, the buyer claimed, was sold at 75 cents per pound. The decision does not make clear when in that three-year period the seed was sold. The buyer argued that if the seller were awarded the eight cents it would receive a windfall, since it would also receive the extra three cents from the subsequent sale. To further confuse the matter, the court noted that the seller claimed that some of the seed had been sold at 60 cents, which would have resulted in a higher measure of damages. Thus, it appears, that over the course of the three years </w:t>
      </w:r>
      <w:r w:rsidRPr="00451105">
        <w:rPr>
          <w:rFonts w:cs="Times New Roman"/>
          <w:color w:val="000000"/>
        </w:rPr>
        <w:lastRenderedPageBreak/>
        <w:t xml:space="preserve">there were a number of sales of seed at different prices. </w:t>
      </w:r>
      <w:r w:rsidR="005665C4">
        <w:t>The seller could have sold the seeds at the market price (64 cents) at the time of the breach, but chose not to.</w:t>
      </w:r>
    </w:p>
    <w:p w14:paraId="5EF70D83" w14:textId="77777777" w:rsidR="00083949" w:rsidRPr="00451105" w:rsidRDefault="00083949" w:rsidP="00083949">
      <w:pPr>
        <w:ind w:firstLine="720"/>
        <w:rPr>
          <w:rFonts w:cs="Times New Roman"/>
          <w:color w:val="000000"/>
        </w:rPr>
      </w:pPr>
    </w:p>
    <w:p w14:paraId="46CE4703" w14:textId="349CA30D" w:rsidR="00083949" w:rsidRPr="00451105" w:rsidRDefault="00083949" w:rsidP="00083949">
      <w:pPr>
        <w:ind w:firstLine="720"/>
        <w:rPr>
          <w:rFonts w:cs="Times New Roman"/>
          <w:color w:val="000000"/>
        </w:rPr>
      </w:pPr>
      <w:r w:rsidRPr="00451105">
        <w:rPr>
          <w:rFonts w:cs="Times New Roman"/>
          <w:color w:val="000000"/>
        </w:rPr>
        <w:t xml:space="preserve">The question was: should any (or all) of these different prices be recognized when reckoning damages? The trial court chose to recognize </w:t>
      </w:r>
      <w:r w:rsidR="00BF0B71" w:rsidRPr="00451105">
        <w:rPr>
          <w:rFonts w:cs="Times New Roman"/>
          <w:color w:val="000000"/>
        </w:rPr>
        <w:t xml:space="preserve">at least some of </w:t>
      </w:r>
      <w:r w:rsidRPr="00451105">
        <w:rPr>
          <w:rFonts w:cs="Times New Roman"/>
          <w:color w:val="000000"/>
        </w:rPr>
        <w:t xml:space="preserve">these prices, thereby favoring the buyer. This decision was reversed by the Court of Appeals and the Oregon Supreme Court upheld that decision. The </w:t>
      </w:r>
      <w:r w:rsidR="0080299C">
        <w:rPr>
          <w:rFonts w:cs="Times New Roman"/>
          <w:color w:val="000000"/>
        </w:rPr>
        <w:t>Supreme C</w:t>
      </w:r>
      <w:r w:rsidRPr="00451105">
        <w:rPr>
          <w:rFonts w:cs="Times New Roman"/>
          <w:color w:val="000000"/>
        </w:rPr>
        <w:t xml:space="preserve">ourt based part of its conclusion on a comparison of buyer and seller remedies under the Code. For sellers the </w:t>
      </w:r>
      <w:r w:rsidR="004D6022">
        <w:rPr>
          <w:rFonts w:cs="Times New Roman"/>
          <w:color w:val="000000"/>
        </w:rPr>
        <w:t>available remedies are</w:t>
      </w:r>
      <w:r w:rsidRPr="00451105">
        <w:rPr>
          <w:rFonts w:cs="Times New Roman"/>
          <w:color w:val="000000"/>
        </w:rPr>
        <w:t xml:space="preserve"> resale price damages and market price damages. The court noted: “it lists those remedies without any limiting conjunction, such as ‘or,’ that might suggest that the remedies are mutually exclusive.”</w:t>
      </w:r>
      <w:r w:rsidRPr="00451105">
        <w:rPr>
          <w:rStyle w:val="FootnoteReference"/>
          <w:rFonts w:cs="Times New Roman"/>
          <w:color w:val="000000"/>
        </w:rPr>
        <w:footnoteReference w:id="26"/>
      </w:r>
      <w:r w:rsidRPr="00451105">
        <w:rPr>
          <w:rFonts w:cs="Times New Roman"/>
          <w:color w:val="000000"/>
        </w:rPr>
        <w:t xml:space="preserve"> The buyer’s remedy, however, </w:t>
      </w:r>
      <w:r w:rsidR="004D6022">
        <w:rPr>
          <w:rFonts w:cs="Times New Roman"/>
          <w:color w:val="000000"/>
        </w:rPr>
        <w:t xml:space="preserve">only </w:t>
      </w:r>
      <w:r w:rsidRPr="00451105">
        <w:rPr>
          <w:rFonts w:cs="Times New Roman"/>
          <w:color w:val="000000"/>
        </w:rPr>
        <w:t xml:space="preserve">allows for cover </w:t>
      </w:r>
      <w:r w:rsidRPr="004D6022">
        <w:rPr>
          <w:rFonts w:cs="Times New Roman"/>
          <w:i/>
          <w:color w:val="000000"/>
        </w:rPr>
        <w:t>or</w:t>
      </w:r>
      <w:r w:rsidRPr="00451105">
        <w:rPr>
          <w:rFonts w:cs="Times New Roman"/>
          <w:color w:val="000000"/>
        </w:rPr>
        <w:t xml:space="preserve"> damages for nondelivery. “Thus, although the buyer’s index of remedies suggests that a buyer who covers may be precluded from seeking market price damages, the seller’s index of remedies does not contain a similar limitation if the seller chooses to resell.”</w:t>
      </w:r>
      <w:r w:rsidRPr="00451105">
        <w:rPr>
          <w:rStyle w:val="FootnoteReference"/>
          <w:rFonts w:cs="Times New Roman"/>
          <w:color w:val="000000"/>
        </w:rPr>
        <w:footnoteReference w:id="27"/>
      </w:r>
      <w:r w:rsidRPr="00451105">
        <w:rPr>
          <w:rFonts w:cs="Times New Roman"/>
          <w:color w:val="000000"/>
        </w:rPr>
        <w:t xml:space="preserve"> This emphasis on conjunctions exemplifies the confused way the court tackles what turns out to be a simple problem. The issue was not grammar; it was economic.</w:t>
      </w:r>
    </w:p>
    <w:p w14:paraId="7287118F" w14:textId="77777777" w:rsidR="00083949" w:rsidRPr="00451105" w:rsidRDefault="00083949" w:rsidP="00083949">
      <w:pPr>
        <w:rPr>
          <w:rFonts w:cs="Times New Roman"/>
          <w:color w:val="000000"/>
        </w:rPr>
      </w:pPr>
    </w:p>
    <w:p w14:paraId="13F08B89" w14:textId="4800838C" w:rsidR="002A3666" w:rsidRDefault="00083949" w:rsidP="00083949">
      <w:pPr>
        <w:ind w:firstLine="720"/>
        <w:rPr>
          <w:rFonts w:cs="Times New Roman"/>
          <w:color w:val="000000"/>
        </w:rPr>
      </w:pPr>
      <w:r w:rsidRPr="00451105">
        <w:rPr>
          <w:rFonts w:cs="Times New Roman"/>
          <w:color w:val="000000"/>
        </w:rPr>
        <w:t xml:space="preserve">The disposition of the goods would be relevant only if the market price information were not easily ascertainable. A subsequent sale (or purchase) might provide reasonable evidence of the market price at the time of the breach. The closer in time to the breach, the more plausible the notion that the sale price would be the market price. For complex goods that are not frequently traded, for example multi-year time charters, the time between breach and ascertaining the market price might be measured in weeks or months. For items sold in fairly thick markets, for example, grass seed, the period might be measured in days or hours. In </w:t>
      </w:r>
      <w:r w:rsidRPr="00451105">
        <w:rPr>
          <w:rFonts w:cs="Times New Roman"/>
          <w:i/>
          <w:color w:val="000000"/>
        </w:rPr>
        <w:t>Peace River</w:t>
      </w:r>
      <w:r w:rsidRPr="00451105">
        <w:rPr>
          <w:rFonts w:cs="Times New Roman"/>
          <w:color w:val="000000"/>
        </w:rPr>
        <w:t xml:space="preserve"> it appears that there were subsequent sales at different prices s</w:t>
      </w:r>
      <w:r w:rsidR="005B6E0F">
        <w:rPr>
          <w:rFonts w:cs="Times New Roman"/>
          <w:color w:val="000000"/>
        </w:rPr>
        <w:t>pread over a three-year period.</w:t>
      </w:r>
      <w:r w:rsidR="005B6E0F" w:rsidRPr="00451105">
        <w:rPr>
          <w:rStyle w:val="FootnoteReference"/>
          <w:rFonts w:cs="Times New Roman"/>
          <w:color w:val="000000"/>
        </w:rPr>
        <w:footnoteReference w:id="28"/>
      </w:r>
      <w:r w:rsidR="005B6E0F">
        <w:rPr>
          <w:rFonts w:cs="Times New Roman"/>
          <w:color w:val="000000"/>
        </w:rPr>
        <w:t xml:space="preserve"> </w:t>
      </w:r>
    </w:p>
    <w:p w14:paraId="56F4053E" w14:textId="77777777" w:rsidR="002A3666" w:rsidRDefault="002A3666" w:rsidP="00083949">
      <w:pPr>
        <w:ind w:firstLine="720"/>
        <w:rPr>
          <w:rFonts w:cs="Times New Roman"/>
          <w:color w:val="000000"/>
        </w:rPr>
      </w:pPr>
    </w:p>
    <w:p w14:paraId="6A79EF71" w14:textId="2930AF7C" w:rsidR="002A3666" w:rsidRDefault="00083949" w:rsidP="003F6867">
      <w:pPr>
        <w:pStyle w:val="FootnoteText"/>
        <w:ind w:firstLine="720"/>
        <w:rPr>
          <w:rFonts w:cs="Times New Roman"/>
        </w:rPr>
      </w:pPr>
      <w:r w:rsidRPr="00451105">
        <w:rPr>
          <w:rFonts w:cs="Times New Roman"/>
          <w:color w:val="000000"/>
        </w:rPr>
        <w:t>If the remedy were based on resale, the parties would identify the sales most favorable to their position.</w:t>
      </w:r>
      <w:r w:rsidR="002A3666">
        <w:rPr>
          <w:rFonts w:cs="Times New Roman"/>
          <w:color w:val="000000"/>
        </w:rPr>
        <w:t xml:space="preserve"> As E</w:t>
      </w:r>
      <w:r w:rsidR="002A3666">
        <w:rPr>
          <w:rFonts w:cs="Times New Roman"/>
        </w:rPr>
        <w:t>l</w:t>
      </w:r>
      <w:r w:rsidR="002A3666" w:rsidRPr="00D75D2F">
        <w:rPr>
          <w:rFonts w:cs="Times New Roman"/>
        </w:rPr>
        <w:t>len Peters noted</w:t>
      </w:r>
      <w:r w:rsidR="002A3666">
        <w:rPr>
          <w:rFonts w:cs="Times New Roman"/>
        </w:rPr>
        <w:t xml:space="preserve">, it is easy to manipulate </w:t>
      </w:r>
      <w:r w:rsidR="002A3666" w:rsidRPr="00D75D2F">
        <w:rPr>
          <w:rFonts w:cs="Times New Roman"/>
        </w:rPr>
        <w:t>damages when the seller deals regularly with the market:</w:t>
      </w:r>
    </w:p>
    <w:p w14:paraId="4BC8F8AB" w14:textId="77777777" w:rsidR="002A3666" w:rsidRPr="00D75D2F" w:rsidRDefault="002A3666" w:rsidP="002A3666">
      <w:pPr>
        <w:pStyle w:val="FootnoteText"/>
        <w:rPr>
          <w:rFonts w:cs="Times New Roman"/>
        </w:rPr>
      </w:pPr>
    </w:p>
    <w:p w14:paraId="62E3ACAC" w14:textId="77777777" w:rsidR="002A3666" w:rsidRPr="00D75D2F" w:rsidRDefault="002A3666" w:rsidP="002A3666">
      <w:pPr>
        <w:ind w:left="720" w:right="720"/>
        <w:rPr>
          <w:rFonts w:cs="Times New Roman"/>
          <w:color w:val="000000"/>
        </w:rPr>
      </w:pPr>
      <w:r w:rsidRPr="00D75D2F">
        <w:rPr>
          <w:rFonts w:cs="Times New Roman"/>
        </w:rPr>
        <w:t xml:space="preserve"> </w:t>
      </w:r>
      <w:r w:rsidRPr="00D75D2F">
        <w:rPr>
          <w:rFonts w:cs="Times New Roman"/>
          <w:color w:val="000000"/>
        </w:rPr>
        <w:t>The buyer or seller who, by the nature of his business enterprise, constantly enters into new contracts for related goods and services in a market where prices fluctuate broadly and abruptly, will have a wide range of alternatives to substitute for the contract in default. It is only realistic to expect injured claimants to allocate as a substitute contract that which gives rise to the largest amount by way of damages.</w:t>
      </w:r>
    </w:p>
    <w:p w14:paraId="4559EE66" w14:textId="77F8A30A" w:rsidR="002A3666" w:rsidRPr="00D75D2F" w:rsidRDefault="002A3666" w:rsidP="002A3666">
      <w:pPr>
        <w:ind w:left="2160" w:firstLine="720"/>
        <w:rPr>
          <w:rFonts w:cs="Times New Roman"/>
          <w:color w:val="000000"/>
        </w:rPr>
      </w:pPr>
      <w:r w:rsidRPr="00D75D2F">
        <w:rPr>
          <w:rFonts w:cs="Times New Roman"/>
          <w:color w:val="000000"/>
        </w:rPr>
        <w:t>***</w:t>
      </w:r>
    </w:p>
    <w:p w14:paraId="42B98220" w14:textId="090D9771" w:rsidR="00083949" w:rsidRPr="00451105" w:rsidRDefault="002A3666" w:rsidP="002A3666">
      <w:pPr>
        <w:ind w:left="720" w:right="720"/>
        <w:rPr>
          <w:rFonts w:cs="Times New Roman"/>
          <w:color w:val="000000"/>
        </w:rPr>
      </w:pPr>
      <w:r w:rsidRPr="00D75D2F">
        <w:rPr>
          <w:rFonts w:cs="Times New Roman"/>
          <w:color w:val="000000"/>
        </w:rPr>
        <w:t>It would be a most unusual seller who could not use these openings to create a number of alternative substitutes with which to play</w:t>
      </w:r>
      <w:r>
        <w:rPr>
          <w:rFonts w:cs="Times New Roman"/>
          <w:color w:val="000000"/>
        </w:rPr>
        <w:t>.</w:t>
      </w:r>
      <w:r>
        <w:rPr>
          <w:rStyle w:val="FootnoteReference"/>
          <w:rFonts w:cs="Times New Roman"/>
          <w:color w:val="000000"/>
        </w:rPr>
        <w:footnoteReference w:id="29"/>
      </w:r>
    </w:p>
    <w:p w14:paraId="61C1E41C" w14:textId="77777777" w:rsidR="00083949" w:rsidRPr="00451105" w:rsidRDefault="00083949" w:rsidP="00083949">
      <w:pPr>
        <w:ind w:firstLine="720"/>
        <w:rPr>
          <w:rFonts w:cs="Times New Roman"/>
          <w:color w:val="000000"/>
        </w:rPr>
      </w:pPr>
    </w:p>
    <w:p w14:paraId="6658E1E2" w14:textId="77777777" w:rsidR="00083949" w:rsidRPr="00451105" w:rsidRDefault="00083949" w:rsidP="00083949">
      <w:pPr>
        <w:ind w:firstLine="720"/>
        <w:rPr>
          <w:rFonts w:cs="Times New Roman"/>
          <w:color w:val="000000"/>
        </w:rPr>
      </w:pPr>
      <w:r w:rsidRPr="00451105">
        <w:rPr>
          <w:rFonts w:cs="Times New Roman"/>
          <w:color w:val="000000"/>
        </w:rPr>
        <w:lastRenderedPageBreak/>
        <w:t>In its brief, Peace River recognized that at the time of the breach it could, but need not, resell immediately and that if it failed to do so, it would bear the risk:</w:t>
      </w:r>
    </w:p>
    <w:p w14:paraId="7ADE8186" w14:textId="77777777" w:rsidR="00083949" w:rsidRPr="00451105" w:rsidRDefault="00083949" w:rsidP="00083949">
      <w:pPr>
        <w:ind w:firstLine="720"/>
        <w:rPr>
          <w:rFonts w:cs="Times New Roman"/>
          <w:color w:val="000000"/>
        </w:rPr>
      </w:pPr>
    </w:p>
    <w:p w14:paraId="451BFD7F" w14:textId="77777777" w:rsidR="00083949" w:rsidRPr="00451105" w:rsidRDefault="00083949" w:rsidP="00083949">
      <w:pPr>
        <w:widowControl w:val="0"/>
        <w:autoSpaceDE w:val="0"/>
        <w:autoSpaceDN w:val="0"/>
        <w:adjustRightInd w:val="0"/>
        <w:ind w:left="720" w:right="720"/>
        <w:rPr>
          <w:rFonts w:cs="Times New Roman"/>
          <w:color w:val="000000"/>
        </w:rPr>
      </w:pPr>
      <w:r w:rsidRPr="00451105">
        <w:rPr>
          <w:rFonts w:cs="Times New Roman"/>
          <w:color w:val="000000"/>
        </w:rPr>
        <w:t>Because the law treats the contract as terminated without any transfer of ownership, the seller remains the owner of the goods. The seller may deal with the goods as it sees fit. The seller may sell the commodities immediately at the “market price” and take the cash. Alternatively, the seller may keep the goods for its own use; hold the commodities for later sale hoping that the price will go up, but taking the risk that the price will go down; or (as Peace River apparently did in part here) largely hold them until they lose all their value.</w:t>
      </w:r>
      <w:bookmarkStart w:id="3" w:name="co_tablefootnote_8_1"/>
      <w:bookmarkEnd w:id="3"/>
      <w:r w:rsidRPr="00451105">
        <w:rPr>
          <w:rStyle w:val="FootnoteReference"/>
          <w:rFonts w:cs="Times New Roman"/>
          <w:color w:val="000000"/>
        </w:rPr>
        <w:footnoteReference w:id="30"/>
      </w:r>
      <w:r w:rsidRPr="00451105">
        <w:rPr>
          <w:rFonts w:cs="Times New Roman"/>
          <w:color w:val="000000"/>
        </w:rPr>
        <w:t xml:space="preserve"> </w:t>
      </w:r>
    </w:p>
    <w:p w14:paraId="5DD8C8E0" w14:textId="77777777" w:rsidR="00083949" w:rsidRPr="00451105" w:rsidRDefault="00083949" w:rsidP="00083949">
      <w:pPr>
        <w:rPr>
          <w:rFonts w:cs="Times New Roman"/>
          <w:color w:val="000000"/>
        </w:rPr>
      </w:pPr>
    </w:p>
    <w:p w14:paraId="609F2E1D" w14:textId="77777777" w:rsidR="00083949" w:rsidRPr="00451105" w:rsidRDefault="00083949" w:rsidP="00083949">
      <w:pPr>
        <w:rPr>
          <w:rFonts w:cs="Times New Roman"/>
          <w:color w:val="000000"/>
        </w:rPr>
      </w:pPr>
      <w:r w:rsidRPr="00451105">
        <w:rPr>
          <w:rFonts w:cs="Times New Roman"/>
          <w:color w:val="000000"/>
        </w:rPr>
        <w:tab/>
        <w:t>It also described one way of ascertaining the market price at the time of the breach:</w:t>
      </w:r>
    </w:p>
    <w:p w14:paraId="55B8E839" w14:textId="77777777" w:rsidR="00083949" w:rsidRPr="00451105" w:rsidRDefault="00083949" w:rsidP="00083949">
      <w:pPr>
        <w:rPr>
          <w:rFonts w:cs="Times New Roman"/>
          <w:color w:val="000000"/>
        </w:rPr>
      </w:pPr>
    </w:p>
    <w:p w14:paraId="31B1BCCF" w14:textId="079230AF" w:rsidR="00083949" w:rsidRPr="00451105" w:rsidRDefault="00083949" w:rsidP="00083949">
      <w:pPr>
        <w:ind w:left="720" w:right="720"/>
        <w:rPr>
          <w:rFonts w:cs="Times New Roman"/>
          <w:color w:val="000000"/>
        </w:rPr>
      </w:pPr>
      <w:r w:rsidRPr="00451105">
        <w:rPr>
          <w:rFonts w:cs="Times New Roman"/>
          <w:color w:val="000000"/>
        </w:rPr>
        <w:t>Peace River presented unopposed testimony that the custom in the industry allowed parties to similar contracts to enter into “wash” transactions under which the seller pretends that it ships the seed and gets the contract price, and the breaching buyer resells the seed to the seller at the current market price. In essence, they “wash” the obligation to ship both ways and the breaching buyer pays just the difference between the contract and market price, plus incidental damages</w:t>
      </w:r>
      <w:r w:rsidR="00D7111A" w:rsidRPr="00451105">
        <w:rPr>
          <w:rFonts w:cs="Times New Roman"/>
          <w:color w:val="000000"/>
        </w:rPr>
        <w:t>.</w:t>
      </w:r>
      <w:r w:rsidR="008F6290">
        <w:rPr>
          <w:rFonts w:cs="Times New Roman"/>
          <w:color w:val="000000"/>
        </w:rPr>
        <w:t xml:space="preserve"> [</w:t>
      </w:r>
      <w:r w:rsidRPr="00451105">
        <w:rPr>
          <w:rFonts w:cs="Times New Roman"/>
          <w:color w:val="000000"/>
        </w:rPr>
        <w:t>UCC § 2-708(1)</w:t>
      </w:r>
      <w:r w:rsidR="008F6290">
        <w:rPr>
          <w:rFonts w:cs="Times New Roman"/>
          <w:color w:val="000000"/>
        </w:rPr>
        <w:t>]</w:t>
      </w:r>
      <w:r w:rsidRPr="00451105">
        <w:rPr>
          <w:rFonts w:cs="Times New Roman"/>
          <w:b/>
          <w:color w:val="000000"/>
        </w:rPr>
        <w:t xml:space="preserve"> </w:t>
      </w:r>
      <w:r w:rsidRPr="00451105">
        <w:rPr>
          <w:rFonts w:cs="Times New Roman"/>
          <w:color w:val="000000"/>
        </w:rPr>
        <w:t>precisely matches that custom. Proseeds itself entered into a three-way “wash” transaction that gave Peace River the difference between its contract price and market price. Doing so acknowledges the custom Peace River’s evidence established.</w:t>
      </w:r>
      <w:r w:rsidRPr="00451105">
        <w:rPr>
          <w:rStyle w:val="FootnoteReference"/>
          <w:rFonts w:cs="Times New Roman"/>
          <w:color w:val="000000"/>
        </w:rPr>
        <w:footnoteReference w:id="31"/>
      </w:r>
    </w:p>
    <w:p w14:paraId="0AA50C79" w14:textId="77777777" w:rsidR="00083949" w:rsidRPr="00451105" w:rsidRDefault="00083949" w:rsidP="00083949">
      <w:pPr>
        <w:widowControl w:val="0"/>
        <w:autoSpaceDE w:val="0"/>
        <w:autoSpaceDN w:val="0"/>
        <w:adjustRightInd w:val="0"/>
        <w:ind w:right="720"/>
        <w:rPr>
          <w:rFonts w:cs="Times New Roman"/>
          <w:color w:val="000000"/>
        </w:rPr>
      </w:pPr>
    </w:p>
    <w:p w14:paraId="72818FF4" w14:textId="53D1CF92" w:rsidR="003F6867" w:rsidRDefault="003F6867" w:rsidP="001F3AD3">
      <w:pPr>
        <w:widowControl w:val="0"/>
        <w:autoSpaceDE w:val="0"/>
        <w:autoSpaceDN w:val="0"/>
        <w:adjustRightInd w:val="0"/>
        <w:ind w:right="720"/>
        <w:rPr>
          <w:rFonts w:cs="Times New Roman"/>
          <w:color w:val="000000"/>
        </w:rPr>
      </w:pPr>
      <w:r>
        <w:rPr>
          <w:rFonts w:cs="Times New Roman"/>
          <w:color w:val="000000"/>
        </w:rPr>
        <w:t>The was</w:t>
      </w:r>
      <w:r w:rsidR="00FC3113">
        <w:rPr>
          <w:rFonts w:cs="Times New Roman"/>
          <w:color w:val="000000"/>
        </w:rPr>
        <w:t xml:space="preserve">h transaction simply replicated </w:t>
      </w:r>
      <w:r>
        <w:rPr>
          <w:rFonts w:cs="Times New Roman"/>
          <w:color w:val="000000"/>
        </w:rPr>
        <w:t xml:space="preserve">the time-of-the-breach </w:t>
      </w:r>
      <w:r w:rsidR="00CE49F8">
        <w:rPr>
          <w:rFonts w:cs="Times New Roman"/>
          <w:color w:val="000000"/>
        </w:rPr>
        <w:t>remedy. The only concern would have been</w:t>
      </w:r>
      <w:r>
        <w:rPr>
          <w:rFonts w:cs="Times New Roman"/>
          <w:color w:val="000000"/>
        </w:rPr>
        <w:t xml:space="preserve"> whether the </w:t>
      </w:r>
      <w:r w:rsidR="00BE136C">
        <w:rPr>
          <w:rFonts w:cs="Times New Roman"/>
          <w:color w:val="000000"/>
        </w:rPr>
        <w:t xml:space="preserve">market at the time was so thin that the seller could </w:t>
      </w:r>
      <w:r w:rsidR="00FC3113">
        <w:rPr>
          <w:rFonts w:cs="Times New Roman"/>
          <w:color w:val="000000"/>
        </w:rPr>
        <w:t>behave</w:t>
      </w:r>
      <w:r w:rsidR="000A62D5">
        <w:rPr>
          <w:rFonts w:cs="Times New Roman"/>
          <w:color w:val="000000"/>
        </w:rPr>
        <w:t xml:space="preserve"> opportunistically, </w:t>
      </w:r>
      <w:r w:rsidR="00BE136C">
        <w:rPr>
          <w:rFonts w:cs="Times New Roman"/>
          <w:color w:val="000000"/>
        </w:rPr>
        <w:t>claim</w:t>
      </w:r>
      <w:r w:rsidR="00FC3113">
        <w:rPr>
          <w:rFonts w:cs="Times New Roman"/>
          <w:color w:val="000000"/>
        </w:rPr>
        <w:t>ing</w:t>
      </w:r>
      <w:r w:rsidR="00BE136C">
        <w:rPr>
          <w:rFonts w:cs="Times New Roman"/>
          <w:color w:val="000000"/>
        </w:rPr>
        <w:t xml:space="preserve"> a wash price that was more favorable to it than a neutral estimate of the market price.</w:t>
      </w:r>
    </w:p>
    <w:p w14:paraId="62EBC95D" w14:textId="77777777" w:rsidR="00140EC6" w:rsidRDefault="00140EC6" w:rsidP="001F3AD3">
      <w:pPr>
        <w:widowControl w:val="0"/>
        <w:autoSpaceDE w:val="0"/>
        <w:autoSpaceDN w:val="0"/>
        <w:adjustRightInd w:val="0"/>
        <w:ind w:right="720"/>
        <w:rPr>
          <w:rFonts w:cs="Times New Roman"/>
          <w:color w:val="000000"/>
        </w:rPr>
      </w:pPr>
    </w:p>
    <w:p w14:paraId="0A98E3C2" w14:textId="77777777" w:rsidR="00140EC6" w:rsidRDefault="00140EC6" w:rsidP="00140EC6">
      <w:pPr>
        <w:ind w:firstLine="720"/>
      </w:pPr>
      <w:r>
        <w:t xml:space="preserve">The value of the contract at the time of the breach was determined by the contract-market differential at that point of time. If the seller did not dispose of the seeds in a timely manner, it bore the risk of subsequent price changes. Properly conceived, there was no conflict between 2-706 and 2-708(1). Whether a particular resale did reflect the market price at the time of the breach would have been a fact question.  And the court should have concluded that the price of grass seed three years after the breach was stale information.  </w:t>
      </w:r>
    </w:p>
    <w:p w14:paraId="6F7C8138" w14:textId="77777777" w:rsidR="003F6867" w:rsidRDefault="003F6867" w:rsidP="001F3AD3">
      <w:pPr>
        <w:widowControl w:val="0"/>
        <w:autoSpaceDE w:val="0"/>
        <w:autoSpaceDN w:val="0"/>
        <w:adjustRightInd w:val="0"/>
        <w:ind w:right="720"/>
        <w:rPr>
          <w:rFonts w:cs="Times New Roman"/>
          <w:color w:val="000000"/>
        </w:rPr>
      </w:pPr>
    </w:p>
    <w:p w14:paraId="56C366FA" w14:textId="4D38B1AB" w:rsidR="005B6E0F" w:rsidRDefault="00083949" w:rsidP="001F3AD3">
      <w:pPr>
        <w:widowControl w:val="0"/>
        <w:autoSpaceDE w:val="0"/>
        <w:autoSpaceDN w:val="0"/>
        <w:adjustRightInd w:val="0"/>
        <w:ind w:right="720"/>
        <w:rPr>
          <w:rFonts w:cs="Times New Roman"/>
          <w:color w:val="000000"/>
        </w:rPr>
      </w:pPr>
      <w:r w:rsidRPr="00451105">
        <w:rPr>
          <w:rFonts w:cs="Times New Roman"/>
          <w:color w:val="000000"/>
        </w:rPr>
        <w:tab/>
        <w:t xml:space="preserve">Neither the decisions nor the Briefs </w:t>
      </w:r>
      <w:r w:rsidR="00140EC6">
        <w:rPr>
          <w:rFonts w:cs="Times New Roman"/>
          <w:color w:val="000000"/>
        </w:rPr>
        <w:t xml:space="preserve">in </w:t>
      </w:r>
      <w:r w:rsidR="00140EC6" w:rsidRPr="00140EC6">
        <w:rPr>
          <w:rFonts w:cs="Times New Roman"/>
          <w:i/>
          <w:color w:val="000000"/>
        </w:rPr>
        <w:t>Peace River</w:t>
      </w:r>
      <w:r w:rsidR="00140EC6">
        <w:rPr>
          <w:rFonts w:cs="Times New Roman"/>
          <w:color w:val="000000"/>
        </w:rPr>
        <w:t xml:space="preserve"> </w:t>
      </w:r>
      <w:r w:rsidRPr="00451105">
        <w:rPr>
          <w:rFonts w:cs="Times New Roman"/>
          <w:color w:val="000000"/>
        </w:rPr>
        <w:t>deal</w:t>
      </w:r>
      <w:r w:rsidR="00140EC6">
        <w:rPr>
          <w:rFonts w:cs="Times New Roman"/>
          <w:color w:val="000000"/>
        </w:rPr>
        <w:t>t</w:t>
      </w:r>
      <w:r w:rsidRPr="00451105">
        <w:rPr>
          <w:rFonts w:cs="Times New Roman"/>
          <w:color w:val="000000"/>
        </w:rPr>
        <w:t xml:space="preserve"> with the possibility that when Peace River cancelled the remaining deliveries (that is, when the buyer</w:t>
      </w:r>
      <w:r w:rsidR="00140EC6">
        <w:rPr>
          <w:rFonts w:cs="Times New Roman"/>
          <w:color w:val="000000"/>
        </w:rPr>
        <w:t xml:space="preserve"> breached</w:t>
      </w:r>
      <w:r w:rsidRPr="00451105">
        <w:rPr>
          <w:rFonts w:cs="Times New Roman"/>
          <w:color w:val="000000"/>
        </w:rPr>
        <w:t xml:space="preserve">), the due dates for performance in those contracts were subsequent to the cancellation. </w:t>
      </w:r>
      <w:r w:rsidR="00140EC6">
        <w:rPr>
          <w:rFonts w:cs="Times New Roman"/>
          <w:color w:val="000000"/>
        </w:rPr>
        <w:t xml:space="preserve">That </w:t>
      </w:r>
      <w:r w:rsidR="00182D92">
        <w:rPr>
          <w:rFonts w:cs="Times New Roman"/>
          <w:color w:val="000000"/>
        </w:rPr>
        <w:t xml:space="preserve">is, what if the buyer </w:t>
      </w:r>
      <w:r w:rsidR="00140EC6">
        <w:rPr>
          <w:rFonts w:cs="Times New Roman"/>
          <w:color w:val="000000"/>
        </w:rPr>
        <w:t>anticipatorily repudiated</w:t>
      </w:r>
      <w:r w:rsidR="00182D92">
        <w:rPr>
          <w:rFonts w:cs="Times New Roman"/>
          <w:color w:val="000000"/>
        </w:rPr>
        <w:t xml:space="preserve"> </w:t>
      </w:r>
      <w:r w:rsidR="00182D92">
        <w:rPr>
          <w:rFonts w:cs="Times New Roman"/>
          <w:color w:val="000000"/>
        </w:rPr>
        <w:lastRenderedPageBreak/>
        <w:t>the contract.</w:t>
      </w:r>
      <w:r w:rsidR="00140EC6" w:rsidRPr="00451105">
        <w:rPr>
          <w:rFonts w:cs="Times New Roman"/>
          <w:color w:val="000000"/>
        </w:rPr>
        <w:t xml:space="preserve"> </w:t>
      </w:r>
      <w:r w:rsidRPr="00451105">
        <w:rPr>
          <w:rFonts w:cs="Times New Roman"/>
          <w:color w:val="000000"/>
        </w:rPr>
        <w:t xml:space="preserve">That </w:t>
      </w:r>
      <w:r w:rsidR="00D7111A" w:rsidRPr="00451105">
        <w:rPr>
          <w:rFonts w:cs="Times New Roman"/>
          <w:color w:val="000000"/>
        </w:rPr>
        <w:t>would add</w:t>
      </w:r>
      <w:r w:rsidRPr="00451105">
        <w:rPr>
          <w:rFonts w:cs="Times New Roman"/>
          <w:color w:val="000000"/>
        </w:rPr>
        <w:t xml:space="preserve"> a new </w:t>
      </w:r>
      <w:r w:rsidR="00220579">
        <w:rPr>
          <w:rFonts w:cs="Times New Roman"/>
          <w:color w:val="000000"/>
        </w:rPr>
        <w:t xml:space="preserve">problem </w:t>
      </w:r>
      <w:r w:rsidRPr="00451105">
        <w:rPr>
          <w:rFonts w:cs="Times New Roman"/>
          <w:color w:val="000000"/>
        </w:rPr>
        <w:t xml:space="preserve">but the principle </w:t>
      </w:r>
      <w:r w:rsidR="00D7111A" w:rsidRPr="00451105">
        <w:rPr>
          <w:rFonts w:cs="Times New Roman"/>
          <w:color w:val="000000"/>
        </w:rPr>
        <w:t>would remain</w:t>
      </w:r>
      <w:r w:rsidRPr="00451105">
        <w:rPr>
          <w:rFonts w:cs="Times New Roman"/>
          <w:color w:val="000000"/>
        </w:rPr>
        <w:t xml:space="preserve"> the same. Suppose that the breach date was January 1 and at the time of the breach one of the contracts had a delivery date six months later. The relevant market price</w:t>
      </w:r>
      <w:r w:rsidR="00E05C03">
        <w:rPr>
          <w:rFonts w:cs="Times New Roman"/>
          <w:color w:val="000000"/>
        </w:rPr>
        <w:t>, I would argue,</w:t>
      </w:r>
      <w:r w:rsidRPr="00451105">
        <w:rPr>
          <w:rFonts w:cs="Times New Roman"/>
          <w:color w:val="000000"/>
        </w:rPr>
        <w:t xml:space="preserve"> would be the forward </w:t>
      </w:r>
      <w:r w:rsidR="005B6E0F" w:rsidRPr="00451105">
        <w:rPr>
          <w:rFonts w:cs="Times New Roman"/>
          <w:color w:val="000000"/>
        </w:rPr>
        <w:t>price, the price on January 1 for the goods with a delivery date of June 1. It might turn out that the forward price could not be ascertained directly and the courts might have to resort to other observable prices as evidence—perhaps the market price on either January 1 or June 1 and resale prices at or near those d</w:t>
      </w:r>
      <w:r w:rsidR="00E05C03">
        <w:rPr>
          <w:rFonts w:cs="Times New Roman"/>
          <w:color w:val="000000"/>
        </w:rPr>
        <w:t xml:space="preserve">ates might be the best evidence, but we should not lose sight of the basic principle. </w:t>
      </w:r>
      <w:r w:rsidR="00220579">
        <w:rPr>
          <w:rFonts w:cs="Times New Roman"/>
          <w:color w:val="000000"/>
        </w:rPr>
        <w:t>I will elaborate on that in the next Part.</w:t>
      </w:r>
    </w:p>
    <w:p w14:paraId="3106F495" w14:textId="77777777" w:rsidR="005B6E0F" w:rsidRDefault="005B6E0F" w:rsidP="001F3AD3">
      <w:pPr>
        <w:widowControl w:val="0"/>
        <w:autoSpaceDE w:val="0"/>
        <w:autoSpaceDN w:val="0"/>
        <w:adjustRightInd w:val="0"/>
        <w:ind w:right="720"/>
        <w:rPr>
          <w:rFonts w:cs="Times New Roman"/>
          <w:color w:val="000000"/>
        </w:rPr>
      </w:pPr>
    </w:p>
    <w:p w14:paraId="4D9E60E2" w14:textId="0BC27753" w:rsidR="00B61D2D" w:rsidRDefault="00052A5D" w:rsidP="00F758FD">
      <w:pPr>
        <w:jc w:val="center"/>
        <w:rPr>
          <w:b/>
          <w:bCs/>
          <w:color w:val="555555"/>
        </w:rPr>
      </w:pPr>
      <w:r w:rsidRPr="00451105">
        <w:rPr>
          <w:rFonts w:cs="Times New Roman"/>
          <w:b/>
          <w:bCs/>
          <w:color w:val="000000"/>
        </w:rPr>
        <w:t>I</w:t>
      </w:r>
      <w:r w:rsidR="005D4B0C" w:rsidRPr="00451105">
        <w:rPr>
          <w:rFonts w:cs="Times New Roman"/>
          <w:b/>
          <w:bCs/>
          <w:color w:val="000000"/>
        </w:rPr>
        <w:t>I</w:t>
      </w:r>
      <w:r w:rsidRPr="00451105">
        <w:rPr>
          <w:rFonts w:cs="Times New Roman"/>
          <w:b/>
          <w:bCs/>
          <w:color w:val="000000"/>
        </w:rPr>
        <w:t>.</w:t>
      </w:r>
      <w:r w:rsidR="001F3AD3">
        <w:rPr>
          <w:rFonts w:cs="Times New Roman"/>
          <w:b/>
          <w:bCs/>
          <w:color w:val="000000"/>
        </w:rPr>
        <w:t xml:space="preserve"> </w:t>
      </w:r>
      <w:r w:rsidRPr="00451105">
        <w:rPr>
          <w:rFonts w:cs="Times New Roman"/>
          <w:b/>
          <w:bCs/>
          <w:color w:val="000000"/>
        </w:rPr>
        <w:t xml:space="preserve"> </w:t>
      </w:r>
      <w:r w:rsidR="001F3AD3" w:rsidRPr="001F3AD3">
        <w:rPr>
          <w:b/>
          <w:bCs/>
          <w:color w:val="555555"/>
        </w:rPr>
        <w:t>Anticipatory repudiation</w:t>
      </w:r>
    </w:p>
    <w:p w14:paraId="5FFFFCD6" w14:textId="77777777" w:rsidR="00F758FD" w:rsidRPr="00F758FD" w:rsidRDefault="00F758FD" w:rsidP="00F758FD">
      <w:pPr>
        <w:jc w:val="center"/>
        <w:rPr>
          <w:rFonts w:cs="Times New Roman"/>
          <w:b/>
          <w:bCs/>
          <w:color w:val="000000"/>
        </w:rPr>
      </w:pPr>
    </w:p>
    <w:p w14:paraId="145AC88F" w14:textId="7BE3AE5A" w:rsidR="00E310D8" w:rsidRDefault="00B61D2D" w:rsidP="00E310D8">
      <w:pPr>
        <w:widowControl w:val="0"/>
        <w:autoSpaceDE w:val="0"/>
        <w:autoSpaceDN w:val="0"/>
        <w:adjustRightInd w:val="0"/>
        <w:spacing w:after="240"/>
        <w:ind w:firstLine="720"/>
        <w:rPr>
          <w:bCs/>
          <w:color w:val="555555"/>
        </w:rPr>
      </w:pPr>
      <w:r>
        <w:rPr>
          <w:rFonts w:ascii="Times" w:hAnsi="Times" w:cs="Times"/>
        </w:rPr>
        <w:t>In</w:t>
      </w:r>
      <w:r w:rsidR="00F758FD">
        <w:rPr>
          <w:rFonts w:ascii="Times" w:hAnsi="Times" w:cs="Times"/>
        </w:rPr>
        <w:t xml:space="preserve"> this Part</w:t>
      </w:r>
      <w:r w:rsidR="00220579">
        <w:rPr>
          <w:rFonts w:ascii="Times" w:hAnsi="Times" w:cs="Times"/>
        </w:rPr>
        <w:t>,</w:t>
      </w:r>
      <w:r w:rsidR="00F758FD">
        <w:rPr>
          <w:rFonts w:ascii="Times" w:hAnsi="Times" w:cs="Times"/>
        </w:rPr>
        <w:t xml:space="preserve"> I</w:t>
      </w:r>
      <w:r>
        <w:rPr>
          <w:rFonts w:ascii="Times" w:hAnsi="Times" w:cs="Times"/>
        </w:rPr>
        <w:t xml:space="preserve"> consider the case in which the </w:t>
      </w:r>
      <w:r w:rsidR="00CB6A2B">
        <w:rPr>
          <w:rFonts w:ascii="Times" w:hAnsi="Times" w:cs="Times"/>
        </w:rPr>
        <w:t>court’s</w:t>
      </w:r>
      <w:r w:rsidR="00CB6A2B">
        <w:rPr>
          <w:bCs/>
          <w:color w:val="555555"/>
        </w:rPr>
        <w:t xml:space="preserve"> decision would</w:t>
      </w:r>
      <w:r w:rsidR="007D2724">
        <w:rPr>
          <w:bCs/>
          <w:color w:val="555555"/>
        </w:rPr>
        <w:t xml:space="preserve"> come after the final date of performance, so the court would have access to all post-termination information. </w:t>
      </w:r>
      <w:r w:rsidR="005B6E0F">
        <w:rPr>
          <w:bCs/>
          <w:color w:val="555555"/>
        </w:rPr>
        <w:t xml:space="preserve">I defer to Part III </w:t>
      </w:r>
      <w:r w:rsidR="007D2724">
        <w:rPr>
          <w:bCs/>
          <w:color w:val="555555"/>
        </w:rPr>
        <w:t>the case in which at least some of the performance would have been due after the decision date.</w:t>
      </w:r>
      <w:r w:rsidR="00E05C03">
        <w:rPr>
          <w:rStyle w:val="FootnoteReference"/>
          <w:bCs/>
          <w:color w:val="555555"/>
        </w:rPr>
        <w:footnoteReference w:id="32"/>
      </w:r>
      <w:r w:rsidR="007D2724">
        <w:rPr>
          <w:bCs/>
          <w:color w:val="555555"/>
        </w:rPr>
        <w:t xml:space="preserve"> </w:t>
      </w:r>
      <w:r w:rsidR="00E310D8">
        <w:rPr>
          <w:bCs/>
          <w:color w:val="555555"/>
        </w:rPr>
        <w:t>Should</w:t>
      </w:r>
      <w:r w:rsidR="00E05C03">
        <w:rPr>
          <w:bCs/>
          <w:color w:val="555555"/>
        </w:rPr>
        <w:t xml:space="preserve"> </w:t>
      </w:r>
      <w:r w:rsidR="007C1E0B">
        <w:rPr>
          <w:bCs/>
          <w:color w:val="555555"/>
        </w:rPr>
        <w:t>damages be assessed as of the da</w:t>
      </w:r>
      <w:r w:rsidR="00E05C03">
        <w:rPr>
          <w:bCs/>
          <w:color w:val="555555"/>
        </w:rPr>
        <w:t xml:space="preserve">te the repudiation was accepted, </w:t>
      </w:r>
      <w:r w:rsidR="007C1E0B">
        <w:rPr>
          <w:bCs/>
          <w:color w:val="555555"/>
        </w:rPr>
        <w:t>the date that performance was due</w:t>
      </w:r>
      <w:r w:rsidR="007B3F02">
        <w:rPr>
          <w:bCs/>
          <w:color w:val="555555"/>
        </w:rPr>
        <w:t>, or some other date?</w:t>
      </w:r>
      <w:r w:rsidR="00E310D8">
        <w:rPr>
          <w:bCs/>
          <w:color w:val="555555"/>
        </w:rPr>
        <w:t xml:space="preserve"> </w:t>
      </w:r>
      <w:r w:rsidR="00E05C03">
        <w:rPr>
          <w:bCs/>
          <w:color w:val="555555"/>
        </w:rPr>
        <w:t>The law and commentary has been mixed.</w:t>
      </w:r>
      <w:r w:rsidR="007C1E0B">
        <w:rPr>
          <w:bCs/>
          <w:color w:val="555555"/>
        </w:rPr>
        <w:t xml:space="preserve"> I will argue that damages should be reckoned at the moment when the repudiation has been accepted (or deemed accepted). </w:t>
      </w:r>
    </w:p>
    <w:p w14:paraId="662E4090" w14:textId="79CCDBDB" w:rsidR="007D2724" w:rsidRPr="00E310D8" w:rsidRDefault="00F758FD" w:rsidP="00E310D8">
      <w:pPr>
        <w:widowControl w:val="0"/>
        <w:autoSpaceDE w:val="0"/>
        <w:autoSpaceDN w:val="0"/>
        <w:adjustRightInd w:val="0"/>
        <w:spacing w:after="240"/>
        <w:ind w:firstLine="720"/>
        <w:rPr>
          <w:bCs/>
          <w:color w:val="555555"/>
        </w:rPr>
      </w:pPr>
      <w:r>
        <w:rPr>
          <w:bCs/>
          <w:color w:val="555555"/>
        </w:rPr>
        <w:t xml:space="preserve">Pre-Code cases generally opted for the time-of-performance. </w:t>
      </w:r>
      <w:r w:rsidR="007D2724" w:rsidRPr="00E82313">
        <w:rPr>
          <w:bCs/>
          <w:i/>
          <w:color w:val="555555"/>
        </w:rPr>
        <w:t>Missouri Furnace Co. v. Cochran</w:t>
      </w:r>
      <w:r w:rsidR="007D2724">
        <w:rPr>
          <w:rStyle w:val="FootnoteReference"/>
          <w:bCs/>
          <w:color w:val="555555"/>
        </w:rPr>
        <w:footnoteReference w:id="33"/>
      </w:r>
      <w:r w:rsidR="007D2724" w:rsidRPr="00E82313">
        <w:rPr>
          <w:b/>
          <w:bCs/>
          <w:color w:val="555555"/>
        </w:rPr>
        <w:t xml:space="preserve"> </w:t>
      </w:r>
      <w:r>
        <w:rPr>
          <w:bCs/>
          <w:color w:val="555555"/>
        </w:rPr>
        <w:t>is a typical pre-Code case.</w:t>
      </w:r>
      <w:r w:rsidR="009A516C">
        <w:rPr>
          <w:bCs/>
          <w:color w:val="555555"/>
        </w:rPr>
        <w:t xml:space="preserve"> </w:t>
      </w:r>
      <w:r w:rsidR="007D2724" w:rsidRPr="001C2AF2">
        <w:rPr>
          <w:bCs/>
          <w:color w:val="555555"/>
        </w:rPr>
        <w:t>T</w:t>
      </w:r>
      <w:r w:rsidR="007D2724">
        <w:rPr>
          <w:bCs/>
          <w:color w:val="555555"/>
        </w:rPr>
        <w:t xml:space="preserve">he seller had promised to deliver coke at $1.20 per ton on a daily basis for a full year. The market price rose dramatically and less than two months after performance had begun the seller rescinded the contract. </w:t>
      </w:r>
      <w:r>
        <w:rPr>
          <w:bCs/>
          <w:color w:val="555555"/>
        </w:rPr>
        <w:t>The</w:t>
      </w:r>
      <w:r w:rsidR="007D2724">
        <w:rPr>
          <w:bCs/>
          <w:color w:val="555555"/>
        </w:rPr>
        <w:t xml:space="preserve"> buyer then immediately entered </w:t>
      </w:r>
      <w:r>
        <w:rPr>
          <w:bCs/>
          <w:color w:val="555555"/>
        </w:rPr>
        <w:t>into a</w:t>
      </w:r>
      <w:r w:rsidR="007D2724">
        <w:rPr>
          <w:bCs/>
          <w:color w:val="555555"/>
        </w:rPr>
        <w:t xml:space="preserve"> cover contract for the remainder of the year at $4.00 per ton (the market rate for a forward contract on that date). However, the market price soon fell to $1.30 per ton. The buyer’s claim for damages was based on the cover price of $4.00, but the court awarded damages on the basis of the spot price of coke on each of the delivery dates. By covering, held the court, the buyer took a risk: “</w:t>
      </w:r>
      <w:r w:rsidR="007D2724">
        <w:t xml:space="preserve">The good faith of the plaintiff in </w:t>
      </w:r>
      <w:r w:rsidR="007D2724" w:rsidRPr="00B21799">
        <w:t>entering into the new contract cannot be questioned, but it proved a most unfortunate venture. . . . As the plaintiff was not bound to enter into the new forward contract, it seems to me it did so at its own risk, and cannot fairly claim that the damages chargeable against the defendant shall be assessed on the basis of that contract.”</w:t>
      </w:r>
      <w:r w:rsidR="007D2724" w:rsidRPr="00B21799">
        <w:rPr>
          <w:rStyle w:val="FootnoteReference"/>
        </w:rPr>
        <w:footnoteReference w:id="34"/>
      </w:r>
    </w:p>
    <w:p w14:paraId="176FC4DC" w14:textId="181C8495" w:rsidR="007D2724" w:rsidRDefault="007D2724" w:rsidP="007D2724">
      <w:pPr>
        <w:widowControl w:val="0"/>
        <w:autoSpaceDE w:val="0"/>
        <w:autoSpaceDN w:val="0"/>
        <w:adjustRightInd w:val="0"/>
        <w:spacing w:before="200"/>
      </w:pPr>
      <w:r>
        <w:lastRenderedPageBreak/>
        <w:t xml:space="preserve"> </w:t>
      </w:r>
      <w:r w:rsidR="0038505A">
        <w:tab/>
      </w:r>
      <w:r>
        <w:t>Some post-Code c</w:t>
      </w:r>
      <w:r w:rsidR="00785D5C">
        <w:t>ases have followed this path. I</w:t>
      </w:r>
      <w:r>
        <w:t xml:space="preserve"> will consider two that illustrate different ways in which the courts have </w:t>
      </w:r>
      <w:r w:rsidR="009A516C">
        <w:t>done so</w:t>
      </w:r>
      <w:r>
        <w:t xml:space="preserve">. In </w:t>
      </w:r>
      <w:r w:rsidRPr="0000122F">
        <w:rPr>
          <w:bCs/>
          <w:i/>
          <w:color w:val="555555"/>
        </w:rPr>
        <w:t>Cargill, Inc. v. Stafford,</w:t>
      </w:r>
      <w:r>
        <w:rPr>
          <w:rStyle w:val="FootnoteReference"/>
          <w:bCs/>
          <w:color w:val="555555"/>
        </w:rPr>
        <w:footnoteReference w:id="35"/>
      </w:r>
      <w:r>
        <w:rPr>
          <w:bCs/>
          <w:i/>
          <w:color w:val="555555"/>
        </w:rPr>
        <w:t xml:space="preserve"> </w:t>
      </w:r>
      <w:r>
        <w:rPr>
          <w:bCs/>
          <w:color w:val="555555"/>
        </w:rPr>
        <w:t>the seller repudiated a sale of wheat</w:t>
      </w:r>
      <w:r w:rsidR="009A516C">
        <w:rPr>
          <w:bCs/>
          <w:color w:val="555555"/>
        </w:rPr>
        <w:t>.</w:t>
      </w:r>
      <w:r>
        <w:rPr>
          <w:bCs/>
          <w:color w:val="555555"/>
        </w:rPr>
        <w:t xml:space="preserve"> </w:t>
      </w:r>
      <w:r w:rsidR="009A516C">
        <w:rPr>
          <w:bCs/>
          <w:color w:val="555555"/>
        </w:rPr>
        <w:t>The</w:t>
      </w:r>
      <w:r>
        <w:rPr>
          <w:bCs/>
          <w:color w:val="555555"/>
        </w:rPr>
        <w:t xml:space="preserve"> buyer, Cargill, claimed damages based on the date at which Cargill accepted the repudiation (September 6) and the trial court accepted that. However, in </w:t>
      </w:r>
      <w:r w:rsidR="008130A6">
        <w:rPr>
          <w:bCs/>
          <w:color w:val="555555"/>
        </w:rPr>
        <w:t xml:space="preserve">interpreting the 2-713 language, </w:t>
      </w:r>
      <w:r>
        <w:rPr>
          <w:bCs/>
          <w:color w:val="555555"/>
        </w:rPr>
        <w:t xml:space="preserve">“when the buyer learned of the breach,” the Court of Appeals concluded that this meant “time of performance.” In part it relied on pre-Code precedent—“a clear deviation from past law would </w:t>
      </w:r>
      <w:r>
        <w:t>not ordinarily be accomplished by Code ambiguities.”</w:t>
      </w:r>
      <w:r>
        <w:rPr>
          <w:rStyle w:val="FootnoteReference"/>
        </w:rPr>
        <w:footnoteReference w:id="36"/>
      </w:r>
      <w:r>
        <w:t xml:space="preserve"> It also relied on the fact that 2-723, which deals with repudiations in which some of the performance would be due after the court’s decision, explicitly refe</w:t>
      </w:r>
      <w:r w:rsidR="00F758FD">
        <w:t>rred to the time of repudiation, whereas 2-713 did not. This semantic argument</w:t>
      </w:r>
      <w:r>
        <w:t xml:space="preserve"> shows up in other cases and in the White and Summers treatise</w:t>
      </w:r>
      <w:r w:rsidR="00F758FD">
        <w:t xml:space="preserve"> as well.</w:t>
      </w:r>
      <w:r>
        <w:rPr>
          <w:rStyle w:val="FootnoteReference"/>
        </w:rPr>
        <w:footnoteReference w:id="37"/>
      </w:r>
    </w:p>
    <w:p w14:paraId="35DFD8A8" w14:textId="77777777" w:rsidR="007D2724" w:rsidRDefault="007D2724" w:rsidP="009E0861">
      <w:pPr>
        <w:widowControl w:val="0"/>
        <w:autoSpaceDE w:val="0"/>
        <w:autoSpaceDN w:val="0"/>
        <w:adjustRightInd w:val="0"/>
        <w:spacing w:before="200"/>
        <w:ind w:firstLine="720"/>
      </w:pPr>
      <w:r>
        <w:t xml:space="preserve">Then the argument gets really odd. The court asserts that the remedy would depend on whether or not there was a valid reason for the buyer not covering. </w:t>
      </w:r>
    </w:p>
    <w:p w14:paraId="6787695D" w14:textId="77777777" w:rsidR="007D2724" w:rsidRPr="0000122F" w:rsidRDefault="007D2724" w:rsidP="007D2724">
      <w:pPr>
        <w:rPr>
          <w:bCs/>
          <w:color w:val="555555"/>
        </w:rPr>
      </w:pPr>
    </w:p>
    <w:p w14:paraId="50E207CD" w14:textId="6A0FFB8C" w:rsidR="007D2724" w:rsidRDefault="007D2724" w:rsidP="007D2724">
      <w:pPr>
        <w:ind w:left="720" w:right="720"/>
      </w:pPr>
      <w:r w:rsidRPr="00DE5035">
        <w:t xml:space="preserve">We conclude that under </w:t>
      </w:r>
      <w:r w:rsidR="007B3F02" w:rsidRPr="00AC0D29">
        <w:rPr>
          <w:rFonts w:cs="Times New Roman"/>
        </w:rPr>
        <w:t xml:space="preserve">§ </w:t>
      </w:r>
      <w:r w:rsidR="007B3F02">
        <w:rPr>
          <w:rFonts w:cs="Times New Roman"/>
        </w:rPr>
        <w:t>4-</w:t>
      </w:r>
      <w:r w:rsidRPr="00DE5035">
        <w:t>2-713 a buyer may urge continued performance for a reasonable time. At the end of a reasonable period he should cover if substitute goods are readily available. If substitution is readily available and buyer does not cover within a reasonable time, damages should be based on the price at the end of that reasonable time rather than on the price when performance is due. If a valid reason exists for failure or refusal to cover, damages may be calculated from the time when performance is due.</w:t>
      </w:r>
      <w:r>
        <w:rPr>
          <w:rStyle w:val="FootnoteReference"/>
        </w:rPr>
        <w:footnoteReference w:id="38"/>
      </w:r>
    </w:p>
    <w:p w14:paraId="0A521659" w14:textId="77777777" w:rsidR="007D2724" w:rsidRDefault="007D2724" w:rsidP="007D2724">
      <w:pPr>
        <w:ind w:left="720" w:right="720"/>
      </w:pPr>
    </w:p>
    <w:p w14:paraId="0A3003C4" w14:textId="5ADF9C51" w:rsidR="007D2724" w:rsidRDefault="007D2724" w:rsidP="009E0861">
      <w:pPr>
        <w:ind w:firstLine="720"/>
      </w:pPr>
      <w:r>
        <w:t>This reflects the notion that cover is a separate remedy, rather than merely evidence of the price at the time of the breach (accepted repudiation). The court remanded</w:t>
      </w:r>
      <w:r w:rsidR="00785D5C">
        <w:t>,</w:t>
      </w:r>
      <w:r>
        <w:t xml:space="preserve"> holding that “[i]</w:t>
      </w:r>
      <w:r w:rsidRPr="00DE5035">
        <w:t>f Cargill did not have a valid reason, the court’s award based on the September 6 price should be reinstated.</w:t>
      </w:r>
      <w:r>
        <w:t xml:space="preserve"> I</w:t>
      </w:r>
      <w:r w:rsidRPr="00DE5035">
        <w:t>f Cargill had a valid reason for not covering, damages should be awarded on the difference between the price on September 30, the last day for performance, and the July 31 contract price.</w:t>
      </w:r>
      <w:r>
        <w:t>”</w:t>
      </w:r>
      <w:r>
        <w:rPr>
          <w:rStyle w:val="FootnoteReference"/>
        </w:rPr>
        <w:footnoteReference w:id="39"/>
      </w:r>
      <w:r>
        <w:t xml:space="preserve"> </w:t>
      </w:r>
      <w:r w:rsidR="00E310D8">
        <w:t>So, depending on what had happened to</w:t>
      </w:r>
      <w:r w:rsidR="00077346" w:rsidRPr="00077346">
        <w:t xml:space="preserve"> </w:t>
      </w:r>
      <w:r w:rsidR="00077346">
        <w:t xml:space="preserve">the  price in the interim, the parties could argue over whether Cargill had covered, </w:t>
      </w:r>
      <w:r w:rsidR="006C4665">
        <w:t xml:space="preserve">if it had, which transaction was the cover </w:t>
      </w:r>
      <w:r w:rsidR="00077346">
        <w:t>transaction</w:t>
      </w:r>
      <w:r w:rsidR="006C4665">
        <w:t xml:space="preserve">, and if not, </w:t>
      </w:r>
      <w:r w:rsidR="00077346">
        <w:t>over</w:t>
      </w:r>
      <w:r w:rsidR="006C4665">
        <w:t xml:space="preserve"> </w:t>
      </w:r>
      <w:r w:rsidR="00E310D8">
        <w:t xml:space="preserve">the validity of Cargill’s reason. </w:t>
      </w:r>
      <w:r>
        <w:t>Did Cargill cover? The court says: “</w:t>
      </w:r>
      <w:r w:rsidRPr="002B30B2">
        <w:t>The record contains scant, if any, evidence that Cargill covered the wheat.</w:t>
      </w:r>
      <w:r>
        <w:t>”</w:t>
      </w:r>
      <w:r>
        <w:rPr>
          <w:rStyle w:val="FootnoteReference"/>
        </w:rPr>
        <w:footnoteReference w:id="40"/>
      </w:r>
      <w:r w:rsidRPr="002B30B2">
        <w:t xml:space="preserve"> </w:t>
      </w:r>
      <w:r>
        <w:t>And again: “</w:t>
      </w:r>
      <w:r w:rsidRPr="002B30B2">
        <w:t>The record does not show that Cargill covered or attempted to cover. Nothing in the record shows the continued availability or nonavailability of substitute wheat.</w:t>
      </w:r>
      <w:r>
        <w:t>”</w:t>
      </w:r>
      <w:r>
        <w:rPr>
          <w:rStyle w:val="FootnoteReference"/>
        </w:rPr>
        <w:footnoteReference w:id="41"/>
      </w:r>
      <w:r w:rsidRPr="002B30B2">
        <w:t xml:space="preserve"> </w:t>
      </w:r>
      <w:r w:rsidR="005772F4">
        <w:t xml:space="preserve">And so the case was remanded to determine whether Cargill had a valid reason for failing to cover. </w:t>
      </w:r>
      <w:r>
        <w:t xml:space="preserve">Cargill, of course, was (and still is) a major player in a thick market. It engages in numerous wheat </w:t>
      </w:r>
      <w:r>
        <w:lastRenderedPageBreak/>
        <w:t xml:space="preserve">transactions every day. It makes no sense to identify any particular trade as the cover contract. So, unless the wheat market somehow disappeared on or </w:t>
      </w:r>
      <w:r w:rsidR="00077346">
        <w:t>around September 6, substitute wheat</w:t>
      </w:r>
      <w:r>
        <w:t xml:space="preserve"> would have been readily available</w:t>
      </w:r>
      <w:r w:rsidR="000971A9">
        <w:t>. To even ask whether Cargill covered makes no sense, and it makes even less sense to ask whether the reason for not covering was valid or invalid.</w:t>
      </w:r>
      <w:r>
        <w:t xml:space="preserve"> Despite the fact that the court appeared to adopt the “time of performance” measure, </w:t>
      </w:r>
      <w:r w:rsidR="009A516C">
        <w:t xml:space="preserve">given </w:t>
      </w:r>
      <w:r>
        <w:t>its garbled treatment of the cover question</w:t>
      </w:r>
      <w:r w:rsidR="005772F4">
        <w:t>,</w:t>
      </w:r>
      <w:r>
        <w:t xml:space="preserve"> </w:t>
      </w:r>
      <w:r w:rsidR="005772F4">
        <w:t xml:space="preserve">on remand </w:t>
      </w:r>
      <w:r w:rsidR="000971A9">
        <w:t>a court could just as well find that</w:t>
      </w:r>
      <w:r>
        <w:t xml:space="preserve"> </w:t>
      </w:r>
      <w:r w:rsidR="009A516C">
        <w:t xml:space="preserve">(a) </w:t>
      </w:r>
      <w:r w:rsidR="00077346">
        <w:t>a substitute</w:t>
      </w:r>
      <w:r w:rsidR="000971A9">
        <w:t xml:space="preserve"> was readily available, </w:t>
      </w:r>
      <w:r w:rsidR="009A516C">
        <w:t xml:space="preserve">(b) </w:t>
      </w:r>
      <w:r w:rsidR="000971A9">
        <w:t xml:space="preserve">Cargill didn’t have a reason for not covering, and, therefore, </w:t>
      </w:r>
      <w:r w:rsidR="009A516C">
        <w:t xml:space="preserve">(c) </w:t>
      </w:r>
      <w:r w:rsidR="007B3F02">
        <w:t>the appropriate date would</w:t>
      </w:r>
      <w:r w:rsidR="000971A9">
        <w:t xml:space="preserve"> </w:t>
      </w:r>
      <w:r>
        <w:t xml:space="preserve">have </w:t>
      </w:r>
      <w:r w:rsidR="005772F4">
        <w:t>been</w:t>
      </w:r>
      <w:r>
        <w:t xml:space="preserve"> the time of repudiation</w:t>
      </w:r>
      <w:r w:rsidR="005772F4">
        <w:t>.</w:t>
      </w:r>
      <w:r>
        <w:t xml:space="preserve"> </w:t>
      </w:r>
      <w:r w:rsidR="009A516C">
        <w:t xml:space="preserve">Or not. </w:t>
      </w:r>
      <w:r>
        <w:t>Note that the trial court and Cargill used the spot price of wheat on September 6, not the f</w:t>
      </w:r>
      <w:r w:rsidR="000971A9">
        <w:t>orward</w:t>
      </w:r>
      <w:r w:rsidR="00785D5C">
        <w:t xml:space="preserve"> price. I</w:t>
      </w:r>
      <w:r>
        <w:t xml:space="preserve"> will return to this point.</w:t>
      </w:r>
    </w:p>
    <w:p w14:paraId="6F0D28DA" w14:textId="77777777" w:rsidR="007D2724" w:rsidRDefault="007D2724" w:rsidP="007D2724"/>
    <w:p w14:paraId="58302D83" w14:textId="10859150" w:rsidR="00383C0C" w:rsidRDefault="007D2724" w:rsidP="009E0861">
      <w:pPr>
        <w:ind w:firstLine="720"/>
      </w:pPr>
      <w:r>
        <w:t xml:space="preserve">In </w:t>
      </w:r>
      <w:r w:rsidRPr="00AB459D">
        <w:rPr>
          <w:bCs/>
          <w:i/>
          <w:color w:val="555555"/>
        </w:rPr>
        <w:t>Hess Energy, Inc. v. Lightning Oil Co. Ltd.,</w:t>
      </w:r>
      <w:r>
        <w:rPr>
          <w:rStyle w:val="FootnoteReference"/>
          <w:bCs/>
          <w:color w:val="555555"/>
        </w:rPr>
        <w:footnoteReference w:id="42"/>
      </w:r>
      <w:r>
        <w:rPr>
          <w:bCs/>
          <w:i/>
          <w:color w:val="555555"/>
        </w:rPr>
        <w:t xml:space="preserve"> </w:t>
      </w:r>
      <w:r>
        <w:rPr>
          <w:bCs/>
          <w:color w:val="555555"/>
        </w:rPr>
        <w:t xml:space="preserve">the seller of natural gas, Lightning, repudiated its agreement. In its defense Lightning made a common fallacious argument, confusing a </w:t>
      </w:r>
      <w:r w:rsidRPr="00A82AD9">
        <w:rPr>
          <w:bCs/>
          <w:i/>
          <w:color w:val="555555"/>
        </w:rPr>
        <w:t>risen</w:t>
      </w:r>
      <w:r w:rsidR="009A516C">
        <w:rPr>
          <w:bCs/>
          <w:color w:val="555555"/>
        </w:rPr>
        <w:t xml:space="preserve"> price ex post with</w:t>
      </w:r>
      <w:r>
        <w:rPr>
          <w:bCs/>
          <w:color w:val="555555"/>
        </w:rPr>
        <w:t xml:space="preserve"> a </w:t>
      </w:r>
      <w:r w:rsidRPr="00A82AD9">
        <w:rPr>
          <w:bCs/>
          <w:i/>
          <w:color w:val="555555"/>
        </w:rPr>
        <w:t xml:space="preserve">rising </w:t>
      </w:r>
      <w:r>
        <w:rPr>
          <w:bCs/>
          <w:color w:val="555555"/>
        </w:rPr>
        <w:t xml:space="preserve">price ex ante. </w:t>
      </w:r>
      <w:r>
        <w:t xml:space="preserve">Hess, it claimed, “sat idly by during a period of time </w:t>
      </w:r>
      <w:r w:rsidRPr="000D7A5F">
        <w:t>when they knew the price [of natural gas] was going up, up, up, up, up, up.”</w:t>
      </w:r>
      <w:r>
        <w:rPr>
          <w:rStyle w:val="FootnoteReference"/>
        </w:rPr>
        <w:footnoteReference w:id="43"/>
      </w:r>
      <w:r>
        <w:t xml:space="preserve"> The court ignored this</w:t>
      </w:r>
      <w:r w:rsidR="00EB45E6">
        <w:t>, but</w:t>
      </w:r>
      <w:r>
        <w:t xml:space="preserve">, using the same semantic argument as in </w:t>
      </w:r>
      <w:r w:rsidRPr="00A82AD9">
        <w:rPr>
          <w:i/>
        </w:rPr>
        <w:t>Cargill</w:t>
      </w:r>
      <w:r>
        <w:t>, concluded that the Code required that it use the time of performance.</w:t>
      </w:r>
      <w:r>
        <w:rPr>
          <w:rStyle w:val="FootnoteReference"/>
        </w:rPr>
        <w:footnoteReference w:id="44"/>
      </w:r>
      <w:r>
        <w:t xml:space="preserve"> The case introduced one new complication—Hess’s use of the futures market to avoid price risk</w:t>
      </w:r>
      <w:r w:rsidR="009A516C">
        <w:t xml:space="preserve">. The court </w:t>
      </w:r>
      <w:r w:rsidR="00785D5C">
        <w:t>argued that this would affect how damages should be measured.</w:t>
      </w:r>
      <w:r w:rsidR="007B3F02">
        <w:rPr>
          <w:rStyle w:val="FootnoteReference"/>
        </w:rPr>
        <w:footnoteReference w:id="45"/>
      </w:r>
      <w:r w:rsidR="00785D5C">
        <w:t xml:space="preserve"> </w:t>
      </w:r>
    </w:p>
    <w:p w14:paraId="2E432314" w14:textId="77777777" w:rsidR="00383C0C" w:rsidRDefault="00383C0C" w:rsidP="009E0861">
      <w:pPr>
        <w:ind w:firstLine="720"/>
      </w:pPr>
    </w:p>
    <w:p w14:paraId="66E52B4E" w14:textId="46A81ABF" w:rsidR="007D2724" w:rsidRDefault="00383C0C" w:rsidP="009E0861">
      <w:pPr>
        <w:ind w:firstLine="720"/>
      </w:pPr>
      <w:r>
        <w:t>To understand why this would be</w:t>
      </w:r>
      <w:r w:rsidR="00785D5C">
        <w:t xml:space="preserve"> wrong, it is useful to first reproduce the court’s description of</w:t>
      </w:r>
      <w:r w:rsidR="009A516C">
        <w:t xml:space="preserve"> Hess’s </w:t>
      </w:r>
      <w:r w:rsidR="00785D5C">
        <w:t>use of the futures market</w:t>
      </w:r>
      <w:r w:rsidR="007D2724">
        <w:t>:</w:t>
      </w:r>
    </w:p>
    <w:p w14:paraId="00BB2FC6" w14:textId="77777777" w:rsidR="007D2724" w:rsidRDefault="007D2724" w:rsidP="007D2724"/>
    <w:p w14:paraId="282469A4" w14:textId="77777777" w:rsidR="007D2724" w:rsidRDefault="007D2724" w:rsidP="007D2724">
      <w:pPr>
        <w:ind w:left="720" w:right="720"/>
      </w:pPr>
      <w:r w:rsidRPr="00A82AD9">
        <w:t xml:space="preserve">Hess’ business was to purchase natural gas from entities like Lightning </w:t>
      </w:r>
      <w:r>
        <w:t>. . .</w:t>
      </w:r>
      <w:r w:rsidRPr="00A82AD9">
        <w:t xml:space="preserve"> and, once it did so, to locate commercial customers to which it could sell the natural gas. Hess’ business was not to profit on speculation that it could resell the purchased natural gas at higher prices based on favorable market swings, but rather to profit on mark-ups attributable to its transportation and other services provided to the end user of the natural gas. Because Hess entered into gas purchase contracts often at prices fixed well in advance of the execution date, it exposed itself to the serious risk that the market price of natural gas on the agreed-to purchase date would </w:t>
      </w:r>
      <w:r w:rsidRPr="00A82AD9">
        <w:lastRenderedPageBreak/>
        <w:t>have fallen, leaving it in the position of having to pay a higher price for the natural gas than it could sell the gas for, even after its service-related mark-up. To hedge against this market risk, at each time it agreed to purchase natural gas from a supplier at a fixed price for delivery on a specific date, it also entered into a NYMEX futures contract to sell the same quantity of natural gas on the same date for the same fixed price. According to ordinary commodities trading practice, on the settlement date of the futures contract, Hess would not actually sell the natural gas to the other party to the futures contract but rather would simply pay any loss or receive any gain on the contract in a cash settlement. In making this arrangement, Hess made itself indifferent to fluctuations in the price of natural gas because settlement of the futures contract offset any favorable or unfavorable swings in the market price of natural gas on the date of delivery, allowing Hess to eliminate market risk and rest its profitability solely on its transportation and delivery service</w:t>
      </w:r>
      <w:r>
        <w:t>.</w:t>
      </w:r>
      <w:r>
        <w:rPr>
          <w:rStyle w:val="FootnoteReference"/>
        </w:rPr>
        <w:footnoteReference w:id="46"/>
      </w:r>
    </w:p>
    <w:p w14:paraId="17F58097" w14:textId="77777777" w:rsidR="007D2724" w:rsidRDefault="007D2724" w:rsidP="007D2724">
      <w:pPr>
        <w:ind w:left="720" w:right="720"/>
      </w:pPr>
    </w:p>
    <w:p w14:paraId="4052CED3" w14:textId="15871FA3" w:rsidR="007D2724" w:rsidRDefault="007D2724" w:rsidP="00E40E4A">
      <w:pPr>
        <w:ind w:firstLine="720"/>
      </w:pPr>
      <w:r>
        <w:t>By Lightning defaulting on the first half of the paired transactions, argued the court, it exposed Hess to the price risk that it had attempted to avoid.</w:t>
      </w:r>
      <w:r w:rsidR="00E40E4A">
        <w:t xml:space="preserve"> </w:t>
      </w:r>
      <w:r w:rsidR="00E40E4A" w:rsidRPr="00E40E4A">
        <w:t>White and Summers enthusiastically endorse this opinion “</w:t>
      </w:r>
      <w:r w:rsidR="00E40E4A" w:rsidRPr="00E40E4A">
        <w:rPr>
          <w:color w:val="000000"/>
        </w:rPr>
        <w:t>In affirming Hess’ jury verdict . . . the Fourth Circuit agrees with our interpretation and arguments . . . for the proposition that 2-713 measures the contract market difference at the time of delivery not at the time of repudiation in a repudiation case. Hurray for Judge Niemeyer.”</w:t>
      </w:r>
      <w:r w:rsidR="00E40E4A">
        <w:rPr>
          <w:rStyle w:val="FootnoteReference"/>
          <w:color w:val="000000"/>
        </w:rPr>
        <w:footnoteReference w:id="47"/>
      </w:r>
      <w:r w:rsidR="00E40E4A" w:rsidRPr="0043758E">
        <w:rPr>
          <w:color w:val="000000"/>
          <w:sz w:val="20"/>
          <w:szCs w:val="20"/>
        </w:rPr>
        <w:t xml:space="preserve"> </w:t>
      </w:r>
      <w:r w:rsidR="00077346">
        <w:t>However</w:t>
      </w:r>
      <w:r w:rsidR="003A0AFB">
        <w:t xml:space="preserve">, </w:t>
      </w:r>
      <w:r>
        <w:t>t</w:t>
      </w:r>
      <w:r w:rsidR="00077346">
        <w:t>he court failed to recognize</w:t>
      </w:r>
      <w:r>
        <w:t xml:space="preserve"> that if the remedy were based on the </w:t>
      </w:r>
      <w:r w:rsidR="009E0861" w:rsidRPr="00E81A49">
        <w:rPr>
          <w:i/>
        </w:rPr>
        <w:t>forward</w:t>
      </w:r>
      <w:r w:rsidRPr="00E81A49">
        <w:rPr>
          <w:i/>
        </w:rPr>
        <w:t xml:space="preserve"> price</w:t>
      </w:r>
      <w:r>
        <w:t xml:space="preserve"> at the time of the accepted repudiation, then Hess’s neutral hedge position would have been maintained. Hess could have closed out its position at the then current price for future delivery. By using that price, </w:t>
      </w:r>
      <w:r w:rsidR="007B0EA6">
        <w:t>Hess</w:t>
      </w:r>
      <w:r>
        <w:t xml:space="preserve"> would </w:t>
      </w:r>
      <w:r w:rsidR="007B0EA6">
        <w:t xml:space="preserve">have </w:t>
      </w:r>
      <w:r>
        <w:t>receive</w:t>
      </w:r>
      <w:r w:rsidR="007B0EA6">
        <w:t>d</w:t>
      </w:r>
      <w:r>
        <w:t xml:space="preserve"> the change in the value of the contract at the moment the repudiation was accepted. </w:t>
      </w:r>
      <w:r w:rsidR="003A0AFB">
        <w:t>If Hess chose not to do so, it would bear the risk of subsequent price changes.</w:t>
      </w:r>
    </w:p>
    <w:p w14:paraId="43D54C0E" w14:textId="77777777" w:rsidR="007D2724" w:rsidRDefault="007D2724" w:rsidP="007D2724"/>
    <w:p w14:paraId="68D39DAF" w14:textId="287AF4D7" w:rsidR="007D2724" w:rsidRDefault="007D2724" w:rsidP="009E0861">
      <w:pPr>
        <w:ind w:firstLine="720"/>
        <w:rPr>
          <w:bCs/>
          <w:color w:val="555555"/>
        </w:rPr>
      </w:pPr>
      <w:r>
        <w:t>In other cases, courts have used the time of repudiation in determining damages.</w:t>
      </w:r>
      <w:r>
        <w:rPr>
          <w:rStyle w:val="FootnoteReference"/>
        </w:rPr>
        <w:footnoteReference w:id="48"/>
      </w:r>
      <w:r>
        <w:t xml:space="preserve"> In </w:t>
      </w:r>
      <w:r w:rsidRPr="008020E5">
        <w:rPr>
          <w:bCs/>
          <w:i/>
          <w:color w:val="555555"/>
        </w:rPr>
        <w:t>Oloffson v. Coomer</w:t>
      </w:r>
      <w:r w:rsidRPr="006057CA">
        <w:rPr>
          <w:bCs/>
          <w:color w:val="555555"/>
        </w:rPr>
        <w:t>,</w:t>
      </w:r>
      <w:r>
        <w:rPr>
          <w:rStyle w:val="FootnoteReference"/>
          <w:bCs/>
          <w:color w:val="555555"/>
        </w:rPr>
        <w:footnoteReference w:id="49"/>
      </w:r>
      <w:r w:rsidRPr="006057CA">
        <w:rPr>
          <w:bCs/>
          <w:color w:val="555555"/>
        </w:rPr>
        <w:t xml:space="preserve"> </w:t>
      </w:r>
      <w:r>
        <w:rPr>
          <w:bCs/>
          <w:color w:val="555555"/>
        </w:rPr>
        <w:t xml:space="preserve">a farmer (Coomer) promised in April to sell 40,000 bushels of corn to a grain dealer </w:t>
      </w:r>
      <w:r w:rsidR="00982C06">
        <w:rPr>
          <w:bCs/>
          <w:color w:val="555555"/>
        </w:rPr>
        <w:t xml:space="preserve">for delivery </w:t>
      </w:r>
      <w:r>
        <w:rPr>
          <w:bCs/>
          <w:color w:val="555555"/>
        </w:rPr>
        <w:t xml:space="preserve">in October and December. However, in June Coomer informed </w:t>
      </w:r>
      <w:r w:rsidR="009E0861">
        <w:rPr>
          <w:bCs/>
          <w:color w:val="555555"/>
        </w:rPr>
        <w:t>Oloffson that, b</w:t>
      </w:r>
      <w:r>
        <w:rPr>
          <w:bCs/>
          <w:color w:val="555555"/>
        </w:rPr>
        <w:t xml:space="preserve">ecause the season had been too wet, he would not be planting any corn. The contract price was about $1.12 and the price for future delivery at that time was $1.16. </w:t>
      </w:r>
      <w:r w:rsidR="003953F8">
        <w:rPr>
          <w:bCs/>
          <w:color w:val="555555"/>
        </w:rPr>
        <w:t xml:space="preserve">The market price rose substantially in the months after the repudiation. </w:t>
      </w:r>
      <w:r>
        <w:rPr>
          <w:bCs/>
          <w:color w:val="555555"/>
        </w:rPr>
        <w:t>Oloffso</w:t>
      </w:r>
      <w:r w:rsidR="003A0AFB">
        <w:rPr>
          <w:bCs/>
          <w:color w:val="555555"/>
        </w:rPr>
        <w:t xml:space="preserve">n ultimately purchased corn </w:t>
      </w:r>
      <w:r w:rsidR="00EB45E6">
        <w:rPr>
          <w:bCs/>
          <w:color w:val="555555"/>
        </w:rPr>
        <w:t>at much</w:t>
      </w:r>
      <w:r>
        <w:rPr>
          <w:bCs/>
          <w:color w:val="555555"/>
        </w:rPr>
        <w:t xml:space="preserve"> higher price</w:t>
      </w:r>
      <w:r w:rsidR="003A0AFB">
        <w:rPr>
          <w:bCs/>
          <w:color w:val="555555"/>
        </w:rPr>
        <w:t>s</w:t>
      </w:r>
      <w:r w:rsidR="00EB45E6">
        <w:rPr>
          <w:bCs/>
          <w:color w:val="555555"/>
        </w:rPr>
        <w:t xml:space="preserve"> after the delivery dates had passed</w:t>
      </w:r>
      <w:r>
        <w:rPr>
          <w:bCs/>
          <w:color w:val="555555"/>
        </w:rPr>
        <w:t xml:space="preserve"> ($1.35 and $1.49) and argued that its damages should be based on those prices. The court held that, given the nature of the market, a commercially reasonable time to await performance was less than a day and used the forward price at the time of repudiation ($1.16) when calculating damages.</w:t>
      </w:r>
      <w:r>
        <w:rPr>
          <w:rStyle w:val="FootnoteReference"/>
          <w:bCs/>
          <w:color w:val="555555"/>
        </w:rPr>
        <w:footnoteReference w:id="50"/>
      </w:r>
      <w:r>
        <w:rPr>
          <w:bCs/>
          <w:color w:val="555555"/>
        </w:rPr>
        <w:t xml:space="preserve"> Professor Jackson</w:t>
      </w:r>
      <w:r w:rsidR="009E0861">
        <w:rPr>
          <w:bCs/>
          <w:color w:val="555555"/>
        </w:rPr>
        <w:t xml:space="preserve">, using </w:t>
      </w:r>
      <w:r w:rsidR="009E0861" w:rsidRPr="008020E5">
        <w:rPr>
          <w:bCs/>
          <w:i/>
          <w:color w:val="555555"/>
        </w:rPr>
        <w:t xml:space="preserve">Oloffson </w:t>
      </w:r>
      <w:r w:rsidR="009E0861">
        <w:rPr>
          <w:bCs/>
          <w:color w:val="555555"/>
        </w:rPr>
        <w:t xml:space="preserve">to </w:t>
      </w:r>
      <w:r w:rsidR="009E0861">
        <w:rPr>
          <w:bCs/>
          <w:color w:val="555555"/>
        </w:rPr>
        <w:lastRenderedPageBreak/>
        <w:t xml:space="preserve">illustrate his argument, </w:t>
      </w:r>
      <w:r w:rsidR="00532188">
        <w:rPr>
          <w:bCs/>
          <w:color w:val="555555"/>
        </w:rPr>
        <w:t>assert</w:t>
      </w:r>
      <w:r>
        <w:rPr>
          <w:bCs/>
          <w:color w:val="555555"/>
        </w:rPr>
        <w:t>ed that “</w:t>
      </w:r>
      <w:r w:rsidRPr="008020E5">
        <w:t>contract law presumptively should adopt a general rule that an aggrieved buyer should cover at the forward price as</w:t>
      </w:r>
      <w:r w:rsidR="007B3F02">
        <w:t xml:space="preserve"> of the date of the repudiation.</w:t>
      </w:r>
      <w:r>
        <w:t>”</w:t>
      </w:r>
      <w:r>
        <w:rPr>
          <w:rStyle w:val="FootnoteReference"/>
        </w:rPr>
        <w:footnoteReference w:id="51"/>
      </w:r>
    </w:p>
    <w:p w14:paraId="1955324C" w14:textId="77777777" w:rsidR="007D2724" w:rsidRDefault="007D2724" w:rsidP="007D2724">
      <w:pPr>
        <w:rPr>
          <w:bCs/>
          <w:color w:val="555555"/>
        </w:rPr>
      </w:pPr>
    </w:p>
    <w:p w14:paraId="77220029" w14:textId="31B6E1A9" w:rsidR="00003CBB" w:rsidRDefault="007D2724" w:rsidP="00716601">
      <w:pPr>
        <w:widowControl w:val="0"/>
        <w:autoSpaceDE w:val="0"/>
        <w:autoSpaceDN w:val="0"/>
        <w:adjustRightInd w:val="0"/>
        <w:spacing w:after="240"/>
        <w:ind w:firstLine="720"/>
      </w:pPr>
      <w:r w:rsidRPr="009616BD">
        <w:rPr>
          <w:bCs/>
          <w:color w:val="555555"/>
        </w:rPr>
        <w:t xml:space="preserve">While this is </w:t>
      </w:r>
      <w:r w:rsidR="003A0AFB">
        <w:rPr>
          <w:bCs/>
          <w:color w:val="555555"/>
        </w:rPr>
        <w:t xml:space="preserve">essentially the same position I </w:t>
      </w:r>
      <w:r w:rsidRPr="009616BD">
        <w:rPr>
          <w:bCs/>
          <w:color w:val="555555"/>
        </w:rPr>
        <w:t xml:space="preserve">have taken, </w:t>
      </w:r>
      <w:r w:rsidRPr="009616BD">
        <w:rPr>
          <w:bCs/>
          <w:i/>
          <w:color w:val="555555"/>
        </w:rPr>
        <w:t>Oloffson</w:t>
      </w:r>
      <w:r w:rsidRPr="009616BD">
        <w:rPr>
          <w:bCs/>
          <w:color w:val="555555"/>
        </w:rPr>
        <w:t xml:space="preserve"> does raise one problem. The co</w:t>
      </w:r>
      <w:r>
        <w:rPr>
          <w:bCs/>
          <w:color w:val="555555"/>
        </w:rPr>
        <w:t>urt noted</w:t>
      </w:r>
      <w:r w:rsidRPr="009616BD">
        <w:rPr>
          <w:bCs/>
          <w:color w:val="555555"/>
        </w:rPr>
        <w:t xml:space="preserve"> that Oloffson </w:t>
      </w:r>
      <w:r>
        <w:rPr>
          <w:bCs/>
          <w:color w:val="555555"/>
        </w:rPr>
        <w:t xml:space="preserve">had </w:t>
      </w:r>
      <w:r w:rsidRPr="009616BD">
        <w:rPr>
          <w:bCs/>
          <w:color w:val="555555"/>
        </w:rPr>
        <w:t>argue</w:t>
      </w:r>
      <w:r>
        <w:rPr>
          <w:bCs/>
          <w:color w:val="555555"/>
        </w:rPr>
        <w:t>d that he “</w:t>
      </w:r>
      <w:r w:rsidRPr="009616BD">
        <w:t>adhered to a usage of trade that permitted his customers to cancel the contract for a future delivery of grain by making known to him a desire to cancel and paying to him the difference between the contract and market price on the day of cancellation.</w:t>
      </w:r>
      <w:r>
        <w:t>”</w:t>
      </w:r>
      <w:r>
        <w:rPr>
          <w:rStyle w:val="FootnoteReference"/>
        </w:rPr>
        <w:footnoteReference w:id="52"/>
      </w:r>
      <w:r>
        <w:t xml:space="preserve"> </w:t>
      </w:r>
      <w:r w:rsidR="003953F8">
        <w:t>That would have meant using the spot price</w:t>
      </w:r>
      <w:r w:rsidR="00E40E4A">
        <w:t xml:space="preserve"> ($1.12)</w:t>
      </w:r>
      <w:r w:rsidR="003953F8">
        <w:t xml:space="preserve"> in determining damages. </w:t>
      </w:r>
      <w:r>
        <w:t>The court rejected this because</w:t>
      </w:r>
      <w:r w:rsidR="007B0EA6">
        <w:t>, it claimed,</w:t>
      </w:r>
      <w:r>
        <w:t xml:space="preserve"> Coomer did not know of the alleged usage</w:t>
      </w:r>
      <w:r w:rsidR="00383C0C">
        <w:t>,</w:t>
      </w:r>
      <w:r>
        <w:t xml:space="preserve"> and good faith required that Oloffson inform him of that usage.</w:t>
      </w:r>
      <w:r w:rsidR="00003CBB" w:rsidRPr="00003CBB">
        <w:t xml:space="preserve"> Remarkably, White and Summers get this completely wrong. Their </w:t>
      </w:r>
      <w:r w:rsidR="00003CBB">
        <w:t xml:space="preserve">preferred </w:t>
      </w:r>
      <w:r w:rsidR="00003CBB" w:rsidRPr="00003CBB">
        <w:t>result is the time of performance, but they reluctantly concede that</w:t>
      </w:r>
      <w:r w:rsidR="00003CBB" w:rsidRPr="00003CBB">
        <w:rPr>
          <w:color w:val="000000"/>
        </w:rPr>
        <w:t xml:space="preserve"> “[t]he outcome of the case can be defended only on the ground that the contract was implicitly modified by the trade usage that prevailed in the corn market.”</w:t>
      </w:r>
      <w:r w:rsidR="00003CBB">
        <w:rPr>
          <w:rStyle w:val="FootnoteReference"/>
          <w:color w:val="000000"/>
        </w:rPr>
        <w:footnoteReference w:id="53"/>
      </w:r>
      <w:r w:rsidR="00003CBB" w:rsidRPr="00003CBB">
        <w:rPr>
          <w:color w:val="000000"/>
        </w:rPr>
        <w:t xml:space="preserve"> But, as noted, the court rejected the trade usage (spot price) and chose instead the forward price.</w:t>
      </w:r>
      <w:r w:rsidR="00E40E4A">
        <w:rPr>
          <w:color w:val="000000"/>
        </w:rPr>
        <w:t xml:space="preserve"> Their preference, price at the time of performance, wasn’t even in the running. </w:t>
      </w:r>
    </w:p>
    <w:p w14:paraId="482E75FE" w14:textId="3410427A" w:rsidR="006A696D" w:rsidRDefault="007D2724" w:rsidP="00716601">
      <w:pPr>
        <w:widowControl w:val="0"/>
        <w:autoSpaceDE w:val="0"/>
        <w:autoSpaceDN w:val="0"/>
        <w:adjustRightInd w:val="0"/>
        <w:spacing w:after="240"/>
        <w:ind w:firstLine="720"/>
      </w:pPr>
      <w:r>
        <w:t xml:space="preserve">To call this a trade usage might be an understatement. In </w:t>
      </w:r>
      <w:r w:rsidRPr="00D65C56">
        <w:rPr>
          <w:i/>
        </w:rPr>
        <w:t>Cargill</w:t>
      </w:r>
      <w:r>
        <w:t>, Cargill had included in its confirmation a statement that the contract was subject to the rules of the National Grain and Feed Dealers Association (NGFDA). Stafford tried to argue that this additional term destroyed enforceability. The court, however, held that the contract was enforceable, but that the NGFDA clause was not part of the contract.</w:t>
      </w:r>
      <w:r>
        <w:rPr>
          <w:rStyle w:val="FootnoteReference"/>
        </w:rPr>
        <w:footnoteReference w:id="54"/>
      </w:r>
      <w:r w:rsidR="00383C0C">
        <w:t xml:space="preserve"> The court only said</w:t>
      </w:r>
      <w:r>
        <w:t xml:space="preserve"> that the contract was </w:t>
      </w:r>
      <w:r w:rsidR="00003CBB">
        <w:t xml:space="preserve">not </w:t>
      </w:r>
      <w:r>
        <w:t>subject to the</w:t>
      </w:r>
      <w:r w:rsidR="00003CBB">
        <w:t xml:space="preserve"> Rules of the NGFDA, but it did not say what those rules we</w:t>
      </w:r>
      <w:r>
        <w:t>re</w:t>
      </w:r>
      <w:r w:rsidR="009E0861">
        <w:t>. The rule today, Rule 28 A (3)</w:t>
      </w:r>
      <w:r w:rsidR="00042451">
        <w:t>,</w:t>
      </w:r>
      <w:r w:rsidR="009E0861">
        <w:t xml:space="preserve"> is</w:t>
      </w:r>
      <w:r w:rsidR="006A696D">
        <w:t xml:space="preserve">, </w:t>
      </w:r>
      <w:r w:rsidR="009E0861">
        <w:t xml:space="preserve">no doubt, </w:t>
      </w:r>
      <w:r>
        <w:t xml:space="preserve">the same </w:t>
      </w:r>
      <w:r w:rsidRPr="00141844">
        <w:t xml:space="preserve">as it was when </w:t>
      </w:r>
      <w:r w:rsidRPr="00141844">
        <w:rPr>
          <w:i/>
        </w:rPr>
        <w:t xml:space="preserve">Cargill </w:t>
      </w:r>
      <w:r w:rsidRPr="00141844">
        <w:t xml:space="preserve">(and </w:t>
      </w:r>
      <w:r w:rsidRPr="00141844">
        <w:rPr>
          <w:i/>
        </w:rPr>
        <w:t>Oloffson</w:t>
      </w:r>
      <w:r w:rsidR="007B3F02">
        <w:t xml:space="preserve">) were decided: </w:t>
      </w:r>
      <w:r>
        <w:t>“</w:t>
      </w:r>
      <w:r w:rsidRPr="00141844">
        <w:t>cancel the defaulted portion of the contract at fair market value based on the close of the market the next business day.</w:t>
      </w:r>
      <w:r>
        <w:t>”</w:t>
      </w:r>
      <w:r>
        <w:rPr>
          <w:rStyle w:val="FootnoteReference"/>
        </w:rPr>
        <w:footnoteReference w:id="55"/>
      </w:r>
      <w:r w:rsidRPr="00141844">
        <w:t xml:space="preserve"> </w:t>
      </w:r>
      <w:r>
        <w:t xml:space="preserve">So, it appears that the standard rule in the grain trade (when courts are willing to recognize it) is to use the </w:t>
      </w:r>
      <w:r w:rsidRPr="00003CBB">
        <w:rPr>
          <w:i/>
        </w:rPr>
        <w:t>spot</w:t>
      </w:r>
      <w:r>
        <w:t xml:space="preserve"> price, not the </w:t>
      </w:r>
      <w:r w:rsidRPr="00003CBB">
        <w:rPr>
          <w:i/>
        </w:rPr>
        <w:t>forward</w:t>
      </w:r>
      <w:r>
        <w:t xml:space="preserve"> price.</w:t>
      </w:r>
      <w:r>
        <w:rPr>
          <w:rStyle w:val="FootnoteReference"/>
        </w:rPr>
        <w:footnoteReference w:id="56"/>
      </w:r>
      <w:r>
        <w:t xml:space="preserve"> </w:t>
      </w:r>
      <w:r w:rsidR="006A696D">
        <w:t xml:space="preserve">The fact that the NGFDA rule was not recognized in both </w:t>
      </w:r>
      <w:r w:rsidR="006A696D" w:rsidRPr="006A696D">
        <w:rPr>
          <w:i/>
        </w:rPr>
        <w:t xml:space="preserve">Cargill </w:t>
      </w:r>
      <w:r w:rsidR="006A696D">
        <w:t xml:space="preserve">and </w:t>
      </w:r>
      <w:r w:rsidR="006A696D" w:rsidRPr="006A696D">
        <w:rPr>
          <w:i/>
        </w:rPr>
        <w:t>Oloffson</w:t>
      </w:r>
      <w:r w:rsidR="006A696D">
        <w:t xml:space="preserve"> suggests that the barriers to contracting out of the default rule </w:t>
      </w:r>
      <w:r w:rsidR="001621C1">
        <w:t>might not be trivial.</w:t>
      </w:r>
      <w:r w:rsidR="001621C1">
        <w:rPr>
          <w:rStyle w:val="FootnoteReference"/>
        </w:rPr>
        <w:footnoteReference w:id="57"/>
      </w:r>
      <w:r w:rsidR="00716601">
        <w:t xml:space="preserve"> </w:t>
      </w:r>
    </w:p>
    <w:p w14:paraId="23467F32" w14:textId="1B62896A" w:rsidR="008A2BAF" w:rsidRDefault="00716601" w:rsidP="00716601">
      <w:pPr>
        <w:widowControl w:val="0"/>
        <w:autoSpaceDE w:val="0"/>
        <w:autoSpaceDN w:val="0"/>
        <w:adjustRightInd w:val="0"/>
        <w:spacing w:after="240"/>
        <w:ind w:firstLine="720"/>
      </w:pPr>
      <w:r>
        <w:lastRenderedPageBreak/>
        <w:t xml:space="preserve">Why the spot rather than the forward price? </w:t>
      </w:r>
      <w:r w:rsidR="00EB45E6">
        <w:t xml:space="preserve">I </w:t>
      </w:r>
      <w:r>
        <w:t>would speculate that as a general rule, the spot price of grains wou</w:t>
      </w:r>
      <w:r w:rsidR="002410DF">
        <w:t>ld be easier to identify since f</w:t>
      </w:r>
      <w:r>
        <w:t xml:space="preserve">orward contracts that have the identical termination date might not always be available. </w:t>
      </w:r>
      <w:r w:rsidR="002410DF">
        <w:t xml:space="preserve">The spot price would be a proxy for the forward </w:t>
      </w:r>
      <w:r w:rsidR="009A7054">
        <w:t>price. The</w:t>
      </w:r>
      <w:r w:rsidR="008A2BAF">
        <w:t xml:space="preserve"> important thing </w:t>
      </w:r>
      <w:r w:rsidR="003C36BC">
        <w:t xml:space="preserve">is </w:t>
      </w:r>
      <w:r w:rsidR="009A7054">
        <w:t>that there be</w:t>
      </w:r>
      <w:r w:rsidR="003C36BC">
        <w:t xml:space="preserve"> a clear rule ex ante. Given the court’s treatment in the two decisions,</w:t>
      </w:r>
      <w:r w:rsidR="008A2BAF">
        <w:t xml:space="preserve"> the rule might turn out to be not so clear, ex post.</w:t>
      </w:r>
    </w:p>
    <w:p w14:paraId="58FF9CCA" w14:textId="574C60BE" w:rsidR="00E0144D" w:rsidRDefault="00E0144D" w:rsidP="00E0144D">
      <w:pPr>
        <w:ind w:firstLine="720"/>
      </w:pPr>
      <w:r>
        <w:t xml:space="preserve">As a final example, consider </w:t>
      </w:r>
      <w:r>
        <w:rPr>
          <w:i/>
        </w:rPr>
        <w:t>Cosden Oil &amp; Chem. Co. v. Karl O. Helm Aktiengesellschaft</w:t>
      </w:r>
      <w:r>
        <w:t>.</w:t>
      </w:r>
      <w:r>
        <w:rPr>
          <w:rStyle w:val="FootnoteReference"/>
        </w:rPr>
        <w:footnoteReference w:id="58"/>
      </w:r>
      <w:r>
        <w:t xml:space="preserve"> Cosden, a producer of polystyrene, promised to deliver the product over a period of time to Helm, a trader. It delivered some, but because of production problems, it cancelled the remaining orders. Anticipating the problem, Helm engaged in self-help, withholding payment for the polystyrene that had been delivered. Cosden sued for payment and Helm counterclaimed for the failure to deliver the remainder of its order. The jury found that Cosden had anticipatorily repudia</w:t>
      </w:r>
      <w:r w:rsidR="002410DF">
        <w:t>ted. The price of polystyrene had ri</w:t>
      </w:r>
      <w:r>
        <w:t>se</w:t>
      </w:r>
      <w:r w:rsidR="002410DF">
        <w:t>n</w:t>
      </w:r>
      <w:r>
        <w:t xml:space="preserve"> throughout the post-repudiation period.</w:t>
      </w:r>
    </w:p>
    <w:p w14:paraId="612EC9F2" w14:textId="77777777" w:rsidR="00E0144D" w:rsidRDefault="00E0144D" w:rsidP="00E0144D"/>
    <w:p w14:paraId="5B063D93" w14:textId="77777777" w:rsidR="00E0144D" w:rsidRDefault="00E0144D" w:rsidP="00E0144D">
      <w:pPr>
        <w:ind w:firstLine="720"/>
      </w:pPr>
      <w:r>
        <w:t>The main issue on appeal was which date should be used to determine the market price. The court considered three dates: “Cosden argues that damages should be measured when Helm learned of the repudiation. Helm contends that market price as of the last day for delivery—or the time of performance—should be used to compute its damages under the contract-market differential. We reject both views, and hold that the</w:t>
      </w:r>
      <w:r w:rsidRPr="00FA6015">
        <w:t xml:space="preserve"> </w:t>
      </w:r>
      <w:r>
        <w:t>district court correctly measured damages at a commercially reasonable point after Cosden informed Helm that it was cancelling the [order].”</w:t>
      </w:r>
      <w:r>
        <w:rPr>
          <w:rStyle w:val="FootnoteReference"/>
        </w:rPr>
        <w:footnoteReference w:id="59"/>
      </w:r>
      <w:r>
        <w:t xml:space="preserve"> </w:t>
      </w:r>
    </w:p>
    <w:p w14:paraId="1975297D" w14:textId="77777777" w:rsidR="00E0144D" w:rsidRDefault="00E0144D" w:rsidP="00E0144D"/>
    <w:p w14:paraId="3EC56844" w14:textId="77777777" w:rsidR="00E0144D" w:rsidRDefault="00E0144D" w:rsidP="00EB45E6">
      <w:pPr>
        <w:ind w:firstLine="720"/>
      </w:pPr>
      <w:r>
        <w:t xml:space="preserve">The learned-of-repudiation date was properly rejected since the anticipatory repudiation doctrine gives the aggrieved party a reasonable period of time during which it can decide whether it should accept the repudiation. It should have enough time to weigh alternatives. The repudiation does not become a breach until it is accepted (or should have been accepted). For commodities traded in thick markets (as in </w:t>
      </w:r>
      <w:r w:rsidRPr="00FF6F8A">
        <w:rPr>
          <w:i/>
        </w:rPr>
        <w:t>Cargill</w:t>
      </w:r>
      <w:r>
        <w:t xml:space="preserve"> and </w:t>
      </w:r>
      <w:r w:rsidRPr="00FF6F8A">
        <w:rPr>
          <w:i/>
        </w:rPr>
        <w:t>Oloffson</w:t>
      </w:r>
      <w:r>
        <w:t xml:space="preserve">), the time period might be measured in minutes—for others, like polystyrene, the period would be longer. So, there were really only two choices. By rejecting the time-of-performance, </w:t>
      </w:r>
      <w:r w:rsidRPr="00D3747D">
        <w:rPr>
          <w:i/>
        </w:rPr>
        <w:t>Cosden</w:t>
      </w:r>
      <w:r>
        <w:t xml:space="preserve"> is consistent with </w:t>
      </w:r>
      <w:r w:rsidRPr="00D3747D">
        <w:rPr>
          <w:i/>
        </w:rPr>
        <w:t>Oloffson</w:t>
      </w:r>
      <w:r>
        <w:t xml:space="preserve">. </w:t>
      </w:r>
    </w:p>
    <w:p w14:paraId="363DD9F6" w14:textId="77777777" w:rsidR="00E0144D" w:rsidRDefault="00E0144D" w:rsidP="00E0144D"/>
    <w:p w14:paraId="7DDF835C" w14:textId="52B20E13" w:rsidR="00E0144D" w:rsidRDefault="00E0144D" w:rsidP="00E0144D">
      <w:pPr>
        <w:ind w:firstLine="720"/>
      </w:pPr>
      <w:r>
        <w:t>There are three things worth noting about the decision. First, the court implies that the parties kne</w:t>
      </w:r>
      <w:r w:rsidR="00EB45E6">
        <w:t>w they were in a “rising market,</w:t>
      </w:r>
      <w:r>
        <w:t>”</w:t>
      </w:r>
      <w:r>
        <w:rPr>
          <w:rStyle w:val="FootnoteReference"/>
        </w:rPr>
        <w:footnoteReference w:id="60"/>
      </w:r>
      <w:r w:rsidR="00EB45E6">
        <w:t xml:space="preserve"> not recognizing the </w:t>
      </w:r>
      <w:r w:rsidR="008A3F5B">
        <w:t xml:space="preserve">difference between a </w:t>
      </w:r>
      <w:r w:rsidR="008A3F5B" w:rsidRPr="008A2BAF">
        <w:rPr>
          <w:i/>
        </w:rPr>
        <w:t xml:space="preserve">rising </w:t>
      </w:r>
      <w:r w:rsidR="008A3F5B">
        <w:t xml:space="preserve">market and a </w:t>
      </w:r>
      <w:r w:rsidR="008A3F5B" w:rsidRPr="008A2BAF">
        <w:rPr>
          <w:i/>
        </w:rPr>
        <w:t>risen</w:t>
      </w:r>
      <w:r w:rsidR="008A3F5B">
        <w:t xml:space="preserve"> market.</w:t>
      </w:r>
      <w:r w:rsidR="008A3F5B">
        <w:rPr>
          <w:rStyle w:val="FootnoteReference"/>
        </w:rPr>
        <w:footnoteReference w:id="61"/>
      </w:r>
      <w:r w:rsidR="008A3F5B">
        <w:t xml:space="preserve"> </w:t>
      </w:r>
      <w:r w:rsidR="00EB45E6">
        <w:t xml:space="preserve">As I </w:t>
      </w:r>
      <w:r>
        <w:t xml:space="preserve">have emphasized, the parties do not know what the subsequent price path will be. Second, the </w:t>
      </w:r>
      <w:r w:rsidR="008A2BAF">
        <w:t xml:space="preserve">court found the </w:t>
      </w:r>
      <w:r>
        <w:t xml:space="preserve">relevant price </w:t>
      </w:r>
      <w:r w:rsidR="008A2BAF">
        <w:t xml:space="preserve">to be </w:t>
      </w:r>
      <w:r>
        <w:t xml:space="preserve">the spot price at the time the repudiation was deemed accepted, not the forward price. There was no discussion of the question and there was no indication that the two prices might have </w:t>
      </w:r>
      <w:r>
        <w:lastRenderedPageBreak/>
        <w:t>been different.</w:t>
      </w:r>
      <w:r w:rsidR="008A2BAF">
        <w:t xml:space="preserve"> In this instance, it seems more likely than in the grain cases, that it would have been more difficult to ascertain the forward price. </w:t>
      </w:r>
    </w:p>
    <w:p w14:paraId="02BF6E31" w14:textId="77777777" w:rsidR="00E0144D" w:rsidRDefault="00E0144D" w:rsidP="00E0144D">
      <w:pPr>
        <w:ind w:firstLine="720"/>
      </w:pPr>
    </w:p>
    <w:p w14:paraId="04F2F465" w14:textId="0E6BC03A" w:rsidR="00E0144D" w:rsidRDefault="00E0144D" w:rsidP="00E0144D">
      <w:pPr>
        <w:ind w:firstLine="720"/>
      </w:pPr>
      <w:r>
        <w:t>The third is how the parties and the court treated “cover.” Both parties identified particular transactions in the pre-decision period as cover transactions, Helm choosing those close to the performance date (the higher price) and Cosden those closer to the repudiation date:</w:t>
      </w:r>
    </w:p>
    <w:p w14:paraId="31F7E728" w14:textId="77777777" w:rsidR="00E0144D" w:rsidRDefault="00E0144D" w:rsidP="00E0144D">
      <w:pPr>
        <w:ind w:firstLine="720"/>
      </w:pPr>
    </w:p>
    <w:p w14:paraId="4C530774" w14:textId="77777777" w:rsidR="00E0144D" w:rsidRDefault="00E0144D" w:rsidP="008A2BAF">
      <w:pPr>
        <w:widowControl w:val="0"/>
        <w:autoSpaceDE w:val="0"/>
        <w:autoSpaceDN w:val="0"/>
        <w:adjustRightInd w:val="0"/>
        <w:ind w:left="720" w:right="720"/>
        <w:rPr>
          <w:color w:val="000000"/>
        </w:rPr>
      </w:pPr>
      <w:r w:rsidRPr="001D4BF3">
        <w:rPr>
          <w:color w:val="000000"/>
        </w:rPr>
        <w:t>At trial Cosden argued that Helm's purchases of polystyrene from other sources in early February constituted cover. Helm argued that those purchases were not intended to substitute for polystyrene sales cancelled by Cosden. Helm, however, contended that it did cover by purchasing large amounts of high impact polystyrene from other sources late in February and around the first of March. Cosden claimed that these purchases were not made reasonably and that they should not qualify as cover. The jury found that none of Helm's purchases of polystyrene from other sources were cover purchases.</w:t>
      </w:r>
    </w:p>
    <w:p w14:paraId="2851C076" w14:textId="77777777" w:rsidR="00E0144D" w:rsidRPr="001D4BF3" w:rsidRDefault="00E0144D" w:rsidP="008A3F5B">
      <w:pPr>
        <w:widowControl w:val="0"/>
        <w:autoSpaceDE w:val="0"/>
        <w:autoSpaceDN w:val="0"/>
        <w:adjustRightInd w:val="0"/>
        <w:ind w:left="720" w:right="720"/>
        <w:jc w:val="center"/>
        <w:rPr>
          <w:color w:val="000000"/>
        </w:rPr>
      </w:pPr>
      <w:r>
        <w:rPr>
          <w:color w:val="000000"/>
        </w:rPr>
        <w:t>*   *   *</w:t>
      </w:r>
    </w:p>
    <w:p w14:paraId="6351481B" w14:textId="77777777" w:rsidR="00E0144D" w:rsidRPr="001D4BF3" w:rsidRDefault="00E0144D" w:rsidP="008A2BAF">
      <w:pPr>
        <w:widowControl w:val="0"/>
        <w:autoSpaceDE w:val="0"/>
        <w:autoSpaceDN w:val="0"/>
        <w:adjustRightInd w:val="0"/>
        <w:ind w:left="720" w:right="720"/>
        <w:rPr>
          <w:color w:val="000000"/>
        </w:rPr>
      </w:pPr>
    </w:p>
    <w:p w14:paraId="40481A76" w14:textId="1301E9FA" w:rsidR="00E0144D" w:rsidRDefault="00E0144D" w:rsidP="008A2BAF">
      <w:pPr>
        <w:widowControl w:val="0"/>
        <w:autoSpaceDE w:val="0"/>
        <w:autoSpaceDN w:val="0"/>
        <w:adjustRightInd w:val="0"/>
        <w:ind w:left="720" w:right="720"/>
        <w:rPr>
          <w:color w:val="000000"/>
        </w:rPr>
      </w:pPr>
      <w:r w:rsidRPr="001D4BF3">
        <w:rPr>
          <w:color w:val="000000"/>
        </w:rPr>
        <w:t>We cannot isolate a reason to explain the jury's finding: it might have concluded that Helm would have made the purchases regardless of Cosden's nonperformance or that the transactions did not qualify as cover for other reasons. Because of the jury's finding, we cannot use those other transactions to determine Helm's damages.</w:t>
      </w:r>
      <w:r>
        <w:rPr>
          <w:rStyle w:val="FootnoteReference"/>
          <w:color w:val="000000"/>
        </w:rPr>
        <w:footnoteReference w:id="62"/>
      </w:r>
    </w:p>
    <w:p w14:paraId="50D01349" w14:textId="77777777" w:rsidR="00AB4787" w:rsidRDefault="00AB4787" w:rsidP="008A2BAF">
      <w:pPr>
        <w:widowControl w:val="0"/>
        <w:autoSpaceDE w:val="0"/>
        <w:autoSpaceDN w:val="0"/>
        <w:adjustRightInd w:val="0"/>
        <w:ind w:left="720" w:right="720"/>
        <w:rPr>
          <w:color w:val="000000"/>
        </w:rPr>
      </w:pPr>
    </w:p>
    <w:p w14:paraId="3D10E5F7" w14:textId="282B36B6" w:rsidR="00E0144D" w:rsidRPr="003E03DB" w:rsidRDefault="00AB4787" w:rsidP="003E03DB">
      <w:pPr>
        <w:widowControl w:val="0"/>
        <w:autoSpaceDE w:val="0"/>
        <w:autoSpaceDN w:val="0"/>
        <w:adjustRightInd w:val="0"/>
        <w:rPr>
          <w:color w:val="000000"/>
        </w:rPr>
      </w:pPr>
      <w:r>
        <w:rPr>
          <w:color w:val="000000"/>
        </w:rPr>
        <w:t xml:space="preserve">It is not surprising that the parties would identify the cover contracts that were most favorable to them. What is unfortunate is that this would be treated as a </w:t>
      </w:r>
      <w:r w:rsidR="008A614B">
        <w:rPr>
          <w:color w:val="000000"/>
        </w:rPr>
        <w:t>fact</w:t>
      </w:r>
      <w:r>
        <w:rPr>
          <w:color w:val="000000"/>
        </w:rPr>
        <w:t xml:space="preserve"> question. It reflects the notion that cover is a remedy that is alternative to the contract/market differential, rather than possible evidence of the price at the time of the breach. Helm, like Cargill, was a trader engaging in numerous transactions. </w:t>
      </w:r>
      <w:r w:rsidR="00272C05">
        <w:rPr>
          <w:color w:val="000000"/>
        </w:rPr>
        <w:t>To ask which of them</w:t>
      </w:r>
      <w:r w:rsidR="00A6003A">
        <w:rPr>
          <w:color w:val="000000"/>
        </w:rPr>
        <w:t xml:space="preserve"> </w:t>
      </w:r>
      <w:r w:rsidR="00272C05">
        <w:rPr>
          <w:color w:val="000000"/>
        </w:rPr>
        <w:t>w</w:t>
      </w:r>
      <w:r w:rsidR="00A6003A">
        <w:rPr>
          <w:color w:val="000000"/>
        </w:rPr>
        <w:t xml:space="preserve">as </w:t>
      </w:r>
      <w:r w:rsidR="00272C05">
        <w:rPr>
          <w:color w:val="000000"/>
        </w:rPr>
        <w:t xml:space="preserve">the </w:t>
      </w:r>
      <w:r w:rsidR="00A6003A">
        <w:rPr>
          <w:color w:val="000000"/>
        </w:rPr>
        <w:t xml:space="preserve">cover </w:t>
      </w:r>
      <w:r w:rsidR="00272C05">
        <w:rPr>
          <w:color w:val="000000"/>
        </w:rPr>
        <w:t>contract</w:t>
      </w:r>
      <w:r w:rsidR="00A6003A">
        <w:rPr>
          <w:color w:val="000000"/>
        </w:rPr>
        <w:t xml:space="preserve"> presents the jury with a futile task. If the buyer did engage in subsequent transactions, the only question the jury should care about is whether details of those transactions would be useful in ascertaining the market price (spot or forward) at the time of the breach.</w:t>
      </w:r>
      <w:r w:rsidR="0027764A">
        <w:rPr>
          <w:rStyle w:val="FootnoteReference"/>
          <w:color w:val="000000"/>
        </w:rPr>
        <w:footnoteReference w:id="63"/>
      </w:r>
      <w:r w:rsidR="00A6003A">
        <w:rPr>
          <w:color w:val="000000"/>
        </w:rPr>
        <w:t xml:space="preserve"> </w:t>
      </w:r>
    </w:p>
    <w:p w14:paraId="65ED03CA" w14:textId="2E7B3FFB" w:rsidR="00A91398" w:rsidRPr="00A4384B" w:rsidRDefault="003E03DB" w:rsidP="00251613">
      <w:pPr>
        <w:widowControl w:val="0"/>
        <w:autoSpaceDE w:val="0"/>
        <w:autoSpaceDN w:val="0"/>
        <w:adjustRightInd w:val="0"/>
        <w:spacing w:before="200"/>
        <w:ind w:firstLine="720"/>
        <w:rPr>
          <w:rFonts w:eastAsia="Times New Roman" w:cs="Times New Roman"/>
          <w:bCs/>
          <w:kern w:val="36"/>
        </w:rPr>
      </w:pPr>
      <w:r>
        <w:rPr>
          <w:rFonts w:eastAsia="Times New Roman" w:cs="Times New Roman"/>
          <w:bCs/>
          <w:kern w:val="36"/>
        </w:rPr>
        <w:t>I do not mean to underestimate the difficulty in determining the damages</w:t>
      </w:r>
      <w:r w:rsidR="00251613">
        <w:rPr>
          <w:rFonts w:eastAsia="Times New Roman" w:cs="Times New Roman"/>
          <w:bCs/>
          <w:kern w:val="36"/>
        </w:rPr>
        <w:t>.</w:t>
      </w:r>
      <w:r>
        <w:rPr>
          <w:rFonts w:eastAsia="Times New Roman" w:cs="Times New Roman"/>
          <w:bCs/>
          <w:kern w:val="36"/>
        </w:rPr>
        <w:t xml:space="preserve"> Even in the fairly thick markets I have discussed in this and the previous Part there were problems. And if the market were thin there would be further difficulties. In</w:t>
      </w:r>
      <w:r w:rsidR="00A91398">
        <w:rPr>
          <w:rFonts w:eastAsia="Times New Roman" w:cs="Times New Roman"/>
          <w:bCs/>
          <w:kern w:val="36"/>
        </w:rPr>
        <w:t xml:space="preserve"> </w:t>
      </w:r>
      <w:r w:rsidR="00A91398" w:rsidRPr="00A91398">
        <w:rPr>
          <w:rFonts w:cs="Times New Roman"/>
          <w:bCs/>
          <w:i/>
          <w:color w:val="555555"/>
        </w:rPr>
        <w:t>Laredo Hides Co., Inc. v. H &amp; H Meat Products Co., Inc.,</w:t>
      </w:r>
      <w:r w:rsidR="00A91398" w:rsidRPr="007B3F02">
        <w:rPr>
          <w:rStyle w:val="FootnoteReference"/>
          <w:rFonts w:cs="Times New Roman"/>
          <w:bCs/>
          <w:color w:val="555555"/>
        </w:rPr>
        <w:footnoteReference w:id="64"/>
      </w:r>
      <w:r w:rsidR="00A91398" w:rsidRPr="007B3F02">
        <w:rPr>
          <w:rFonts w:asciiTheme="minorHAnsi" w:hAnsiTheme="minorHAnsi" w:cs="Arial"/>
          <w:bCs/>
          <w:color w:val="555555"/>
        </w:rPr>
        <w:t xml:space="preserve"> </w:t>
      </w:r>
      <w:r w:rsidR="008D3996">
        <w:rPr>
          <w:rFonts w:asciiTheme="minorHAnsi" w:hAnsiTheme="minorHAnsi" w:cs="Arial"/>
          <w:bCs/>
          <w:color w:val="555555"/>
        </w:rPr>
        <w:t>for example, the contract was</w:t>
      </w:r>
      <w:r w:rsidR="00A91398">
        <w:rPr>
          <w:rFonts w:asciiTheme="minorHAnsi" w:hAnsiTheme="minorHAnsi" w:cs="Arial"/>
          <w:bCs/>
          <w:color w:val="555555"/>
        </w:rPr>
        <w:t xml:space="preserve"> a variable output contract for all the hides H&amp;H produced as a </w:t>
      </w:r>
      <w:r w:rsidR="008D3996">
        <w:rPr>
          <w:rFonts w:asciiTheme="minorHAnsi" w:hAnsiTheme="minorHAnsi" w:cs="Arial"/>
          <w:bCs/>
          <w:color w:val="555555"/>
        </w:rPr>
        <w:t>byproduct</w:t>
      </w:r>
      <w:r w:rsidR="00A4384B">
        <w:rPr>
          <w:rFonts w:asciiTheme="minorHAnsi" w:hAnsiTheme="minorHAnsi" w:cs="Arial"/>
          <w:bCs/>
          <w:color w:val="555555"/>
        </w:rPr>
        <w:t xml:space="preserve"> of </w:t>
      </w:r>
      <w:r w:rsidR="008A614B">
        <w:rPr>
          <w:rFonts w:asciiTheme="minorHAnsi" w:hAnsiTheme="minorHAnsi" w:cs="Arial"/>
          <w:bCs/>
          <w:color w:val="555555"/>
        </w:rPr>
        <w:t xml:space="preserve">its </w:t>
      </w:r>
      <w:r w:rsidR="00A4384B">
        <w:rPr>
          <w:rFonts w:asciiTheme="minorHAnsi" w:hAnsiTheme="minorHAnsi" w:cs="Arial"/>
          <w:bCs/>
          <w:color w:val="555555"/>
        </w:rPr>
        <w:t>meatpacking business</w:t>
      </w:r>
      <w:r w:rsidR="008A614B">
        <w:rPr>
          <w:rFonts w:asciiTheme="minorHAnsi" w:hAnsiTheme="minorHAnsi" w:cs="Arial"/>
          <w:bCs/>
          <w:color w:val="555555"/>
        </w:rPr>
        <w:t>,</w:t>
      </w:r>
      <w:r w:rsidR="00272C05">
        <w:rPr>
          <w:rFonts w:asciiTheme="minorHAnsi" w:hAnsiTheme="minorHAnsi" w:cs="Arial"/>
          <w:bCs/>
          <w:color w:val="555555"/>
        </w:rPr>
        <w:t xml:space="preserve"> with</w:t>
      </w:r>
      <w:r w:rsidR="00997378">
        <w:rPr>
          <w:rFonts w:asciiTheme="minorHAnsi" w:hAnsiTheme="minorHAnsi" w:cs="Arial"/>
          <w:bCs/>
          <w:color w:val="555555"/>
        </w:rPr>
        <w:t xml:space="preserve"> nine months yet to go on </w:t>
      </w:r>
      <w:r w:rsidR="008D3996">
        <w:rPr>
          <w:rFonts w:asciiTheme="minorHAnsi" w:hAnsiTheme="minorHAnsi" w:cs="Arial"/>
          <w:bCs/>
          <w:color w:val="555555"/>
        </w:rPr>
        <w:t>the contract</w:t>
      </w:r>
      <w:r w:rsidR="007950AE">
        <w:rPr>
          <w:rFonts w:asciiTheme="minorHAnsi" w:hAnsiTheme="minorHAnsi" w:cs="Arial"/>
          <w:bCs/>
          <w:color w:val="555555"/>
        </w:rPr>
        <w:t xml:space="preserve"> when the seller </w:t>
      </w:r>
      <w:r w:rsidR="007950AE">
        <w:rPr>
          <w:rFonts w:asciiTheme="minorHAnsi" w:hAnsiTheme="minorHAnsi" w:cs="Arial"/>
          <w:bCs/>
          <w:color w:val="555555"/>
        </w:rPr>
        <w:lastRenderedPageBreak/>
        <w:t>repudiated.</w:t>
      </w:r>
      <w:r w:rsidR="008D3996">
        <w:rPr>
          <w:rFonts w:asciiTheme="minorHAnsi" w:hAnsiTheme="minorHAnsi" w:cs="Arial"/>
          <w:bCs/>
          <w:color w:val="555555"/>
        </w:rPr>
        <w:t xml:space="preserve"> </w:t>
      </w:r>
      <w:r w:rsidR="00251613" w:rsidRPr="00C74E23">
        <w:rPr>
          <w:color w:val="000000"/>
        </w:rPr>
        <w:t xml:space="preserve">Laredo claimed that because hides decomposed with age, it had to take the hides on a month-to-month basis. To determine the cover price, the court used the actual hide production of H&amp;H in each month and applied the then current market price. Although that required looking at post-repudiation data, it might have been </w:t>
      </w:r>
      <w:r w:rsidR="00251613">
        <w:rPr>
          <w:color w:val="000000"/>
        </w:rPr>
        <w:t xml:space="preserve">a reasonable method for determining the change in the value of the contract. </w:t>
      </w:r>
      <w:r w:rsidR="00251613">
        <w:rPr>
          <w:rFonts w:eastAsia="Times New Roman" w:cs="Times New Roman"/>
          <w:bCs/>
          <w:kern w:val="36"/>
        </w:rPr>
        <w:t>The</w:t>
      </w:r>
      <w:r w:rsidR="008D3996">
        <w:rPr>
          <w:rFonts w:eastAsia="Times New Roman" w:cs="Times New Roman"/>
          <w:bCs/>
          <w:kern w:val="36"/>
        </w:rPr>
        <w:t xml:space="preserve"> complexity is ratcheted up when dealing with long-term contracts, </w:t>
      </w:r>
      <w:r w:rsidR="00251613">
        <w:rPr>
          <w:rFonts w:eastAsia="Times New Roman" w:cs="Times New Roman"/>
          <w:bCs/>
          <w:kern w:val="36"/>
        </w:rPr>
        <w:t>the subject of the next t</w:t>
      </w:r>
      <w:r w:rsidR="003953F8">
        <w:rPr>
          <w:rFonts w:eastAsia="Times New Roman" w:cs="Times New Roman"/>
          <w:bCs/>
          <w:kern w:val="36"/>
        </w:rPr>
        <w:t>w</w:t>
      </w:r>
      <w:r w:rsidR="00251613">
        <w:rPr>
          <w:rFonts w:eastAsia="Times New Roman" w:cs="Times New Roman"/>
          <w:bCs/>
          <w:kern w:val="36"/>
        </w:rPr>
        <w:t>o Sections</w:t>
      </w:r>
      <w:r w:rsidR="004107C6">
        <w:rPr>
          <w:rFonts w:eastAsia="Times New Roman" w:cs="Times New Roman"/>
          <w:bCs/>
          <w:kern w:val="36"/>
        </w:rPr>
        <w:t>.</w:t>
      </w:r>
    </w:p>
    <w:p w14:paraId="4794D71C" w14:textId="77777777" w:rsidR="0076180F" w:rsidRPr="00451105" w:rsidRDefault="0076180F" w:rsidP="008D3996">
      <w:pPr>
        <w:ind w:right="720"/>
        <w:rPr>
          <w:rFonts w:cs="Times New Roman"/>
        </w:rPr>
      </w:pPr>
    </w:p>
    <w:p w14:paraId="59A6FD01" w14:textId="795D4F91" w:rsidR="00A01CA4" w:rsidRPr="00451105" w:rsidRDefault="00AB4787" w:rsidP="00A40A5C">
      <w:pPr>
        <w:ind w:firstLine="720"/>
        <w:jc w:val="center"/>
        <w:rPr>
          <w:rFonts w:cs="Times New Roman"/>
          <w:b/>
        </w:rPr>
      </w:pPr>
      <w:r>
        <w:rPr>
          <w:rFonts w:cs="Times New Roman"/>
          <w:b/>
        </w:rPr>
        <w:t>I</w:t>
      </w:r>
      <w:r w:rsidR="000C0270">
        <w:rPr>
          <w:rFonts w:cs="Times New Roman"/>
          <w:b/>
        </w:rPr>
        <w:t>II</w:t>
      </w:r>
      <w:r w:rsidR="00A01CA4" w:rsidRPr="00451105">
        <w:rPr>
          <w:rFonts w:cs="Times New Roman"/>
          <w:b/>
        </w:rPr>
        <w:t xml:space="preserve">. </w:t>
      </w:r>
      <w:r w:rsidR="00780095" w:rsidRPr="00451105">
        <w:rPr>
          <w:rFonts w:cs="Times New Roman"/>
          <w:b/>
        </w:rPr>
        <w:t>LONG-TERM CONTRACTS</w:t>
      </w:r>
    </w:p>
    <w:p w14:paraId="764503F3" w14:textId="77777777" w:rsidR="00A01CA4" w:rsidRPr="00451105" w:rsidRDefault="00A01CA4" w:rsidP="00A01CA4">
      <w:pPr>
        <w:ind w:firstLine="720"/>
        <w:rPr>
          <w:rFonts w:cs="Times New Roman"/>
        </w:rPr>
      </w:pPr>
    </w:p>
    <w:p w14:paraId="50B58A65" w14:textId="683EF3F6" w:rsidR="00A01CA4" w:rsidRDefault="00A01CA4" w:rsidP="00A01CA4">
      <w:pPr>
        <w:ind w:firstLine="720"/>
        <w:rPr>
          <w:rFonts w:cs="Times New Roman"/>
        </w:rPr>
      </w:pPr>
      <w:r w:rsidRPr="00451105">
        <w:rPr>
          <w:rFonts w:cs="Times New Roman"/>
        </w:rPr>
        <w:t>If a buyer were to repudiate a twenty-year contract in year 3, how should damages be reckoned? To further complicate the picture, often neither the price nor the quantity is fixed. The price might be indexed or subject to renegotiation; the agreement might even include a gross inequity, or hardship, clause which would allow a disgruntled party to appeal to an arbitrator or court to reset the price. The contract might have a mechanism that would allow one of the parties to terminate the agreement under certain circumstances. The quantity could be determined by the buyer (requirements contract) or seller (output contract). The contract might include a take-or-pay or minimum quantity clause</w:t>
      </w:r>
      <w:r w:rsidR="007950AE">
        <w:rPr>
          <w:rFonts w:cs="Times New Roman"/>
        </w:rPr>
        <w:t>,</w:t>
      </w:r>
      <w:r w:rsidRPr="00451105">
        <w:rPr>
          <w:rFonts w:cs="Times New Roman"/>
        </w:rPr>
        <w:t xml:space="preserve"> and that might be modified with a makeup clause.</w:t>
      </w:r>
    </w:p>
    <w:p w14:paraId="16816432" w14:textId="7B9360D6" w:rsidR="004A70D1" w:rsidRDefault="004A70D1" w:rsidP="00A01CA4">
      <w:pPr>
        <w:ind w:firstLine="720"/>
        <w:rPr>
          <w:rFonts w:cs="Times New Roman"/>
        </w:rPr>
      </w:pPr>
    </w:p>
    <w:p w14:paraId="058EB7AF" w14:textId="4E590B13" w:rsidR="004A70D1" w:rsidRDefault="004A70D1" w:rsidP="004A70D1">
      <w:pPr>
        <w:ind w:firstLine="720"/>
        <w:rPr>
          <w:rFonts w:cs="Times New Roman"/>
          <w:color w:val="000000"/>
        </w:rPr>
      </w:pPr>
      <w:r w:rsidRPr="00E06860">
        <w:rPr>
          <w:rFonts w:cs="Times New Roman"/>
        </w:rPr>
        <w:t>I think it fair to say that</w:t>
      </w:r>
      <w:r>
        <w:rPr>
          <w:rFonts w:cs="Times New Roman"/>
        </w:rPr>
        <w:t xml:space="preserve"> neither the UCC nor the courts have</w:t>
      </w:r>
      <w:r w:rsidRPr="00E06860">
        <w:rPr>
          <w:rFonts w:cs="Times New Roman"/>
        </w:rPr>
        <w:t xml:space="preserve"> been very good at dealing with these situations. </w:t>
      </w:r>
      <w:r w:rsidRPr="00E06860">
        <w:rPr>
          <w:rFonts w:cs="Times New Roman"/>
          <w:color w:val="000000"/>
        </w:rPr>
        <w:t>“The drafters of the 1950’s probably did not contemplate 20 or 30 year contracts,” say White and Summers, “but they clearly contemplated contracts where performance would occur after the time for trial. Section 2-723 is designed to deal with at least one issue in such cases. It instructs the court to base damages on the ‘market price’ at the date that the aggrieved party learns of the repudiation.”</w:t>
      </w:r>
      <w:r w:rsidRPr="00E06860">
        <w:rPr>
          <w:rStyle w:val="FootnoteReference"/>
          <w:rFonts w:cs="Times New Roman"/>
          <w:color w:val="000000"/>
        </w:rPr>
        <w:footnoteReference w:id="65"/>
      </w:r>
      <w:r w:rsidRPr="00E06860">
        <w:rPr>
          <w:rFonts w:cs="Times New Roman"/>
          <w:color w:val="000000"/>
        </w:rPr>
        <w:t xml:space="preserve"> White and Summers interpret this to mean that “section 2-723 must be read to measure both the contract and the market price at the time the aggrieved party learned of the repudiation.”</w:t>
      </w:r>
      <w:r w:rsidRPr="00E06860">
        <w:rPr>
          <w:rStyle w:val="FootnoteReference"/>
          <w:rFonts w:cs="Times New Roman"/>
          <w:color w:val="000000"/>
        </w:rPr>
        <w:footnoteReference w:id="66"/>
      </w:r>
      <w:r w:rsidRPr="00E06860">
        <w:rPr>
          <w:rFonts w:cs="Times New Roman"/>
          <w:color w:val="000000"/>
        </w:rPr>
        <w:t xml:space="preserve"> They would then use those prices for the duration of the contract. That is, if the contract price at the time of the repudiation was $10 and the market price had fallen to $6, then they would assume that for the next fifteen or so years, those prices would remain constant.</w:t>
      </w:r>
      <w:r w:rsidRPr="00E06860">
        <w:rPr>
          <w:rStyle w:val="FootnoteReference"/>
          <w:rFonts w:cs="Times New Roman"/>
          <w:color w:val="000000"/>
        </w:rPr>
        <w:footnoteReference w:id="67"/>
      </w:r>
      <w:r w:rsidRPr="00E06860">
        <w:rPr>
          <w:rFonts w:cs="Times New Roman"/>
          <w:color w:val="000000"/>
        </w:rPr>
        <w:t xml:space="preserve"> They recognize that “long-term contracts for the sale of commodities such as oil, gas, coal, nuclear fuel and the like do not have fixed quantities for remote time periods.”</w:t>
      </w:r>
      <w:r w:rsidRPr="00E06860">
        <w:rPr>
          <w:rStyle w:val="FootnoteReference"/>
          <w:rFonts w:cs="Times New Roman"/>
          <w:color w:val="000000"/>
        </w:rPr>
        <w:footnoteReference w:id="68"/>
      </w:r>
      <w:r w:rsidRPr="00E06860">
        <w:rPr>
          <w:rFonts w:cs="Times New Roman"/>
          <w:color w:val="000000"/>
        </w:rPr>
        <w:t xml:space="preserve"> What to do? “We think a court should be generous in listening to an aggrieved party’s expert testimony about projections.”</w:t>
      </w:r>
      <w:r w:rsidRPr="00E06860">
        <w:rPr>
          <w:rStyle w:val="FootnoteReference"/>
          <w:rFonts w:cs="Times New Roman"/>
          <w:color w:val="000000"/>
        </w:rPr>
        <w:footnoteReference w:id="69"/>
      </w:r>
      <w:r w:rsidRPr="00E06860">
        <w:rPr>
          <w:rFonts w:cs="Times New Roman"/>
          <w:color w:val="000000"/>
        </w:rPr>
        <w:t xml:space="preserve"> That does not give us much to go on.</w:t>
      </w:r>
    </w:p>
    <w:p w14:paraId="490AA4EE" w14:textId="77777777" w:rsidR="004A70D1" w:rsidRPr="00E06860" w:rsidRDefault="004A70D1" w:rsidP="004A70D1">
      <w:pPr>
        <w:ind w:firstLine="720"/>
        <w:rPr>
          <w:rFonts w:cs="Times New Roman"/>
          <w:color w:val="000000"/>
        </w:rPr>
      </w:pPr>
    </w:p>
    <w:p w14:paraId="4F295BC3" w14:textId="5430A5F3" w:rsidR="004A70D1" w:rsidRDefault="004A70D1" w:rsidP="004A70D1">
      <w:pPr>
        <w:ind w:firstLine="720"/>
        <w:rPr>
          <w:rFonts w:cs="Times New Roman"/>
        </w:rPr>
      </w:pPr>
      <w:r>
        <w:rPr>
          <w:rFonts w:cs="Times New Roman"/>
        </w:rPr>
        <w:t>T</w:t>
      </w:r>
      <w:r w:rsidRPr="00E06860">
        <w:rPr>
          <w:rFonts w:cs="Times New Roman"/>
        </w:rPr>
        <w:t xml:space="preserve">he decisions tend to focus on the price of the </w:t>
      </w:r>
      <w:r w:rsidRPr="001C5680">
        <w:rPr>
          <w:rFonts w:cs="Times New Roman"/>
          <w:i/>
        </w:rPr>
        <w:t>product</w:t>
      </w:r>
      <w:r w:rsidRPr="00E06860">
        <w:rPr>
          <w:rFonts w:cs="Times New Roman"/>
        </w:rPr>
        <w:t xml:space="preserve">—the difference between the contract and market price. There are obvious complications for determining each since both the price and quantity will typically not be fixed for the life of the contract. Even if that problem could somehow be resolved, it still puts the focus on the wrong </w:t>
      </w:r>
      <w:r w:rsidRPr="00E06860">
        <w:rPr>
          <w:rFonts w:cs="Times New Roman"/>
        </w:rPr>
        <w:lastRenderedPageBreak/>
        <w:t xml:space="preserve">question. The relevant concern should be the change in the </w:t>
      </w:r>
      <w:r w:rsidRPr="001C5680">
        <w:rPr>
          <w:rFonts w:cs="Times New Roman"/>
          <w:i/>
        </w:rPr>
        <w:t>value of the contract</w:t>
      </w:r>
      <w:r w:rsidRPr="00E06860">
        <w:rPr>
          <w:rFonts w:cs="Times New Roman"/>
        </w:rPr>
        <w:t xml:space="preserve"> at the time of the repudiation. </w:t>
      </w:r>
    </w:p>
    <w:p w14:paraId="695B3916" w14:textId="77777777" w:rsidR="004A70D1" w:rsidRPr="00E06860" w:rsidRDefault="004A70D1" w:rsidP="004A70D1">
      <w:pPr>
        <w:ind w:firstLine="720"/>
        <w:rPr>
          <w:rFonts w:cs="Times New Roman"/>
        </w:rPr>
      </w:pPr>
    </w:p>
    <w:p w14:paraId="00B2219C" w14:textId="77777777" w:rsidR="004A70D1" w:rsidRPr="00E06860" w:rsidRDefault="004A70D1" w:rsidP="004A70D1">
      <w:pPr>
        <w:ind w:firstLine="720"/>
        <w:rPr>
          <w:rFonts w:cs="Times New Roman"/>
        </w:rPr>
      </w:pPr>
      <w:r w:rsidRPr="00E06860">
        <w:rPr>
          <w:rFonts w:cs="Times New Roman"/>
        </w:rPr>
        <w:t xml:space="preserve">Ironically, there is a class of cases in which the courts have adopted the contract valuation approach without any fuss. When </w:t>
      </w:r>
      <w:r>
        <w:rPr>
          <w:rFonts w:cs="Times New Roman"/>
        </w:rPr>
        <w:t xml:space="preserve">a </w:t>
      </w:r>
      <w:r w:rsidRPr="00E06860">
        <w:rPr>
          <w:rFonts w:cs="Times New Roman"/>
        </w:rPr>
        <w:t xml:space="preserve">contract is repudiated the seller can mitigate damages in one of two ways. It could continue to produce with damages being the expected difference in revenues in the pre- and post-repudiation worlds. But what if the expected future unit costs of production exceeded the expected prices? Then mitigation would entail shutting the project down. The seller’s loss would be the expected future revenues less the expected cost of producing that revenue—lost profit. Courts have recognized this measure, treating it as obvious, without any reference to 2-723. </w:t>
      </w:r>
      <w:r>
        <w:rPr>
          <w:rFonts w:cs="Times New Roman"/>
        </w:rPr>
        <w:t>For example, i</w:t>
      </w:r>
      <w:r w:rsidRPr="00E06860">
        <w:rPr>
          <w:rFonts w:cs="Times New Roman"/>
        </w:rPr>
        <w:t xml:space="preserve">n </w:t>
      </w:r>
      <w:r>
        <w:rPr>
          <w:rFonts w:cs="Times New Roman"/>
        </w:rPr>
        <w:t>a</w:t>
      </w:r>
      <w:r w:rsidRPr="00E06860">
        <w:rPr>
          <w:rFonts w:cs="Times New Roman"/>
        </w:rPr>
        <w:t xml:space="preserve"> case</w:t>
      </w:r>
      <w:r>
        <w:rPr>
          <w:rFonts w:cs="Times New Roman"/>
        </w:rPr>
        <w:t>book favorite,</w:t>
      </w:r>
      <w:r w:rsidRPr="00E06860">
        <w:rPr>
          <w:rFonts w:cs="Times New Roman"/>
        </w:rPr>
        <w:t xml:space="preserve"> </w:t>
      </w:r>
      <w:r w:rsidRPr="00E06860">
        <w:rPr>
          <w:rFonts w:cs="Times New Roman"/>
          <w:bCs/>
          <w:i/>
          <w:color w:val="555555"/>
        </w:rPr>
        <w:t>Northern Indiana Public Service Co. v. Carbon County Coal Co.</w:t>
      </w:r>
      <w:r>
        <w:rPr>
          <w:rFonts w:cs="Times New Roman"/>
          <w:bCs/>
          <w:i/>
          <w:color w:val="555555"/>
        </w:rPr>
        <w:t>,</w:t>
      </w:r>
      <w:r w:rsidRPr="00E06860">
        <w:rPr>
          <w:rStyle w:val="FootnoteReference"/>
          <w:rFonts w:cs="Times New Roman"/>
          <w:bCs/>
          <w:i/>
          <w:color w:val="555555"/>
        </w:rPr>
        <w:footnoteReference w:id="70"/>
      </w:r>
      <w:r w:rsidRPr="00E06860">
        <w:rPr>
          <w:rFonts w:cs="Times New Roman"/>
          <w:bCs/>
          <w:color w:val="555555"/>
        </w:rPr>
        <w:t xml:space="preserve"> the seller closed the coal mine and Judge Posner concluded: “</w:t>
      </w:r>
      <w:r w:rsidRPr="00E06860">
        <w:rPr>
          <w:rFonts w:cs="Times New Roman"/>
          <w:color w:val="000000"/>
        </w:rPr>
        <w:t>The loss to Carbon County from the breach of contract is simply the difference between (1) the contract price (as escalated over the life of the contract in accordance with the contract’s escalator provisions) times quantity, and (2) the cost of mining the coal over the life of the contract. Carbon County does not even argue that $181 million is not a reasonable estimate of the present value of the difference.”</w:t>
      </w:r>
      <w:r w:rsidRPr="00E06860">
        <w:rPr>
          <w:rStyle w:val="FootnoteReference"/>
          <w:rFonts w:cs="Times New Roman"/>
          <w:color w:val="000000"/>
        </w:rPr>
        <w:footnoteReference w:id="71"/>
      </w:r>
    </w:p>
    <w:p w14:paraId="7D1A0A99" w14:textId="77777777" w:rsidR="004A70D1" w:rsidRDefault="004A70D1" w:rsidP="004A70D1">
      <w:pPr>
        <w:ind w:firstLine="720"/>
        <w:rPr>
          <w:rFonts w:cs="Times New Roman"/>
        </w:rPr>
      </w:pPr>
    </w:p>
    <w:p w14:paraId="6B158F42" w14:textId="77777777" w:rsidR="004A70D1" w:rsidRPr="00E06860" w:rsidRDefault="004A70D1" w:rsidP="004A70D1">
      <w:pPr>
        <w:ind w:firstLine="720"/>
        <w:rPr>
          <w:rFonts w:cs="Times New Roman"/>
        </w:rPr>
      </w:pPr>
      <w:r w:rsidRPr="00E06860">
        <w:rPr>
          <w:rFonts w:cs="Times New Roman"/>
        </w:rPr>
        <w:t>Courts have struggled with</w:t>
      </w:r>
      <w:r>
        <w:rPr>
          <w:rFonts w:cs="Times New Roman"/>
        </w:rPr>
        <w:t xml:space="preserve"> variable quantity contracts—take</w:t>
      </w:r>
      <w:r w:rsidRPr="00E06860">
        <w:rPr>
          <w:rFonts w:cs="Times New Roman"/>
        </w:rPr>
        <w:t>-or-pay and minimum quantity obligations</w:t>
      </w:r>
      <w:r>
        <w:rPr>
          <w:rFonts w:cs="Times New Roman"/>
        </w:rPr>
        <w:t>. One issue, not of concern here, is whether these should</w:t>
      </w:r>
      <w:r w:rsidRPr="00E06860">
        <w:rPr>
          <w:rFonts w:cs="Times New Roman"/>
        </w:rPr>
        <w:t xml:space="preserve"> be viewed as liquidated damages or penalties or something else</w:t>
      </w:r>
      <w:r>
        <w:rPr>
          <w:rFonts w:cs="Times New Roman"/>
        </w:rPr>
        <w:t>.</w:t>
      </w:r>
      <w:r>
        <w:rPr>
          <w:rStyle w:val="FootnoteReference"/>
          <w:rFonts w:cs="Times New Roman"/>
        </w:rPr>
        <w:footnoteReference w:id="72"/>
      </w:r>
      <w:r>
        <w:rPr>
          <w:rFonts w:cs="Times New Roman"/>
        </w:rPr>
        <w:t xml:space="preserve"> For</w:t>
      </w:r>
      <w:r w:rsidRPr="00E06860">
        <w:rPr>
          <w:rFonts w:cs="Times New Roman"/>
          <w:color w:val="000000"/>
        </w:rPr>
        <w:t xml:space="preserve"> assessing damages</w:t>
      </w:r>
      <w:r>
        <w:rPr>
          <w:rFonts w:cs="Times New Roman"/>
          <w:color w:val="000000"/>
        </w:rPr>
        <w:t>,</w:t>
      </w:r>
      <w:r w:rsidRPr="00E06860">
        <w:rPr>
          <w:rFonts w:cs="Times New Roman"/>
          <w:color w:val="000000"/>
        </w:rPr>
        <w:t xml:space="preserve"> the decisions do not always distinguish between two different problems—the anticipatory repudiation of the contract and a failure to perform a past obligation.</w:t>
      </w:r>
      <w:r>
        <w:rPr>
          <w:rFonts w:cs="Times New Roman"/>
          <w:color w:val="000000"/>
        </w:rPr>
        <w:t xml:space="preserve"> After discussing the courts’ muddled treatment of take-or-pay contracts</w:t>
      </w:r>
      <w:r w:rsidRPr="00E06860">
        <w:rPr>
          <w:rFonts w:cs="Times New Roman"/>
        </w:rPr>
        <w:t xml:space="preserve"> I will consider a Second Circuit decision in which the court was confronted with determining damages for the early repudiation of a twenty-year contract.</w:t>
      </w:r>
      <w:r w:rsidRPr="00E06860">
        <w:rPr>
          <w:rStyle w:val="FootnoteReference"/>
          <w:rFonts w:cs="Times New Roman"/>
        </w:rPr>
        <w:footnoteReference w:id="73"/>
      </w:r>
      <w:r w:rsidRPr="00E06860">
        <w:rPr>
          <w:rFonts w:cs="Times New Roman"/>
        </w:rPr>
        <w:t xml:space="preserve"> Next I will consider issues raised </w:t>
      </w:r>
      <w:r>
        <w:rPr>
          <w:rFonts w:cs="Times New Roman"/>
        </w:rPr>
        <w:t>in another</w:t>
      </w:r>
      <w:r w:rsidRPr="00E06860">
        <w:rPr>
          <w:rFonts w:cs="Times New Roman"/>
        </w:rPr>
        <w:t xml:space="preserve"> of Judge Posner’s opinions— </w:t>
      </w:r>
      <w:r w:rsidRPr="00E06860">
        <w:rPr>
          <w:rFonts w:cs="Times New Roman"/>
          <w:i/>
        </w:rPr>
        <w:t>Lake River v. Carborundum</w:t>
      </w:r>
      <w:r>
        <w:rPr>
          <w:rFonts w:cs="Times New Roman"/>
          <w:i/>
        </w:rPr>
        <w:t>.</w:t>
      </w:r>
      <w:r w:rsidRPr="00E06860">
        <w:rPr>
          <w:rStyle w:val="FootnoteReference"/>
          <w:rFonts w:cs="Times New Roman"/>
        </w:rPr>
        <w:footnoteReference w:id="74"/>
      </w:r>
      <w:r w:rsidRPr="00E06860">
        <w:rPr>
          <w:rFonts w:cs="Times New Roman"/>
        </w:rPr>
        <w:t xml:space="preserve"> I will conclude </w:t>
      </w:r>
      <w:r>
        <w:rPr>
          <w:rFonts w:cs="Times New Roman"/>
        </w:rPr>
        <w:t xml:space="preserve">this Section </w:t>
      </w:r>
      <w:r w:rsidRPr="00E06860">
        <w:rPr>
          <w:rFonts w:cs="Times New Roman"/>
        </w:rPr>
        <w:t>with a discussion of an English case involving the repudiation of a take-or-pay contract.</w:t>
      </w:r>
    </w:p>
    <w:p w14:paraId="3525C499" w14:textId="77777777" w:rsidR="004A70D1" w:rsidRPr="00E06860" w:rsidRDefault="004A70D1" w:rsidP="004A70D1">
      <w:pPr>
        <w:rPr>
          <w:rFonts w:cs="Times New Roman"/>
        </w:rPr>
      </w:pPr>
    </w:p>
    <w:p w14:paraId="04F3F189" w14:textId="77777777" w:rsidR="004A70D1" w:rsidRPr="00E06860" w:rsidRDefault="004A70D1" w:rsidP="004A70D1">
      <w:pPr>
        <w:pStyle w:val="ListParagraph"/>
        <w:numPr>
          <w:ilvl w:val="0"/>
          <w:numId w:val="4"/>
        </w:numPr>
        <w:rPr>
          <w:rFonts w:cs="Times New Roman"/>
          <w:b/>
        </w:rPr>
      </w:pPr>
      <w:r>
        <w:rPr>
          <w:rFonts w:cs="Times New Roman"/>
          <w:b/>
        </w:rPr>
        <w:t>Take-or-Pay</w:t>
      </w:r>
    </w:p>
    <w:p w14:paraId="2F49171B" w14:textId="304E5202" w:rsidR="004A70D1" w:rsidRPr="00E06860" w:rsidRDefault="004A70D1" w:rsidP="004A70D1">
      <w:pPr>
        <w:rPr>
          <w:rFonts w:cs="Times New Roman"/>
          <w:color w:val="000000"/>
        </w:rPr>
      </w:pPr>
    </w:p>
    <w:p w14:paraId="220829F2" w14:textId="7E982C9B" w:rsidR="004A70D1" w:rsidRDefault="004A70D1" w:rsidP="004A70D1">
      <w:pPr>
        <w:ind w:firstLine="720"/>
        <w:rPr>
          <w:rFonts w:cs="Times New Roman"/>
          <w:color w:val="000000"/>
        </w:rPr>
      </w:pPr>
      <w:r w:rsidRPr="00E06860">
        <w:rPr>
          <w:rFonts w:cs="Times New Roman"/>
          <w:color w:val="000000"/>
        </w:rPr>
        <w:t>For many years</w:t>
      </w:r>
      <w:r>
        <w:rPr>
          <w:rFonts w:cs="Times New Roman"/>
          <w:color w:val="000000"/>
        </w:rPr>
        <w:t>,</w:t>
      </w:r>
      <w:r w:rsidRPr="00E06860">
        <w:rPr>
          <w:rFonts w:cs="Times New Roman"/>
          <w:color w:val="000000"/>
        </w:rPr>
        <w:t xml:space="preserve"> natural gas prices were regulated at below market-clearing prices. One of the devices sellers used to charge a higher effective price was to include take-or-pay clauses with a high required “take”. That is, a buyer might have to promise to pay for 90% of the contract quantity in any given year, even if it didn’t take that much. After the industry was deregulated there was a substantial increase in production. When all energy prices fell in the 1980’s gas prices plummeted too, and buyers wanted out. </w:t>
      </w:r>
      <w:r w:rsidRPr="00E06860">
        <w:rPr>
          <w:rFonts w:cs="Times New Roman"/>
          <w:color w:val="000000"/>
        </w:rPr>
        <w:lastRenderedPageBreak/>
        <w:t>Many deals were renegotiated; in others buyers repudiated.</w:t>
      </w:r>
      <w:r w:rsidRPr="009D6A33">
        <w:rPr>
          <w:rStyle w:val="FootnoteReference"/>
          <w:rFonts w:cs="Times New Roman"/>
          <w:color w:val="000000"/>
        </w:rPr>
        <w:t xml:space="preserve"> </w:t>
      </w:r>
      <w:r w:rsidRPr="00E06860">
        <w:rPr>
          <w:rStyle w:val="FootnoteReference"/>
          <w:rFonts w:cs="Times New Roman"/>
          <w:color w:val="000000"/>
        </w:rPr>
        <w:footnoteReference w:id="75"/>
      </w:r>
      <w:r w:rsidRPr="00E06860">
        <w:rPr>
          <w:rFonts w:cs="Times New Roman"/>
          <w:color w:val="000000"/>
        </w:rPr>
        <w:t xml:space="preserve"> Since natural gas is a “good,” the UCC applied and the courts attempted to apply the Code remedies, notably §2-723, to the problem. A key question for the courts was whether after the repudiation the buyer would be liable for the full price of the gas it had promised to take or a remedy based on the price differential. The decisions reflect how the courts have struggled to shoehorn the problem into the UCC boxes; in addition, the courts sometimes appear to conflate two separate issues: what would be the remedy if there were a shortfall in a single installment; and what would be the remedy if the buyer repudiated the entire contract?</w:t>
      </w:r>
      <w:r w:rsidRPr="00E06860">
        <w:rPr>
          <w:rStyle w:val="FootnoteReference"/>
          <w:rFonts w:cs="Times New Roman"/>
          <w:color w:val="000000"/>
        </w:rPr>
        <w:footnoteReference w:id="76"/>
      </w:r>
      <w:r w:rsidRPr="00E06860">
        <w:rPr>
          <w:rFonts w:cs="Times New Roman"/>
          <w:color w:val="000000"/>
        </w:rPr>
        <w:t xml:space="preserve"> </w:t>
      </w:r>
    </w:p>
    <w:p w14:paraId="4A464E28" w14:textId="77777777" w:rsidR="00657C3E" w:rsidRPr="00451105" w:rsidRDefault="00657C3E" w:rsidP="00A01CA4">
      <w:pPr>
        <w:ind w:firstLine="720"/>
        <w:rPr>
          <w:rFonts w:cs="Times New Roman"/>
          <w:color w:val="000000"/>
        </w:rPr>
      </w:pPr>
    </w:p>
    <w:p w14:paraId="53A92BFE" w14:textId="77E29CB9" w:rsidR="00A01CA4" w:rsidRPr="00451105" w:rsidRDefault="0075565A" w:rsidP="0075565A">
      <w:pPr>
        <w:ind w:firstLine="720"/>
        <w:rPr>
          <w:rFonts w:cs="Times New Roman"/>
          <w:color w:val="000000"/>
        </w:rPr>
      </w:pPr>
      <w:r w:rsidRPr="0075565A">
        <w:rPr>
          <w:rFonts w:cs="Times New Roman"/>
          <w:color w:val="000000"/>
        </w:rPr>
        <w:t>1</w:t>
      </w:r>
      <w:r>
        <w:rPr>
          <w:rFonts w:cs="Times New Roman"/>
          <w:color w:val="000000"/>
        </w:rPr>
        <w:t xml:space="preserve">. </w:t>
      </w:r>
      <w:r w:rsidR="00A01CA4" w:rsidRPr="0075565A">
        <w:rPr>
          <w:rFonts w:cs="Times New Roman"/>
          <w:i/>
          <w:color w:val="000000"/>
        </w:rPr>
        <w:t>Manchester Pipeline.</w:t>
      </w:r>
      <w:r w:rsidR="00A01CA4" w:rsidRPr="0075565A">
        <w:rPr>
          <w:rFonts w:cs="Times New Roman"/>
          <w:color w:val="000000"/>
        </w:rPr>
        <w:t xml:space="preserve">  The Manchester Pipeline Company, a seller of natural gas, entered into a contract with Peoples Natural Gas Company (PNG), a natural gas distribution company. “The Document provided for a term of ten years and contained detailed provisions concerning price, minimum ‘take’ obligations, determination of reserves, and the right of PNG to reduce the price paid for gas taken in order to remain competitive in the gas market.”</w:t>
      </w:r>
      <w:r w:rsidR="00A01CA4" w:rsidRPr="00451105">
        <w:rPr>
          <w:rStyle w:val="FootnoteReference"/>
          <w:rFonts w:cs="Times New Roman"/>
          <w:color w:val="000000"/>
        </w:rPr>
        <w:footnoteReference w:id="77"/>
      </w:r>
      <w:r w:rsidR="00A01CA4" w:rsidRPr="0075565A">
        <w:rPr>
          <w:rFonts w:cs="Times New Roman"/>
          <w:color w:val="000000"/>
        </w:rPr>
        <w:t xml:space="preserve"> PNG repudiated in the first year. It lost its argument that there was not an enforceable contract and the court turned its attention to damages.</w:t>
      </w:r>
      <w:r w:rsidRPr="0075565A">
        <w:rPr>
          <w:rFonts w:cs="Times New Roman"/>
          <w:color w:val="000000"/>
        </w:rPr>
        <w:t xml:space="preserve"> The </w:t>
      </w:r>
      <w:r>
        <w:rPr>
          <w:rFonts w:cs="Times New Roman"/>
          <w:color w:val="000000"/>
        </w:rPr>
        <w:t>Court of Appeals reversed the trial court. It is instructive to see how the trial c</w:t>
      </w:r>
      <w:r w:rsidR="0025588A">
        <w:rPr>
          <w:rFonts w:cs="Times New Roman"/>
          <w:color w:val="000000"/>
        </w:rPr>
        <w:t>ourt framed the damage question in its jury instruction</w:t>
      </w:r>
      <w:r w:rsidR="00A01CA4" w:rsidRPr="00451105">
        <w:rPr>
          <w:rFonts w:cs="Times New Roman"/>
          <w:color w:val="000000"/>
        </w:rPr>
        <w:t>:</w:t>
      </w:r>
    </w:p>
    <w:p w14:paraId="1C099002" w14:textId="77777777" w:rsidR="00A01CA4" w:rsidRPr="00451105" w:rsidRDefault="00A01CA4" w:rsidP="00A01CA4">
      <w:pPr>
        <w:widowControl w:val="0"/>
        <w:autoSpaceDE w:val="0"/>
        <w:autoSpaceDN w:val="0"/>
        <w:adjustRightInd w:val="0"/>
        <w:spacing w:before="250" w:after="50"/>
        <w:ind w:left="720" w:right="720"/>
        <w:rPr>
          <w:rFonts w:cs="Times New Roman"/>
          <w:color w:val="000000"/>
        </w:rPr>
      </w:pPr>
      <w:r w:rsidRPr="00451105">
        <w:rPr>
          <w:rFonts w:cs="Times New Roman"/>
          <w:color w:val="000000"/>
        </w:rPr>
        <w:t>In order to determine the amount of damages: (1) for the first year, you may consider the evidence presented with regard to the difference between the agreed to price, if any, for the gas and the price obtained at resale of the gas to Scissortail Natural Gas Company, but that price is not conclusive, except to the extent that it reflects a standardized market price at the time and place defendant [PNG] would have had to take the amount of gas agreed, if there was an agreement, to be taken for the first year; plus (2) for the years two through ten, you may consider the evidence presented with regard to the difference, if any, between the market price for the gas at the time and place in the future when defendant [PNG] would have had to take that portion of plaintiff’s [Manchester’s] reserves as agreed, if agreed, and the agreed price, if any.</w:t>
      </w:r>
      <w:r w:rsidRPr="00451105">
        <w:rPr>
          <w:rStyle w:val="FootnoteReference"/>
          <w:rFonts w:cs="Times New Roman"/>
          <w:color w:val="000000"/>
        </w:rPr>
        <w:footnoteReference w:id="78"/>
      </w:r>
    </w:p>
    <w:p w14:paraId="35E6634F" w14:textId="77777777" w:rsidR="00A01CA4" w:rsidRPr="00451105" w:rsidRDefault="00A01CA4" w:rsidP="00A01CA4">
      <w:pPr>
        <w:ind w:firstLine="720"/>
        <w:rPr>
          <w:rFonts w:cs="Times New Roman"/>
          <w:color w:val="000000"/>
        </w:rPr>
      </w:pPr>
    </w:p>
    <w:p w14:paraId="627CAB95" w14:textId="58CCBF40" w:rsidR="00A01CA4" w:rsidRPr="00451105" w:rsidRDefault="00CA5CB8" w:rsidP="00A01CA4">
      <w:pPr>
        <w:rPr>
          <w:rFonts w:cs="Times New Roman"/>
          <w:color w:val="000000"/>
        </w:rPr>
      </w:pPr>
      <w:r>
        <w:rPr>
          <w:rFonts w:cs="Times New Roman"/>
          <w:color w:val="000000"/>
        </w:rPr>
        <w:t xml:space="preserve">Repudiation of the take-or-pay clause would not entitle the seller to the stream of future payments (the “pay” component of the take-or-pay).  </w:t>
      </w:r>
      <w:r w:rsidR="00FA6C99">
        <w:rPr>
          <w:rFonts w:cs="Times New Roman"/>
          <w:color w:val="000000"/>
        </w:rPr>
        <w:t>The post-repudiation damages wo</w:t>
      </w:r>
      <w:r w:rsidR="00F04818">
        <w:rPr>
          <w:rFonts w:cs="Times New Roman"/>
          <w:color w:val="000000"/>
        </w:rPr>
        <w:t>u</w:t>
      </w:r>
      <w:r w:rsidR="00FA6C99">
        <w:rPr>
          <w:rFonts w:cs="Times New Roman"/>
          <w:color w:val="000000"/>
        </w:rPr>
        <w:t xml:space="preserve">ld be </w:t>
      </w:r>
      <w:r w:rsidR="00F04818">
        <w:rPr>
          <w:rFonts w:cs="Times New Roman"/>
          <w:color w:val="000000"/>
        </w:rPr>
        <w:t xml:space="preserve">based not on the price, but </w:t>
      </w:r>
      <w:r>
        <w:rPr>
          <w:rFonts w:cs="Times New Roman"/>
          <w:color w:val="000000"/>
        </w:rPr>
        <w:t xml:space="preserve">only </w:t>
      </w:r>
      <w:r w:rsidR="00F04818">
        <w:rPr>
          <w:rFonts w:cs="Times New Roman"/>
          <w:color w:val="000000"/>
        </w:rPr>
        <w:t xml:space="preserve">on the price differential. </w:t>
      </w:r>
      <w:r w:rsidR="0025588A">
        <w:rPr>
          <w:rFonts w:cs="Times New Roman"/>
          <w:color w:val="000000"/>
        </w:rPr>
        <w:t xml:space="preserve">The court of appeals agreed on that </w:t>
      </w:r>
      <w:r w:rsidR="00B75025">
        <w:rPr>
          <w:rFonts w:cs="Times New Roman"/>
          <w:color w:val="000000"/>
        </w:rPr>
        <w:t xml:space="preserve">principle. </w:t>
      </w:r>
      <w:r>
        <w:rPr>
          <w:rFonts w:cs="Times New Roman"/>
          <w:color w:val="000000"/>
        </w:rPr>
        <w:t>The</w:t>
      </w:r>
      <w:r w:rsidR="00FA6C99">
        <w:rPr>
          <w:rFonts w:cs="Times New Roman"/>
          <w:color w:val="000000"/>
        </w:rPr>
        <w:t xml:space="preserve"> issue on which the trial judge was reversed was </w:t>
      </w:r>
      <w:r w:rsidR="00F04818">
        <w:rPr>
          <w:rFonts w:cs="Times New Roman"/>
          <w:color w:val="000000"/>
        </w:rPr>
        <w:t>how th</w:t>
      </w:r>
      <w:r w:rsidR="006D3348">
        <w:rPr>
          <w:rFonts w:cs="Times New Roman"/>
          <w:color w:val="000000"/>
        </w:rPr>
        <w:t>os</w:t>
      </w:r>
      <w:r w:rsidR="00F04818">
        <w:rPr>
          <w:rFonts w:cs="Times New Roman"/>
          <w:color w:val="000000"/>
        </w:rPr>
        <w:t xml:space="preserve">e future prices should be determined. </w:t>
      </w:r>
      <w:r w:rsidR="006C26D2" w:rsidRPr="00451105">
        <w:rPr>
          <w:rFonts w:cs="Times New Roman"/>
          <w:color w:val="000000"/>
        </w:rPr>
        <w:t>In hi</w:t>
      </w:r>
      <w:r w:rsidR="00A01CA4" w:rsidRPr="00451105">
        <w:rPr>
          <w:rFonts w:cs="Times New Roman"/>
          <w:color w:val="000000"/>
        </w:rPr>
        <w:t xml:space="preserve">s denial of PNG’s motion for a new trial, the trial judge </w:t>
      </w:r>
      <w:r w:rsidR="00EE2B70">
        <w:rPr>
          <w:rFonts w:cs="Times New Roman"/>
          <w:color w:val="000000"/>
        </w:rPr>
        <w:t xml:space="preserve">had </w:t>
      </w:r>
      <w:r w:rsidR="00A01CA4" w:rsidRPr="00451105">
        <w:rPr>
          <w:rFonts w:cs="Times New Roman"/>
          <w:color w:val="000000"/>
        </w:rPr>
        <w:t>said:</w:t>
      </w:r>
    </w:p>
    <w:p w14:paraId="63CF63D2" w14:textId="77777777" w:rsidR="00A01CA4" w:rsidRPr="00451105" w:rsidRDefault="00A01CA4" w:rsidP="00A01CA4">
      <w:pPr>
        <w:widowControl w:val="0"/>
        <w:autoSpaceDE w:val="0"/>
        <w:autoSpaceDN w:val="0"/>
        <w:adjustRightInd w:val="0"/>
        <w:spacing w:before="250" w:after="50"/>
        <w:ind w:left="720" w:right="720"/>
        <w:rPr>
          <w:rFonts w:cs="Times New Roman"/>
        </w:rPr>
      </w:pPr>
      <w:r w:rsidRPr="00451105">
        <w:rPr>
          <w:rFonts w:cs="Times New Roman"/>
        </w:rPr>
        <w:lastRenderedPageBreak/>
        <w:t xml:space="preserve">The Court acknowledges that in most circumstances the measure of damages for repudiation is determined according to the price of the goods prevailing at the time when the aggrieved party learned of the repudiation. Okla.Stat. tit. 12A. </w:t>
      </w:r>
      <w:hyperlink r:id="rId8" w:history="1">
        <w:r w:rsidRPr="00451105">
          <w:rPr>
            <w:rFonts w:cs="Times New Roman"/>
          </w:rPr>
          <w:t>§ 2–723</w:t>
        </w:r>
      </w:hyperlink>
      <w:r w:rsidRPr="00451105">
        <w:rPr>
          <w:rFonts w:cs="Times New Roman"/>
        </w:rPr>
        <w:t xml:space="preserve">(a) (1981). Nevertheless, the unique circumstances of a gas purchase agreement with a take or pay obligation requires that the jury consider the extreme unpredictability of the future market. Giving the jury such discretion, provides the opportunity to find plaintiff is or is not entitled to recover damages for any alleged loss in the future. Because the nature of the gas market is uniquely nonstandard and the terms of gas purchase agreements are not easily analogized to commercial contracts in general, this Court finds the circumstances of this case, as presented at trial, fell within the scope of the commentary to </w:t>
      </w:r>
      <w:hyperlink r:id="rId9" w:history="1">
        <w:r w:rsidRPr="00451105">
          <w:rPr>
            <w:rFonts w:cs="Times New Roman"/>
          </w:rPr>
          <w:t>Section 2–723</w:t>
        </w:r>
      </w:hyperlink>
      <w:r w:rsidRPr="00451105">
        <w:rPr>
          <w:rFonts w:cs="Times New Roman"/>
        </w:rPr>
        <w:t>, that states other reasonable methods of determining market price or measuring damages are not excluded from use where necessary.</w:t>
      </w:r>
      <w:r w:rsidRPr="00451105">
        <w:rPr>
          <w:rStyle w:val="FootnoteReference"/>
          <w:rFonts w:cs="Times New Roman"/>
        </w:rPr>
        <w:footnoteReference w:id="79"/>
      </w:r>
    </w:p>
    <w:p w14:paraId="26355053" w14:textId="77777777" w:rsidR="00A01CA4" w:rsidRPr="00451105" w:rsidRDefault="00A01CA4" w:rsidP="00A01CA4">
      <w:pPr>
        <w:ind w:firstLine="720"/>
        <w:rPr>
          <w:rFonts w:cs="Times New Roman"/>
          <w:color w:val="000000"/>
        </w:rPr>
      </w:pPr>
    </w:p>
    <w:p w14:paraId="66573C3E" w14:textId="62651651" w:rsidR="00A01CA4" w:rsidRPr="00451105" w:rsidRDefault="00A01CA4" w:rsidP="00A01CA4">
      <w:pPr>
        <w:ind w:firstLine="720"/>
        <w:rPr>
          <w:rFonts w:cs="Times New Roman"/>
        </w:rPr>
      </w:pPr>
      <w:r w:rsidRPr="00451105">
        <w:rPr>
          <w:rFonts w:cs="Times New Roman"/>
        </w:rPr>
        <w:t xml:space="preserve">PNG objected and the </w:t>
      </w:r>
      <w:r w:rsidR="006C3A27">
        <w:rPr>
          <w:rFonts w:cs="Times New Roman"/>
        </w:rPr>
        <w:t>Court of Appeals</w:t>
      </w:r>
      <w:r w:rsidRPr="00451105">
        <w:rPr>
          <w:rFonts w:cs="Times New Roman"/>
        </w:rPr>
        <w:t xml:space="preserve"> agreed. This was not consistent with its understanding of </w:t>
      </w:r>
      <w:r w:rsidR="00EE2B70">
        <w:rPr>
          <w:rFonts w:cs="Times New Roman"/>
        </w:rPr>
        <w:t>§</w:t>
      </w:r>
      <w:r w:rsidRPr="00451105">
        <w:rPr>
          <w:rFonts w:cs="Times New Roman"/>
        </w:rPr>
        <w:t>2-723. The court cited the Code Comment:</w:t>
      </w:r>
    </w:p>
    <w:p w14:paraId="3BAF0A4A" w14:textId="77777777" w:rsidR="00A01CA4" w:rsidRPr="00451105" w:rsidRDefault="00A01CA4" w:rsidP="00A01CA4">
      <w:pPr>
        <w:widowControl w:val="0"/>
        <w:autoSpaceDE w:val="0"/>
        <w:autoSpaceDN w:val="0"/>
        <w:adjustRightInd w:val="0"/>
        <w:spacing w:before="250" w:after="50"/>
        <w:ind w:left="720" w:right="720"/>
        <w:rPr>
          <w:rFonts w:cs="Times New Roman"/>
          <w:color w:val="000000"/>
        </w:rPr>
      </w:pPr>
      <w:r w:rsidRPr="00451105">
        <w:rPr>
          <w:rFonts w:cs="Times New Roman"/>
          <w:color w:val="000000"/>
        </w:rPr>
        <w:t>There are no previous Oklahoma decisions. This changes the rule as previously stated in Williston on Sales, Section 587, which says that when an action for anticipatory breach comes to trial before performance date the measure of damages is the difference between the contract price and the market value at the date fixed in the contract for performance. Thus, the jury must speculate by attempting to predict what the future market value will be. The Commercial Code rule is more certain and far easier to apply.</w:t>
      </w:r>
      <w:r w:rsidRPr="00451105">
        <w:rPr>
          <w:rStyle w:val="FootnoteReference"/>
          <w:rFonts w:cs="Times New Roman"/>
          <w:color w:val="000000"/>
        </w:rPr>
        <w:footnoteReference w:id="80"/>
      </w:r>
    </w:p>
    <w:p w14:paraId="3FCD8773" w14:textId="77777777" w:rsidR="00CA5CB8" w:rsidRDefault="00CA5CB8" w:rsidP="00A01CA4">
      <w:pPr>
        <w:rPr>
          <w:rFonts w:cs="Times New Roman"/>
        </w:rPr>
      </w:pPr>
    </w:p>
    <w:p w14:paraId="0B320D11" w14:textId="796DA310" w:rsidR="00A01CA4" w:rsidRPr="00451105" w:rsidRDefault="00CA5CB8" w:rsidP="006C3A27">
      <w:pPr>
        <w:ind w:firstLine="720"/>
        <w:rPr>
          <w:rFonts w:cs="Times New Roman"/>
          <w:bCs/>
          <w:color w:val="555555"/>
        </w:rPr>
      </w:pPr>
      <w:r>
        <w:rPr>
          <w:rFonts w:cs="Times New Roman"/>
        </w:rPr>
        <w:t xml:space="preserve">Like Summers and White, the court interpreted </w:t>
      </w:r>
      <w:r w:rsidR="00EE2B70">
        <w:rPr>
          <w:rFonts w:cs="Times New Roman"/>
        </w:rPr>
        <w:t>§</w:t>
      </w:r>
      <w:r>
        <w:rPr>
          <w:rFonts w:cs="Times New Roman"/>
        </w:rPr>
        <w:t xml:space="preserve">2-723(1) as requiring the use of the price at the time of repudiation for all future periods. </w:t>
      </w:r>
      <w:r w:rsidR="007043DC">
        <w:rPr>
          <w:rFonts w:cs="Times New Roman"/>
        </w:rPr>
        <w:t>This could lead to quite bizarre results in a period of high inflation.</w:t>
      </w:r>
      <w:r w:rsidR="006D3348">
        <w:rPr>
          <w:rStyle w:val="FootnoteReference"/>
          <w:rFonts w:cs="Times New Roman"/>
        </w:rPr>
        <w:footnoteReference w:id="81"/>
      </w:r>
      <w:r w:rsidR="007043DC">
        <w:rPr>
          <w:rFonts w:cs="Times New Roman"/>
        </w:rPr>
        <w:t xml:space="preserve"> An alternative interpretation would be to use the </w:t>
      </w:r>
      <w:r w:rsidR="00552709">
        <w:rPr>
          <w:rFonts w:cs="Times New Roman"/>
        </w:rPr>
        <w:t xml:space="preserve">expected </w:t>
      </w:r>
      <w:r w:rsidR="007043DC">
        <w:rPr>
          <w:rFonts w:cs="Times New Roman"/>
        </w:rPr>
        <w:t xml:space="preserve">future </w:t>
      </w:r>
      <w:r w:rsidR="007043DC" w:rsidRPr="00B75025">
        <w:rPr>
          <w:rFonts w:cs="Times New Roman"/>
          <w:i/>
        </w:rPr>
        <w:t>price structure</w:t>
      </w:r>
      <w:r w:rsidR="007043DC">
        <w:rPr>
          <w:rFonts w:cs="Times New Roman"/>
        </w:rPr>
        <w:t xml:space="preserve"> (the projected price on various future dates). In effect, the buyer’s obligation was to take a number of different commodities: gas in 1985, gas in 1986, gas in 1987, and so forth. Each of those had a</w:t>
      </w:r>
      <w:r w:rsidR="00E60B95">
        <w:rPr>
          <w:rFonts w:cs="Times New Roman"/>
        </w:rPr>
        <w:t>n expected</w:t>
      </w:r>
      <w:r w:rsidR="007043DC">
        <w:rPr>
          <w:rFonts w:cs="Times New Roman"/>
        </w:rPr>
        <w:t xml:space="preserve"> price at the moment of repudiation. </w:t>
      </w:r>
      <w:r w:rsidR="00EE2B70">
        <w:rPr>
          <w:rFonts w:cs="Times New Roman"/>
        </w:rPr>
        <w:t>§</w:t>
      </w:r>
      <w:r w:rsidR="007043DC">
        <w:rPr>
          <w:rFonts w:cs="Times New Roman"/>
        </w:rPr>
        <w:t xml:space="preserve">2-723 need not require that we lump them all together and </w:t>
      </w:r>
      <w:r w:rsidR="006C68B0">
        <w:rPr>
          <w:rFonts w:cs="Times New Roman"/>
        </w:rPr>
        <w:t>apply a single</w:t>
      </w:r>
      <w:r w:rsidR="007043DC">
        <w:rPr>
          <w:rFonts w:cs="Times New Roman"/>
        </w:rPr>
        <w:t xml:space="preserve"> price.</w:t>
      </w:r>
      <w:r w:rsidR="006C68B0">
        <w:rPr>
          <w:rFonts w:cs="Times New Roman"/>
          <w:bCs/>
          <w:color w:val="555555"/>
        </w:rPr>
        <w:t xml:space="preserve"> Even </w:t>
      </w:r>
      <w:r w:rsidR="00EE2B70">
        <w:rPr>
          <w:rFonts w:cs="Times New Roman"/>
          <w:bCs/>
          <w:color w:val="555555"/>
        </w:rPr>
        <w:t xml:space="preserve">if </w:t>
      </w:r>
      <w:r w:rsidR="006C68B0">
        <w:rPr>
          <w:rFonts w:cs="Times New Roman"/>
          <w:bCs/>
          <w:color w:val="555555"/>
        </w:rPr>
        <w:t>the court had resolved the price question</w:t>
      </w:r>
      <w:r w:rsidR="00EE2B70">
        <w:rPr>
          <w:rFonts w:cs="Times New Roman"/>
          <w:bCs/>
          <w:color w:val="555555"/>
        </w:rPr>
        <w:t xml:space="preserve"> correctly, it remained</w:t>
      </w:r>
      <w:r w:rsidR="001F012C" w:rsidRPr="00451105">
        <w:rPr>
          <w:rFonts w:cs="Times New Roman"/>
          <w:bCs/>
          <w:color w:val="555555"/>
        </w:rPr>
        <w:t xml:space="preserve"> unclear how damages should </w:t>
      </w:r>
      <w:r w:rsidR="00EE2B70">
        <w:rPr>
          <w:rFonts w:cs="Times New Roman"/>
          <w:bCs/>
          <w:color w:val="555555"/>
        </w:rPr>
        <w:t xml:space="preserve">have </w:t>
      </w:r>
      <w:r w:rsidR="001F012C" w:rsidRPr="00451105">
        <w:rPr>
          <w:rFonts w:cs="Times New Roman"/>
          <w:bCs/>
          <w:color w:val="555555"/>
        </w:rPr>
        <w:t>be</w:t>
      </w:r>
      <w:r w:rsidR="00EE2B70">
        <w:rPr>
          <w:rFonts w:cs="Times New Roman"/>
          <w:bCs/>
          <w:color w:val="555555"/>
        </w:rPr>
        <w:t xml:space="preserve">en assessed since </w:t>
      </w:r>
      <w:r w:rsidR="00552709">
        <w:rPr>
          <w:rFonts w:cs="Times New Roman"/>
          <w:bCs/>
          <w:color w:val="555555"/>
        </w:rPr>
        <w:t xml:space="preserve">other features of the contract were not taken into account. Thus, </w:t>
      </w:r>
      <w:r w:rsidR="00EE2B70">
        <w:rPr>
          <w:rFonts w:cs="Times New Roman"/>
          <w:bCs/>
          <w:color w:val="555555"/>
        </w:rPr>
        <w:t>t</w:t>
      </w:r>
      <w:r w:rsidR="00A01CA4" w:rsidRPr="00451105">
        <w:rPr>
          <w:rFonts w:cs="Times New Roman"/>
          <w:bCs/>
          <w:color w:val="555555"/>
        </w:rPr>
        <w:t>here was no discussion of the future quantities. Nor was there any discussion of how the competitive pricing (or “market-out”) clause should impact the results.</w:t>
      </w:r>
      <w:r w:rsidR="00617902">
        <w:rPr>
          <w:rStyle w:val="FootnoteReference"/>
          <w:rFonts w:cs="Times New Roman"/>
          <w:bCs/>
          <w:color w:val="555555"/>
        </w:rPr>
        <w:footnoteReference w:id="82"/>
      </w:r>
      <w:r w:rsidR="00552709">
        <w:rPr>
          <w:rFonts w:cs="Times New Roman"/>
          <w:bCs/>
          <w:color w:val="555555"/>
        </w:rPr>
        <w:t xml:space="preserve"> Had the court focused on the change in the value of the contract, rather than just the price</w:t>
      </w:r>
      <w:r w:rsidR="006C3A27">
        <w:rPr>
          <w:rFonts w:cs="Times New Roman"/>
          <w:bCs/>
          <w:color w:val="555555"/>
        </w:rPr>
        <w:t xml:space="preserve"> of gas</w:t>
      </w:r>
      <w:r w:rsidR="00552709">
        <w:rPr>
          <w:rFonts w:cs="Times New Roman"/>
          <w:bCs/>
          <w:color w:val="555555"/>
        </w:rPr>
        <w:t>, it would have at least posed the relevant question.</w:t>
      </w:r>
    </w:p>
    <w:p w14:paraId="1A2BFB94" w14:textId="77777777" w:rsidR="00A01CA4" w:rsidRPr="00451105" w:rsidRDefault="00A01CA4" w:rsidP="00A01CA4">
      <w:pPr>
        <w:rPr>
          <w:rFonts w:cs="Times New Roman"/>
          <w:b/>
          <w:bCs/>
          <w:color w:val="555555"/>
        </w:rPr>
      </w:pPr>
    </w:p>
    <w:p w14:paraId="245F0B4C" w14:textId="77777777" w:rsidR="00A01CA4" w:rsidRPr="00451105" w:rsidRDefault="00A01CA4" w:rsidP="00A01CA4">
      <w:pPr>
        <w:widowControl w:val="0"/>
        <w:autoSpaceDE w:val="0"/>
        <w:autoSpaceDN w:val="0"/>
        <w:adjustRightInd w:val="0"/>
        <w:ind w:firstLine="720"/>
        <w:rPr>
          <w:rFonts w:cs="Times New Roman"/>
          <w:color w:val="000000"/>
        </w:rPr>
      </w:pPr>
      <w:r w:rsidRPr="00451105">
        <w:rPr>
          <w:rFonts w:cs="Times New Roman"/>
          <w:bCs/>
          <w:i/>
          <w:color w:val="555555"/>
        </w:rPr>
        <w:t>2. Prenalta.</w:t>
      </w:r>
      <w:r w:rsidRPr="00451105">
        <w:rPr>
          <w:rStyle w:val="FootnoteReference"/>
          <w:rFonts w:cs="Times New Roman"/>
          <w:bCs/>
          <w:i/>
          <w:color w:val="555555"/>
        </w:rPr>
        <w:footnoteReference w:id="83"/>
      </w:r>
      <w:r w:rsidRPr="00451105">
        <w:rPr>
          <w:rFonts w:cs="Times New Roman"/>
          <w:b/>
          <w:bCs/>
          <w:color w:val="555555"/>
        </w:rPr>
        <w:t xml:space="preserve"> </w:t>
      </w:r>
      <w:r w:rsidRPr="00451105">
        <w:rPr>
          <w:rFonts w:cs="Times New Roman"/>
          <w:bCs/>
          <w:color w:val="555555"/>
        </w:rPr>
        <w:t xml:space="preserve">Prenalta sold natural gas to Colorado Interstate Gas (CIG), an interstate pipeline under take-or-pay contracts for a </w:t>
      </w:r>
      <w:r w:rsidRPr="00451105">
        <w:rPr>
          <w:rFonts w:cs="Times New Roman"/>
          <w:color w:val="000000"/>
        </w:rPr>
        <w:t>“term of 20 years and so long thereafter as gas is capable of being produced in commercial quantities from the gas leases and gas rights committed to the performance of this Agreement.”</w:t>
      </w:r>
      <w:r w:rsidRPr="00451105">
        <w:rPr>
          <w:rStyle w:val="FootnoteReference"/>
          <w:rFonts w:cs="Times New Roman"/>
          <w:color w:val="000000"/>
        </w:rPr>
        <w:footnoteReference w:id="84"/>
      </w:r>
      <w:r w:rsidRPr="00451105">
        <w:rPr>
          <w:rFonts w:cs="Times New Roman"/>
          <w:color w:val="000000"/>
        </w:rPr>
        <w:t xml:space="preserve"> The contracts included a repricing arrangement anticipating deregulation. “Section 5.1(d) provides that in the event of deregulation of the price of gas sold under the contract, Prenalta would have the right to request a redetermination of the price during the first six months after the date of deregulation and during the six-month period preceding each five year anniversary of the date of deregulation. Upon such request, the parties agreed to meet and determine a fair value of the gas.”</w:t>
      </w:r>
      <w:r w:rsidRPr="00451105">
        <w:rPr>
          <w:rStyle w:val="FootnoteReference"/>
          <w:rFonts w:cs="Times New Roman"/>
          <w:color w:val="000000"/>
        </w:rPr>
        <w:footnoteReference w:id="85"/>
      </w:r>
      <w:r w:rsidRPr="00451105">
        <w:rPr>
          <w:rFonts w:cs="Times New Roman"/>
          <w:color w:val="000000"/>
        </w:rPr>
        <w:t xml:space="preserve"> The repricing option was the seller’s, but the problem arose when prices collapsed and the buyer wanted out.</w:t>
      </w:r>
    </w:p>
    <w:p w14:paraId="7F141FB0" w14:textId="289DF3A9" w:rsidR="0063614C" w:rsidRDefault="004C4E5D" w:rsidP="0063614C">
      <w:pPr>
        <w:pStyle w:val="NormalWeb"/>
        <w:spacing w:after="0"/>
        <w:ind w:firstLine="720"/>
        <w:rPr>
          <w:rFonts w:ascii="Times New Roman" w:hAnsi="Times New Roman"/>
          <w:color w:val="000000"/>
          <w:sz w:val="24"/>
          <w:szCs w:val="24"/>
        </w:rPr>
      </w:pPr>
      <w:r>
        <w:rPr>
          <w:rFonts w:ascii="Times New Roman" w:hAnsi="Times New Roman"/>
          <w:color w:val="000000"/>
          <w:sz w:val="24"/>
          <w:szCs w:val="24"/>
        </w:rPr>
        <w:t xml:space="preserve">CIG continued to purchase gas under the contracts so there was no claim for repudiation. Prenalta’s </w:t>
      </w:r>
      <w:r w:rsidR="00A01CA4" w:rsidRPr="00451105">
        <w:rPr>
          <w:rFonts w:ascii="Times New Roman" w:hAnsi="Times New Roman"/>
          <w:color w:val="000000"/>
          <w:sz w:val="24"/>
          <w:szCs w:val="24"/>
        </w:rPr>
        <w:t xml:space="preserve">claim was for the years in which CIG had failed to take gas. It </w:t>
      </w:r>
      <w:r w:rsidR="00943AC7">
        <w:rPr>
          <w:rFonts w:ascii="Times New Roman" w:hAnsi="Times New Roman"/>
          <w:color w:val="000000"/>
          <w:sz w:val="24"/>
          <w:szCs w:val="24"/>
        </w:rPr>
        <w:t>claimed that the</w:t>
      </w:r>
      <w:r w:rsidR="00A01CA4" w:rsidRPr="00451105">
        <w:rPr>
          <w:rFonts w:ascii="Times New Roman" w:hAnsi="Times New Roman"/>
          <w:color w:val="000000"/>
          <w:sz w:val="24"/>
          <w:szCs w:val="24"/>
        </w:rPr>
        <w:t xml:space="preserve"> contract </w:t>
      </w:r>
      <w:r w:rsidR="00943AC7">
        <w:rPr>
          <w:rFonts w:ascii="Times New Roman" w:hAnsi="Times New Roman"/>
          <w:color w:val="000000"/>
          <w:sz w:val="24"/>
          <w:szCs w:val="24"/>
        </w:rPr>
        <w:t>w</w:t>
      </w:r>
      <w:r w:rsidR="00A01CA4" w:rsidRPr="00451105">
        <w:rPr>
          <w:rFonts w:ascii="Times New Roman" w:hAnsi="Times New Roman"/>
          <w:color w:val="000000"/>
          <w:sz w:val="24"/>
          <w:szCs w:val="24"/>
        </w:rPr>
        <w:t>as an installment contract with failures to pay for each installment</w:t>
      </w:r>
      <w:r w:rsidR="003F7A70">
        <w:rPr>
          <w:rFonts w:ascii="Times New Roman" w:hAnsi="Times New Roman"/>
          <w:color w:val="000000"/>
          <w:sz w:val="24"/>
          <w:szCs w:val="24"/>
        </w:rPr>
        <w:t>,</w:t>
      </w:r>
      <w:r w:rsidR="00C91AED" w:rsidRPr="00451105">
        <w:rPr>
          <w:rFonts w:ascii="Times New Roman" w:hAnsi="Times New Roman"/>
          <w:color w:val="000000"/>
          <w:sz w:val="24"/>
          <w:szCs w:val="24"/>
        </w:rPr>
        <w:t xml:space="preserve"> and that is how the court treated it</w:t>
      </w:r>
      <w:r w:rsidR="00A01CA4" w:rsidRPr="00451105">
        <w:rPr>
          <w:rFonts w:ascii="Times New Roman" w:hAnsi="Times New Roman"/>
          <w:color w:val="000000"/>
          <w:sz w:val="24"/>
          <w:szCs w:val="24"/>
        </w:rPr>
        <w:t xml:space="preserve">. The issue as posed by the court was whether this </w:t>
      </w:r>
      <w:r w:rsidR="00CF4C93" w:rsidRPr="00451105">
        <w:rPr>
          <w:rFonts w:ascii="Times New Roman" w:hAnsi="Times New Roman"/>
          <w:color w:val="000000"/>
          <w:sz w:val="24"/>
          <w:szCs w:val="24"/>
        </w:rPr>
        <w:t xml:space="preserve">was </w:t>
      </w:r>
      <w:r w:rsidR="00A01CA4" w:rsidRPr="00451105">
        <w:rPr>
          <w:rFonts w:ascii="Times New Roman" w:hAnsi="Times New Roman"/>
          <w:color w:val="000000"/>
          <w:sz w:val="24"/>
          <w:szCs w:val="24"/>
        </w:rPr>
        <w:t>an “alternative contract” or a liquidated damages/penal</w:t>
      </w:r>
      <w:r w:rsidR="00EE2B70">
        <w:rPr>
          <w:rFonts w:ascii="Times New Roman" w:hAnsi="Times New Roman"/>
          <w:color w:val="000000"/>
          <w:sz w:val="24"/>
          <w:szCs w:val="24"/>
        </w:rPr>
        <w:t xml:space="preserve">ty. </w:t>
      </w:r>
      <w:r w:rsidR="0063614C">
        <w:rPr>
          <w:rFonts w:ascii="Times New Roman" w:hAnsi="Times New Roman"/>
          <w:color w:val="000000"/>
          <w:sz w:val="24"/>
          <w:szCs w:val="24"/>
        </w:rPr>
        <w:t>The court relied on Corbin:</w:t>
      </w:r>
    </w:p>
    <w:p w14:paraId="42264F81" w14:textId="42109F9E" w:rsidR="00A01CA4" w:rsidRPr="0063614C" w:rsidRDefault="00A01CA4" w:rsidP="0063614C">
      <w:pPr>
        <w:pStyle w:val="NormalWeb"/>
        <w:spacing w:after="0"/>
        <w:ind w:left="720" w:right="720"/>
        <w:rPr>
          <w:rFonts w:ascii="Times New Roman" w:hAnsi="Times New Roman"/>
          <w:color w:val="000000"/>
          <w:sz w:val="24"/>
          <w:szCs w:val="24"/>
        </w:rPr>
      </w:pPr>
      <w:r w:rsidRPr="0063614C">
        <w:rPr>
          <w:rFonts w:ascii="Times New Roman" w:hAnsi="Times New Roman"/>
          <w:color w:val="000000"/>
          <w:sz w:val="24"/>
          <w:szCs w:val="24"/>
        </w:rPr>
        <w:t>If, upon a proper interpretation of the contract, it is found that the parties have agreed that either one of the two alternative performances is to be given by the promisor and received by the promisee as the agreed exchange and equivalent for the return performance rendered by the promisee, the contract is a true alternative contract. This is true even though one of the alternative performances is the payment of a liquidated sum of money; that fact does not make the contract one for the rendering of a single performance with a provision for liquidated damages in case of breach.</w:t>
      </w:r>
      <w:bookmarkStart w:id="5" w:name="co_footnoteReference_B017161991150016_ID"/>
      <w:bookmarkEnd w:id="5"/>
      <w:r w:rsidRPr="0063614C">
        <w:rPr>
          <w:rStyle w:val="FootnoteReference"/>
          <w:rFonts w:ascii="Times New Roman" w:hAnsi="Times New Roman"/>
          <w:color w:val="000000"/>
          <w:sz w:val="24"/>
          <w:szCs w:val="24"/>
        </w:rPr>
        <w:footnoteReference w:id="86"/>
      </w:r>
      <w:r w:rsidRPr="0063614C">
        <w:rPr>
          <w:rFonts w:ascii="Times New Roman" w:hAnsi="Times New Roman"/>
          <w:color w:val="000000"/>
          <w:sz w:val="24"/>
          <w:szCs w:val="24"/>
        </w:rPr>
        <w:t xml:space="preserve"> </w:t>
      </w:r>
    </w:p>
    <w:p w14:paraId="52C4DCE8" w14:textId="77777777" w:rsidR="00A01CA4" w:rsidRPr="00451105" w:rsidRDefault="00A01CA4" w:rsidP="00A01CA4">
      <w:pPr>
        <w:widowControl w:val="0"/>
        <w:autoSpaceDE w:val="0"/>
        <w:autoSpaceDN w:val="0"/>
        <w:adjustRightInd w:val="0"/>
        <w:ind w:right="576"/>
        <w:rPr>
          <w:rFonts w:cs="Times New Roman"/>
          <w:color w:val="000000"/>
        </w:rPr>
      </w:pPr>
    </w:p>
    <w:p w14:paraId="3AC545F8" w14:textId="65EDD30A" w:rsidR="00900CC7" w:rsidRDefault="00A01CA4" w:rsidP="00A332E8">
      <w:pPr>
        <w:widowControl w:val="0"/>
        <w:autoSpaceDE w:val="0"/>
        <w:autoSpaceDN w:val="0"/>
        <w:adjustRightInd w:val="0"/>
        <w:ind w:left="720" w:right="576"/>
        <w:rPr>
          <w:rFonts w:cs="Times New Roman"/>
          <w:color w:val="000000"/>
        </w:rPr>
      </w:pPr>
      <w:r w:rsidRPr="00451105">
        <w:rPr>
          <w:rFonts w:cs="Times New Roman"/>
          <w:color w:val="000000"/>
        </w:rPr>
        <w:t xml:space="preserve">An alternative contract may be so drawn as to limit the power of the promisor to discharge his contractual duty by performing one of the alternatives to a definite period of time, after the expiration of which only the other alternative is available to him. After the expiration of the specified period, the obligation of the promisor becomes single and the contract is no longer alternative. In cases like this, </w:t>
      </w:r>
      <w:r w:rsidRPr="00451105">
        <w:rPr>
          <w:rFonts w:cs="Times New Roman"/>
          <w:i/>
          <w:iCs/>
          <w:color w:val="000000"/>
        </w:rPr>
        <w:t xml:space="preserve">the promisee must always estimate his damages on the basis of the second </w:t>
      </w:r>
      <w:r w:rsidR="00EE2B70" w:rsidRPr="00451105">
        <w:rPr>
          <w:rFonts w:cs="Times New Roman"/>
          <w:i/>
          <w:iCs/>
          <w:color w:val="000000"/>
        </w:rPr>
        <w:t>alternative</w:t>
      </w:r>
      <w:r w:rsidR="00EE2B70" w:rsidRPr="00451105">
        <w:rPr>
          <w:rFonts w:cs="Times New Roman"/>
          <w:color w:val="000000"/>
        </w:rPr>
        <w:t xml:space="preserve"> .</w:t>
      </w:r>
      <w:r w:rsidR="00EE2B70">
        <w:rPr>
          <w:rFonts w:cs="Times New Roman"/>
          <w:color w:val="000000"/>
        </w:rPr>
        <w:t xml:space="preserve"> </w:t>
      </w:r>
      <w:r w:rsidRPr="00451105">
        <w:rPr>
          <w:rFonts w:cs="Times New Roman"/>
          <w:color w:val="000000"/>
        </w:rPr>
        <w:t>.</w:t>
      </w:r>
      <w:r w:rsidR="00EE2B70">
        <w:rPr>
          <w:rFonts w:cs="Times New Roman"/>
          <w:color w:val="000000"/>
        </w:rPr>
        <w:t xml:space="preserve"> </w:t>
      </w:r>
      <w:r w:rsidRPr="00451105">
        <w:rPr>
          <w:rFonts w:cs="Times New Roman"/>
          <w:color w:val="000000"/>
        </w:rPr>
        <w:t>.</w:t>
      </w:r>
      <w:r w:rsidR="00EE2B70">
        <w:rPr>
          <w:rFonts w:cs="Times New Roman"/>
          <w:color w:val="000000"/>
        </w:rPr>
        <w:t xml:space="preserve"> </w:t>
      </w:r>
      <w:r w:rsidRPr="00451105">
        <w:rPr>
          <w:rFonts w:cs="Times New Roman"/>
          <w:color w:val="000000"/>
        </w:rPr>
        <w:t>. Usually the alternative that is eliminated by the expiration of the period of time is the performance of service or the transfer of property, while the second alternative is the payment of a named sum of money.</w:t>
      </w:r>
      <w:r w:rsidRPr="00451105">
        <w:rPr>
          <w:rStyle w:val="FootnoteReference"/>
          <w:rFonts w:cs="Times New Roman"/>
          <w:color w:val="000000"/>
        </w:rPr>
        <w:footnoteReference w:id="87"/>
      </w:r>
    </w:p>
    <w:p w14:paraId="4174D968" w14:textId="77777777" w:rsidR="00900CC7" w:rsidRDefault="00900CC7" w:rsidP="00A87ECF">
      <w:pPr>
        <w:widowControl w:val="0"/>
        <w:autoSpaceDE w:val="0"/>
        <w:autoSpaceDN w:val="0"/>
        <w:adjustRightInd w:val="0"/>
        <w:ind w:firstLine="720"/>
        <w:rPr>
          <w:rFonts w:cs="Times New Roman"/>
          <w:color w:val="000000"/>
        </w:rPr>
      </w:pPr>
    </w:p>
    <w:p w14:paraId="3B1E66AA" w14:textId="77777777" w:rsidR="003F7A70" w:rsidRDefault="00A01CA4" w:rsidP="00A87ECF">
      <w:pPr>
        <w:widowControl w:val="0"/>
        <w:autoSpaceDE w:val="0"/>
        <w:autoSpaceDN w:val="0"/>
        <w:adjustRightInd w:val="0"/>
        <w:ind w:firstLine="720"/>
        <w:rPr>
          <w:rFonts w:cs="Times New Roman"/>
          <w:color w:val="000000"/>
        </w:rPr>
      </w:pPr>
      <w:r w:rsidRPr="00451105">
        <w:rPr>
          <w:rFonts w:cs="Times New Roman"/>
          <w:color w:val="000000"/>
        </w:rPr>
        <w:t>Prenalta argued that the contract “clearly provides the contract remedy for breach, and that the measure of damages under the provision is the value of the ‘quantity of gas which is equal to the difference between the Contract Quantity and Buyer’s actual takes’ for each year CIG has been in breach of the contracts.</w:t>
      </w:r>
      <w:bookmarkStart w:id="6" w:name="co_footnoteReference_B015141991150016_ID"/>
      <w:bookmarkEnd w:id="6"/>
      <w:r w:rsidRPr="00451105">
        <w:rPr>
          <w:rFonts w:cs="Times New Roman"/>
          <w:color w:val="000000"/>
        </w:rPr>
        <w:t>”</w:t>
      </w:r>
      <w:r w:rsidRPr="00451105">
        <w:rPr>
          <w:rStyle w:val="FootnoteReference"/>
          <w:rFonts w:cs="Times New Roman"/>
          <w:color w:val="000000"/>
        </w:rPr>
        <w:footnoteReference w:id="88"/>
      </w:r>
      <w:r w:rsidRPr="00451105">
        <w:rPr>
          <w:rFonts w:cs="Times New Roman"/>
          <w:color w:val="000000"/>
        </w:rPr>
        <w:t xml:space="preserve"> The court agreed. </w:t>
      </w:r>
    </w:p>
    <w:p w14:paraId="1C0FE75A" w14:textId="77777777" w:rsidR="003F7A70" w:rsidRDefault="003F7A70" w:rsidP="00A87ECF">
      <w:pPr>
        <w:widowControl w:val="0"/>
        <w:autoSpaceDE w:val="0"/>
        <w:autoSpaceDN w:val="0"/>
        <w:adjustRightInd w:val="0"/>
        <w:ind w:firstLine="720"/>
        <w:rPr>
          <w:rFonts w:cs="Times New Roman"/>
          <w:color w:val="000000"/>
        </w:rPr>
      </w:pPr>
    </w:p>
    <w:p w14:paraId="79D48994" w14:textId="1CA94BCF" w:rsidR="003F7A70" w:rsidRDefault="00A01CA4" w:rsidP="003F7A70">
      <w:pPr>
        <w:widowControl w:val="0"/>
        <w:autoSpaceDE w:val="0"/>
        <w:autoSpaceDN w:val="0"/>
        <w:adjustRightInd w:val="0"/>
        <w:ind w:left="720" w:right="720"/>
        <w:rPr>
          <w:rFonts w:cs="Times New Roman"/>
          <w:color w:val="000000"/>
        </w:rPr>
      </w:pPr>
      <w:r w:rsidRPr="00451105">
        <w:rPr>
          <w:rFonts w:cs="Times New Roman"/>
          <w:color w:val="000000"/>
        </w:rPr>
        <w:t>We find that the language of § 4.2 . . . unambiguously expresses the intent of Prenalta and CIG to fashion a specific remedy for breach by requiring CIG to pay the value of the shortfall—the contract price multiplied by the difference between the contract quantity and the amount of gas actually taken during each one year period.</w:t>
      </w:r>
      <w:r w:rsidRPr="00451105">
        <w:rPr>
          <w:rStyle w:val="FootnoteReference"/>
          <w:rFonts w:cs="Times New Roman"/>
          <w:color w:val="000000"/>
        </w:rPr>
        <w:footnoteReference w:id="89"/>
      </w:r>
      <w:r w:rsidR="00A87ECF" w:rsidRPr="00451105">
        <w:rPr>
          <w:rFonts w:cs="Times New Roman"/>
          <w:color w:val="000000"/>
        </w:rPr>
        <w:t xml:space="preserve"> </w:t>
      </w:r>
    </w:p>
    <w:p w14:paraId="77052D57" w14:textId="77777777" w:rsidR="003F7A70" w:rsidRDefault="003F7A70" w:rsidP="003F7A70">
      <w:pPr>
        <w:widowControl w:val="0"/>
        <w:autoSpaceDE w:val="0"/>
        <w:autoSpaceDN w:val="0"/>
        <w:adjustRightInd w:val="0"/>
        <w:rPr>
          <w:rFonts w:cs="Times New Roman"/>
          <w:color w:val="000000"/>
        </w:rPr>
      </w:pPr>
    </w:p>
    <w:p w14:paraId="4EF35CFE" w14:textId="33193288" w:rsidR="00A87ECF" w:rsidRPr="00451105" w:rsidRDefault="00A87ECF" w:rsidP="003F7A70">
      <w:pPr>
        <w:widowControl w:val="0"/>
        <w:autoSpaceDE w:val="0"/>
        <w:autoSpaceDN w:val="0"/>
        <w:adjustRightInd w:val="0"/>
        <w:rPr>
          <w:rFonts w:cs="Times New Roman"/>
          <w:color w:val="000000"/>
        </w:rPr>
      </w:pPr>
      <w:r w:rsidRPr="00451105">
        <w:rPr>
          <w:rFonts w:cs="Times New Roman"/>
          <w:color w:val="000000"/>
        </w:rPr>
        <w:t>Characterizing CIG’s decision not to take gas as a “breach” is inapposite. The failure to take was not a breach</w:t>
      </w:r>
      <w:r w:rsidR="00EE2B70">
        <w:rPr>
          <w:rFonts w:cs="Times New Roman"/>
          <w:color w:val="000000"/>
        </w:rPr>
        <w:t xml:space="preserve"> of the contract</w:t>
      </w:r>
      <w:r w:rsidRPr="00451105">
        <w:rPr>
          <w:rFonts w:cs="Times New Roman"/>
          <w:color w:val="000000"/>
        </w:rPr>
        <w:t xml:space="preserve">; it was simply CIG’s exercise of its discretion under the contract. The only breach was </w:t>
      </w:r>
      <w:r w:rsidR="004C4E5D">
        <w:rPr>
          <w:rFonts w:cs="Times New Roman"/>
          <w:color w:val="000000"/>
        </w:rPr>
        <w:t>CIG’s</w:t>
      </w:r>
      <w:r w:rsidRPr="00451105">
        <w:rPr>
          <w:rFonts w:cs="Times New Roman"/>
          <w:color w:val="000000"/>
        </w:rPr>
        <w:t xml:space="preserve"> subsequent failure to pay for the flexibility. For each period in which CIG chose to take less than the “take,” it would be liable for the shortfall times the current price.</w:t>
      </w:r>
    </w:p>
    <w:p w14:paraId="322A2709" w14:textId="77777777" w:rsidR="00A01CA4" w:rsidRPr="00451105" w:rsidRDefault="00A01CA4" w:rsidP="00A01CA4">
      <w:pPr>
        <w:rPr>
          <w:rFonts w:cs="Times New Roman"/>
        </w:rPr>
      </w:pPr>
    </w:p>
    <w:p w14:paraId="16285EA3" w14:textId="51B4084D" w:rsidR="00A01CA4" w:rsidRPr="005E178A" w:rsidRDefault="00A01CA4" w:rsidP="00A01CA4">
      <w:pPr>
        <w:rPr>
          <w:rFonts w:cs="Times New Roman"/>
        </w:rPr>
      </w:pPr>
      <w:r w:rsidRPr="00451105">
        <w:rPr>
          <w:rFonts w:cs="Times New Roman"/>
        </w:rPr>
        <w:tab/>
        <w:t xml:space="preserve">Corbin’s characterization of the alternative performance works fine when it is applied to specific shortfalls. But what happens when a court tries to apply it to the future years of a repudiated contract? That was the issue posed in </w:t>
      </w:r>
      <w:r w:rsidRPr="00451105">
        <w:rPr>
          <w:rFonts w:cs="Times New Roman"/>
          <w:i/>
        </w:rPr>
        <w:t>Roye Realty v. Arkla</w:t>
      </w:r>
      <w:r w:rsidRPr="00451105">
        <w:rPr>
          <w:rStyle w:val="FootnoteReference"/>
          <w:rFonts w:cs="Times New Roman"/>
        </w:rPr>
        <w:footnoteReference w:id="90"/>
      </w:r>
      <w:r w:rsidR="005E178A">
        <w:rPr>
          <w:rFonts w:cs="Times New Roman"/>
        </w:rPr>
        <w:t xml:space="preserve"> and </w:t>
      </w:r>
      <w:r w:rsidR="005E178A" w:rsidRPr="00D66D2E">
        <w:rPr>
          <w:rFonts w:cs="Times New Roman"/>
          <w:bCs/>
          <w:i/>
          <w:color w:val="555555"/>
        </w:rPr>
        <w:t>Colorado Interstate Gas Co. v. Chemco, Inc</w:t>
      </w:r>
      <w:r w:rsidR="005E178A">
        <w:rPr>
          <w:rFonts w:cs="Times New Roman"/>
          <w:bCs/>
          <w:color w:val="555555"/>
        </w:rPr>
        <w:t>.</w:t>
      </w:r>
      <w:r w:rsidR="005E178A" w:rsidRPr="00D66D2E">
        <w:rPr>
          <w:rStyle w:val="FootnoteReference"/>
          <w:rFonts w:cs="Times New Roman"/>
          <w:bCs/>
          <w:color w:val="555555"/>
        </w:rPr>
        <w:footnoteReference w:id="91"/>
      </w:r>
      <w:r w:rsidR="005E178A">
        <w:rPr>
          <w:rFonts w:cs="Times New Roman"/>
          <w:bCs/>
          <w:color w:val="555555"/>
        </w:rPr>
        <w:t xml:space="preserve"> which came to opposite conclusions.</w:t>
      </w:r>
    </w:p>
    <w:p w14:paraId="25C348F1" w14:textId="77777777" w:rsidR="00A01CA4" w:rsidRPr="00451105" w:rsidRDefault="00A01CA4" w:rsidP="00A01CA4">
      <w:pPr>
        <w:rPr>
          <w:rFonts w:cs="Times New Roman"/>
        </w:rPr>
      </w:pPr>
    </w:p>
    <w:p w14:paraId="4FD20218" w14:textId="59CD6BB2" w:rsidR="00A01CA4" w:rsidRPr="00451105" w:rsidRDefault="004D1118" w:rsidP="00A01CA4">
      <w:pPr>
        <w:ind w:firstLine="720"/>
        <w:rPr>
          <w:rFonts w:cs="Times New Roman"/>
        </w:rPr>
      </w:pPr>
      <w:r>
        <w:rPr>
          <w:rFonts w:cs="Times New Roman"/>
          <w:i/>
        </w:rPr>
        <w:t>3. Arkla</w:t>
      </w:r>
      <w:r w:rsidR="00A01CA4" w:rsidRPr="00451105">
        <w:rPr>
          <w:rFonts w:cs="Times New Roman"/>
        </w:rPr>
        <w:t xml:space="preserve">. The Oklahoma Supreme Court </w:t>
      </w:r>
      <w:r w:rsidR="00A87ECF" w:rsidRPr="00451105">
        <w:rPr>
          <w:rFonts w:cs="Times New Roman"/>
        </w:rPr>
        <w:t>purported to answer</w:t>
      </w:r>
      <w:r w:rsidR="00A01CA4" w:rsidRPr="00451105">
        <w:rPr>
          <w:rFonts w:cs="Times New Roman"/>
        </w:rPr>
        <w:t xml:space="preserve"> a certified question: </w:t>
      </w:r>
      <w:r w:rsidR="003F7A70">
        <w:rPr>
          <w:rFonts w:cs="Times New Roman"/>
          <w:color w:val="000000"/>
        </w:rPr>
        <w:t>“</w:t>
      </w:r>
      <w:r w:rsidR="00A01CA4" w:rsidRPr="00451105">
        <w:rPr>
          <w:rFonts w:cs="Times New Roman"/>
          <w:color w:val="000000"/>
        </w:rPr>
        <w:t xml:space="preserve">What is the measure of damages under a take-or-pay gas purchase contract where the seller alleges an anticipatory repudiation by the buyer and buyer </w:t>
      </w:r>
      <w:r w:rsidR="003F7A70">
        <w:rPr>
          <w:rFonts w:cs="Times New Roman"/>
          <w:color w:val="000000"/>
        </w:rPr>
        <w:t>alleges that had it elected to ‘take’</w:t>
      </w:r>
      <w:r w:rsidR="00A01CA4" w:rsidRPr="00451105">
        <w:rPr>
          <w:rFonts w:cs="Times New Roman"/>
          <w:color w:val="000000"/>
        </w:rPr>
        <w:t xml:space="preserve"> gas, seller could not have physically delivered gas over the entire term of the contract?</w:t>
      </w:r>
      <w:r w:rsidR="003F7A70">
        <w:rPr>
          <w:rFonts w:cs="Times New Roman"/>
          <w:color w:val="000000"/>
        </w:rPr>
        <w:t>”</w:t>
      </w:r>
      <w:r w:rsidR="00A01CA4" w:rsidRPr="00451105">
        <w:rPr>
          <w:rStyle w:val="FootnoteReference"/>
          <w:rFonts w:cs="Times New Roman"/>
          <w:color w:val="000000"/>
        </w:rPr>
        <w:footnoteReference w:id="92"/>
      </w:r>
      <w:r w:rsidR="0030696B" w:rsidRPr="00451105">
        <w:rPr>
          <w:rFonts w:cs="Times New Roman"/>
          <w:color w:val="000000"/>
        </w:rPr>
        <w:t xml:space="preserve"> </w:t>
      </w:r>
    </w:p>
    <w:p w14:paraId="46A72391" w14:textId="77777777" w:rsidR="00A01CA4" w:rsidRPr="00451105" w:rsidRDefault="00A01CA4" w:rsidP="00A01CA4">
      <w:pPr>
        <w:ind w:firstLine="720"/>
        <w:rPr>
          <w:rFonts w:cs="Times New Roman"/>
        </w:rPr>
      </w:pPr>
    </w:p>
    <w:p w14:paraId="545C4E10" w14:textId="54E439A6" w:rsidR="00BD2BF3" w:rsidRDefault="00A01CA4" w:rsidP="004B78A4">
      <w:pPr>
        <w:ind w:firstLine="720"/>
        <w:rPr>
          <w:rFonts w:cs="Times New Roman"/>
          <w:color w:val="000000"/>
        </w:rPr>
      </w:pPr>
      <w:r w:rsidRPr="00451105">
        <w:rPr>
          <w:rFonts w:cs="Times New Roman"/>
          <w:color w:val="000000"/>
        </w:rPr>
        <w:t>Roye Realty argued that “the damages for such repudiation should be based upon the ‘pay’ alternative under the contract and be calculated according to Arkla's minimum obligation from the date of the alleged repudiation through the end of the contract term.”</w:t>
      </w:r>
      <w:r w:rsidRPr="00451105">
        <w:rPr>
          <w:rStyle w:val="FootnoteReference"/>
          <w:rFonts w:cs="Times New Roman"/>
          <w:color w:val="000000"/>
        </w:rPr>
        <w:footnoteReference w:id="93"/>
      </w:r>
      <w:r w:rsidRPr="00451105">
        <w:rPr>
          <w:rFonts w:cs="Times New Roman"/>
          <w:color w:val="000000"/>
        </w:rPr>
        <w:t xml:space="preserve"> It took the </w:t>
      </w:r>
      <w:r w:rsidRPr="00451105">
        <w:rPr>
          <w:rFonts w:cs="Times New Roman"/>
          <w:i/>
          <w:color w:val="000000"/>
        </w:rPr>
        <w:t>Prenalta</w:t>
      </w:r>
      <w:r w:rsidRPr="00451105">
        <w:rPr>
          <w:rFonts w:cs="Times New Roman"/>
          <w:color w:val="000000"/>
        </w:rPr>
        <w:t xml:space="preserve"> result and projected it forward—the deficiency payment obligation would provide the measure of damages</w:t>
      </w:r>
      <w:r w:rsidR="0043407B">
        <w:rPr>
          <w:rFonts w:cs="Times New Roman"/>
          <w:color w:val="000000"/>
        </w:rPr>
        <w:t xml:space="preserve"> for all the future years</w:t>
      </w:r>
      <w:r w:rsidRPr="00451105">
        <w:rPr>
          <w:rFonts w:cs="Times New Roman"/>
          <w:color w:val="000000"/>
        </w:rPr>
        <w:t xml:space="preserve">. The court disagreed. It invoked </w:t>
      </w:r>
      <w:r w:rsidR="00EE2B70">
        <w:rPr>
          <w:rFonts w:cs="Times New Roman"/>
          <w:color w:val="000000"/>
        </w:rPr>
        <w:t>§</w:t>
      </w:r>
      <w:r w:rsidRPr="00451105">
        <w:rPr>
          <w:rFonts w:cs="Times New Roman"/>
          <w:color w:val="000000"/>
        </w:rPr>
        <w:t xml:space="preserve">2-708 and </w:t>
      </w:r>
      <w:r w:rsidR="00EE2B70">
        <w:rPr>
          <w:rFonts w:cs="Times New Roman"/>
          <w:color w:val="000000"/>
        </w:rPr>
        <w:t>§</w:t>
      </w:r>
      <w:r w:rsidRPr="00451105">
        <w:rPr>
          <w:rFonts w:cs="Times New Roman"/>
          <w:color w:val="000000"/>
        </w:rPr>
        <w:t xml:space="preserve">2-723, claiming that the damages should be measured by the </w:t>
      </w:r>
      <w:r w:rsidR="0043407B">
        <w:rPr>
          <w:rFonts w:cs="Times New Roman"/>
          <w:color w:val="000000"/>
        </w:rPr>
        <w:t xml:space="preserve">market/contract </w:t>
      </w:r>
      <w:r w:rsidRPr="00451105">
        <w:rPr>
          <w:rFonts w:cs="Times New Roman"/>
          <w:color w:val="000000"/>
        </w:rPr>
        <w:t xml:space="preserve">price </w:t>
      </w:r>
      <w:r w:rsidR="0043407B">
        <w:rPr>
          <w:rFonts w:cs="Times New Roman"/>
          <w:color w:val="000000"/>
        </w:rPr>
        <w:t>differential</w:t>
      </w:r>
      <w:r w:rsidR="00C91AED" w:rsidRPr="00451105">
        <w:rPr>
          <w:rFonts w:cs="Times New Roman"/>
          <w:color w:val="000000"/>
        </w:rPr>
        <w:t xml:space="preserve"> </w:t>
      </w:r>
      <w:r w:rsidRPr="00451105">
        <w:rPr>
          <w:rFonts w:cs="Times New Roman"/>
          <w:color w:val="000000"/>
        </w:rPr>
        <w:t xml:space="preserve">at the time of repudiation. “Because the provisions of the UCC apply to gas purchase contracts, we hold that the measure of damages for anticipatory repudiation of both the take and the pay obligations in a take-or- </w:t>
      </w:r>
      <w:r w:rsidRPr="00451105">
        <w:rPr>
          <w:rFonts w:cs="Times New Roman"/>
          <w:color w:val="000000"/>
        </w:rPr>
        <w:lastRenderedPageBreak/>
        <w:t>pay gas purchase contract is the difference between the market price at the time when the aggrieved party learned of the repudiation and the unpaid contract price.”</w:t>
      </w:r>
      <w:r w:rsidRPr="00451105">
        <w:rPr>
          <w:rStyle w:val="FootnoteReference"/>
          <w:rFonts w:cs="Times New Roman"/>
          <w:color w:val="000000"/>
        </w:rPr>
        <w:footnoteReference w:id="94"/>
      </w:r>
      <w:r w:rsidRPr="00451105">
        <w:rPr>
          <w:rFonts w:cs="Times New Roman"/>
          <w:color w:val="000000"/>
        </w:rPr>
        <w:t xml:space="preserve"> </w:t>
      </w:r>
    </w:p>
    <w:p w14:paraId="48946845" w14:textId="77777777" w:rsidR="00BD2BF3" w:rsidRDefault="00BD2BF3" w:rsidP="004B78A4">
      <w:pPr>
        <w:ind w:firstLine="720"/>
        <w:rPr>
          <w:rFonts w:cs="Times New Roman"/>
          <w:color w:val="000000"/>
        </w:rPr>
      </w:pPr>
    </w:p>
    <w:p w14:paraId="33C4E914" w14:textId="6CBA227E" w:rsidR="008F7F60" w:rsidRDefault="008F7F60" w:rsidP="004B78A4">
      <w:pPr>
        <w:ind w:firstLine="720"/>
        <w:rPr>
          <w:color w:val="000000"/>
        </w:rPr>
      </w:pPr>
      <w:r>
        <w:rPr>
          <w:rFonts w:cs="Times New Roman"/>
          <w:color w:val="000000"/>
        </w:rPr>
        <w:t>After the repudiation</w:t>
      </w:r>
      <w:r w:rsidR="001A6FB1">
        <w:rPr>
          <w:rFonts w:cs="Times New Roman"/>
          <w:color w:val="000000"/>
        </w:rPr>
        <w:t>, the seller would be</w:t>
      </w:r>
      <w:r>
        <w:rPr>
          <w:rFonts w:cs="Times New Roman"/>
          <w:color w:val="000000"/>
        </w:rPr>
        <w:t xml:space="preserve"> freed of its o</w:t>
      </w:r>
      <w:r w:rsidR="000D4324">
        <w:rPr>
          <w:rFonts w:cs="Times New Roman"/>
          <w:color w:val="000000"/>
        </w:rPr>
        <w:t>bligation to deliver gas and could</w:t>
      </w:r>
      <w:r>
        <w:rPr>
          <w:rFonts w:cs="Times New Roman"/>
          <w:color w:val="000000"/>
        </w:rPr>
        <w:t xml:space="preserve"> sell to others, in effect, mitigating the loss. </w:t>
      </w:r>
      <w:r>
        <w:rPr>
          <w:color w:val="000000"/>
        </w:rPr>
        <w:t>“[B]</w:t>
      </w:r>
      <w:r w:rsidR="00A01CA4" w:rsidRPr="00451105">
        <w:rPr>
          <w:color w:val="000000"/>
        </w:rPr>
        <w:t xml:space="preserve">y selling the gas on the </w:t>
      </w:r>
      <w:r w:rsidR="00EE2B70">
        <w:rPr>
          <w:color w:val="000000"/>
        </w:rPr>
        <w:t>open market and utilizing the §</w:t>
      </w:r>
      <w:r w:rsidR="00A01CA4" w:rsidRPr="00451105">
        <w:rPr>
          <w:color w:val="000000"/>
        </w:rPr>
        <w:t>2-708(1) measure of damages to get the difference between the market price and the contract price, Roye Realty will obtain the same price for its gas as if Arkla would have fully performed.”</w:t>
      </w:r>
      <w:r w:rsidR="00A01CA4" w:rsidRPr="00451105">
        <w:rPr>
          <w:rStyle w:val="FootnoteReference"/>
          <w:color w:val="000000"/>
        </w:rPr>
        <w:footnoteReference w:id="95"/>
      </w:r>
      <w:r w:rsidR="00A01CA4" w:rsidRPr="00451105">
        <w:rPr>
          <w:color w:val="000000"/>
        </w:rPr>
        <w:t xml:space="preserve"> </w:t>
      </w:r>
      <w:r>
        <w:rPr>
          <w:color w:val="000000"/>
        </w:rPr>
        <w:t>The court</w:t>
      </w:r>
      <w:r w:rsidR="00BD2BF3">
        <w:rPr>
          <w:color w:val="000000"/>
        </w:rPr>
        <w:t>, as noted,</w:t>
      </w:r>
      <w:r>
        <w:rPr>
          <w:color w:val="000000"/>
        </w:rPr>
        <w:t xml:space="preserve"> used</w:t>
      </w:r>
      <w:r w:rsidR="00EE2B70">
        <w:rPr>
          <w:color w:val="000000"/>
        </w:rPr>
        <w:t xml:space="preserve"> the contract/market price differential in the first period</w:t>
      </w:r>
      <w:r>
        <w:rPr>
          <w:color w:val="000000"/>
        </w:rPr>
        <w:t xml:space="preserve"> </w:t>
      </w:r>
      <w:r w:rsidR="00EE2B70">
        <w:rPr>
          <w:color w:val="000000"/>
        </w:rPr>
        <w:t>(§</w:t>
      </w:r>
      <w:r>
        <w:rPr>
          <w:color w:val="000000"/>
        </w:rPr>
        <w:t>2-723</w:t>
      </w:r>
      <w:r w:rsidR="00EE2B70">
        <w:rPr>
          <w:color w:val="000000"/>
        </w:rPr>
        <w:t>)</w:t>
      </w:r>
      <w:r>
        <w:rPr>
          <w:color w:val="000000"/>
        </w:rPr>
        <w:t xml:space="preserve"> to determine the future price. What would it use for the future contract price and future contract quantity? Neither of these would be known on the date of repudiation in a typical take-or-pay contract. The court was silent on both, although I suspect that if pushed it would have assumed that these would have remained the same over the remaining life of the contract.</w:t>
      </w:r>
      <w:r w:rsidR="001A6FB1">
        <w:rPr>
          <w:color w:val="000000"/>
        </w:rPr>
        <w:t xml:space="preserve"> Nor did it take into account any other features of the contract—for example, whether either party had an early termination option or whether there was a makeup clause. </w:t>
      </w:r>
      <w:r w:rsidR="00BD2BF3">
        <w:rPr>
          <w:color w:val="000000"/>
        </w:rPr>
        <w:t>Nonetheless, the court was satisfied that it had answered the first part of the certified question: “</w:t>
      </w:r>
      <w:r w:rsidR="00BD2BF3" w:rsidRPr="00BC5979">
        <w:rPr>
          <w:color w:val="000000"/>
        </w:rPr>
        <w:t>that the measure of damages for repudiation is provided in the UCC</w:t>
      </w:r>
      <w:r w:rsidR="00BD2BF3">
        <w:rPr>
          <w:color w:val="000000"/>
        </w:rPr>
        <w:t>.”</w:t>
      </w:r>
      <w:r w:rsidR="00BD2BF3">
        <w:rPr>
          <w:rStyle w:val="FootnoteReference"/>
          <w:color w:val="000000"/>
        </w:rPr>
        <w:footnoteReference w:id="96"/>
      </w:r>
    </w:p>
    <w:p w14:paraId="64F61570" w14:textId="77777777" w:rsidR="0043407B" w:rsidRDefault="0043407B" w:rsidP="004B78A4">
      <w:pPr>
        <w:ind w:firstLine="720"/>
        <w:rPr>
          <w:color w:val="000000"/>
        </w:rPr>
      </w:pPr>
    </w:p>
    <w:p w14:paraId="4FD40BA8" w14:textId="4C273185" w:rsidR="001A6FB1" w:rsidRDefault="0043407B" w:rsidP="004B78A4">
      <w:pPr>
        <w:ind w:firstLine="720"/>
        <w:rPr>
          <w:rFonts w:cs="Times New Roman"/>
        </w:rPr>
      </w:pPr>
      <w:r>
        <w:rPr>
          <w:rFonts w:cs="Times New Roman"/>
        </w:rPr>
        <w:t>As i</w:t>
      </w:r>
      <w:r w:rsidRPr="00451105">
        <w:rPr>
          <w:rFonts w:cs="Times New Roman"/>
        </w:rPr>
        <w:t>t turned out</w:t>
      </w:r>
      <w:r>
        <w:rPr>
          <w:rFonts w:cs="Times New Roman"/>
        </w:rPr>
        <w:t>,</w:t>
      </w:r>
      <w:r w:rsidRPr="00451105">
        <w:rPr>
          <w:rFonts w:cs="Times New Roman"/>
        </w:rPr>
        <w:t xml:space="preserve"> it was not necessary to </w:t>
      </w:r>
      <w:r>
        <w:rPr>
          <w:rFonts w:cs="Times New Roman"/>
        </w:rPr>
        <w:t xml:space="preserve">answer the first question since </w:t>
      </w:r>
      <w:r w:rsidRPr="00451105">
        <w:rPr>
          <w:rFonts w:cs="Times New Roman"/>
        </w:rPr>
        <w:t>the trial court eventually held that the failure to pay was not a repudiation of the entire agreement</w:t>
      </w:r>
      <w:r>
        <w:rPr>
          <w:rFonts w:cs="Times New Roman"/>
        </w:rPr>
        <w:t xml:space="preserve"> after all; it was</w:t>
      </w:r>
      <w:r w:rsidRPr="00451105">
        <w:rPr>
          <w:rFonts w:cs="Times New Roman"/>
        </w:rPr>
        <w:t xml:space="preserve"> only a failure to pay for an installment. The Court of Appeals for the Tenth Circuit concurred in an unpublished opinion.</w:t>
      </w:r>
      <w:r w:rsidRPr="00451105">
        <w:rPr>
          <w:rStyle w:val="FootnoteReference"/>
          <w:rFonts w:cs="Times New Roman"/>
        </w:rPr>
        <w:footnoteReference w:id="97"/>
      </w:r>
      <w:r>
        <w:rPr>
          <w:rFonts w:cs="Times New Roman"/>
        </w:rPr>
        <w:t xml:space="preserve"> </w:t>
      </w:r>
    </w:p>
    <w:p w14:paraId="16A3A1BF" w14:textId="77777777" w:rsidR="0043407B" w:rsidRDefault="0043407B" w:rsidP="004B78A4">
      <w:pPr>
        <w:ind w:firstLine="720"/>
        <w:rPr>
          <w:color w:val="000000"/>
        </w:rPr>
      </w:pPr>
    </w:p>
    <w:p w14:paraId="5E95C5F0" w14:textId="667EC96E" w:rsidR="005279AF" w:rsidRDefault="00D66D2E" w:rsidP="00D66D2E">
      <w:pPr>
        <w:ind w:firstLine="720"/>
        <w:rPr>
          <w:rFonts w:cs="Times New Roman"/>
        </w:rPr>
      </w:pPr>
      <w:r w:rsidRPr="00D66D2E">
        <w:rPr>
          <w:rFonts w:cs="Times New Roman"/>
          <w:bCs/>
          <w:i/>
          <w:color w:val="555555"/>
        </w:rPr>
        <w:t>4. Chemco.</w:t>
      </w:r>
      <w:r w:rsidRPr="00D66D2E">
        <w:rPr>
          <w:rFonts w:cs="Times New Roman"/>
          <w:bCs/>
          <w:color w:val="555555"/>
        </w:rPr>
        <w:t xml:space="preserve"> Unlike </w:t>
      </w:r>
      <w:r w:rsidRPr="00D66D2E">
        <w:rPr>
          <w:rFonts w:cs="Times New Roman"/>
          <w:bCs/>
          <w:i/>
          <w:color w:val="555555"/>
        </w:rPr>
        <w:t>Arkla</w:t>
      </w:r>
      <w:r w:rsidRPr="00D66D2E">
        <w:rPr>
          <w:rFonts w:cs="Times New Roman"/>
          <w:bCs/>
          <w:color w:val="555555"/>
        </w:rPr>
        <w:t>,</w:t>
      </w:r>
      <w:r w:rsidR="00657C3E">
        <w:rPr>
          <w:rFonts w:cs="Times New Roman"/>
          <w:bCs/>
          <w:color w:val="555555"/>
        </w:rPr>
        <w:t xml:space="preserve"> the court </w:t>
      </w:r>
      <w:r w:rsidR="00392B81">
        <w:rPr>
          <w:rFonts w:cs="Times New Roman"/>
          <w:bCs/>
          <w:color w:val="555555"/>
        </w:rPr>
        <w:t xml:space="preserve">in </w:t>
      </w:r>
      <w:r w:rsidR="00392B81" w:rsidRPr="00392B81">
        <w:rPr>
          <w:rFonts w:cs="Times New Roman"/>
          <w:bCs/>
          <w:i/>
          <w:color w:val="555555"/>
        </w:rPr>
        <w:t>Colorado</w:t>
      </w:r>
      <w:r w:rsidRPr="00D66D2E">
        <w:rPr>
          <w:rFonts w:cs="Times New Roman"/>
          <w:bCs/>
          <w:i/>
          <w:color w:val="555555"/>
        </w:rPr>
        <w:t xml:space="preserve"> Interstate Gas Co. v. Chemco, Inc</w:t>
      </w:r>
      <w:r w:rsidRPr="00D66D2E">
        <w:rPr>
          <w:rFonts w:cs="Times New Roman"/>
          <w:bCs/>
          <w:color w:val="555555"/>
        </w:rPr>
        <w:t>.</w:t>
      </w:r>
      <w:r w:rsidR="005E178A" w:rsidRPr="00D66D2E">
        <w:rPr>
          <w:rFonts w:cs="Times New Roman"/>
          <w:bCs/>
          <w:color w:val="555555"/>
        </w:rPr>
        <w:t xml:space="preserve"> </w:t>
      </w:r>
      <w:r w:rsidR="00392B81">
        <w:rPr>
          <w:rFonts w:cs="Times New Roman"/>
          <w:bCs/>
          <w:color w:val="555555"/>
        </w:rPr>
        <w:t xml:space="preserve">appeared to find </w:t>
      </w:r>
      <w:r w:rsidRPr="00D66D2E">
        <w:rPr>
          <w:rFonts w:cs="Times New Roman"/>
          <w:bCs/>
          <w:color w:val="555555"/>
        </w:rPr>
        <w:t>that damages for the future take obligation would be measured by the price, not the price differential.</w:t>
      </w:r>
      <w:r w:rsidR="00A34B72">
        <w:rPr>
          <w:rStyle w:val="FootnoteReference"/>
          <w:rFonts w:cs="Times New Roman"/>
          <w:bCs/>
          <w:color w:val="555555"/>
        </w:rPr>
        <w:footnoteReference w:id="98"/>
      </w:r>
      <w:r w:rsidR="00392B81">
        <w:rPr>
          <w:rFonts w:cs="Times New Roman"/>
          <w:bCs/>
          <w:color w:val="555555"/>
        </w:rPr>
        <w:t xml:space="preserve"> I say “appeared to” because there is some ambiguity</w:t>
      </w:r>
      <w:r w:rsidR="005279AF">
        <w:rPr>
          <w:rFonts w:cs="Times New Roman"/>
          <w:bCs/>
          <w:color w:val="555555"/>
        </w:rPr>
        <w:t xml:space="preserve"> regarding the post-trial damage measurement</w:t>
      </w:r>
      <w:r w:rsidR="00392B81">
        <w:rPr>
          <w:rFonts w:cs="Times New Roman"/>
          <w:bCs/>
          <w:color w:val="555555"/>
        </w:rPr>
        <w:t>.</w:t>
      </w:r>
      <w:r w:rsidRPr="00D66D2E">
        <w:rPr>
          <w:rFonts w:cs="Times New Roman"/>
          <w:bCs/>
          <w:color w:val="555555"/>
        </w:rPr>
        <w:t xml:space="preserve"> </w:t>
      </w:r>
      <w:r w:rsidR="005279AF">
        <w:rPr>
          <w:rFonts w:cs="Times New Roman"/>
        </w:rPr>
        <w:t>In 1985, a</w:t>
      </w:r>
      <w:r w:rsidR="00392B81">
        <w:rPr>
          <w:rFonts w:cs="Times New Roman"/>
        </w:rPr>
        <w:t xml:space="preserve">fter the market price of gas collapsed, </w:t>
      </w:r>
      <w:r w:rsidRPr="00D66D2E">
        <w:rPr>
          <w:rFonts w:cs="Times New Roman"/>
        </w:rPr>
        <w:t xml:space="preserve">the buyer in a take-or-pay contract, Colorado Interstate Gas Company (CIG), claimed that the contract allowed it to terminate. In a bifurcated trial, CIG lost its claim on liability. In the second phase, there were </w:t>
      </w:r>
      <w:r w:rsidR="0043407B">
        <w:rPr>
          <w:rFonts w:cs="Times New Roman"/>
        </w:rPr>
        <w:t>t</w:t>
      </w:r>
      <w:r w:rsidR="00392B81">
        <w:rPr>
          <w:rFonts w:cs="Times New Roman"/>
        </w:rPr>
        <w:t>hree</w:t>
      </w:r>
      <w:r w:rsidR="0043407B">
        <w:rPr>
          <w:rFonts w:cs="Times New Roman"/>
        </w:rPr>
        <w:t xml:space="preserve"> </w:t>
      </w:r>
      <w:r w:rsidRPr="00D66D2E">
        <w:rPr>
          <w:rFonts w:cs="Times New Roman"/>
        </w:rPr>
        <w:t>questions. First, how much should CIG have to pay for shortfalls in the period prior to the repudiation? Second, how much should CIG have to pay for the post-repudiation years?</w:t>
      </w:r>
      <w:r w:rsidR="00392B81">
        <w:rPr>
          <w:rFonts w:cs="Times New Roman"/>
        </w:rPr>
        <w:t xml:space="preserve"> </w:t>
      </w:r>
    </w:p>
    <w:p w14:paraId="0DEC404B" w14:textId="77777777" w:rsidR="005279AF" w:rsidRDefault="005279AF" w:rsidP="00D66D2E">
      <w:pPr>
        <w:ind w:firstLine="720"/>
        <w:rPr>
          <w:rFonts w:cs="Times New Roman"/>
        </w:rPr>
      </w:pPr>
    </w:p>
    <w:p w14:paraId="0D41C1CC" w14:textId="42D260B6" w:rsidR="00657C3E" w:rsidRDefault="00392B81" w:rsidP="00D66D2E">
      <w:pPr>
        <w:ind w:firstLine="720"/>
        <w:rPr>
          <w:color w:val="000000"/>
        </w:rPr>
      </w:pPr>
      <w:r>
        <w:rPr>
          <w:rFonts w:cs="Times New Roman"/>
        </w:rPr>
        <w:t>There was a third</w:t>
      </w:r>
      <w:r w:rsidRPr="00D66D2E">
        <w:rPr>
          <w:rFonts w:cs="Times New Roman"/>
        </w:rPr>
        <w:t xml:space="preserve"> issue that might have rendered the second question moot. “</w:t>
      </w:r>
      <w:r w:rsidRPr="00D66D2E">
        <w:rPr>
          <w:rFonts w:cs="Times New Roman"/>
          <w:color w:val="000000"/>
        </w:rPr>
        <w:t>CIG requested full production from all wells committed to the contract effective May 2, 1988. Chemco responded with a request for ‘reasonable writ</w:t>
      </w:r>
      <w:r>
        <w:rPr>
          <w:rFonts w:cs="Times New Roman"/>
          <w:color w:val="000000"/>
        </w:rPr>
        <w:t xml:space="preserve">ten assurances’ that CIG would </w:t>
      </w:r>
      <w:r w:rsidR="00A34B72">
        <w:rPr>
          <w:rFonts w:cs="Times New Roman"/>
          <w:color w:val="000000"/>
        </w:rPr>
        <w:t>‘</w:t>
      </w:r>
      <w:r w:rsidRPr="00D66D2E">
        <w:rPr>
          <w:rFonts w:cs="Times New Roman"/>
          <w:color w:val="000000"/>
        </w:rPr>
        <w:t>consider the</w:t>
      </w:r>
      <w:r>
        <w:rPr>
          <w:rFonts w:cs="Times New Roman"/>
          <w:color w:val="000000"/>
        </w:rPr>
        <w:t xml:space="preserve"> contract in force and effect’ and intended to ‘</w:t>
      </w:r>
      <w:r w:rsidRPr="00D66D2E">
        <w:rPr>
          <w:rFonts w:cs="Times New Roman"/>
          <w:color w:val="000000"/>
        </w:rPr>
        <w:t>perform [CIG’s] obligations under it for the remainder of its term.’”</w:t>
      </w:r>
      <w:r>
        <w:rPr>
          <w:rStyle w:val="FootnoteReference"/>
          <w:rFonts w:cs="Times New Roman"/>
          <w:color w:val="000000"/>
        </w:rPr>
        <w:footnoteReference w:id="99"/>
      </w:r>
      <w:r>
        <w:rPr>
          <w:rFonts w:cs="Times New Roman"/>
          <w:color w:val="000000"/>
        </w:rPr>
        <w:t xml:space="preserve"> </w:t>
      </w:r>
      <w:r w:rsidRPr="00D66D2E">
        <w:rPr>
          <w:rFonts w:cs="Times New Roman"/>
          <w:color w:val="000000"/>
        </w:rPr>
        <w:t>The jury found that the demand for assurance was justified and that CIG’s response did not provide adequate assurance.</w:t>
      </w:r>
      <w:r>
        <w:rPr>
          <w:rFonts w:cs="Times New Roman"/>
          <w:color w:val="000000"/>
        </w:rPr>
        <w:t xml:space="preserve"> </w:t>
      </w:r>
    </w:p>
    <w:p w14:paraId="710B77F7" w14:textId="77777777" w:rsidR="005279AF" w:rsidRDefault="005279AF" w:rsidP="00D66D2E">
      <w:pPr>
        <w:ind w:firstLine="720"/>
        <w:rPr>
          <w:color w:val="000000"/>
        </w:rPr>
      </w:pPr>
    </w:p>
    <w:p w14:paraId="0846D46B" w14:textId="7062692B" w:rsidR="005279AF" w:rsidRDefault="005279AF" w:rsidP="005279AF">
      <w:pPr>
        <w:ind w:firstLine="720"/>
        <w:rPr>
          <w:rFonts w:cs="Times New Roman"/>
          <w:color w:val="000000"/>
        </w:rPr>
      </w:pPr>
      <w:r>
        <w:rPr>
          <w:color w:val="000000"/>
        </w:rPr>
        <w:t>The jury found damages of about $3 million, about 10% of which were for the post-1988 (trial) period. The court does not say how the post-1988 damages were measured. In the court’s only discussion of damages it favored the price remedy:</w:t>
      </w:r>
      <w:r w:rsidR="00D66D2E" w:rsidRPr="00D66D2E">
        <w:rPr>
          <w:rFonts w:cs="Times New Roman"/>
          <w:color w:val="000000"/>
        </w:rPr>
        <w:t xml:space="preserve"> “The trial court further instructed the jury that, if they found actual damages, they should award ‘as such actual damages all take-or-pay payments due Chemco under the terms of the contract.’”</w:t>
      </w:r>
      <w:r w:rsidR="00D66D2E" w:rsidRPr="00D66D2E">
        <w:rPr>
          <w:rStyle w:val="FootnoteReference"/>
          <w:rFonts w:cs="Times New Roman"/>
          <w:color w:val="000000"/>
        </w:rPr>
        <w:footnoteReference w:id="100"/>
      </w:r>
      <w:r w:rsidR="00D66D2E" w:rsidRPr="00D66D2E">
        <w:rPr>
          <w:rFonts w:cs="Times New Roman"/>
          <w:color w:val="000000"/>
        </w:rPr>
        <w:t xml:space="preserve"> Citing Corbin, the court stated</w:t>
      </w:r>
      <w:r w:rsidR="00392B81">
        <w:rPr>
          <w:rFonts w:cs="Times New Roman"/>
          <w:color w:val="000000"/>
        </w:rPr>
        <w:t>: “Once the ‘take-and-pay’</w:t>
      </w:r>
      <w:r w:rsidR="00D66D2E" w:rsidRPr="00D66D2E">
        <w:rPr>
          <w:rFonts w:cs="Times New Roman"/>
          <w:color w:val="000000"/>
        </w:rPr>
        <w:t xml:space="preserve"> alternative expired . . . performance becomes the monetary payment of a sum unambiguously defined by the contract ‘the difference between the [contract quantity] and the Buyer’s actual takes.’”</w:t>
      </w:r>
      <w:r w:rsidR="00D66D2E" w:rsidRPr="00D66D2E">
        <w:rPr>
          <w:rStyle w:val="FootnoteReference"/>
          <w:rFonts w:cs="Times New Roman"/>
          <w:color w:val="000000"/>
        </w:rPr>
        <w:footnoteReference w:id="101"/>
      </w:r>
      <w:r w:rsidR="00D66D2E" w:rsidRPr="00D66D2E">
        <w:rPr>
          <w:rFonts w:cs="Times New Roman"/>
          <w:color w:val="000000"/>
        </w:rPr>
        <w:t xml:space="preserve"> That is clearly correct for the pre-</w:t>
      </w:r>
      <w:r>
        <w:rPr>
          <w:rFonts w:cs="Times New Roman"/>
          <w:color w:val="000000"/>
        </w:rPr>
        <w:t>repudiation</w:t>
      </w:r>
      <w:r w:rsidR="00D66D2E" w:rsidRPr="00D66D2E">
        <w:rPr>
          <w:rFonts w:cs="Times New Roman"/>
          <w:color w:val="000000"/>
        </w:rPr>
        <w:t xml:space="preserve"> period. </w:t>
      </w:r>
      <w:r w:rsidR="00D66D2E" w:rsidRPr="00D66D2E">
        <w:rPr>
          <w:rFonts w:cs="Times New Roman"/>
        </w:rPr>
        <w:t>“</w:t>
      </w:r>
      <w:r w:rsidR="00D66D2E" w:rsidRPr="00D66D2E">
        <w:rPr>
          <w:rFonts w:cs="Times New Roman"/>
          <w:color w:val="000000"/>
        </w:rPr>
        <w:t>Accordingly, we hold that under the facts of this case the remedy for breach of the alternative performance obligation is the payment of damages equivalent to the value of the remaining performance obligation.”</w:t>
      </w:r>
      <w:r w:rsidR="00D66D2E" w:rsidRPr="00D66D2E">
        <w:rPr>
          <w:rStyle w:val="FootnoteReference"/>
          <w:rFonts w:cs="Times New Roman"/>
          <w:color w:val="000000"/>
        </w:rPr>
        <w:footnoteReference w:id="102"/>
      </w:r>
      <w:r w:rsidR="00D66D2E" w:rsidRPr="00D66D2E">
        <w:rPr>
          <w:rFonts w:cs="Times New Roman"/>
          <w:color w:val="000000"/>
        </w:rPr>
        <w:t xml:space="preserve"> </w:t>
      </w:r>
      <w:r w:rsidR="00B44CD8">
        <w:rPr>
          <w:rFonts w:cs="Times New Roman"/>
          <w:color w:val="000000"/>
        </w:rPr>
        <w:t>So, it would seem that CIG would be liable for the pay alternative for the duration of the contract.</w:t>
      </w:r>
    </w:p>
    <w:p w14:paraId="161BE533" w14:textId="77777777" w:rsidR="00986F5F" w:rsidRDefault="00986F5F" w:rsidP="005279AF">
      <w:pPr>
        <w:ind w:firstLine="720"/>
        <w:rPr>
          <w:rFonts w:cs="Times New Roman"/>
          <w:color w:val="000000"/>
        </w:rPr>
      </w:pPr>
    </w:p>
    <w:p w14:paraId="4A3A2393" w14:textId="69EB9C52" w:rsidR="005279AF" w:rsidRPr="00FF0469" w:rsidRDefault="00FF0469" w:rsidP="00FF0469">
      <w:pPr>
        <w:ind w:firstLine="720"/>
        <w:rPr>
          <w:color w:val="000000"/>
        </w:rPr>
      </w:pPr>
      <w:r>
        <w:rPr>
          <w:rFonts w:cs="Times New Roman"/>
          <w:color w:val="000000"/>
        </w:rPr>
        <w:t xml:space="preserve">But it is not clear that the court viewed CIG as having repudiated the contract. Did CIG’s wrongful claim of a right to terminate entail the total breach of the contract; and did its subsequent </w:t>
      </w:r>
      <w:r>
        <w:rPr>
          <w:color w:val="000000"/>
        </w:rPr>
        <w:t>request for</w:t>
      </w:r>
      <w:r w:rsidRPr="005279AF">
        <w:rPr>
          <w:color w:val="000000"/>
        </w:rPr>
        <w:t xml:space="preserve"> the resumption of full performance</w:t>
      </w:r>
      <w:r>
        <w:rPr>
          <w:color w:val="000000"/>
        </w:rPr>
        <w:t xml:space="preserve"> after its loss of the liability phase in 1988 mean that the original contract was still in force? Had</w:t>
      </w:r>
      <w:r w:rsidR="00D25467">
        <w:rPr>
          <w:rFonts w:cs="Times New Roman"/>
          <w:color w:val="000000"/>
        </w:rPr>
        <w:t xml:space="preserve"> </w:t>
      </w:r>
      <w:r>
        <w:rPr>
          <w:rFonts w:cs="Times New Roman"/>
          <w:color w:val="000000"/>
        </w:rPr>
        <w:t>CIG</w:t>
      </w:r>
      <w:r w:rsidR="005279AF">
        <w:rPr>
          <w:rFonts w:cs="Times New Roman"/>
          <w:color w:val="000000"/>
        </w:rPr>
        <w:t xml:space="preserve"> only failed to make installment payments</w:t>
      </w:r>
      <w:r>
        <w:rPr>
          <w:rFonts w:cs="Times New Roman"/>
          <w:color w:val="000000"/>
        </w:rPr>
        <w:t>,</w:t>
      </w:r>
      <w:r w:rsidR="005279AF">
        <w:rPr>
          <w:rFonts w:cs="Times New Roman"/>
          <w:color w:val="000000"/>
        </w:rPr>
        <w:t xml:space="preserve"> the entire contract </w:t>
      </w:r>
      <w:r>
        <w:rPr>
          <w:rFonts w:cs="Times New Roman"/>
          <w:color w:val="000000"/>
        </w:rPr>
        <w:t xml:space="preserve">would have </w:t>
      </w:r>
      <w:r w:rsidR="005279AF">
        <w:rPr>
          <w:rFonts w:cs="Times New Roman"/>
          <w:color w:val="000000"/>
        </w:rPr>
        <w:t xml:space="preserve">remained in force, </w:t>
      </w:r>
      <w:r>
        <w:rPr>
          <w:rFonts w:cs="Times New Roman"/>
          <w:color w:val="000000"/>
        </w:rPr>
        <w:t xml:space="preserve">and </w:t>
      </w:r>
      <w:r w:rsidR="005279AF">
        <w:rPr>
          <w:rFonts w:cs="Times New Roman"/>
          <w:color w:val="000000"/>
        </w:rPr>
        <w:t>there would have been no post-trial damages. In a subsequent case</w:t>
      </w:r>
      <w:r w:rsidR="00986F5F">
        <w:rPr>
          <w:rFonts w:cs="Times New Roman"/>
          <w:color w:val="000000"/>
        </w:rPr>
        <w:t xml:space="preserve"> based on the same contract</w:t>
      </w:r>
      <w:r w:rsidR="005279AF">
        <w:rPr>
          <w:rFonts w:cs="Times New Roman"/>
          <w:color w:val="000000"/>
        </w:rPr>
        <w:t>,</w:t>
      </w:r>
      <w:r w:rsidR="005279AF">
        <w:rPr>
          <w:rStyle w:val="FootnoteReference"/>
          <w:rFonts w:cs="Times New Roman"/>
          <w:color w:val="000000"/>
        </w:rPr>
        <w:footnoteReference w:id="103"/>
      </w:r>
      <w:r w:rsidR="005279AF">
        <w:rPr>
          <w:rFonts w:cs="Times New Roman"/>
          <w:color w:val="000000"/>
        </w:rPr>
        <w:t xml:space="preserve"> the court held that “</w:t>
      </w:r>
      <w:r w:rsidR="005279AF" w:rsidRPr="009075E1">
        <w:rPr>
          <w:color w:val="000000"/>
        </w:rPr>
        <w:t>the parties again had performance obligations under the contract, which both had recognized as valid after the April 1988 trial court ruling.</w:t>
      </w:r>
      <w:r w:rsidR="005279AF">
        <w:rPr>
          <w:color w:val="000000"/>
        </w:rPr>
        <w:t>”</w:t>
      </w:r>
      <w:r w:rsidR="005279AF">
        <w:rPr>
          <w:rStyle w:val="FootnoteReference"/>
          <w:color w:val="000000"/>
        </w:rPr>
        <w:footnoteReference w:id="104"/>
      </w:r>
      <w:r w:rsidR="005279AF">
        <w:rPr>
          <w:color w:val="000000"/>
        </w:rPr>
        <w:t xml:space="preserve"> So, perhaps </w:t>
      </w:r>
      <w:r w:rsidR="005279AF" w:rsidRPr="00D25467">
        <w:rPr>
          <w:i/>
          <w:color w:val="000000"/>
        </w:rPr>
        <w:t>Chemco</w:t>
      </w:r>
      <w:r w:rsidR="00D25467">
        <w:rPr>
          <w:color w:val="000000"/>
        </w:rPr>
        <w:t xml:space="preserve"> does not deal with an anticipatory repudiation at all and it is not, therefore, contrary to </w:t>
      </w:r>
      <w:r w:rsidR="00D25467" w:rsidRPr="00D25467">
        <w:rPr>
          <w:i/>
          <w:color w:val="000000"/>
        </w:rPr>
        <w:t>Arkla</w:t>
      </w:r>
      <w:r w:rsidR="00D25467">
        <w:rPr>
          <w:color w:val="000000"/>
        </w:rPr>
        <w:t xml:space="preserve">. </w:t>
      </w:r>
      <w:r w:rsidR="00690B90">
        <w:rPr>
          <w:color w:val="000000"/>
        </w:rPr>
        <w:t>I think it fair to say that the opinion reflects the difficulties courts have had fitting a take-or-pay contract into the UCC boxes, although it is probably more muddled than most.</w:t>
      </w:r>
    </w:p>
    <w:p w14:paraId="25B641AD" w14:textId="77777777" w:rsidR="006E1F45" w:rsidRDefault="006E1F45" w:rsidP="00D66D2E">
      <w:pPr>
        <w:rPr>
          <w:rFonts w:cs="Times New Roman"/>
        </w:rPr>
      </w:pPr>
    </w:p>
    <w:p w14:paraId="6235CE6D" w14:textId="30E00B9D" w:rsidR="006E1F45" w:rsidRPr="00A64FBE" w:rsidRDefault="006E1F45" w:rsidP="006E1F45">
      <w:pPr>
        <w:widowControl w:val="0"/>
        <w:autoSpaceDE w:val="0"/>
        <w:autoSpaceDN w:val="0"/>
        <w:adjustRightInd w:val="0"/>
        <w:ind w:firstLine="720"/>
        <w:rPr>
          <w:rFonts w:cs="Times New Roman"/>
          <w:color w:val="000000"/>
        </w:rPr>
      </w:pPr>
      <w:r w:rsidRPr="00A34B72">
        <w:rPr>
          <w:rFonts w:cs="Times New Roman"/>
        </w:rPr>
        <w:t>5.</w:t>
      </w:r>
      <w:r w:rsidRPr="00A64FBE">
        <w:rPr>
          <w:rFonts w:cs="Times New Roman"/>
          <w:i/>
        </w:rPr>
        <w:t xml:space="preserve"> Lost Volume.</w:t>
      </w:r>
      <w:r w:rsidRPr="00A64FBE">
        <w:rPr>
          <w:rFonts w:cs="Times New Roman"/>
        </w:rPr>
        <w:t xml:space="preserve"> A few courts have invoked </w:t>
      </w:r>
      <w:r w:rsidR="0036000C">
        <w:rPr>
          <w:rFonts w:cs="Times New Roman"/>
        </w:rPr>
        <w:t>§</w:t>
      </w:r>
      <w:r w:rsidRPr="00A64FBE">
        <w:rPr>
          <w:rFonts w:cs="Times New Roman"/>
        </w:rPr>
        <w:t xml:space="preserve">2-708(2) (the lost volume seller) to justify using the price rather than the price differential to measure damages. In </w:t>
      </w:r>
      <w:r w:rsidRPr="00A64FBE">
        <w:rPr>
          <w:rFonts w:cs="Times New Roman"/>
          <w:i/>
        </w:rPr>
        <w:t>ANR v. Union Oil</w:t>
      </w:r>
      <w:r w:rsidRPr="00A64FBE">
        <w:rPr>
          <w:rFonts w:cs="Times New Roman"/>
        </w:rPr>
        <w:t>,</w:t>
      </w:r>
      <w:r w:rsidRPr="00A64FBE">
        <w:rPr>
          <w:rStyle w:val="FootnoteReference"/>
          <w:rFonts w:cs="Times New Roman"/>
        </w:rPr>
        <w:footnoteReference w:id="105"/>
      </w:r>
      <w:r w:rsidRPr="00A64FBE">
        <w:rPr>
          <w:rFonts w:cs="Times New Roman"/>
        </w:rPr>
        <w:t xml:space="preserve"> the court stated that if the producer subsequently sold the gas to another buyer, it would still have lost a sale: </w:t>
      </w:r>
      <w:r w:rsidRPr="00A64FBE">
        <w:rPr>
          <w:rFonts w:cs="Times New Roman"/>
          <w:color w:val="000000"/>
        </w:rPr>
        <w:t>“[T]hat gas which Plaintiff was required to pay for if not taken would be unavailable to Defendants to sell upon the expiration of their contract with Plaintiff. . . Defendants cannot be required to relinquish this substantial benefit under the contract as part of its duty to mitigate damages.”</w:t>
      </w:r>
      <w:r w:rsidRPr="00A64FBE">
        <w:rPr>
          <w:rStyle w:val="FootnoteReference"/>
          <w:rFonts w:cs="Times New Roman"/>
          <w:color w:val="000000"/>
        </w:rPr>
        <w:footnoteReference w:id="106"/>
      </w:r>
      <w:r w:rsidRPr="00A64FBE">
        <w:rPr>
          <w:rFonts w:cs="Times New Roman"/>
          <w:color w:val="000000"/>
        </w:rPr>
        <w:t xml:space="preserve"> </w:t>
      </w:r>
    </w:p>
    <w:p w14:paraId="453D24FB" w14:textId="77777777" w:rsidR="006E1F45" w:rsidRPr="00A64FBE" w:rsidRDefault="006E1F45" w:rsidP="006E1F45">
      <w:pPr>
        <w:widowControl w:val="0"/>
        <w:autoSpaceDE w:val="0"/>
        <w:autoSpaceDN w:val="0"/>
        <w:adjustRightInd w:val="0"/>
        <w:ind w:firstLine="720"/>
        <w:rPr>
          <w:rFonts w:cs="Times New Roman"/>
          <w:color w:val="000000"/>
        </w:rPr>
      </w:pPr>
    </w:p>
    <w:p w14:paraId="55C094EA" w14:textId="0F5AA666" w:rsidR="006E1F45" w:rsidRPr="00A64FBE" w:rsidRDefault="006E1F45" w:rsidP="006E1F45">
      <w:pPr>
        <w:widowControl w:val="0"/>
        <w:autoSpaceDE w:val="0"/>
        <w:autoSpaceDN w:val="0"/>
        <w:adjustRightInd w:val="0"/>
        <w:ind w:firstLine="720"/>
        <w:rPr>
          <w:rFonts w:cs="Times New Roman"/>
          <w:color w:val="000000"/>
        </w:rPr>
      </w:pPr>
      <w:r w:rsidRPr="00A64FBE">
        <w:rPr>
          <w:rFonts w:cs="Times New Roman"/>
          <w:color w:val="000000"/>
        </w:rPr>
        <w:t xml:space="preserve">The </w:t>
      </w:r>
      <w:r w:rsidR="00D25467">
        <w:rPr>
          <w:rFonts w:cs="Times New Roman"/>
          <w:color w:val="000000"/>
        </w:rPr>
        <w:t>“</w:t>
      </w:r>
      <w:r w:rsidRPr="00A64FBE">
        <w:rPr>
          <w:rFonts w:cs="Times New Roman"/>
          <w:color w:val="000000"/>
        </w:rPr>
        <w:t>benefit,</w:t>
      </w:r>
      <w:r w:rsidR="00D25467">
        <w:rPr>
          <w:rFonts w:cs="Times New Roman"/>
          <w:color w:val="000000"/>
        </w:rPr>
        <w:t>”</w:t>
      </w:r>
      <w:r w:rsidRPr="00A64FBE">
        <w:rPr>
          <w:rFonts w:cs="Times New Roman"/>
          <w:color w:val="000000"/>
        </w:rPr>
        <w:t xml:space="preserve"> according to one commentator, A. F. Brooke, was the right to sell the same gas twice: “This possibility of selling the gas twice was seen as a valuable right. </w:t>
      </w:r>
      <w:r w:rsidRPr="00A64FBE">
        <w:rPr>
          <w:rFonts w:cs="Times New Roman"/>
          <w:color w:val="000000"/>
        </w:rPr>
        <w:lastRenderedPageBreak/>
        <w:t>The court concluded that it would be inappropriate to require the producer to have mitigated its damages by resale. . . . The take-or-pay producer should not be required to mitigate its damages by reselling since that would entail the sacrifice of the substantial right to ‘sell’ the same gas twice.”</w:t>
      </w:r>
      <w:r w:rsidRPr="00A64FBE">
        <w:rPr>
          <w:rStyle w:val="FootnoteReference"/>
          <w:rFonts w:cs="Times New Roman"/>
          <w:color w:val="000000"/>
        </w:rPr>
        <w:footnoteReference w:id="107"/>
      </w:r>
    </w:p>
    <w:p w14:paraId="581DA5C8" w14:textId="77777777" w:rsidR="006E1F45" w:rsidRPr="00A64FBE" w:rsidRDefault="006E1F45" w:rsidP="006E1F45">
      <w:pPr>
        <w:widowControl w:val="0"/>
        <w:autoSpaceDE w:val="0"/>
        <w:autoSpaceDN w:val="0"/>
        <w:adjustRightInd w:val="0"/>
        <w:ind w:firstLine="720"/>
        <w:rPr>
          <w:rFonts w:cs="Times New Roman"/>
          <w:color w:val="000000"/>
        </w:rPr>
      </w:pPr>
    </w:p>
    <w:p w14:paraId="5C026050" w14:textId="540D9300" w:rsidR="006E1F45" w:rsidRDefault="004D1118" w:rsidP="006E1F45">
      <w:pPr>
        <w:widowControl w:val="0"/>
        <w:autoSpaceDE w:val="0"/>
        <w:autoSpaceDN w:val="0"/>
        <w:adjustRightInd w:val="0"/>
        <w:ind w:firstLine="720"/>
        <w:rPr>
          <w:rFonts w:cs="Times New Roman"/>
          <w:color w:val="000000"/>
        </w:rPr>
      </w:pPr>
      <w:r>
        <w:rPr>
          <w:rFonts w:cs="Times New Roman"/>
          <w:color w:val="000000"/>
        </w:rPr>
        <w:t xml:space="preserve">Brooke concluded that </w:t>
      </w:r>
      <w:r w:rsidR="002A1E7C">
        <w:rPr>
          <w:rFonts w:cs="Times New Roman"/>
          <w:color w:val="000000"/>
        </w:rPr>
        <w:t>the argument</w:t>
      </w:r>
      <w:r>
        <w:rPr>
          <w:rFonts w:cs="Times New Roman"/>
          <w:color w:val="000000"/>
        </w:rPr>
        <w:t xml:space="preserve"> only applied</w:t>
      </w:r>
      <w:r w:rsidR="006E1F45" w:rsidRPr="00A64FBE">
        <w:rPr>
          <w:rFonts w:cs="Times New Roman"/>
          <w:color w:val="000000"/>
        </w:rPr>
        <w:t xml:space="preserve"> to the past shortfalls: “[T]he producer is entitled to contract-market damages only when the pipeline has made an anticipatory repudiation of the contract </w:t>
      </w:r>
      <w:bookmarkStart w:id="8" w:name="co_pp_sp_1251_1487_1"/>
      <w:bookmarkEnd w:id="8"/>
      <w:r w:rsidR="006E1F45" w:rsidRPr="00A64FBE">
        <w:rPr>
          <w:rFonts w:cs="Times New Roman"/>
          <w:color w:val="000000"/>
        </w:rPr>
        <w:t>before failing to take. . . . [W]hen the contract still admits of alternative performance, the correct measure of damages is the one least costly to the breacher.”</w:t>
      </w:r>
      <w:r w:rsidR="006E1F45" w:rsidRPr="00A64FBE">
        <w:rPr>
          <w:rStyle w:val="FootnoteReference"/>
          <w:rFonts w:cs="Times New Roman"/>
          <w:color w:val="000000"/>
        </w:rPr>
        <w:footnoteReference w:id="108"/>
      </w:r>
      <w:r w:rsidR="0036000C">
        <w:rPr>
          <w:rFonts w:cs="Times New Roman"/>
          <w:color w:val="000000"/>
        </w:rPr>
        <w:t xml:space="preserve"> </w:t>
      </w:r>
      <w:r w:rsidR="0036000C" w:rsidRPr="00A64FBE">
        <w:rPr>
          <w:rFonts w:cs="Times New Roman"/>
          <w:color w:val="000000"/>
        </w:rPr>
        <w:t xml:space="preserve">It is not clear whether the court </w:t>
      </w:r>
      <w:r w:rsidR="008802EA">
        <w:rPr>
          <w:rFonts w:cs="Times New Roman"/>
          <w:color w:val="000000"/>
        </w:rPr>
        <w:t xml:space="preserve">would have also concluded that its </w:t>
      </w:r>
      <w:r w:rsidR="002A1E7C">
        <w:rPr>
          <w:rFonts w:cs="Times New Roman"/>
          <w:color w:val="000000"/>
        </w:rPr>
        <w:t>remedy applied</w:t>
      </w:r>
      <w:r w:rsidR="008802EA">
        <w:rPr>
          <w:rFonts w:cs="Times New Roman"/>
          <w:color w:val="000000"/>
        </w:rPr>
        <w:t xml:space="preserve"> only to </w:t>
      </w:r>
      <w:r w:rsidR="008802EA" w:rsidRPr="00A64FBE">
        <w:rPr>
          <w:rFonts w:cs="Times New Roman"/>
          <w:color w:val="000000"/>
        </w:rPr>
        <w:t>p</w:t>
      </w:r>
      <w:r w:rsidR="008802EA">
        <w:rPr>
          <w:rFonts w:cs="Times New Roman"/>
          <w:color w:val="000000"/>
        </w:rPr>
        <w:t>ast shortfalls,</w:t>
      </w:r>
      <w:r w:rsidR="008802EA" w:rsidRPr="00A64FBE">
        <w:rPr>
          <w:rFonts w:cs="Times New Roman"/>
          <w:color w:val="000000"/>
        </w:rPr>
        <w:t xml:space="preserve"> </w:t>
      </w:r>
      <w:r w:rsidR="008802EA">
        <w:rPr>
          <w:rFonts w:cs="Times New Roman"/>
          <w:color w:val="000000"/>
        </w:rPr>
        <w:t>or if it meant to apply it to</w:t>
      </w:r>
      <w:r w:rsidR="0036000C" w:rsidRPr="00A64FBE">
        <w:rPr>
          <w:rFonts w:cs="Times New Roman"/>
          <w:color w:val="000000"/>
        </w:rPr>
        <w:t xml:space="preserve"> future take obligations</w:t>
      </w:r>
      <w:r w:rsidR="008802EA">
        <w:rPr>
          <w:rFonts w:cs="Times New Roman"/>
          <w:color w:val="000000"/>
        </w:rPr>
        <w:t xml:space="preserve"> as well.</w:t>
      </w:r>
      <w:r w:rsidR="0036000C" w:rsidRPr="00A64FBE">
        <w:rPr>
          <w:rFonts w:cs="Times New Roman"/>
          <w:color w:val="000000"/>
        </w:rPr>
        <w:t xml:space="preserve"> </w:t>
      </w:r>
    </w:p>
    <w:p w14:paraId="4E46F3A0" w14:textId="77777777" w:rsidR="00372DD5" w:rsidRDefault="00372DD5" w:rsidP="006E1F45">
      <w:pPr>
        <w:widowControl w:val="0"/>
        <w:autoSpaceDE w:val="0"/>
        <w:autoSpaceDN w:val="0"/>
        <w:adjustRightInd w:val="0"/>
        <w:ind w:firstLine="720"/>
        <w:rPr>
          <w:rFonts w:cs="Times New Roman"/>
          <w:color w:val="000000"/>
        </w:rPr>
      </w:pPr>
    </w:p>
    <w:p w14:paraId="12FD0DEE" w14:textId="7CF389D6" w:rsidR="00372DD5" w:rsidRPr="00DB2851" w:rsidRDefault="00372DD5" w:rsidP="00DB2851">
      <w:pPr>
        <w:widowControl w:val="0"/>
        <w:autoSpaceDE w:val="0"/>
        <w:autoSpaceDN w:val="0"/>
        <w:adjustRightInd w:val="0"/>
        <w:ind w:firstLine="720"/>
        <w:rPr>
          <w:color w:val="000000"/>
        </w:rPr>
      </w:pPr>
      <w:r w:rsidRPr="0031239D">
        <w:rPr>
          <w:color w:val="000000"/>
        </w:rPr>
        <w:t>The Prenalta-CIG dispute</w:t>
      </w:r>
      <w:r>
        <w:rPr>
          <w:rStyle w:val="FootnoteReference"/>
          <w:color w:val="000000"/>
        </w:rPr>
        <w:footnoteReference w:id="109"/>
      </w:r>
      <w:r w:rsidRPr="0031239D">
        <w:rPr>
          <w:color w:val="000000"/>
        </w:rPr>
        <w:t xml:space="preserve"> also involved a group of “take-and-pay” contr</w:t>
      </w:r>
      <w:r w:rsidR="00B065AF">
        <w:rPr>
          <w:color w:val="000000"/>
        </w:rPr>
        <w:t>acts under which the pipeline would be</w:t>
      </w:r>
      <w:r w:rsidRPr="0031239D">
        <w:rPr>
          <w:color w:val="000000"/>
        </w:rPr>
        <w:t xml:space="preserve"> required annually to take and pay for a minimum contract quantity of gas. </w:t>
      </w:r>
      <w:r>
        <w:rPr>
          <w:color w:val="000000"/>
        </w:rPr>
        <w:t xml:space="preserve">The court determined that for this type of contract the appropriate remedy was to treat Prenalta as a lost volume seller: </w:t>
      </w:r>
      <w:r w:rsidRPr="0031239D">
        <w:rPr>
          <w:color w:val="000000"/>
        </w:rPr>
        <w:t>“The parties agree that [2-708(1)] . . . would not put Prenalta in as good a position as if CIG had performed because the price under the contracts is less than the market price at the time and place of tender. Prenalta’s remedy, therefore, is provided by [2-708(2)].”</w:t>
      </w:r>
      <w:r>
        <w:rPr>
          <w:rStyle w:val="FootnoteReference"/>
          <w:color w:val="000000"/>
        </w:rPr>
        <w:footnoteReference w:id="110"/>
      </w:r>
      <w:r w:rsidRPr="0031239D">
        <w:rPr>
          <w:color w:val="000000"/>
        </w:rPr>
        <w:t xml:space="preserve"> </w:t>
      </w:r>
      <w:r>
        <w:rPr>
          <w:color w:val="000000"/>
        </w:rPr>
        <w:t>Therefore, it held, Prenalta should have the opportunity to offer evidence of lost profits.</w:t>
      </w:r>
      <w:r w:rsidRPr="00D04776">
        <w:rPr>
          <w:color w:val="000000"/>
        </w:rPr>
        <w:t xml:space="preserve"> </w:t>
      </w:r>
      <w:r>
        <w:rPr>
          <w:color w:val="000000"/>
        </w:rPr>
        <w:t xml:space="preserve">This is another illustration of the </w:t>
      </w:r>
      <w:r w:rsidR="009328EB">
        <w:rPr>
          <w:color w:val="000000"/>
        </w:rPr>
        <w:t>difficulties courts</w:t>
      </w:r>
      <w:r>
        <w:rPr>
          <w:color w:val="000000"/>
        </w:rPr>
        <w:t xml:space="preserve"> have dealing with long-term contracts. The </w:t>
      </w:r>
      <w:r w:rsidR="004E49EA">
        <w:rPr>
          <w:color w:val="000000"/>
        </w:rPr>
        <w:t>court’s conclusion</w:t>
      </w:r>
      <w:r>
        <w:rPr>
          <w:color w:val="000000"/>
        </w:rPr>
        <w:t xml:space="preserve"> makes </w:t>
      </w:r>
      <w:r w:rsidR="009328EB">
        <w:rPr>
          <w:color w:val="000000"/>
        </w:rPr>
        <w:t xml:space="preserve">no sense </w:t>
      </w:r>
      <w:r>
        <w:rPr>
          <w:color w:val="000000"/>
        </w:rPr>
        <w:t xml:space="preserve">either </w:t>
      </w:r>
      <w:r w:rsidR="009328EB">
        <w:rPr>
          <w:color w:val="000000"/>
        </w:rPr>
        <w:t xml:space="preserve">for past failures to take </w:t>
      </w:r>
      <w:r>
        <w:rPr>
          <w:color w:val="000000"/>
        </w:rPr>
        <w:t>or for an anticipatory repudiation. For the former, the</w:t>
      </w:r>
      <w:r w:rsidRPr="0031239D">
        <w:rPr>
          <w:color w:val="000000"/>
        </w:rPr>
        <w:t xml:space="preserve"> remedy should simply be the contract-price differential. </w:t>
      </w:r>
      <w:r>
        <w:rPr>
          <w:color w:val="000000"/>
        </w:rPr>
        <w:t>A standard sales contract enta</w:t>
      </w:r>
      <w:r w:rsidR="00A34B72">
        <w:rPr>
          <w:color w:val="000000"/>
        </w:rPr>
        <w:t xml:space="preserve">ils a “take-and-pay” obligation: </w:t>
      </w:r>
      <w:r>
        <w:rPr>
          <w:color w:val="000000"/>
        </w:rPr>
        <w:t xml:space="preserve">if the buyer </w:t>
      </w:r>
      <w:r w:rsidR="00E61247">
        <w:rPr>
          <w:color w:val="000000"/>
        </w:rPr>
        <w:t>failed to</w:t>
      </w:r>
      <w:r>
        <w:rPr>
          <w:color w:val="000000"/>
        </w:rPr>
        <w:t xml:space="preserve"> take, </w:t>
      </w:r>
      <w:r w:rsidR="00E61247">
        <w:rPr>
          <w:color w:val="000000"/>
        </w:rPr>
        <w:t>there would be</w:t>
      </w:r>
      <w:r>
        <w:rPr>
          <w:color w:val="000000"/>
        </w:rPr>
        <w:t xml:space="preserve"> a simple breach and 2-708(1) would apply.</w:t>
      </w:r>
      <w:r w:rsidR="001C4FB0">
        <w:rPr>
          <w:rStyle w:val="FootnoteReference"/>
          <w:color w:val="000000"/>
        </w:rPr>
        <w:footnoteReference w:id="111"/>
      </w:r>
      <w:r>
        <w:rPr>
          <w:color w:val="000000"/>
        </w:rPr>
        <w:t xml:space="preserve"> </w:t>
      </w:r>
      <w:r w:rsidR="00E61247">
        <w:rPr>
          <w:color w:val="000000"/>
        </w:rPr>
        <w:t>For an</w:t>
      </w:r>
      <w:r w:rsidR="00A34B72">
        <w:rPr>
          <w:color w:val="000000"/>
        </w:rPr>
        <w:t xml:space="preserve"> </w:t>
      </w:r>
      <w:r>
        <w:rPr>
          <w:color w:val="000000"/>
        </w:rPr>
        <w:t>anticipatory rep</w:t>
      </w:r>
      <w:r w:rsidR="001C4FB0">
        <w:rPr>
          <w:color w:val="000000"/>
        </w:rPr>
        <w:t>udiation, t</w:t>
      </w:r>
      <w:r>
        <w:rPr>
          <w:color w:val="000000"/>
        </w:rPr>
        <w:t>he method for determining damages would be the same</w:t>
      </w:r>
      <w:r w:rsidR="001C4FB0">
        <w:rPr>
          <w:color w:val="000000"/>
        </w:rPr>
        <w:t xml:space="preserve"> as for a take-or-pay contract</w:t>
      </w:r>
      <w:r w:rsidR="00A34B72">
        <w:rPr>
          <w:color w:val="000000"/>
        </w:rPr>
        <w:t xml:space="preserve">: </w:t>
      </w:r>
      <w:r>
        <w:rPr>
          <w:color w:val="000000"/>
        </w:rPr>
        <w:t>assess the change in the value of the contract at the time of the repudiation.</w:t>
      </w:r>
    </w:p>
    <w:p w14:paraId="5AF99A70" w14:textId="77777777" w:rsidR="00D66D2E" w:rsidRPr="00D66D2E" w:rsidRDefault="00D66D2E" w:rsidP="00A01CA4">
      <w:pPr>
        <w:rPr>
          <w:rFonts w:cs="Times New Roman"/>
          <w:color w:val="000000"/>
        </w:rPr>
      </w:pPr>
    </w:p>
    <w:p w14:paraId="10C6DACF" w14:textId="41E2101C" w:rsidR="00B73824" w:rsidRDefault="00A01CA4" w:rsidP="00A01CA4">
      <w:pPr>
        <w:rPr>
          <w:rFonts w:cs="Times New Roman"/>
          <w:color w:val="000000"/>
        </w:rPr>
      </w:pPr>
      <w:r w:rsidRPr="00D66D2E">
        <w:rPr>
          <w:rFonts w:cs="Times New Roman"/>
          <w:color w:val="000000"/>
        </w:rPr>
        <w:tab/>
      </w:r>
      <w:r w:rsidR="006E1F45" w:rsidRPr="00A34B72">
        <w:rPr>
          <w:rFonts w:cs="Times New Roman"/>
          <w:color w:val="000000"/>
        </w:rPr>
        <w:t>6</w:t>
      </w:r>
      <w:r w:rsidRPr="00A34B72">
        <w:rPr>
          <w:rFonts w:cs="Times New Roman"/>
          <w:color w:val="000000"/>
        </w:rPr>
        <w:t>.</w:t>
      </w:r>
      <w:r w:rsidRPr="00D66D2E">
        <w:rPr>
          <w:rFonts w:cs="Times New Roman"/>
          <w:i/>
          <w:color w:val="000000"/>
        </w:rPr>
        <w:t xml:space="preserve"> Summing Up</w:t>
      </w:r>
      <w:r w:rsidR="00D66D2E" w:rsidRPr="00D66D2E">
        <w:rPr>
          <w:rFonts w:cs="Times New Roman"/>
          <w:i/>
          <w:color w:val="000000"/>
        </w:rPr>
        <w:t>.</w:t>
      </w:r>
      <w:r w:rsidR="00D66D2E">
        <w:rPr>
          <w:rFonts w:cs="Times New Roman"/>
          <w:i/>
          <w:color w:val="000000"/>
        </w:rPr>
        <w:t xml:space="preserve"> </w:t>
      </w:r>
      <w:r w:rsidR="00393E76" w:rsidRPr="00451105">
        <w:rPr>
          <w:rFonts w:cs="Times New Roman"/>
          <w:color w:val="000000"/>
        </w:rPr>
        <w:t xml:space="preserve">In long-term </w:t>
      </w:r>
      <w:r w:rsidR="008802EA">
        <w:rPr>
          <w:rFonts w:cs="Times New Roman"/>
          <w:color w:val="000000"/>
        </w:rPr>
        <w:t xml:space="preserve">take-or-pay </w:t>
      </w:r>
      <w:r w:rsidR="00393E76" w:rsidRPr="00451105">
        <w:rPr>
          <w:rFonts w:cs="Times New Roman"/>
          <w:color w:val="000000"/>
        </w:rPr>
        <w:t>contracts, the</w:t>
      </w:r>
      <w:r w:rsidR="00850DE1" w:rsidRPr="00451105">
        <w:rPr>
          <w:rFonts w:cs="Times New Roman"/>
          <w:color w:val="000000"/>
        </w:rPr>
        <w:t xml:space="preserve"> UCC works fine for dealing wit</w:t>
      </w:r>
      <w:r w:rsidR="00393E76" w:rsidRPr="00451105">
        <w:rPr>
          <w:rFonts w:cs="Times New Roman"/>
          <w:color w:val="000000"/>
        </w:rPr>
        <w:t xml:space="preserve">h </w:t>
      </w:r>
      <w:r w:rsidR="00850DE1" w:rsidRPr="00451105">
        <w:rPr>
          <w:rFonts w:cs="Times New Roman"/>
          <w:color w:val="000000"/>
        </w:rPr>
        <w:t>a shortfall in an ongoing contract. The buyer would simply pay the contract price multiplied by the shortfall and both parties would continue to be bound by the contract.</w:t>
      </w:r>
      <w:r w:rsidR="00850DE1" w:rsidRPr="00451105">
        <w:rPr>
          <w:rStyle w:val="FootnoteReference"/>
          <w:rFonts w:cs="Times New Roman"/>
          <w:color w:val="000000"/>
        </w:rPr>
        <w:footnoteReference w:id="112"/>
      </w:r>
      <w:r w:rsidR="00850DE1" w:rsidRPr="00451105">
        <w:rPr>
          <w:rFonts w:cs="Times New Roman"/>
          <w:color w:val="000000"/>
        </w:rPr>
        <w:t xml:space="preserve"> </w:t>
      </w:r>
      <w:r w:rsidR="006E1F45">
        <w:rPr>
          <w:rFonts w:cs="Times New Roman"/>
          <w:color w:val="000000"/>
        </w:rPr>
        <w:t xml:space="preserve">Courts get there in various ways, and the reasoning is not always transparent, but they do seem to figure it out. </w:t>
      </w:r>
      <w:r w:rsidR="00850DE1" w:rsidRPr="00451105">
        <w:rPr>
          <w:rFonts w:cs="Times New Roman"/>
          <w:color w:val="000000"/>
        </w:rPr>
        <w:t>However, t</w:t>
      </w:r>
      <w:r w:rsidRPr="00451105">
        <w:rPr>
          <w:rFonts w:cs="Times New Roman"/>
          <w:color w:val="000000"/>
        </w:rPr>
        <w:t>he UCC is, as White and Summers asserted, inadequa</w:t>
      </w:r>
      <w:r w:rsidR="00850DE1" w:rsidRPr="00451105">
        <w:rPr>
          <w:rFonts w:cs="Times New Roman"/>
          <w:color w:val="000000"/>
        </w:rPr>
        <w:t>te for dealing with repudiation</w:t>
      </w:r>
      <w:r w:rsidRPr="00451105">
        <w:rPr>
          <w:rFonts w:cs="Times New Roman"/>
          <w:color w:val="000000"/>
        </w:rPr>
        <w:t xml:space="preserve"> of long-term contracts. It provides an answer—</w:t>
      </w:r>
      <w:r w:rsidRPr="00451105">
        <w:rPr>
          <w:rFonts w:cs="Times New Roman"/>
          <w:color w:val="000000"/>
        </w:rPr>
        <w:lastRenderedPageBreak/>
        <w:t xml:space="preserve">not necessarily a good answer—to the question of what price of the goods should be used (mainly </w:t>
      </w:r>
      <w:r w:rsidR="008802EA">
        <w:rPr>
          <w:rFonts w:cs="Times New Roman"/>
          <w:color w:val="000000"/>
        </w:rPr>
        <w:t>§</w:t>
      </w:r>
      <w:r w:rsidRPr="00451105">
        <w:rPr>
          <w:rFonts w:cs="Times New Roman"/>
          <w:color w:val="000000"/>
        </w:rPr>
        <w:t>2-723). It provides no coherent answer to</w:t>
      </w:r>
      <w:r w:rsidR="0030696B" w:rsidRPr="00451105">
        <w:rPr>
          <w:rFonts w:cs="Times New Roman"/>
          <w:color w:val="000000"/>
        </w:rPr>
        <w:t xml:space="preserve"> the question of how (or even if</w:t>
      </w:r>
      <w:r w:rsidRPr="00451105">
        <w:rPr>
          <w:rFonts w:cs="Times New Roman"/>
          <w:color w:val="000000"/>
        </w:rPr>
        <w:t xml:space="preserve">) future quantities should be determined. It ignores significant features of the contracts such as early termination rights and price redetermination rights. </w:t>
      </w:r>
      <w:r w:rsidR="006E1F45">
        <w:rPr>
          <w:rFonts w:cs="Times New Roman"/>
          <w:color w:val="000000"/>
        </w:rPr>
        <w:t xml:space="preserve">Most </w:t>
      </w:r>
      <w:r w:rsidR="008802EA">
        <w:rPr>
          <w:rFonts w:cs="Times New Roman"/>
          <w:color w:val="000000"/>
        </w:rPr>
        <w:t xml:space="preserve">decisions </w:t>
      </w:r>
      <w:r w:rsidR="006E1F45">
        <w:rPr>
          <w:rFonts w:cs="Times New Roman"/>
          <w:color w:val="000000"/>
        </w:rPr>
        <w:t xml:space="preserve">seem to conclude that </w:t>
      </w:r>
      <w:r w:rsidR="002A1E7C">
        <w:rPr>
          <w:rFonts w:cs="Times New Roman"/>
          <w:color w:val="000000"/>
        </w:rPr>
        <w:t>for the post-decision period damages should be based on the difference between some measure of the difference between future contract and market prices</w:t>
      </w:r>
      <w:r w:rsidR="00D25467">
        <w:rPr>
          <w:rFonts w:cs="Times New Roman"/>
          <w:color w:val="000000"/>
        </w:rPr>
        <w:t>. But the case law seems a bit hazy on the treatment of a repudiation and whether it should be treated differently from a shortfall in a particular installment.</w:t>
      </w:r>
    </w:p>
    <w:p w14:paraId="545695C0" w14:textId="77777777" w:rsidR="00A01CA4" w:rsidRPr="00451105" w:rsidRDefault="00A01CA4" w:rsidP="00A01CA4">
      <w:pPr>
        <w:rPr>
          <w:rFonts w:cs="Times New Roman"/>
          <w:color w:val="000000"/>
        </w:rPr>
      </w:pPr>
    </w:p>
    <w:p w14:paraId="1912D494" w14:textId="0B669A99" w:rsidR="00FC359A" w:rsidRDefault="00A01CA4" w:rsidP="00A01CA4">
      <w:pPr>
        <w:rPr>
          <w:rFonts w:cs="Times New Roman"/>
          <w:color w:val="000000"/>
        </w:rPr>
      </w:pPr>
      <w:r w:rsidRPr="00451105">
        <w:rPr>
          <w:rFonts w:cs="Times New Roman"/>
          <w:color w:val="000000"/>
        </w:rPr>
        <w:tab/>
        <w:t xml:space="preserve">The </w:t>
      </w:r>
      <w:r w:rsidR="008802EA">
        <w:rPr>
          <w:rFonts w:cs="Times New Roman"/>
          <w:color w:val="000000"/>
        </w:rPr>
        <w:t>§</w:t>
      </w:r>
      <w:r w:rsidRPr="00451105">
        <w:rPr>
          <w:rFonts w:cs="Times New Roman"/>
          <w:color w:val="000000"/>
        </w:rPr>
        <w:t xml:space="preserve">2-723 inquiry focuses on the wrong price. </w:t>
      </w:r>
      <w:r w:rsidR="00AB3BC0" w:rsidRPr="00A40A5C">
        <w:rPr>
          <w:rFonts w:cs="Times New Roman"/>
        </w:rPr>
        <w:t>We</w:t>
      </w:r>
      <w:r w:rsidR="00D975BE" w:rsidRPr="00A40A5C">
        <w:rPr>
          <w:rFonts w:cs="Times New Roman"/>
        </w:rPr>
        <w:t xml:space="preserve"> could</w:t>
      </w:r>
      <w:r w:rsidR="00D975BE">
        <w:rPr>
          <w:rFonts w:cs="Times New Roman"/>
        </w:rPr>
        <w:t xml:space="preserve"> adapt </w:t>
      </w:r>
      <w:r w:rsidR="008802EA">
        <w:rPr>
          <w:rFonts w:cs="Times New Roman"/>
        </w:rPr>
        <w:t>§</w:t>
      </w:r>
      <w:r w:rsidR="00D975BE">
        <w:rPr>
          <w:rFonts w:cs="Times New Roman"/>
        </w:rPr>
        <w:t>2-723, recognizing</w:t>
      </w:r>
      <w:r w:rsidR="00D975BE" w:rsidRPr="00A40A5C">
        <w:rPr>
          <w:rFonts w:cs="Times New Roman"/>
        </w:rPr>
        <w:t xml:space="preserve"> that </w:t>
      </w:r>
      <w:r w:rsidR="00D975BE">
        <w:rPr>
          <w:rFonts w:cs="Times New Roman"/>
        </w:rPr>
        <w:t xml:space="preserve">what </w:t>
      </w:r>
      <w:r w:rsidR="00D975BE" w:rsidRPr="00A40A5C">
        <w:rPr>
          <w:rFonts w:cs="Times New Roman"/>
        </w:rPr>
        <w:t>we are looking for is not a single price, but the set of forward prices—that is, today’s price for delivery on each of the future dates. That set of prices would be implicit in the valuation of the contract at the repudiation date.</w:t>
      </w:r>
      <w:r w:rsidR="00D975BE" w:rsidRPr="00451105">
        <w:rPr>
          <w:rFonts w:cs="Times New Roman"/>
          <w:color w:val="000000"/>
        </w:rPr>
        <w:t xml:space="preserve"> </w:t>
      </w:r>
      <w:r w:rsidR="00D975BE">
        <w:rPr>
          <w:rFonts w:cs="Times New Roman"/>
          <w:color w:val="000000"/>
        </w:rPr>
        <w:t xml:space="preserve">And that highlights the key point. </w:t>
      </w:r>
      <w:r w:rsidRPr="00451105">
        <w:rPr>
          <w:rFonts w:cs="Times New Roman"/>
          <w:color w:val="000000"/>
        </w:rPr>
        <w:t xml:space="preserve">The concern should not be with the change in the price of the gas, but with the change in the value of the asset—the contract—at the time of the repudiation. The contract’s value encompasses all the nuances that the </w:t>
      </w:r>
      <w:r w:rsidR="008802EA">
        <w:rPr>
          <w:rFonts w:cs="Times New Roman"/>
          <w:color w:val="000000"/>
        </w:rPr>
        <w:t>§</w:t>
      </w:r>
      <w:r w:rsidRPr="00451105">
        <w:rPr>
          <w:rFonts w:cs="Times New Roman"/>
          <w:color w:val="000000"/>
        </w:rPr>
        <w:t>2-723 inquiry fails to reach.</w:t>
      </w:r>
      <w:r w:rsidR="00D25467">
        <w:rPr>
          <w:rFonts w:cs="Times New Roman"/>
          <w:color w:val="000000"/>
        </w:rPr>
        <w:t xml:space="preserve"> </w:t>
      </w:r>
      <w:r w:rsidR="00D25467" w:rsidRPr="001B7CEA">
        <w:rPr>
          <w:rFonts w:cs="Times New Roman"/>
          <w:color w:val="000000"/>
        </w:rPr>
        <w:t>Medina et al, make this point as well. “The payment made is for the market value of the gas contract, not for the purchase of reserves.</w:t>
      </w:r>
      <w:bookmarkStart w:id="9" w:name="co_footnoteReference_F47101513964_ID0EJV"/>
      <w:bookmarkEnd w:id="9"/>
      <w:r w:rsidR="00D25467" w:rsidRPr="001B7CEA">
        <w:rPr>
          <w:rFonts w:cs="Times New Roman"/>
          <w:color w:val="000000"/>
        </w:rPr>
        <w:t xml:space="preserve"> Therefore, after payment of the damages, the producer will still own the gas although the reserves will no longer be contracted.”</w:t>
      </w:r>
      <w:r w:rsidR="00D975BE" w:rsidRPr="00451105">
        <w:rPr>
          <w:rStyle w:val="FootnoteReference"/>
          <w:rFonts w:cs="Times New Roman"/>
          <w:color w:val="000000"/>
        </w:rPr>
        <w:footnoteReference w:id="113"/>
      </w:r>
      <w:r w:rsidR="00D975BE" w:rsidRPr="00451105">
        <w:rPr>
          <w:rFonts w:cs="Times New Roman"/>
          <w:color w:val="000000"/>
        </w:rPr>
        <w:t xml:space="preserve"> </w:t>
      </w:r>
      <w:r w:rsidRPr="00451105">
        <w:rPr>
          <w:rFonts w:cs="Times New Roman"/>
          <w:color w:val="000000"/>
        </w:rPr>
        <w:t>The value depends on, among other things, the nature of the take-or-pay obligation, the price adjustment mechanism</w:t>
      </w:r>
      <w:r w:rsidR="00D975BE">
        <w:rPr>
          <w:rFonts w:cs="Times New Roman"/>
          <w:color w:val="000000"/>
        </w:rPr>
        <w:t xml:space="preserve"> (including a possible market-out)</w:t>
      </w:r>
      <w:r w:rsidRPr="00451105">
        <w:rPr>
          <w:rFonts w:cs="Times New Roman"/>
          <w:color w:val="000000"/>
        </w:rPr>
        <w:t xml:space="preserve">, and the termination options. </w:t>
      </w:r>
      <w:r w:rsidR="00D25467">
        <w:rPr>
          <w:rFonts w:cs="Times New Roman"/>
          <w:color w:val="000000"/>
        </w:rPr>
        <w:t>Since termination of the seller’s obligation frees it to s</w:t>
      </w:r>
      <w:r w:rsidR="00A768B0">
        <w:rPr>
          <w:rFonts w:cs="Times New Roman"/>
          <w:color w:val="000000"/>
        </w:rPr>
        <w:t>ell</w:t>
      </w:r>
      <w:r w:rsidR="00D25467">
        <w:rPr>
          <w:rFonts w:cs="Times New Roman"/>
          <w:color w:val="000000"/>
        </w:rPr>
        <w:t xml:space="preserve"> </w:t>
      </w:r>
      <w:r w:rsidR="00A768B0">
        <w:rPr>
          <w:rFonts w:cs="Times New Roman"/>
          <w:color w:val="000000"/>
        </w:rPr>
        <w:t>the gas to others, the remedy would be</w:t>
      </w:r>
      <w:r w:rsidR="00D25467">
        <w:rPr>
          <w:rFonts w:cs="Times New Roman"/>
          <w:color w:val="000000"/>
        </w:rPr>
        <w:t xml:space="preserve"> based on the expected market/contract price differential;</w:t>
      </w:r>
      <w:r w:rsidR="0033063B">
        <w:rPr>
          <w:rStyle w:val="FootnoteReference"/>
          <w:rFonts w:cs="Times New Roman"/>
          <w:color w:val="000000"/>
        </w:rPr>
        <w:footnoteReference w:id="114"/>
      </w:r>
      <w:r w:rsidR="00D25467">
        <w:rPr>
          <w:rFonts w:cs="Times New Roman"/>
          <w:color w:val="000000"/>
        </w:rPr>
        <w:t xml:space="preserve"> it incorporates mitigation by resale. In effect, </w:t>
      </w:r>
      <w:r w:rsidRPr="00451105">
        <w:rPr>
          <w:rFonts w:cs="Times New Roman"/>
          <w:color w:val="000000"/>
        </w:rPr>
        <w:t>we ask: how much would the buyer be willing to pay to walk away?</w:t>
      </w:r>
      <w:r w:rsidR="00850DE1" w:rsidRPr="00451105">
        <w:rPr>
          <w:rStyle w:val="FootnoteReference"/>
          <w:rFonts w:cs="Times New Roman"/>
          <w:color w:val="000000"/>
        </w:rPr>
        <w:footnoteReference w:id="115"/>
      </w:r>
      <w:r w:rsidRPr="00451105">
        <w:rPr>
          <w:rFonts w:cs="Times New Roman"/>
          <w:color w:val="000000"/>
        </w:rPr>
        <w:t xml:space="preserve"> </w:t>
      </w:r>
    </w:p>
    <w:p w14:paraId="6914EEEE" w14:textId="77777777" w:rsidR="00FC359A" w:rsidRDefault="00FC359A" w:rsidP="00A01CA4">
      <w:pPr>
        <w:rPr>
          <w:rFonts w:cs="Times New Roman"/>
          <w:color w:val="000000"/>
        </w:rPr>
      </w:pPr>
    </w:p>
    <w:p w14:paraId="18BBD2F3" w14:textId="5CAFB187" w:rsidR="00A01CA4" w:rsidRPr="00451105" w:rsidRDefault="00A01CA4" w:rsidP="00FC359A">
      <w:pPr>
        <w:ind w:firstLine="720"/>
        <w:rPr>
          <w:rFonts w:cs="Times New Roman"/>
          <w:color w:val="000000"/>
        </w:rPr>
      </w:pPr>
      <w:r w:rsidRPr="00451105">
        <w:rPr>
          <w:rFonts w:cs="Times New Roman"/>
          <w:color w:val="000000"/>
        </w:rPr>
        <w:t xml:space="preserve">I do not mean to suggest that this would be an easy task; it would almost certainly require some sophisticated work by economic experts. But, I should note, this is an exercise parties routinely engage in when negotiating a settlement. </w:t>
      </w:r>
      <w:r w:rsidR="00B73824">
        <w:rPr>
          <w:rFonts w:cs="Times New Roman"/>
          <w:color w:val="000000"/>
        </w:rPr>
        <w:t>In the period in which these</w:t>
      </w:r>
      <w:r w:rsidRPr="00451105">
        <w:rPr>
          <w:rFonts w:cs="Times New Roman"/>
          <w:color w:val="000000"/>
        </w:rPr>
        <w:t xml:space="preserve"> cases were litigated, the overwhelming majority of the natural gas take-or-pay contracts were renegotiated, with many (probably most) including a lump sum payment to extricate the buyer from the deal.</w:t>
      </w:r>
      <w:r w:rsidR="00320C9E" w:rsidRPr="00451105">
        <w:rPr>
          <w:rFonts w:cs="Times New Roman"/>
          <w:color w:val="000000"/>
        </w:rPr>
        <w:t xml:space="preserve"> And, as the Second Circuit Court of Appeals said in the next case, this is the sort of exercise the parties engaged in when entering into the deal in the first place.</w:t>
      </w:r>
    </w:p>
    <w:p w14:paraId="4CB8B4C8" w14:textId="77777777" w:rsidR="00394695" w:rsidRPr="00451105" w:rsidRDefault="00394695" w:rsidP="00A01CA4">
      <w:pPr>
        <w:rPr>
          <w:rFonts w:cs="Times New Roman"/>
          <w:color w:val="000000"/>
        </w:rPr>
      </w:pPr>
    </w:p>
    <w:p w14:paraId="1FF71F3E" w14:textId="62F01FED" w:rsidR="009952D8" w:rsidRDefault="00394695" w:rsidP="009952D8">
      <w:pPr>
        <w:pStyle w:val="ListParagraph"/>
        <w:widowControl w:val="0"/>
        <w:numPr>
          <w:ilvl w:val="0"/>
          <w:numId w:val="4"/>
        </w:numPr>
        <w:autoSpaceDE w:val="0"/>
        <w:autoSpaceDN w:val="0"/>
        <w:adjustRightInd w:val="0"/>
        <w:rPr>
          <w:rFonts w:cs="Times New Roman"/>
        </w:rPr>
      </w:pPr>
      <w:r w:rsidRPr="009952D8">
        <w:rPr>
          <w:rFonts w:cs="Times New Roman"/>
          <w:b/>
        </w:rPr>
        <w:t>Tractebel</w:t>
      </w:r>
      <w:r w:rsidRPr="009952D8">
        <w:rPr>
          <w:rFonts w:cs="Times New Roman"/>
        </w:rPr>
        <w:t xml:space="preserve">. </w:t>
      </w:r>
    </w:p>
    <w:p w14:paraId="63908D11" w14:textId="77777777" w:rsidR="008802EA" w:rsidRPr="009952D8" w:rsidRDefault="008802EA" w:rsidP="008802EA">
      <w:pPr>
        <w:pStyle w:val="ListParagraph"/>
        <w:widowControl w:val="0"/>
        <w:autoSpaceDE w:val="0"/>
        <w:autoSpaceDN w:val="0"/>
        <w:adjustRightInd w:val="0"/>
        <w:ind w:left="1080"/>
        <w:rPr>
          <w:rFonts w:cs="Times New Roman"/>
        </w:rPr>
      </w:pPr>
    </w:p>
    <w:p w14:paraId="3E5FA84D" w14:textId="13218FCA" w:rsidR="00394695" w:rsidRPr="009952D8" w:rsidRDefault="00394695" w:rsidP="009952D8">
      <w:pPr>
        <w:widowControl w:val="0"/>
        <w:autoSpaceDE w:val="0"/>
        <w:autoSpaceDN w:val="0"/>
        <w:adjustRightInd w:val="0"/>
        <w:ind w:firstLine="720"/>
        <w:rPr>
          <w:rFonts w:cs="Times New Roman"/>
          <w:color w:val="000000"/>
        </w:rPr>
      </w:pPr>
      <w:r w:rsidRPr="009952D8">
        <w:rPr>
          <w:rFonts w:cs="Times New Roman"/>
        </w:rPr>
        <w:t>In November</w:t>
      </w:r>
      <w:r w:rsidR="00DD26DB">
        <w:rPr>
          <w:rFonts w:cs="Times New Roman"/>
        </w:rPr>
        <w:t xml:space="preserve"> 2000, American Electric Power C</w:t>
      </w:r>
      <w:r w:rsidRPr="009952D8">
        <w:rPr>
          <w:rFonts w:cs="Times New Roman"/>
        </w:rPr>
        <w:t xml:space="preserve">ompany (AEP) entered into a Power Purchase and Sale Agreement ((PPSA) with </w:t>
      </w:r>
      <w:r w:rsidRPr="009952D8">
        <w:rPr>
          <w:rFonts w:cs="Times New Roman"/>
          <w:color w:val="000000"/>
        </w:rPr>
        <w:t>Tractebel Energy Marketing, Inc. (TEMI).</w:t>
      </w:r>
      <w:r w:rsidR="00A34B72">
        <w:rPr>
          <w:rStyle w:val="FootnoteReference"/>
          <w:rFonts w:cs="Times New Roman"/>
          <w:color w:val="000000"/>
        </w:rPr>
        <w:footnoteReference w:id="116"/>
      </w:r>
      <w:r w:rsidRPr="009952D8">
        <w:rPr>
          <w:rFonts w:cs="Times New Roman"/>
          <w:color w:val="000000"/>
        </w:rPr>
        <w:t xml:space="preserve"> AEP would build a cogeneration plant in Plaquemine, Louisiana that would supply steam to Dow Chemical and electric power to TEMI. The PPSA term was for 20 </w:t>
      </w:r>
      <w:r w:rsidRPr="009952D8">
        <w:rPr>
          <w:rFonts w:cs="Times New Roman"/>
          <w:color w:val="000000"/>
        </w:rPr>
        <w:lastRenderedPageBreak/>
        <w:t>years. Because Dow needed large quantities of steam,</w:t>
      </w:r>
      <w:r w:rsidRPr="00451105">
        <w:rPr>
          <w:rStyle w:val="FootnoteReference"/>
          <w:rFonts w:cs="Times New Roman"/>
          <w:color w:val="000000"/>
        </w:rPr>
        <w:footnoteReference w:id="117"/>
      </w:r>
      <w:r w:rsidRPr="009952D8">
        <w:rPr>
          <w:rFonts w:cs="Times New Roman"/>
          <w:color w:val="000000"/>
        </w:rPr>
        <w:t xml:space="preserve"> and because the steam and electricity were jointly produced, the contract required that TEMI take a substantial amount of electricity. The contract included a “must-take” provision. It also included a minimum guarantee of $50 million and a mechanism by which either party could request that the guarantee be increased if it believed the guarantee had become inadequate.</w:t>
      </w:r>
      <w:r w:rsidRPr="00451105">
        <w:rPr>
          <w:rStyle w:val="FootnoteReference"/>
          <w:rFonts w:cs="Times New Roman"/>
          <w:color w:val="000000"/>
        </w:rPr>
        <w:footnoteReference w:id="118"/>
      </w:r>
      <w:r w:rsidRPr="009952D8">
        <w:rPr>
          <w:rFonts w:cs="Times New Roman"/>
          <w:color w:val="000000"/>
        </w:rPr>
        <w:t xml:space="preserve"> AEP spent about $500 million building the facility; before the facility was on line, the market for electricity collapsed and TEMI wanted out. AEP requested that the guarantee be increased to reflect the new conditions and TEMI refused. </w:t>
      </w:r>
    </w:p>
    <w:p w14:paraId="76C86E22" w14:textId="77777777" w:rsidR="00394695" w:rsidRPr="00451105" w:rsidRDefault="00394695" w:rsidP="00394695">
      <w:pPr>
        <w:rPr>
          <w:rFonts w:cs="Times New Roman"/>
          <w:color w:val="000000"/>
        </w:rPr>
      </w:pPr>
    </w:p>
    <w:p w14:paraId="0235F83B" w14:textId="69CC524A" w:rsidR="00394695" w:rsidRPr="00451105" w:rsidRDefault="00394695" w:rsidP="00394695">
      <w:pPr>
        <w:rPr>
          <w:rFonts w:cs="Times New Roman"/>
          <w:color w:val="000000"/>
        </w:rPr>
      </w:pPr>
      <w:r w:rsidRPr="00451105">
        <w:rPr>
          <w:rFonts w:cs="Times New Roman"/>
          <w:color w:val="000000"/>
        </w:rPr>
        <w:tab/>
        <w:t>To show that AEP had reasonable grounds for believing that the guarantee was inadequate it had to show that the present value of gains and losses exceeded $50 million. This was not too hard since there was evidence that, prior to repudiation, TEMI had produced internal calculations showing termination payments in excess of $600 million. The court concluded that TEMI’s refusal was unreasonable and that TEMI had repudiated the agreement; it then confronted the damage assessment issue.</w:t>
      </w:r>
      <w:r w:rsidRPr="00451105">
        <w:rPr>
          <w:rStyle w:val="FootnoteReference"/>
          <w:rFonts w:cs="Times New Roman"/>
          <w:color w:val="000000"/>
        </w:rPr>
        <w:footnoteReference w:id="119"/>
      </w:r>
      <w:r w:rsidRPr="00451105">
        <w:rPr>
          <w:rFonts w:cs="Times New Roman"/>
          <w:color w:val="000000"/>
        </w:rPr>
        <w:t xml:space="preserve"> </w:t>
      </w:r>
    </w:p>
    <w:p w14:paraId="6B8095DF" w14:textId="77777777" w:rsidR="00394695" w:rsidRPr="00451105" w:rsidRDefault="00394695" w:rsidP="00394695">
      <w:pPr>
        <w:rPr>
          <w:rFonts w:cs="Times New Roman"/>
          <w:color w:val="000000"/>
        </w:rPr>
      </w:pPr>
    </w:p>
    <w:p w14:paraId="3F026CD2" w14:textId="34D9F402" w:rsidR="00394695" w:rsidRPr="00451105" w:rsidRDefault="00394695" w:rsidP="00394695">
      <w:pPr>
        <w:ind w:firstLine="720"/>
        <w:rPr>
          <w:rFonts w:cs="Times New Roman"/>
          <w:color w:val="000000"/>
        </w:rPr>
      </w:pPr>
      <w:r w:rsidRPr="00451105">
        <w:rPr>
          <w:rFonts w:cs="Times New Roman"/>
          <w:color w:val="000000"/>
        </w:rPr>
        <w:t>Each side provided expert testimony on AEP’s lost profits. AEP’s witness concluded that the present value of its losses over the twenty-year period was between $417 and $604 million with the most likely case being $520 million.</w:t>
      </w:r>
      <w:r w:rsidRPr="00451105">
        <w:rPr>
          <w:rStyle w:val="FootnoteReference"/>
          <w:rFonts w:cs="Times New Roman"/>
          <w:color w:val="000000"/>
        </w:rPr>
        <w:footnoteReference w:id="120"/>
      </w:r>
      <w:r w:rsidRPr="00451105">
        <w:rPr>
          <w:rFonts w:cs="Times New Roman"/>
          <w:color w:val="000000"/>
        </w:rPr>
        <w:t xml:space="preserve"> TEMI’s expert claimed that </w:t>
      </w:r>
      <w:r w:rsidR="00BD6962" w:rsidRPr="00451105">
        <w:rPr>
          <w:rFonts w:cs="Times New Roman"/>
          <w:color w:val="000000"/>
        </w:rPr>
        <w:t>AEP suffered no loss. In effect, he concluded</w:t>
      </w:r>
      <w:r w:rsidR="005934B0" w:rsidRPr="00451105">
        <w:rPr>
          <w:rFonts w:cs="Times New Roman"/>
          <w:color w:val="000000"/>
        </w:rPr>
        <w:t xml:space="preserve"> t</w:t>
      </w:r>
      <w:r w:rsidRPr="00451105">
        <w:rPr>
          <w:rFonts w:cs="Times New Roman"/>
          <w:color w:val="000000"/>
        </w:rPr>
        <w:t>hat the repudiation was a gift to AEP, so TEMI should pay nothing. The trial judge was not impressed by either expert: “I found both experts provided unreliable testimony and worse yet, it appeared to be clouded by their obvious advocacy, to paraphrase a popular show tune, on behalf of the lady they came in with.”</w:t>
      </w:r>
      <w:r w:rsidRPr="00451105">
        <w:rPr>
          <w:rStyle w:val="FootnoteReference"/>
          <w:rFonts w:cs="Times New Roman"/>
          <w:color w:val="000000"/>
        </w:rPr>
        <w:footnoteReference w:id="121"/>
      </w:r>
      <w:r w:rsidRPr="00451105">
        <w:rPr>
          <w:rFonts w:cs="Times New Roman"/>
          <w:color w:val="000000"/>
        </w:rPr>
        <w:t xml:space="preserve"> But even if they had done impeccable work, he would not have accepted it; it would be too speculative:</w:t>
      </w:r>
    </w:p>
    <w:p w14:paraId="5B1598EB" w14:textId="77777777" w:rsidR="00394695" w:rsidRPr="00451105" w:rsidRDefault="00394695" w:rsidP="00394695">
      <w:pPr>
        <w:widowControl w:val="0"/>
        <w:autoSpaceDE w:val="0"/>
        <w:autoSpaceDN w:val="0"/>
        <w:adjustRightInd w:val="0"/>
        <w:spacing w:before="250" w:after="50"/>
        <w:ind w:left="720" w:right="720"/>
        <w:rPr>
          <w:rFonts w:cs="Times New Roman"/>
          <w:color w:val="000000"/>
        </w:rPr>
      </w:pPr>
      <w:r w:rsidRPr="00451105">
        <w:rPr>
          <w:rFonts w:cs="Times New Roman"/>
          <w:color w:val="000000"/>
        </w:rPr>
        <w:t xml:space="preserve">In order to know what AEP’s revenues would be over the next twenty </w:t>
      </w:r>
      <w:r w:rsidRPr="00451105">
        <w:rPr>
          <w:rFonts w:cs="Times New Roman"/>
          <w:color w:val="000000"/>
        </w:rPr>
        <w:lastRenderedPageBreak/>
        <w:t xml:space="preserve">years, one would have to be able to presage a vast and varied body of facts. Any projection of lost profits would necessarily include assumptions regarding the price of electricity and the costs of operating over twenty years. One would also need to surmise what competing forms of energy such as coal and nuclear energy would cost over the same time period. Also factoring into this calculation are the political and regulatory developments over twenty years, population growth in the Entergy region, and technological advances affecting the production of power and related products. With so many unknown variables, these </w:t>
      </w:r>
      <w:bookmarkStart w:id="10" w:name="co_pp_sp_506_112_1"/>
      <w:bookmarkEnd w:id="10"/>
      <w:r w:rsidRPr="00451105">
        <w:rPr>
          <w:rFonts w:cs="Times New Roman"/>
          <w:color w:val="000000"/>
        </w:rPr>
        <w:t>experts might have done as well had they consulted tealeaves or a crystal ball.</w:t>
      </w:r>
      <w:r w:rsidRPr="00451105">
        <w:rPr>
          <w:rStyle w:val="FootnoteReference"/>
          <w:rFonts w:cs="Times New Roman"/>
          <w:color w:val="000000"/>
        </w:rPr>
        <w:footnoteReference w:id="122"/>
      </w:r>
    </w:p>
    <w:p w14:paraId="66984709" w14:textId="77777777" w:rsidR="00394695" w:rsidRDefault="00394695" w:rsidP="00394695">
      <w:pPr>
        <w:widowControl w:val="0"/>
        <w:autoSpaceDE w:val="0"/>
        <w:autoSpaceDN w:val="0"/>
        <w:adjustRightInd w:val="0"/>
        <w:jc w:val="both"/>
        <w:rPr>
          <w:rFonts w:cs="Times New Roman"/>
          <w:color w:val="000000"/>
        </w:rPr>
      </w:pPr>
      <w:r w:rsidRPr="00451105">
        <w:rPr>
          <w:rFonts w:cs="Times New Roman"/>
          <w:color w:val="000000"/>
        </w:rPr>
        <w:t> </w:t>
      </w:r>
    </w:p>
    <w:p w14:paraId="16FAADEC" w14:textId="7072574F" w:rsidR="00396C0A" w:rsidRDefault="00396C0A" w:rsidP="00394695">
      <w:pPr>
        <w:widowControl w:val="0"/>
        <w:autoSpaceDE w:val="0"/>
        <w:autoSpaceDN w:val="0"/>
        <w:adjustRightInd w:val="0"/>
        <w:jc w:val="both"/>
        <w:rPr>
          <w:rFonts w:cs="Times New Roman"/>
          <w:color w:val="000000"/>
        </w:rPr>
      </w:pPr>
      <w:r>
        <w:rPr>
          <w:rFonts w:cs="Times New Roman"/>
          <w:color w:val="000000"/>
        </w:rPr>
        <w:t>So, he concluded, the damages were zero.</w:t>
      </w:r>
      <w:r>
        <w:rPr>
          <w:rStyle w:val="FootnoteReference"/>
          <w:rFonts w:cs="Times New Roman"/>
          <w:color w:val="000000"/>
        </w:rPr>
        <w:footnoteReference w:id="123"/>
      </w:r>
    </w:p>
    <w:p w14:paraId="797F6739" w14:textId="77777777" w:rsidR="00396C0A" w:rsidRPr="00451105" w:rsidRDefault="00396C0A" w:rsidP="00394695">
      <w:pPr>
        <w:widowControl w:val="0"/>
        <w:autoSpaceDE w:val="0"/>
        <w:autoSpaceDN w:val="0"/>
        <w:adjustRightInd w:val="0"/>
        <w:jc w:val="both"/>
        <w:rPr>
          <w:rFonts w:cs="Times New Roman"/>
          <w:color w:val="000000"/>
        </w:rPr>
      </w:pPr>
    </w:p>
    <w:p w14:paraId="7AEA1209" w14:textId="2872CE9D" w:rsidR="00394695" w:rsidRPr="00451105" w:rsidRDefault="00394695" w:rsidP="00394695">
      <w:pPr>
        <w:widowControl w:val="0"/>
        <w:autoSpaceDE w:val="0"/>
        <w:autoSpaceDN w:val="0"/>
        <w:adjustRightInd w:val="0"/>
        <w:ind w:firstLine="720"/>
        <w:rPr>
          <w:rFonts w:cs="Times New Roman"/>
          <w:color w:val="000000"/>
        </w:rPr>
      </w:pPr>
      <w:r w:rsidRPr="00451105">
        <w:rPr>
          <w:rFonts w:cs="Times New Roman"/>
          <w:color w:val="000000"/>
        </w:rPr>
        <w:t>The trial judge treated the lost profit claim as one of consequential damages which, under New York law, require a higher standard of proof than general damages. In his reconsideration order</w:t>
      </w:r>
      <w:r w:rsidR="00AF4F4B" w:rsidRPr="00451105">
        <w:rPr>
          <w:rFonts w:cs="Times New Roman"/>
          <w:color w:val="000000"/>
        </w:rPr>
        <w:t xml:space="preserve"> he held that “even under the fa</w:t>
      </w:r>
      <w:r w:rsidRPr="00451105">
        <w:rPr>
          <w:rFonts w:cs="Times New Roman"/>
          <w:color w:val="000000"/>
        </w:rPr>
        <w:t>r more flexible standard for general damages, AEP failed to meet its burden of proof.”</w:t>
      </w:r>
      <w:r w:rsidRPr="00451105">
        <w:rPr>
          <w:rStyle w:val="FootnoteReference"/>
          <w:rFonts w:cs="Times New Roman"/>
          <w:color w:val="000000"/>
        </w:rPr>
        <w:footnoteReference w:id="124"/>
      </w:r>
      <w:r w:rsidRPr="00451105">
        <w:rPr>
          <w:rFonts w:cs="Times New Roman"/>
          <w:color w:val="000000"/>
        </w:rPr>
        <w:t xml:space="preserve"> The Court of Appeals disagreed</w:t>
      </w:r>
      <w:r w:rsidR="005934B0" w:rsidRPr="00451105">
        <w:rPr>
          <w:rFonts w:cs="Times New Roman"/>
          <w:color w:val="000000"/>
        </w:rPr>
        <w:t xml:space="preserve"> on both counts</w:t>
      </w:r>
      <w:r w:rsidRPr="00451105">
        <w:rPr>
          <w:rFonts w:cs="Times New Roman"/>
          <w:color w:val="000000"/>
        </w:rPr>
        <w:t>. The damages were general, it held, and if proof were disallowed because of all the confounding factors, no victims of a repudiation of a long-term contract could ever be compensated.</w:t>
      </w:r>
      <w:r w:rsidRPr="00451105">
        <w:rPr>
          <w:rStyle w:val="FootnoteReference"/>
          <w:rFonts w:cs="Times New Roman"/>
          <w:color w:val="000000"/>
        </w:rPr>
        <w:footnoteReference w:id="125"/>
      </w:r>
      <w:r w:rsidRPr="00451105">
        <w:rPr>
          <w:rFonts w:cs="Times New Roman"/>
          <w:color w:val="000000"/>
        </w:rPr>
        <w:t xml:space="preserve"> </w:t>
      </w:r>
    </w:p>
    <w:p w14:paraId="00C2E772" w14:textId="77777777" w:rsidR="00394695" w:rsidRPr="00451105" w:rsidRDefault="00394695" w:rsidP="00394695">
      <w:pPr>
        <w:widowControl w:val="0"/>
        <w:autoSpaceDE w:val="0"/>
        <w:autoSpaceDN w:val="0"/>
        <w:adjustRightInd w:val="0"/>
        <w:ind w:left="720" w:right="720"/>
        <w:rPr>
          <w:rFonts w:cs="Times New Roman"/>
          <w:color w:val="000000"/>
        </w:rPr>
      </w:pPr>
    </w:p>
    <w:p w14:paraId="3C5E3C0C" w14:textId="77983607" w:rsidR="00FE6657" w:rsidRPr="007D1A34" w:rsidRDefault="00394695" w:rsidP="007D1A34">
      <w:pPr>
        <w:ind w:firstLine="720"/>
      </w:pPr>
      <w:r w:rsidRPr="00451105">
        <w:rPr>
          <w:rFonts w:cs="Times New Roman"/>
          <w:color w:val="000000"/>
        </w:rPr>
        <w:t xml:space="preserve">The Court of Appeals </w:t>
      </w:r>
      <w:r w:rsidR="00FE6657">
        <w:rPr>
          <w:rFonts w:cs="Times New Roman"/>
          <w:color w:val="000000"/>
        </w:rPr>
        <w:t xml:space="preserve">held that AEP’s “lost profits” was the appropriate damage remedy. </w:t>
      </w:r>
      <w:r w:rsidR="007D1A34">
        <w:t xml:space="preserve">It is important to recognize that “lost profits” should not be viewed as a separate element of damages. It is the change in the value of the asset—the contract. That would be the expected future revenues had the contract been performed less the amount AEP would receive in the plant’s next best use (i.e., mitigation by selling at the new, lower expected market price). </w:t>
      </w:r>
      <w:r w:rsidRPr="00451105">
        <w:rPr>
          <w:rFonts w:cs="Times New Roman"/>
          <w:color w:val="000000"/>
        </w:rPr>
        <w:t>Of course, since the electricity prices had collapsed</w:t>
      </w:r>
      <w:r w:rsidR="00AF4F4B" w:rsidRPr="00451105">
        <w:rPr>
          <w:rFonts w:cs="Times New Roman"/>
          <w:color w:val="000000"/>
        </w:rPr>
        <w:t>,</w:t>
      </w:r>
      <w:r w:rsidRPr="00451105">
        <w:rPr>
          <w:rFonts w:cs="Times New Roman"/>
          <w:color w:val="000000"/>
        </w:rPr>
        <w:t xml:space="preserve"> one thing was clear—the value of the contract had to have increased. The TEMI expert’s conclusion that there were no damages could not possibly be correct. </w:t>
      </w:r>
    </w:p>
    <w:p w14:paraId="57E0E55F" w14:textId="77777777" w:rsidR="00FE6657" w:rsidRDefault="00FE6657" w:rsidP="00CE50DD">
      <w:pPr>
        <w:widowControl w:val="0"/>
        <w:autoSpaceDE w:val="0"/>
        <w:autoSpaceDN w:val="0"/>
        <w:adjustRightInd w:val="0"/>
        <w:ind w:firstLine="720"/>
        <w:rPr>
          <w:rFonts w:cs="Times New Roman"/>
          <w:color w:val="000000"/>
        </w:rPr>
      </w:pPr>
    </w:p>
    <w:p w14:paraId="39EE6E22" w14:textId="06326F35" w:rsidR="005934B0" w:rsidRPr="00451105" w:rsidRDefault="0092332A" w:rsidP="00CE50DD">
      <w:pPr>
        <w:widowControl w:val="0"/>
        <w:autoSpaceDE w:val="0"/>
        <w:autoSpaceDN w:val="0"/>
        <w:adjustRightInd w:val="0"/>
        <w:ind w:firstLine="720"/>
        <w:rPr>
          <w:rFonts w:cs="Times New Roman"/>
          <w:color w:val="000000"/>
        </w:rPr>
      </w:pPr>
      <w:r w:rsidRPr="00451105">
        <w:rPr>
          <w:rFonts w:cs="Times New Roman"/>
          <w:color w:val="000000"/>
        </w:rPr>
        <w:t xml:space="preserve">The contract did include a mechanism for assessing a market-related price </w:t>
      </w:r>
      <w:r w:rsidR="00CE50DD" w:rsidRPr="00451105">
        <w:rPr>
          <w:rFonts w:cs="Times New Roman"/>
          <w:color w:val="000000"/>
        </w:rPr>
        <w:t xml:space="preserve">to determine a termination payment. </w:t>
      </w:r>
    </w:p>
    <w:p w14:paraId="5F4FBF5F" w14:textId="77777777" w:rsidR="005934B0" w:rsidRPr="00451105" w:rsidRDefault="005934B0" w:rsidP="005934B0">
      <w:pPr>
        <w:widowControl w:val="0"/>
        <w:autoSpaceDE w:val="0"/>
        <w:autoSpaceDN w:val="0"/>
        <w:adjustRightInd w:val="0"/>
        <w:ind w:left="720" w:right="720"/>
        <w:rPr>
          <w:rFonts w:cs="Times New Roman"/>
          <w:color w:val="000000"/>
        </w:rPr>
      </w:pPr>
    </w:p>
    <w:p w14:paraId="2C465BA2" w14:textId="38832E75" w:rsidR="005934B0" w:rsidRPr="00451105" w:rsidRDefault="00CE50DD" w:rsidP="005934B0">
      <w:pPr>
        <w:widowControl w:val="0"/>
        <w:autoSpaceDE w:val="0"/>
        <w:autoSpaceDN w:val="0"/>
        <w:adjustRightInd w:val="0"/>
        <w:ind w:left="720" w:right="720"/>
        <w:rPr>
          <w:rFonts w:cs="Times New Roman"/>
          <w:color w:val="000000"/>
        </w:rPr>
      </w:pPr>
      <w:r w:rsidRPr="00451105">
        <w:rPr>
          <w:rFonts w:cs="Times New Roman"/>
          <w:color w:val="000000"/>
        </w:rPr>
        <w:t xml:space="preserve">The </w:t>
      </w:r>
      <w:r w:rsidR="009952D8">
        <w:rPr>
          <w:rFonts w:cs="Times New Roman"/>
          <w:color w:val="000000"/>
        </w:rPr>
        <w:t>market price was to be ‘</w:t>
      </w:r>
      <w:r w:rsidRPr="00451105">
        <w:rPr>
          <w:rFonts w:cs="Times New Roman"/>
          <w:color w:val="000000"/>
        </w:rPr>
        <w:t>based on broker</w:t>
      </w:r>
      <w:r w:rsidR="009952D8">
        <w:rPr>
          <w:rFonts w:cs="Times New Roman"/>
          <w:color w:val="000000"/>
        </w:rPr>
        <w:t>, dealer or exchange quotations’</w:t>
      </w:r>
      <w:r w:rsidRPr="00451105">
        <w:rPr>
          <w:rFonts w:cs="Times New Roman"/>
          <w:color w:val="000000"/>
        </w:rPr>
        <w:t xml:space="preserve"> for t</w:t>
      </w:r>
      <w:r w:rsidR="001E2F20">
        <w:rPr>
          <w:rFonts w:cs="Times New Roman"/>
          <w:color w:val="000000"/>
        </w:rPr>
        <w:t>he immediately ensuing ‘f</w:t>
      </w:r>
      <w:r w:rsidRPr="00451105">
        <w:rPr>
          <w:rFonts w:cs="Times New Roman"/>
          <w:color w:val="000000"/>
        </w:rPr>
        <w:t xml:space="preserve">ive year period ... or such longer </w:t>
      </w:r>
      <w:r w:rsidRPr="00451105">
        <w:rPr>
          <w:rFonts w:cs="Times New Roman"/>
          <w:color w:val="000000"/>
        </w:rPr>
        <w:lastRenderedPageBreak/>
        <w:t>period for which a market is available</w:t>
      </w:r>
      <w:r w:rsidR="001E2F20">
        <w:rPr>
          <w:rFonts w:cs="Times New Roman"/>
          <w:color w:val="000000"/>
        </w:rPr>
        <w:t>.’</w:t>
      </w:r>
      <w:r w:rsidRPr="00451105">
        <w:rPr>
          <w:rFonts w:cs="Times New Roman"/>
          <w:color w:val="000000"/>
        </w:rPr>
        <w:t xml:space="preserve"> PPSA § 7.1.2. Section 7.1.2 also specified that, to calculate the projected Termination Payment, the market price of the Products sold to TEMI ‘shall be based on broker, dealer or exchange quotations’ for five years, escalated at 3% per year through the remaining term of the PPSA.</w:t>
      </w:r>
      <w:r w:rsidRPr="00451105">
        <w:rPr>
          <w:rStyle w:val="FootnoteReference"/>
          <w:rFonts w:cs="Times New Roman"/>
          <w:color w:val="000000"/>
        </w:rPr>
        <w:footnoteReference w:id="126"/>
      </w:r>
      <w:r w:rsidRPr="00451105">
        <w:rPr>
          <w:rFonts w:cs="Times New Roman"/>
          <w:color w:val="000000"/>
        </w:rPr>
        <w:t xml:space="preserve"> </w:t>
      </w:r>
    </w:p>
    <w:p w14:paraId="12A50223" w14:textId="77777777" w:rsidR="005934B0" w:rsidRPr="00451105" w:rsidRDefault="005934B0" w:rsidP="005934B0">
      <w:pPr>
        <w:widowControl w:val="0"/>
        <w:autoSpaceDE w:val="0"/>
        <w:autoSpaceDN w:val="0"/>
        <w:adjustRightInd w:val="0"/>
        <w:ind w:left="720" w:right="720" w:firstLine="720"/>
        <w:rPr>
          <w:rFonts w:cs="Times New Roman"/>
          <w:color w:val="000000"/>
        </w:rPr>
      </w:pPr>
    </w:p>
    <w:p w14:paraId="367CCE9B" w14:textId="22362FFE" w:rsidR="0092332A" w:rsidRPr="00451105" w:rsidRDefault="00AF4F4B" w:rsidP="00B14B57">
      <w:pPr>
        <w:widowControl w:val="0"/>
        <w:autoSpaceDE w:val="0"/>
        <w:autoSpaceDN w:val="0"/>
        <w:adjustRightInd w:val="0"/>
        <w:rPr>
          <w:rFonts w:cs="Times New Roman"/>
          <w:color w:val="000000"/>
        </w:rPr>
      </w:pPr>
      <w:r w:rsidRPr="00451105">
        <w:rPr>
          <w:rFonts w:cs="Times New Roman"/>
          <w:color w:val="000000"/>
        </w:rPr>
        <w:t xml:space="preserve">Because the market was illiquid, </w:t>
      </w:r>
      <w:r w:rsidR="00CE50DD" w:rsidRPr="00451105">
        <w:rPr>
          <w:rFonts w:cs="Times New Roman"/>
          <w:color w:val="000000"/>
        </w:rPr>
        <w:t>there w</w:t>
      </w:r>
      <w:r w:rsidRPr="00451105">
        <w:rPr>
          <w:rFonts w:cs="Times New Roman"/>
          <w:color w:val="000000"/>
        </w:rPr>
        <w:t>ere no observable market prices; to make up for that,</w:t>
      </w:r>
      <w:r w:rsidR="00CE50DD" w:rsidRPr="00451105">
        <w:rPr>
          <w:rFonts w:cs="Times New Roman"/>
          <w:color w:val="000000"/>
        </w:rPr>
        <w:t xml:space="preserve"> AEP used “two-ways” to generate forward prices for the five years.  In a two-way, AEP would quote both an offer to buy and to sell; “AEP’s bids and offers were fully executable, [so] if another party decided to act on AEP’s numbers, AEP would actually follow through and consummate the transaction.”</w:t>
      </w:r>
      <w:r w:rsidR="00CE50DD" w:rsidRPr="00451105">
        <w:rPr>
          <w:rStyle w:val="FootnoteReference"/>
          <w:rFonts w:cs="Times New Roman"/>
          <w:color w:val="000000"/>
        </w:rPr>
        <w:footnoteReference w:id="127"/>
      </w:r>
      <w:r w:rsidR="00CE50DD" w:rsidRPr="00451105">
        <w:rPr>
          <w:rFonts w:cs="Times New Roman"/>
          <w:color w:val="000000"/>
        </w:rPr>
        <w:t xml:space="preserve"> None did, but the court concluded that this was a plausible form of market price discovery, one that TEMI itself had used in the past.</w:t>
      </w:r>
    </w:p>
    <w:p w14:paraId="6D0ECFC5" w14:textId="77777777" w:rsidR="0092332A" w:rsidRPr="00451105" w:rsidRDefault="0092332A" w:rsidP="00394695">
      <w:pPr>
        <w:widowControl w:val="0"/>
        <w:autoSpaceDE w:val="0"/>
        <w:autoSpaceDN w:val="0"/>
        <w:adjustRightInd w:val="0"/>
        <w:ind w:firstLine="720"/>
        <w:rPr>
          <w:rFonts w:cs="Times New Roman"/>
          <w:color w:val="000000"/>
        </w:rPr>
      </w:pPr>
    </w:p>
    <w:p w14:paraId="5035C3C6" w14:textId="2F2CDC5A" w:rsidR="00394695" w:rsidRPr="00451105" w:rsidRDefault="00394695" w:rsidP="00394695">
      <w:pPr>
        <w:widowControl w:val="0"/>
        <w:autoSpaceDE w:val="0"/>
        <w:autoSpaceDN w:val="0"/>
        <w:adjustRightInd w:val="0"/>
        <w:ind w:firstLine="720"/>
        <w:rPr>
          <w:rFonts w:cs="Times New Roman"/>
        </w:rPr>
      </w:pPr>
      <w:r w:rsidRPr="00451105">
        <w:rPr>
          <w:rFonts w:cs="Times New Roman"/>
          <w:color w:val="000000"/>
        </w:rPr>
        <w:t xml:space="preserve">The Court of Appeals concluded that </w:t>
      </w:r>
      <w:r w:rsidR="00F57777" w:rsidRPr="00451105">
        <w:rPr>
          <w:rFonts w:cs="Times New Roman"/>
          <w:color w:val="000000"/>
        </w:rPr>
        <w:t xml:space="preserve">while </w:t>
      </w:r>
      <w:r w:rsidRPr="00451105">
        <w:rPr>
          <w:rFonts w:cs="Times New Roman"/>
          <w:color w:val="000000"/>
        </w:rPr>
        <w:t>t</w:t>
      </w:r>
      <w:r w:rsidR="00AF4F4B" w:rsidRPr="00451105">
        <w:rPr>
          <w:rFonts w:cs="Times New Roman"/>
          <w:color w:val="000000"/>
        </w:rPr>
        <w:t>he projection of lost profits would be</w:t>
      </w:r>
      <w:r w:rsidRPr="00451105">
        <w:rPr>
          <w:rFonts w:cs="Times New Roman"/>
          <w:color w:val="000000"/>
        </w:rPr>
        <w:t xml:space="preserve"> difficult, it is, in effect, the same exercise the parties engaged in when negotiating the twenty-year contract in the first place:</w:t>
      </w:r>
    </w:p>
    <w:p w14:paraId="39A46816" w14:textId="77777777" w:rsidR="00394695" w:rsidRPr="00451105" w:rsidRDefault="00394695" w:rsidP="00394695">
      <w:pPr>
        <w:rPr>
          <w:rFonts w:cs="Times New Roman"/>
          <w:color w:val="000000"/>
        </w:rPr>
      </w:pPr>
    </w:p>
    <w:p w14:paraId="5351699A" w14:textId="23E0FF23" w:rsidR="00BA3EB3" w:rsidRDefault="00394695" w:rsidP="00D25467">
      <w:pPr>
        <w:ind w:left="720" w:right="720"/>
        <w:rPr>
          <w:rFonts w:cs="Times New Roman"/>
          <w:color w:val="000000"/>
        </w:rPr>
      </w:pPr>
      <w:r w:rsidRPr="00451105">
        <w:rPr>
          <w:rFonts w:cs="Times New Roman"/>
          <w:color w:val="000000"/>
        </w:rPr>
        <w:t>It is no less speculative for the district court to determine AEP’s loss over t</w:t>
      </w:r>
      <w:r w:rsidR="00F167C9">
        <w:rPr>
          <w:rFonts w:cs="Times New Roman"/>
          <w:color w:val="000000"/>
        </w:rPr>
        <w:t>he twenty-year period than it</w:t>
      </w:r>
      <w:r w:rsidRPr="00451105">
        <w:rPr>
          <w:rFonts w:cs="Times New Roman"/>
          <w:color w:val="000000"/>
        </w:rPr>
        <w:t xml:space="preserve"> was for TEMI to calculate its expected profit from the PPSA at the time it entered into the agreement. The district court stated that the parties’ respective experts could “have done as well had they consulted tealeaves or a crystal ball.” If it is true that projecting profits over twenty years is so absurdly speculative that economists can do no better than fortune tellers, it would have been imprudent for the parties to enter a contract for such a long period in the first place. The reality, however, is that long-term contracts are entered into regularly, and a degree of speculation is acceptable in the business community.</w:t>
      </w:r>
      <w:r w:rsidRPr="00451105">
        <w:rPr>
          <w:rStyle w:val="FootnoteReference"/>
          <w:rFonts w:cs="Times New Roman"/>
          <w:color w:val="000000"/>
        </w:rPr>
        <w:footnoteReference w:id="128"/>
      </w:r>
    </w:p>
    <w:p w14:paraId="4D8B18F5" w14:textId="77777777" w:rsidR="00394695" w:rsidRPr="00451105" w:rsidRDefault="00394695" w:rsidP="00A01CA4">
      <w:pPr>
        <w:rPr>
          <w:rFonts w:cs="Times New Roman"/>
          <w:color w:val="000000"/>
        </w:rPr>
      </w:pPr>
    </w:p>
    <w:p w14:paraId="36AAE43F" w14:textId="729C444D" w:rsidR="008053F2" w:rsidRPr="008053F2" w:rsidRDefault="00C11A9C" w:rsidP="008053F2">
      <w:pPr>
        <w:pStyle w:val="ListParagraph"/>
        <w:numPr>
          <w:ilvl w:val="0"/>
          <w:numId w:val="4"/>
        </w:numPr>
        <w:rPr>
          <w:rFonts w:cs="Times New Roman"/>
        </w:rPr>
      </w:pPr>
      <w:r w:rsidRPr="008053F2">
        <w:rPr>
          <w:rFonts w:cs="Times New Roman"/>
          <w:b/>
        </w:rPr>
        <w:t>Lake River.</w:t>
      </w:r>
      <w:r w:rsidRPr="00451105">
        <w:rPr>
          <w:rStyle w:val="FootnoteReference"/>
          <w:rFonts w:cs="Times New Roman"/>
          <w:b/>
        </w:rPr>
        <w:footnoteReference w:id="129"/>
      </w:r>
      <w:r w:rsidRPr="008053F2">
        <w:rPr>
          <w:rFonts w:cs="Times New Roman"/>
        </w:rPr>
        <w:t xml:space="preserve"> </w:t>
      </w:r>
    </w:p>
    <w:p w14:paraId="4533965F" w14:textId="77777777" w:rsidR="008053F2" w:rsidRDefault="008053F2" w:rsidP="008053F2">
      <w:pPr>
        <w:pStyle w:val="ListParagraph"/>
        <w:ind w:left="1080"/>
        <w:rPr>
          <w:rFonts w:cs="Times New Roman"/>
        </w:rPr>
      </w:pPr>
    </w:p>
    <w:p w14:paraId="361F1EF9" w14:textId="30F24562" w:rsidR="00C11A9C" w:rsidRPr="008053F2" w:rsidRDefault="00C11A9C" w:rsidP="008053F2">
      <w:pPr>
        <w:ind w:firstLine="720"/>
        <w:rPr>
          <w:rFonts w:cs="Times New Roman"/>
        </w:rPr>
      </w:pPr>
      <w:r w:rsidRPr="008053F2">
        <w:rPr>
          <w:rFonts w:cs="Times New Roman"/>
        </w:rPr>
        <w:t xml:space="preserve">Carborundum promised to pay Lake River for bagging a minimum quantity of its product (Ferro Carbo) over a three-year period. Lake River stood ready to provide bagging services for up to 400 tons per week for three years. Carborundum agreed to pay for </w:t>
      </w:r>
      <w:r w:rsidR="00437AD7">
        <w:rPr>
          <w:rFonts w:cs="Times New Roman"/>
        </w:rPr>
        <w:t xml:space="preserve">a minimum of </w:t>
      </w:r>
      <w:r w:rsidRPr="008053F2">
        <w:rPr>
          <w:rFonts w:cs="Times New Roman"/>
        </w:rPr>
        <w:t>22,500 tons (a bit over one-third of the maximum)</w:t>
      </w:r>
      <w:r w:rsidR="008053F2">
        <w:rPr>
          <w:rStyle w:val="FootnoteReference"/>
          <w:rFonts w:cs="Times New Roman"/>
        </w:rPr>
        <w:footnoteReference w:id="130"/>
      </w:r>
      <w:r w:rsidRPr="008053F2">
        <w:rPr>
          <w:rFonts w:cs="Times New Roman"/>
        </w:rPr>
        <w:t xml:space="preserve"> for around $533,000. Because of a decline in the market</w:t>
      </w:r>
      <w:r w:rsidR="00437AD7">
        <w:rPr>
          <w:rFonts w:cs="Times New Roman"/>
        </w:rPr>
        <w:t xml:space="preserve"> for Ferro Carbo</w:t>
      </w:r>
      <w:r w:rsidRPr="008053F2">
        <w:rPr>
          <w:rFonts w:cs="Times New Roman"/>
        </w:rPr>
        <w:t>, Carborundum ended up only requiring Lake River to bag about half the minimum. Lake River sued for payment for the other half. Carborundum d</w:t>
      </w:r>
      <w:r w:rsidR="00AF4F4B" w:rsidRPr="008053F2">
        <w:rPr>
          <w:rFonts w:cs="Times New Roman"/>
        </w:rPr>
        <w:t>efended by arguing that this would be</w:t>
      </w:r>
      <w:r w:rsidRPr="008053F2">
        <w:rPr>
          <w:rFonts w:cs="Times New Roman"/>
        </w:rPr>
        <w:t xml:space="preserve"> an unenforceable penalty, and the court, Judge Posner, upheld the defense. I have argued elsewhere that this was wrong. The minimum quantity clause was</w:t>
      </w:r>
      <w:r w:rsidR="00AF4F4B" w:rsidRPr="008053F2">
        <w:rPr>
          <w:rFonts w:cs="Times New Roman"/>
        </w:rPr>
        <w:t xml:space="preserve"> neither a penalty nor a</w:t>
      </w:r>
      <w:r w:rsidRPr="008053F2">
        <w:rPr>
          <w:rFonts w:cs="Times New Roman"/>
        </w:rPr>
        <w:t xml:space="preserve"> liquidated damages</w:t>
      </w:r>
      <w:r w:rsidR="00AF4F4B" w:rsidRPr="008053F2">
        <w:rPr>
          <w:rFonts w:cs="Times New Roman"/>
        </w:rPr>
        <w:t xml:space="preserve"> clause</w:t>
      </w:r>
      <w:r w:rsidRPr="008053F2">
        <w:rPr>
          <w:rFonts w:cs="Times New Roman"/>
        </w:rPr>
        <w:t xml:space="preserve">. The contract should have been interpreted as Lake River granting </w:t>
      </w:r>
      <w:r w:rsidRPr="008053F2">
        <w:rPr>
          <w:rFonts w:cs="Times New Roman"/>
        </w:rPr>
        <w:lastRenderedPageBreak/>
        <w:t>Carborundum flexibility and that the minimum quantity was an element in the price Lake River received for granting that flexibility.</w:t>
      </w:r>
      <w:r w:rsidRPr="00451105">
        <w:rPr>
          <w:rStyle w:val="FootnoteReference"/>
          <w:rFonts w:cs="Times New Roman"/>
        </w:rPr>
        <w:footnoteReference w:id="131"/>
      </w:r>
      <w:r w:rsidRPr="008053F2">
        <w:rPr>
          <w:rFonts w:cs="Times New Roman"/>
        </w:rPr>
        <w:t xml:space="preserve"> </w:t>
      </w:r>
    </w:p>
    <w:p w14:paraId="62F4117E" w14:textId="77777777" w:rsidR="00C11A9C" w:rsidRPr="00451105" w:rsidRDefault="00C11A9C" w:rsidP="00C11A9C">
      <w:pPr>
        <w:rPr>
          <w:rFonts w:cs="Times New Roman"/>
        </w:rPr>
      </w:pPr>
    </w:p>
    <w:p w14:paraId="7A8DEE68" w14:textId="638E8C09" w:rsidR="00B14B57" w:rsidRPr="00451105" w:rsidRDefault="00C11A9C" w:rsidP="005054CF">
      <w:pPr>
        <w:ind w:firstLine="720"/>
        <w:rPr>
          <w:rFonts w:cs="Times New Roman"/>
        </w:rPr>
      </w:pPr>
      <w:r w:rsidRPr="00451105">
        <w:rPr>
          <w:rFonts w:cs="Times New Roman"/>
        </w:rPr>
        <w:t>In its brief, Carborundum presented a hypothetical. What if during the entire three years Carborundum h</w:t>
      </w:r>
      <w:r w:rsidR="00320C9E" w:rsidRPr="00451105">
        <w:rPr>
          <w:rFonts w:cs="Times New Roman"/>
        </w:rPr>
        <w:t>ad delivered not even one pound?</w:t>
      </w:r>
      <w:r w:rsidRPr="00451105">
        <w:rPr>
          <w:rFonts w:cs="Times New Roman"/>
        </w:rPr>
        <w:t xml:space="preserve"> It would be absurd, it argued, to bill Carborundum for the entire 22,500 tons. But, given that Lake River would have had to maintain its ability to bag 400 </w:t>
      </w:r>
      <w:r w:rsidR="00AF4F4B" w:rsidRPr="00451105">
        <w:rPr>
          <w:rFonts w:cs="Times New Roman"/>
        </w:rPr>
        <w:t>tons</w:t>
      </w:r>
      <w:r w:rsidRPr="00451105">
        <w:rPr>
          <w:rFonts w:cs="Times New Roman"/>
        </w:rPr>
        <w:t xml:space="preserve"> per week for the entire period, it would not be at all absurd. That was the price it paid for flexibility. </w:t>
      </w:r>
      <w:r w:rsidR="00991DF1" w:rsidRPr="008053F2">
        <w:rPr>
          <w:rFonts w:cs="Times New Roman"/>
        </w:rPr>
        <w:t xml:space="preserve">Lake River </w:t>
      </w:r>
      <w:r w:rsidR="005B4F35">
        <w:rPr>
          <w:rFonts w:cs="Times New Roman"/>
        </w:rPr>
        <w:t>would have</w:t>
      </w:r>
      <w:r w:rsidR="00991DF1" w:rsidRPr="008053F2">
        <w:rPr>
          <w:rFonts w:cs="Times New Roman"/>
        </w:rPr>
        <w:t xml:space="preserve"> fully performed by holding itself ready for the entire three years. </w:t>
      </w:r>
      <w:r w:rsidR="00B14B57" w:rsidRPr="00451105">
        <w:rPr>
          <w:rFonts w:cs="Times New Roman"/>
        </w:rPr>
        <w:t xml:space="preserve">The only breach, as in </w:t>
      </w:r>
      <w:r w:rsidR="00B14B57" w:rsidRPr="00451105">
        <w:rPr>
          <w:rFonts w:cs="Times New Roman"/>
          <w:i/>
        </w:rPr>
        <w:t>Prenalta,</w:t>
      </w:r>
      <w:r w:rsidR="005B4F35">
        <w:rPr>
          <w:rFonts w:cs="Times New Roman"/>
        </w:rPr>
        <w:t xml:space="preserve"> would have been</w:t>
      </w:r>
      <w:r w:rsidR="005054CF">
        <w:rPr>
          <w:rFonts w:cs="Times New Roman"/>
        </w:rPr>
        <w:t xml:space="preserve"> </w:t>
      </w:r>
      <w:r w:rsidR="00B14B57" w:rsidRPr="00451105">
        <w:rPr>
          <w:rFonts w:cs="Times New Roman"/>
        </w:rPr>
        <w:t>Carborundum</w:t>
      </w:r>
      <w:r w:rsidR="00991DF1">
        <w:rPr>
          <w:rFonts w:cs="Times New Roman"/>
        </w:rPr>
        <w:t>’s</w:t>
      </w:r>
      <w:r w:rsidR="00B14B57" w:rsidRPr="00451105">
        <w:rPr>
          <w:rFonts w:cs="Times New Roman"/>
        </w:rPr>
        <w:t xml:space="preserve"> </w:t>
      </w:r>
      <w:r w:rsidR="00991DF1" w:rsidRPr="00451105">
        <w:rPr>
          <w:rFonts w:cs="Times New Roman"/>
        </w:rPr>
        <w:t xml:space="preserve">failure </w:t>
      </w:r>
      <w:r w:rsidR="00B14B57" w:rsidRPr="00451105">
        <w:rPr>
          <w:rFonts w:cs="Times New Roman"/>
        </w:rPr>
        <w:t>to pay.</w:t>
      </w:r>
    </w:p>
    <w:p w14:paraId="32001606" w14:textId="77777777" w:rsidR="00B14B57" w:rsidRPr="00451105" w:rsidRDefault="00B14B57" w:rsidP="00B14B57">
      <w:pPr>
        <w:ind w:firstLine="720"/>
        <w:rPr>
          <w:rFonts w:cs="Times New Roman"/>
        </w:rPr>
      </w:pPr>
    </w:p>
    <w:p w14:paraId="2515F055" w14:textId="725430D2" w:rsidR="00C11A9C" w:rsidRPr="00451105" w:rsidRDefault="00C11A9C" w:rsidP="00B14B57">
      <w:pPr>
        <w:ind w:firstLine="720"/>
        <w:rPr>
          <w:rFonts w:cs="Times New Roman"/>
          <w:color w:val="000000"/>
        </w:rPr>
      </w:pPr>
      <w:r w:rsidRPr="00451105">
        <w:rPr>
          <w:rFonts w:cs="Times New Roman"/>
        </w:rPr>
        <w:t>In the course of his opinion, Judge Posner posed a similar hypothetical, but there was a big difference. “</w:t>
      </w:r>
      <w:r w:rsidRPr="00451105">
        <w:rPr>
          <w:rFonts w:cs="Times New Roman"/>
          <w:color w:val="000000"/>
        </w:rPr>
        <w:t>Suppose to begin with that the breach occurs the day after Lake River buys its new bagging system for $89,000 and before Carborundum ships any Ferro Carbo.”</w:t>
      </w:r>
      <w:r w:rsidRPr="00451105">
        <w:rPr>
          <w:rStyle w:val="FootnoteReference"/>
          <w:rFonts w:cs="Times New Roman"/>
          <w:color w:val="000000"/>
        </w:rPr>
        <w:footnoteReference w:id="132"/>
      </w:r>
      <w:r w:rsidRPr="00451105">
        <w:rPr>
          <w:rFonts w:cs="Times New Roman"/>
          <w:color w:val="000000"/>
        </w:rPr>
        <w:t xml:space="preserve"> He, like Carborundum, suggested that compensating Lake River would have resulted in a huge windfall</w:t>
      </w:r>
      <w:r w:rsidR="00ED4ECA">
        <w:rPr>
          <w:rFonts w:cs="Times New Roman"/>
          <w:color w:val="000000"/>
        </w:rPr>
        <w:t xml:space="preserve"> and, therefore, it would be a penalty</w:t>
      </w:r>
      <w:r w:rsidRPr="00451105">
        <w:rPr>
          <w:rFonts w:cs="Times New Roman"/>
          <w:color w:val="000000"/>
        </w:rPr>
        <w:t xml:space="preserve">. </w:t>
      </w:r>
      <w:r w:rsidRPr="00451105">
        <w:rPr>
          <w:rFonts w:cs="Times New Roman"/>
        </w:rPr>
        <w:t>There is</w:t>
      </w:r>
      <w:r w:rsidR="00B14B57" w:rsidRPr="00451105">
        <w:rPr>
          <w:rFonts w:cs="Times New Roman"/>
        </w:rPr>
        <w:t>, however,</w:t>
      </w:r>
      <w:r w:rsidRPr="00451105">
        <w:rPr>
          <w:rFonts w:cs="Times New Roman"/>
        </w:rPr>
        <w:t xml:space="preserve"> a fundamental difference between the </w:t>
      </w:r>
      <w:r w:rsidR="007B4B27">
        <w:rPr>
          <w:rFonts w:cs="Times New Roman"/>
        </w:rPr>
        <w:t xml:space="preserve">actual </w:t>
      </w:r>
      <w:r w:rsidRPr="00451105">
        <w:rPr>
          <w:rFonts w:cs="Times New Roman"/>
        </w:rPr>
        <w:t xml:space="preserve">case in which the three-year term had expired and </w:t>
      </w:r>
      <w:r w:rsidR="00C44B20">
        <w:rPr>
          <w:rFonts w:cs="Times New Roman"/>
        </w:rPr>
        <w:t>Posner’s</w:t>
      </w:r>
      <w:r w:rsidR="007B4B27">
        <w:rPr>
          <w:rFonts w:cs="Times New Roman"/>
        </w:rPr>
        <w:t xml:space="preserve"> hypothetical </w:t>
      </w:r>
      <w:r w:rsidRPr="00451105">
        <w:rPr>
          <w:rFonts w:cs="Times New Roman"/>
        </w:rPr>
        <w:t>one in which one party repudiated prior to expiration. Would Carborundum still have to pay for the 22,500 tons or would Lake River have been required to mitigate its damages? Judge Posner claimed that Lake River raised this argument: “</w:t>
      </w:r>
      <w:r w:rsidRPr="00451105">
        <w:rPr>
          <w:rFonts w:cs="Times New Roman"/>
          <w:lang w:val="en-CA"/>
        </w:rPr>
        <w:fldChar w:fldCharType="begin"/>
      </w:r>
      <w:r w:rsidRPr="00451105">
        <w:rPr>
          <w:rFonts w:cs="Times New Roman"/>
          <w:lang w:val="en-CA"/>
        </w:rPr>
        <w:instrText xml:space="preserve"> SEQ CHAPTER \h \r 1</w:instrText>
      </w:r>
      <w:r w:rsidRPr="00451105">
        <w:rPr>
          <w:rFonts w:cs="Times New Roman"/>
          <w:lang w:val="en-CA"/>
        </w:rPr>
        <w:fldChar w:fldCharType="end"/>
      </w:r>
      <w:r w:rsidRPr="00451105">
        <w:rPr>
          <w:rFonts w:cs="Times New Roman"/>
        </w:rPr>
        <w:t>Lake River argues that it would never get as much as the formula suggests, because it would be required to mitigate its damages.”</w:t>
      </w:r>
      <w:r w:rsidRPr="00451105">
        <w:rPr>
          <w:rStyle w:val="FootnoteReference"/>
          <w:rFonts w:cs="Times New Roman"/>
        </w:rPr>
        <w:footnoteReference w:id="133"/>
      </w:r>
      <w:r w:rsidRPr="00451105">
        <w:rPr>
          <w:rFonts w:cs="Times New Roman"/>
        </w:rPr>
        <w:t xml:space="preserve"> He rejected the argument because, he claimed, it would undercut the virtues of liquidated damages.  </w:t>
      </w:r>
    </w:p>
    <w:p w14:paraId="55B1A6A6" w14:textId="77777777" w:rsidR="00C11A9C" w:rsidRPr="00451105" w:rsidRDefault="00C11A9C" w:rsidP="00C11A9C">
      <w:pPr>
        <w:pStyle w:val="BodyText"/>
        <w:tabs>
          <w:tab w:val="center" w:pos="3326"/>
          <w:tab w:val="right" w:pos="6667"/>
        </w:tabs>
        <w:ind w:firstLine="720"/>
        <w:rPr>
          <w:rFonts w:ascii="Times New Roman" w:hAnsi="Times New Roman" w:cs="Times New Roman"/>
        </w:rPr>
      </w:pPr>
    </w:p>
    <w:p w14:paraId="3B551071" w14:textId="77777777" w:rsidR="00337055" w:rsidRDefault="00C11A9C" w:rsidP="00C11A9C">
      <w:pPr>
        <w:pStyle w:val="BodyText"/>
        <w:tabs>
          <w:tab w:val="center" w:pos="3326"/>
          <w:tab w:val="right" w:pos="6667"/>
        </w:tabs>
        <w:ind w:firstLine="720"/>
        <w:rPr>
          <w:rFonts w:ascii="Times New Roman" w:hAnsi="Times New Roman" w:cs="Times New Roman"/>
        </w:rPr>
      </w:pPr>
      <w:r w:rsidRPr="00451105">
        <w:rPr>
          <w:rFonts w:ascii="Times New Roman" w:hAnsi="Times New Roman" w:cs="Times New Roman"/>
        </w:rPr>
        <w:t>Properly understood, Lake River’s compensation</w:t>
      </w:r>
      <w:r w:rsidR="00B14B57" w:rsidRPr="00451105">
        <w:rPr>
          <w:rFonts w:ascii="Times New Roman" w:hAnsi="Times New Roman" w:cs="Times New Roman"/>
        </w:rPr>
        <w:t>, in this hypothetical,</w:t>
      </w:r>
      <w:r w:rsidRPr="00451105">
        <w:rPr>
          <w:rFonts w:ascii="Times New Roman" w:hAnsi="Times New Roman" w:cs="Times New Roman"/>
        </w:rPr>
        <w:t xml:space="preserve"> would not be $533,000. The question that should </w:t>
      </w:r>
      <w:r w:rsidR="00B14B57" w:rsidRPr="00451105">
        <w:rPr>
          <w:rFonts w:ascii="Times New Roman" w:hAnsi="Times New Roman" w:cs="Times New Roman"/>
        </w:rPr>
        <w:t xml:space="preserve">have </w:t>
      </w:r>
      <w:r w:rsidRPr="00451105">
        <w:rPr>
          <w:rFonts w:ascii="Times New Roman" w:hAnsi="Times New Roman" w:cs="Times New Roman"/>
        </w:rPr>
        <w:t>be</w:t>
      </w:r>
      <w:r w:rsidR="00B14B57" w:rsidRPr="00451105">
        <w:rPr>
          <w:rFonts w:ascii="Times New Roman" w:hAnsi="Times New Roman" w:cs="Times New Roman"/>
        </w:rPr>
        <w:t>en</w:t>
      </w:r>
      <w:r w:rsidRPr="00451105">
        <w:rPr>
          <w:rFonts w:ascii="Times New Roman" w:hAnsi="Times New Roman" w:cs="Times New Roman"/>
        </w:rPr>
        <w:t xml:space="preserve"> a</w:t>
      </w:r>
      <w:r w:rsidR="00B14B57" w:rsidRPr="00451105">
        <w:rPr>
          <w:rFonts w:ascii="Times New Roman" w:hAnsi="Times New Roman" w:cs="Times New Roman"/>
        </w:rPr>
        <w:t>sked regarding the repudiation was, again, what wa</w:t>
      </w:r>
      <w:r w:rsidRPr="00451105">
        <w:rPr>
          <w:rFonts w:ascii="Times New Roman" w:hAnsi="Times New Roman" w:cs="Times New Roman"/>
        </w:rPr>
        <w:t>s the change in va</w:t>
      </w:r>
      <w:r w:rsidR="00991DF1">
        <w:rPr>
          <w:rFonts w:ascii="Times New Roman" w:hAnsi="Times New Roman" w:cs="Times New Roman"/>
        </w:rPr>
        <w:t>lue of the asset—the contract? In effect, m</w:t>
      </w:r>
      <w:r w:rsidRPr="00451105">
        <w:rPr>
          <w:rFonts w:ascii="Times New Roman" w:hAnsi="Times New Roman" w:cs="Times New Roman"/>
        </w:rPr>
        <w:t xml:space="preserve">itigation </w:t>
      </w:r>
      <w:r w:rsidR="00991DF1">
        <w:rPr>
          <w:rFonts w:ascii="Times New Roman" w:hAnsi="Times New Roman" w:cs="Times New Roman"/>
        </w:rPr>
        <w:t xml:space="preserve">would be </w:t>
      </w:r>
      <w:r w:rsidRPr="00451105">
        <w:rPr>
          <w:rFonts w:ascii="Times New Roman" w:hAnsi="Times New Roman" w:cs="Times New Roman"/>
        </w:rPr>
        <w:t>baked into the damage measurement. That is, upon repu</w:t>
      </w:r>
      <w:r w:rsidR="009637E9" w:rsidRPr="00451105">
        <w:rPr>
          <w:rFonts w:ascii="Times New Roman" w:hAnsi="Times New Roman" w:cs="Times New Roman"/>
        </w:rPr>
        <w:t>diation Lake River no longer would have</w:t>
      </w:r>
      <w:r w:rsidRPr="00451105">
        <w:rPr>
          <w:rFonts w:ascii="Times New Roman" w:hAnsi="Times New Roman" w:cs="Times New Roman"/>
        </w:rPr>
        <w:t xml:space="preserve"> to remain ready to bag any goods. </w:t>
      </w:r>
      <w:r w:rsidR="00FF66C6">
        <w:rPr>
          <w:rFonts w:ascii="Times New Roman" w:hAnsi="Times New Roman" w:cs="Times New Roman"/>
        </w:rPr>
        <w:t>In that sense it could</w:t>
      </w:r>
      <w:r w:rsidR="001D12C5" w:rsidRPr="00451105">
        <w:rPr>
          <w:rFonts w:ascii="Times New Roman" w:hAnsi="Times New Roman" w:cs="Times New Roman"/>
        </w:rPr>
        <w:t xml:space="preserve"> mitigate by using its resources for other purposes. </w:t>
      </w:r>
      <w:r w:rsidRPr="00451105">
        <w:rPr>
          <w:rFonts w:ascii="Times New Roman" w:hAnsi="Times New Roman" w:cs="Times New Roman"/>
        </w:rPr>
        <w:t xml:space="preserve">To take an example even more extreme than Judge Posner’s, suppose that the day after signing the agreement and before any investments had been made, Carborundum repudiated. And suppose further that there had been no change in the market. This is really no different from the simple breach of a widget contract in which the price had not changed. The price of the contract would remain unchanged and damages would be zero. </w:t>
      </w:r>
    </w:p>
    <w:p w14:paraId="399ADA0A" w14:textId="77777777" w:rsidR="00C70B6F" w:rsidRDefault="00C70B6F" w:rsidP="00C11A9C">
      <w:pPr>
        <w:pStyle w:val="BodyText"/>
        <w:tabs>
          <w:tab w:val="center" w:pos="3326"/>
          <w:tab w:val="right" w:pos="6667"/>
        </w:tabs>
        <w:ind w:firstLine="720"/>
        <w:rPr>
          <w:rFonts w:ascii="Times New Roman" w:hAnsi="Times New Roman" w:cs="Times New Roman"/>
        </w:rPr>
      </w:pPr>
    </w:p>
    <w:p w14:paraId="4AE785CF" w14:textId="6BC54002" w:rsidR="00875809" w:rsidRPr="0033063B" w:rsidRDefault="004E6C27" w:rsidP="0033063B">
      <w:pPr>
        <w:pStyle w:val="ListParagraph"/>
        <w:numPr>
          <w:ilvl w:val="0"/>
          <w:numId w:val="4"/>
        </w:numPr>
        <w:rPr>
          <w:rFonts w:cs="Times New Roman"/>
          <w:b/>
          <w:bCs/>
          <w:color w:val="555555"/>
        </w:rPr>
      </w:pPr>
      <w:r w:rsidRPr="0033063B">
        <w:rPr>
          <w:rFonts w:cs="Times New Roman"/>
          <w:b/>
          <w:bCs/>
          <w:color w:val="555555"/>
        </w:rPr>
        <w:t xml:space="preserve">M&amp;J Polymers. </w:t>
      </w:r>
    </w:p>
    <w:p w14:paraId="676B4EC8" w14:textId="77777777" w:rsidR="00875809" w:rsidRDefault="00875809" w:rsidP="00875809">
      <w:pPr>
        <w:rPr>
          <w:rFonts w:cs="Times New Roman"/>
          <w:bCs/>
          <w:color w:val="555555"/>
        </w:rPr>
      </w:pPr>
    </w:p>
    <w:p w14:paraId="146FC88C" w14:textId="2F052506" w:rsidR="004E6C27" w:rsidRPr="00875809" w:rsidRDefault="004E6C27" w:rsidP="00875809">
      <w:pPr>
        <w:ind w:firstLine="720"/>
        <w:rPr>
          <w:rFonts w:cs="Times New Roman"/>
        </w:rPr>
      </w:pPr>
      <w:r w:rsidRPr="00875809">
        <w:rPr>
          <w:rFonts w:cs="Times New Roman"/>
          <w:bCs/>
          <w:color w:val="555555"/>
        </w:rPr>
        <w:t xml:space="preserve">In </w:t>
      </w:r>
      <w:r w:rsidRPr="00875809">
        <w:rPr>
          <w:rFonts w:cs="Times New Roman"/>
          <w:bCs/>
          <w:i/>
          <w:color w:val="555555"/>
        </w:rPr>
        <w:t>M&amp;J Polymers Ltd v Imerys Minerals Ltd</w:t>
      </w:r>
      <w:r w:rsidRPr="00875809">
        <w:rPr>
          <w:rFonts w:cs="Times New Roman"/>
          <w:bCs/>
          <w:color w:val="555555"/>
        </w:rPr>
        <w:t>,</w:t>
      </w:r>
      <w:r>
        <w:rPr>
          <w:rStyle w:val="FootnoteReference"/>
          <w:rFonts w:cs="Times New Roman"/>
          <w:bCs/>
          <w:color w:val="555555"/>
        </w:rPr>
        <w:footnoteReference w:id="134"/>
      </w:r>
      <w:r w:rsidRPr="00875809">
        <w:rPr>
          <w:rFonts w:cs="Times New Roman"/>
          <w:bCs/>
          <w:color w:val="555555"/>
        </w:rPr>
        <w:t xml:space="preserve"> an English court was confronted for the first time with the question </w:t>
      </w:r>
      <w:r w:rsidRPr="00875809">
        <w:rPr>
          <w:rFonts w:cs="Times New Roman"/>
        </w:rPr>
        <w:t xml:space="preserve">of whether a take-or-pay clause was unenforceable because it was a penalty. The contract, for the supply of chemical dispersants, was for </w:t>
      </w:r>
      <w:r w:rsidRPr="00875809">
        <w:rPr>
          <w:rFonts w:cs="Times New Roman"/>
        </w:rPr>
        <w:lastRenderedPageBreak/>
        <w:t>three years with monthly minimum quantities.</w:t>
      </w:r>
      <w:r>
        <w:rPr>
          <w:rStyle w:val="FootnoteReference"/>
          <w:rFonts w:cs="Times New Roman"/>
        </w:rPr>
        <w:footnoteReference w:id="135"/>
      </w:r>
      <w:r w:rsidRPr="00875809">
        <w:rPr>
          <w:rFonts w:cs="Times New Roman"/>
        </w:rPr>
        <w:t xml:space="preserve"> The contract was repudiated but the buyer had not paid for the minimum quantities prior to the repudiation. The court framed the issue:</w:t>
      </w:r>
    </w:p>
    <w:p w14:paraId="1F6D6194" w14:textId="77777777" w:rsidR="004E6C27" w:rsidRDefault="004E6C27" w:rsidP="004E6C27">
      <w:pPr>
        <w:rPr>
          <w:rFonts w:cs="Times New Roman"/>
        </w:rPr>
      </w:pPr>
    </w:p>
    <w:p w14:paraId="42451F84" w14:textId="751BD5F9" w:rsidR="004E6C27" w:rsidRDefault="004E6C27" w:rsidP="004E6C27">
      <w:pPr>
        <w:ind w:left="720" w:right="720"/>
        <w:rPr>
          <w:rFonts w:cs="Times New Roman"/>
          <w:color w:val="000000"/>
        </w:rPr>
      </w:pPr>
      <w:r>
        <w:rPr>
          <w:rFonts w:cs="Times New Roman"/>
        </w:rPr>
        <w:t xml:space="preserve"> </w:t>
      </w:r>
      <w:r w:rsidRPr="006D2508">
        <w:rPr>
          <w:rFonts w:cs="Times New Roman"/>
          <w:color w:val="000000"/>
        </w:rPr>
        <w:t xml:space="preserve">This issue relates to the claimant’s claim in respect of the shortfall of deliveries </w:t>
      </w:r>
      <w:r>
        <w:rPr>
          <w:rFonts w:cs="Times New Roman"/>
          <w:color w:val="000000"/>
        </w:rPr>
        <w:t>. . .</w:t>
      </w:r>
      <w:r w:rsidRPr="006D2508">
        <w:rPr>
          <w:rFonts w:cs="Times New Roman"/>
          <w:color w:val="000000"/>
        </w:rPr>
        <w:t xml:space="preserve"> until the (repudiatory) termination of the supply contract in May 2006. The claimant claims the price of such shortfall, pursuant to the </w:t>
      </w:r>
      <w:r w:rsidR="001E2F20">
        <w:rPr>
          <w:rFonts w:cs="Times New Roman"/>
          <w:color w:val="000000"/>
        </w:rPr>
        <w:t xml:space="preserve">take or pay </w:t>
      </w:r>
      <w:r w:rsidRPr="006D2508">
        <w:rPr>
          <w:rFonts w:cs="Times New Roman"/>
          <w:color w:val="000000"/>
        </w:rPr>
        <w:t>clause, article 5.5. The defendant asserts that the claim pursuant to the</w:t>
      </w:r>
      <w:r w:rsidR="001E2F20">
        <w:rPr>
          <w:rFonts w:cs="Times New Roman"/>
          <w:color w:val="000000"/>
        </w:rPr>
        <w:t xml:space="preserve"> take or pay</w:t>
      </w:r>
      <w:r w:rsidRPr="006D2508">
        <w:rPr>
          <w:rFonts w:cs="Times New Roman"/>
          <w:color w:val="000000"/>
        </w:rPr>
        <w:t xml:space="preserve"> clause amounts to a penalty, and that the claimant must be limited to a claim for breach of the defendant’s obligation under article 5.3 to order the specified minimum quantities. It is common ground that, once the contract was terminated, </w:t>
      </w:r>
      <w:r w:rsidR="00875809">
        <w:rPr>
          <w:rFonts w:cs="Times New Roman"/>
          <w:color w:val="000000"/>
        </w:rPr>
        <w:t xml:space="preserve">[i.e.] </w:t>
      </w:r>
      <w:r w:rsidRPr="006D2508">
        <w:rPr>
          <w:rFonts w:cs="Times New Roman"/>
          <w:color w:val="000000"/>
        </w:rPr>
        <w:t>after May 2006 and in respect of the balance of the supply contract, the claimant’s claim is in damages only, as it did not seek to keep the contract alive.</w:t>
      </w:r>
      <w:r>
        <w:rPr>
          <w:rStyle w:val="FootnoteReference"/>
          <w:rFonts w:cs="Times New Roman"/>
          <w:color w:val="000000"/>
        </w:rPr>
        <w:footnoteReference w:id="136"/>
      </w:r>
    </w:p>
    <w:p w14:paraId="70D6DFFE" w14:textId="77777777" w:rsidR="004E6C27" w:rsidRDefault="004E6C27" w:rsidP="004E6C27">
      <w:pPr>
        <w:ind w:left="720" w:right="720"/>
        <w:rPr>
          <w:rFonts w:cs="Times New Roman"/>
          <w:color w:val="000000"/>
        </w:rPr>
      </w:pPr>
    </w:p>
    <w:p w14:paraId="7E5C19B1" w14:textId="02BA8C8B" w:rsidR="004E6C27" w:rsidRPr="006D2508" w:rsidRDefault="004E6C27" w:rsidP="004E6C27">
      <w:pPr>
        <w:rPr>
          <w:rFonts w:cs="Times New Roman"/>
          <w:bCs/>
          <w:color w:val="555555"/>
        </w:rPr>
      </w:pPr>
      <w:r>
        <w:rPr>
          <w:rFonts w:cs="Times New Roman"/>
          <w:color w:val="000000"/>
        </w:rPr>
        <w:t xml:space="preserve">That is, the court (and the parties) took for granted that the repudiation did not entitle the seller to the contract price on the remaining quantities. On the issue that it did face, it had no difficulty rejecting the notion that the take-or-pay constituted a penalty. In both respects the decision is consistent with my interpretation of both the actual and hypothetical versions of </w:t>
      </w:r>
      <w:r w:rsidRPr="00255560">
        <w:rPr>
          <w:rFonts w:cs="Times New Roman"/>
          <w:i/>
          <w:color w:val="000000"/>
        </w:rPr>
        <w:t>Lake River</w:t>
      </w:r>
      <w:r>
        <w:rPr>
          <w:rFonts w:cs="Times New Roman"/>
          <w:color w:val="000000"/>
        </w:rPr>
        <w:t>.</w:t>
      </w:r>
      <w:r w:rsidR="00D367ED">
        <w:rPr>
          <w:rFonts w:cs="Times New Roman"/>
          <w:color w:val="000000"/>
        </w:rPr>
        <w:t xml:space="preserve"> That is, it would award full payment of the price for past shortfalls and the contract/market differential for the post-breach sales.</w:t>
      </w:r>
    </w:p>
    <w:p w14:paraId="0AD7396E" w14:textId="77777777" w:rsidR="00320C9E" w:rsidRPr="00451105" w:rsidRDefault="00320C9E" w:rsidP="004E6C27">
      <w:pPr>
        <w:pStyle w:val="BodyText"/>
        <w:tabs>
          <w:tab w:val="center" w:pos="3326"/>
          <w:tab w:val="right" w:pos="6667"/>
        </w:tabs>
        <w:rPr>
          <w:rFonts w:ascii="Times New Roman" w:hAnsi="Times New Roman" w:cs="Times New Roman"/>
        </w:rPr>
      </w:pPr>
    </w:p>
    <w:p w14:paraId="1AA83AFE" w14:textId="6F3FB838" w:rsidR="00875809" w:rsidRPr="00875809" w:rsidRDefault="00B14B57" w:rsidP="0033063B">
      <w:pPr>
        <w:pStyle w:val="ListParagraph"/>
        <w:numPr>
          <w:ilvl w:val="0"/>
          <w:numId w:val="4"/>
        </w:numPr>
        <w:rPr>
          <w:rFonts w:cs="Times New Roman"/>
        </w:rPr>
      </w:pPr>
      <w:r w:rsidRPr="00875809">
        <w:rPr>
          <w:rFonts w:cs="Times New Roman"/>
          <w:b/>
        </w:rPr>
        <w:t>Summing Up.</w:t>
      </w:r>
      <w:r w:rsidRPr="00875809">
        <w:rPr>
          <w:rFonts w:cs="Times New Roman"/>
        </w:rPr>
        <w:t xml:space="preserve"> </w:t>
      </w:r>
    </w:p>
    <w:p w14:paraId="022DCA36" w14:textId="77777777" w:rsidR="00875809" w:rsidRDefault="00875809" w:rsidP="00875809">
      <w:pPr>
        <w:rPr>
          <w:rFonts w:cs="Times New Roman"/>
        </w:rPr>
      </w:pPr>
    </w:p>
    <w:p w14:paraId="287BAFC6" w14:textId="3B95A582" w:rsidR="00844A5F" w:rsidRPr="00875809" w:rsidRDefault="00844A5F" w:rsidP="00875809">
      <w:pPr>
        <w:ind w:firstLine="360"/>
        <w:rPr>
          <w:rFonts w:cs="Times New Roman"/>
        </w:rPr>
      </w:pPr>
      <w:r w:rsidRPr="00875809">
        <w:rPr>
          <w:rFonts w:cs="Times New Roman"/>
        </w:rPr>
        <w:t xml:space="preserve">The </w:t>
      </w:r>
      <w:r w:rsidR="00D367ED">
        <w:rPr>
          <w:rFonts w:cs="Times New Roman"/>
        </w:rPr>
        <w:t>“</w:t>
      </w:r>
      <w:r w:rsidRPr="00875809">
        <w:rPr>
          <w:rFonts w:cs="Times New Roman"/>
        </w:rPr>
        <w:t>take-or-pay</w:t>
      </w:r>
      <w:r w:rsidR="00D367ED">
        <w:rPr>
          <w:rFonts w:cs="Times New Roman"/>
        </w:rPr>
        <w:t>”</w:t>
      </w:r>
      <w:r w:rsidRPr="00875809">
        <w:rPr>
          <w:rFonts w:cs="Times New Roman"/>
        </w:rPr>
        <w:t xml:space="preserve"> and </w:t>
      </w:r>
      <w:r w:rsidR="00D367ED">
        <w:rPr>
          <w:rFonts w:cs="Times New Roman"/>
        </w:rPr>
        <w:t>“</w:t>
      </w:r>
      <w:r w:rsidRPr="00875809">
        <w:rPr>
          <w:rFonts w:cs="Times New Roman"/>
        </w:rPr>
        <w:t>minimum quantity</w:t>
      </w:r>
      <w:r w:rsidR="00D367ED">
        <w:rPr>
          <w:rFonts w:cs="Times New Roman"/>
        </w:rPr>
        <w:t>”</w:t>
      </w:r>
      <w:r w:rsidRPr="00875809">
        <w:rPr>
          <w:rFonts w:cs="Times New Roman"/>
        </w:rPr>
        <w:t xml:space="preserve"> contracts are </w:t>
      </w:r>
      <w:r w:rsidR="001D447A" w:rsidRPr="00875809">
        <w:rPr>
          <w:rFonts w:cs="Times New Roman"/>
        </w:rPr>
        <w:t>basically the same.</w:t>
      </w:r>
      <w:r w:rsidRPr="00875809">
        <w:rPr>
          <w:rFonts w:cs="Times New Roman"/>
        </w:rPr>
        <w:t xml:space="preserve"> </w:t>
      </w:r>
      <w:r w:rsidR="001D447A" w:rsidRPr="00875809">
        <w:rPr>
          <w:rFonts w:cs="Times New Roman"/>
        </w:rPr>
        <w:t>The</w:t>
      </w:r>
      <w:r w:rsidRPr="00875809">
        <w:rPr>
          <w:rFonts w:cs="Times New Roman"/>
        </w:rPr>
        <w:t xml:space="preserve"> former sets a series of minimum obligations and the latter sets a single obligation. In a take-or-pay contract, each period can be treated as an installment; so long as the court does not find the contract terminated (an anticipatory repudiation), the contract remains in force. If after the year </w:t>
      </w:r>
      <w:r w:rsidR="00D367ED">
        <w:rPr>
          <w:rFonts w:cs="Times New Roman"/>
        </w:rPr>
        <w:t>(or some other relevant time period) has passed</w:t>
      </w:r>
      <w:r w:rsidRPr="00875809">
        <w:rPr>
          <w:rFonts w:cs="Times New Roman"/>
        </w:rPr>
        <w:t xml:space="preserve"> and the buyer had failed to take the required amount, the buyer would have to pay the price multiplied by the shortfall, as the court found in </w:t>
      </w:r>
      <w:r w:rsidRPr="00875809">
        <w:rPr>
          <w:rFonts w:cs="Times New Roman"/>
          <w:i/>
        </w:rPr>
        <w:t>Prenalta</w:t>
      </w:r>
      <w:r w:rsidRPr="00875809">
        <w:rPr>
          <w:rFonts w:cs="Times New Roman"/>
        </w:rPr>
        <w:t>.</w:t>
      </w:r>
      <w:r w:rsidR="00B57C61">
        <w:rPr>
          <w:rStyle w:val="FootnoteReference"/>
          <w:rFonts w:cs="Times New Roman"/>
        </w:rPr>
        <w:footnoteReference w:id="137"/>
      </w:r>
      <w:r w:rsidRPr="00875809">
        <w:rPr>
          <w:rFonts w:cs="Times New Roman"/>
        </w:rPr>
        <w:t xml:space="preserve"> Likewise, if the parties agreed on a minimum quantity over a fixed period, if the buyer failed to reach the minimum, it should be liable for the same thing—the price multiplied by the shortfall. That was the result rejected by Judge Posner in </w:t>
      </w:r>
      <w:r w:rsidRPr="00875809">
        <w:rPr>
          <w:rFonts w:cs="Times New Roman"/>
          <w:i/>
        </w:rPr>
        <w:t>Lake River</w:t>
      </w:r>
      <w:r w:rsidRPr="00875809">
        <w:rPr>
          <w:rFonts w:cs="Times New Roman"/>
        </w:rPr>
        <w:t>. The take-or-pay contract has multiple periods while the minimum quantity contract has but one. Analytically, there is no difference.</w:t>
      </w:r>
    </w:p>
    <w:p w14:paraId="2C130570" w14:textId="77777777" w:rsidR="00844A5F" w:rsidRPr="00451105" w:rsidRDefault="00844A5F" w:rsidP="00844A5F">
      <w:pPr>
        <w:rPr>
          <w:rFonts w:cs="Times New Roman"/>
        </w:rPr>
      </w:pPr>
    </w:p>
    <w:p w14:paraId="3AF6A3D3" w14:textId="210BC63B" w:rsidR="007E7F84" w:rsidRDefault="00844A5F" w:rsidP="009B3788">
      <w:pPr>
        <w:ind w:firstLine="720"/>
        <w:rPr>
          <w:rFonts w:cs="Times New Roman"/>
        </w:rPr>
      </w:pPr>
      <w:r w:rsidRPr="00451105">
        <w:rPr>
          <w:rFonts w:cs="Times New Roman"/>
        </w:rPr>
        <w:t xml:space="preserve">If a buyer were to repudiate a take-or-pay contract, the damages would not be the price multiplied by the shortfall. </w:t>
      </w:r>
      <w:r w:rsidR="00EC0357" w:rsidRPr="00451105">
        <w:rPr>
          <w:rFonts w:cs="Times New Roman"/>
        </w:rPr>
        <w:t>The damages</w:t>
      </w:r>
      <w:r w:rsidRPr="00451105">
        <w:rPr>
          <w:rFonts w:cs="Times New Roman"/>
        </w:rPr>
        <w:t xml:space="preserve"> should be the change in value of the contract at the moment of repudiation</w:t>
      </w:r>
      <w:r w:rsidR="00EC0357" w:rsidRPr="00451105">
        <w:rPr>
          <w:rFonts w:cs="Times New Roman"/>
        </w:rPr>
        <w:t>—the present value of the difference in the expected cash flows</w:t>
      </w:r>
      <w:r w:rsidRPr="00451105">
        <w:rPr>
          <w:rFonts w:cs="Times New Roman"/>
        </w:rPr>
        <w:t xml:space="preserve">. That would </w:t>
      </w:r>
      <w:r w:rsidR="00D701B1">
        <w:rPr>
          <w:rFonts w:cs="Times New Roman"/>
        </w:rPr>
        <w:t>be based on</w:t>
      </w:r>
      <w:r w:rsidRPr="00451105">
        <w:rPr>
          <w:rFonts w:cs="Times New Roman"/>
        </w:rPr>
        <w:t xml:space="preserve"> the projected market/contract price differential</w:t>
      </w:r>
      <w:r w:rsidR="00D701B1">
        <w:rPr>
          <w:rFonts w:cs="Times New Roman"/>
        </w:rPr>
        <w:t xml:space="preserve"> or the lost profits, depending on whether </w:t>
      </w:r>
      <w:r w:rsidRPr="00451105">
        <w:rPr>
          <w:rFonts w:cs="Times New Roman"/>
        </w:rPr>
        <w:t xml:space="preserve">the seller could do something else with the goods in the remaining years. We could call it mitigation, but it is more </w:t>
      </w:r>
      <w:r w:rsidRPr="00451105">
        <w:rPr>
          <w:rFonts w:cs="Times New Roman"/>
        </w:rPr>
        <w:lastRenderedPageBreak/>
        <w:t xml:space="preserve">straightforward to simply recognize it as an element in finding the change in the value of the contract. In effect, that is what the court did in </w:t>
      </w:r>
      <w:r w:rsidRPr="00451105">
        <w:rPr>
          <w:rFonts w:cs="Times New Roman"/>
          <w:i/>
        </w:rPr>
        <w:t>Tractebel</w:t>
      </w:r>
      <w:r w:rsidRPr="00875809">
        <w:rPr>
          <w:rFonts w:cs="Times New Roman"/>
        </w:rPr>
        <w:t xml:space="preserve"> </w:t>
      </w:r>
      <w:r w:rsidRPr="00451105">
        <w:rPr>
          <w:rFonts w:cs="Times New Roman"/>
        </w:rPr>
        <w:t xml:space="preserve">and, as we shall see in the next </w:t>
      </w:r>
      <w:r w:rsidR="00DB2851">
        <w:rPr>
          <w:rFonts w:cs="Times New Roman"/>
        </w:rPr>
        <w:t>Section</w:t>
      </w:r>
      <w:r w:rsidRPr="00451105">
        <w:rPr>
          <w:rFonts w:cs="Times New Roman"/>
        </w:rPr>
        <w:t xml:space="preserve">, it is what international arbitration tribunals do when assessing damages. That seems to be the direction </w:t>
      </w:r>
      <w:r w:rsidR="00875809" w:rsidRPr="00451105">
        <w:rPr>
          <w:rFonts w:cs="Times New Roman"/>
        </w:rPr>
        <w:t>the</w:t>
      </w:r>
      <w:r w:rsidR="00875809">
        <w:rPr>
          <w:rFonts w:cs="Times New Roman"/>
        </w:rPr>
        <w:t xml:space="preserve"> </w:t>
      </w:r>
      <w:r w:rsidR="00875809" w:rsidRPr="00451105">
        <w:rPr>
          <w:rFonts w:cs="Times New Roman"/>
        </w:rPr>
        <w:t>court</w:t>
      </w:r>
      <w:r w:rsidRPr="00451105">
        <w:rPr>
          <w:rFonts w:cs="Times New Roman"/>
        </w:rPr>
        <w:t xml:space="preserve"> was taking in both </w:t>
      </w:r>
      <w:r w:rsidRPr="00451105">
        <w:rPr>
          <w:rFonts w:cs="Times New Roman"/>
          <w:i/>
        </w:rPr>
        <w:t>Manchester Pipeline</w:t>
      </w:r>
      <w:r w:rsidRPr="00451105">
        <w:rPr>
          <w:rFonts w:cs="Times New Roman"/>
        </w:rPr>
        <w:t xml:space="preserve"> and </w:t>
      </w:r>
      <w:r w:rsidRPr="00451105">
        <w:rPr>
          <w:rFonts w:cs="Times New Roman"/>
          <w:i/>
        </w:rPr>
        <w:t>Arkla</w:t>
      </w:r>
      <w:r w:rsidRPr="00451105">
        <w:rPr>
          <w:rFonts w:cs="Times New Roman"/>
        </w:rPr>
        <w:t xml:space="preserve">, although both decisions were a bit confused. Repudiation of a minimum quantity contract, as in Posner’s hypothetical, would be no different. The major </w:t>
      </w:r>
      <w:r w:rsidR="001E315C">
        <w:rPr>
          <w:rFonts w:cs="Times New Roman"/>
        </w:rPr>
        <w:t>distinction</w:t>
      </w:r>
      <w:r w:rsidRPr="00451105">
        <w:rPr>
          <w:rFonts w:cs="Times New Roman"/>
        </w:rPr>
        <w:t xml:space="preserve"> is that it would be a lot easier </w:t>
      </w:r>
      <w:r w:rsidR="007179D5">
        <w:rPr>
          <w:rFonts w:cs="Times New Roman"/>
        </w:rPr>
        <w:t xml:space="preserve">to assess damages </w:t>
      </w:r>
      <w:r w:rsidRPr="00451105">
        <w:rPr>
          <w:rFonts w:cs="Times New Roman"/>
        </w:rPr>
        <w:t>since there would be less difficulty in determining both the quantity and the contract/market differential.</w:t>
      </w:r>
    </w:p>
    <w:p w14:paraId="798A21CB" w14:textId="5670782F" w:rsidR="00C96FE9" w:rsidRDefault="00C96FE9" w:rsidP="009B3788">
      <w:pPr>
        <w:ind w:firstLine="720"/>
        <w:rPr>
          <w:rFonts w:cs="Times New Roman"/>
        </w:rPr>
      </w:pPr>
    </w:p>
    <w:p w14:paraId="33BF847B" w14:textId="5CD39124" w:rsidR="00C96FE9" w:rsidRDefault="00C96FE9" w:rsidP="00C96FE9">
      <w:pPr>
        <w:pStyle w:val="ListParagraph"/>
        <w:numPr>
          <w:ilvl w:val="0"/>
          <w:numId w:val="4"/>
        </w:numPr>
        <w:rPr>
          <w:rFonts w:cs="Times New Roman"/>
          <w:b/>
        </w:rPr>
      </w:pPr>
      <w:r w:rsidRPr="00C96FE9">
        <w:rPr>
          <w:rFonts w:cs="Times New Roman"/>
          <w:b/>
        </w:rPr>
        <w:t>Why Damages?</w:t>
      </w:r>
    </w:p>
    <w:p w14:paraId="293EEDF1" w14:textId="2A44C82F" w:rsidR="00C96FE9" w:rsidRDefault="00C96FE9" w:rsidP="00C96FE9">
      <w:pPr>
        <w:ind w:left="720"/>
        <w:rPr>
          <w:rFonts w:cs="Times New Roman"/>
          <w:b/>
        </w:rPr>
      </w:pPr>
    </w:p>
    <w:p w14:paraId="2BC06BA6" w14:textId="2AB8A4CF" w:rsidR="00C96FE9" w:rsidRDefault="00C96FE9" w:rsidP="00D701B1">
      <w:pPr>
        <w:ind w:firstLine="720"/>
        <w:rPr>
          <w:rFonts w:cs="Times New Roman"/>
        </w:rPr>
      </w:pPr>
      <w:r>
        <w:rPr>
          <w:rFonts w:cs="Times New Roman"/>
        </w:rPr>
        <w:t xml:space="preserve">When I presented </w:t>
      </w:r>
      <w:r w:rsidR="00D701B1">
        <w:rPr>
          <w:rFonts w:cs="Times New Roman"/>
        </w:rPr>
        <w:t xml:space="preserve">an earlier version of this </w:t>
      </w:r>
      <w:r>
        <w:rPr>
          <w:rFonts w:cs="Times New Roman"/>
        </w:rPr>
        <w:t xml:space="preserve">paper in Germany, the participants proposed two alternatives to reckoning the damages </w:t>
      </w:r>
      <w:r w:rsidR="00345F0E">
        <w:rPr>
          <w:rFonts w:cs="Times New Roman"/>
        </w:rPr>
        <w:t>for the repudiation of a long-t</w:t>
      </w:r>
      <w:r>
        <w:rPr>
          <w:rFonts w:cs="Times New Roman"/>
        </w:rPr>
        <w:t>erm contract</w:t>
      </w:r>
      <w:r w:rsidR="00345F0E">
        <w:rPr>
          <w:rFonts w:cs="Times New Roman"/>
        </w:rPr>
        <w:t xml:space="preserve"> at the time of the breach. Why not award specific performance? Or, alternatively, why not wait until the full performance was due, perhaps requiring the non-breacher to sue multiple times? In </w:t>
      </w:r>
      <w:r w:rsidR="00345F0E" w:rsidRPr="00DE49AC">
        <w:rPr>
          <w:rFonts w:cs="Times New Roman"/>
          <w:i/>
        </w:rPr>
        <w:t>NIPSCO</w:t>
      </w:r>
      <w:r w:rsidR="00345F0E">
        <w:rPr>
          <w:rFonts w:cs="Times New Roman"/>
        </w:rPr>
        <w:t>, discussed above, the buyer asked for specific performance, but Judge Posner rejected it:</w:t>
      </w:r>
      <w:r w:rsidR="00345F0E">
        <w:rPr>
          <w:rStyle w:val="FootnoteReference"/>
          <w:rFonts w:cs="Times New Roman"/>
        </w:rPr>
        <w:footnoteReference w:id="138"/>
      </w:r>
    </w:p>
    <w:p w14:paraId="214B0151" w14:textId="0F328B79" w:rsidR="00345F0E" w:rsidRDefault="00345F0E" w:rsidP="00C96FE9">
      <w:pPr>
        <w:rPr>
          <w:rFonts w:cs="Times New Roman"/>
        </w:rPr>
      </w:pPr>
    </w:p>
    <w:p w14:paraId="41D75B14" w14:textId="679D7401" w:rsidR="00345F0E" w:rsidRDefault="00345F0E" w:rsidP="00DE49AC">
      <w:pPr>
        <w:ind w:left="720" w:right="720"/>
        <w:rPr>
          <w:rFonts w:cs="Times New Roman"/>
        </w:rPr>
      </w:pPr>
      <w:r w:rsidRPr="001B6A50">
        <w:rPr>
          <w:rFonts w:cs="Times New Roman"/>
          <w:color w:val="000000"/>
        </w:rPr>
        <w:t>Indeed, specific performance would be improper as well as unnecessary here, because it would force the continuation of production that has become uneconomical. Cf. Farnsworth, supra, at 817–18. No one wants coal from Carbon County’s mine. With the collapse of oil prices, which has depressed the price of substitute fuels as well, this coal costs far more to get out of the ground than it is worth in the market. Continuing to produce it, under compulsion of an order for specific performance, would impose costs on society greater than the benefits. NIPSCO’s breach, though it gave Carbon County a right to damages, was an efficient breach in the sense that it brought to a halt a production process that was no longer cost-justified</w:t>
      </w:r>
      <w:r w:rsidR="00DE49AC">
        <w:rPr>
          <w:rFonts w:cs="Times New Roman"/>
          <w:color w:val="000000"/>
        </w:rPr>
        <w:t>.</w:t>
      </w:r>
    </w:p>
    <w:p w14:paraId="5DC45A98" w14:textId="10742383" w:rsidR="00DE49AC" w:rsidRPr="00C96FE9" w:rsidRDefault="00DE49AC" w:rsidP="00DE49AC">
      <w:pPr>
        <w:ind w:left="720" w:right="720"/>
        <w:rPr>
          <w:rFonts w:cs="Times New Roman"/>
        </w:rPr>
      </w:pPr>
    </w:p>
    <w:p w14:paraId="3F5FCAFB" w14:textId="5E4C8472" w:rsidR="00CB5B4A" w:rsidRPr="00C05FD3" w:rsidRDefault="00DE49AC" w:rsidP="00CB5B4A">
      <w:pPr>
        <w:rPr>
          <w:rFonts w:cs="Times New Roman"/>
        </w:rPr>
      </w:pPr>
      <w:r>
        <w:rPr>
          <w:rFonts w:cs="Times New Roman"/>
        </w:rPr>
        <w:t xml:space="preserve"> </w:t>
      </w:r>
      <w:r w:rsidR="00CB5B4A">
        <w:rPr>
          <w:rFonts w:cs="Times New Roman"/>
        </w:rPr>
        <w:t>It would indeed have been inefficient for Carbon County to continue producing coal that NIPSCO couldn’t use. But</w:t>
      </w:r>
      <w:r w:rsidR="00505F5D">
        <w:rPr>
          <w:rFonts w:cs="Times New Roman"/>
        </w:rPr>
        <w:t>, Judge Posner noted,</w:t>
      </w:r>
      <w:r w:rsidR="00CB5B4A">
        <w:rPr>
          <w:rFonts w:cs="Times New Roman"/>
        </w:rPr>
        <w:t xml:space="preserve"> specific performance does not require actual performance.</w:t>
      </w:r>
      <w:r w:rsidR="00505F5D">
        <w:rPr>
          <w:rStyle w:val="FootnoteReference"/>
          <w:rFonts w:cs="Times New Roman"/>
        </w:rPr>
        <w:footnoteReference w:id="139"/>
      </w:r>
      <w:r w:rsidR="00CB5B4A">
        <w:rPr>
          <w:rFonts w:cs="Times New Roman"/>
        </w:rPr>
        <w:t xml:space="preserve"> It simply would give the buyer a bargaining chip and the seller </w:t>
      </w:r>
      <w:r w:rsidR="00CB5B4A">
        <w:rPr>
          <w:rFonts w:cs="Times New Roman"/>
        </w:rPr>
        <w:lastRenderedPageBreak/>
        <w:t xml:space="preserve">would have to pay to lift the injunction. If there were no holdup issues, the parties’ negotiations would determine the value of the contract better than an ex post battle of the experts. If, however, holdup were a significant problem, </w:t>
      </w:r>
      <w:r w:rsidR="00D701B1">
        <w:rPr>
          <w:rFonts w:cs="Times New Roman"/>
        </w:rPr>
        <w:t xml:space="preserve">as </w:t>
      </w:r>
      <w:r w:rsidR="00030584">
        <w:rPr>
          <w:rFonts w:cs="Times New Roman"/>
        </w:rPr>
        <w:t>would have been</w:t>
      </w:r>
      <w:r w:rsidR="00D701B1">
        <w:rPr>
          <w:rFonts w:cs="Times New Roman"/>
        </w:rPr>
        <w:t xml:space="preserve"> the case in </w:t>
      </w:r>
      <w:r w:rsidR="00D701B1" w:rsidRPr="00D701B1">
        <w:rPr>
          <w:rFonts w:cs="Times New Roman"/>
          <w:i/>
        </w:rPr>
        <w:t>NIPSCO</w:t>
      </w:r>
      <w:r w:rsidR="00D701B1">
        <w:rPr>
          <w:rFonts w:cs="Times New Roman"/>
        </w:rPr>
        <w:t xml:space="preserve">, </w:t>
      </w:r>
      <w:r w:rsidR="00CB5B4A">
        <w:rPr>
          <w:rFonts w:cs="Times New Roman"/>
        </w:rPr>
        <w:t xml:space="preserve">the specific performance remedy becomes less attractive. </w:t>
      </w:r>
      <w:r w:rsidR="00295AD6">
        <w:rPr>
          <w:rFonts w:cs="Times New Roman"/>
        </w:rPr>
        <w:t xml:space="preserve">In cases in which the holdup potential is low, the specific performance remedy might be superior to the damage remedy. The multiple suit approach would be more attractive. </w:t>
      </w:r>
      <w:r w:rsidR="00CB5B4A">
        <w:rPr>
          <w:rFonts w:cs="Times New Roman"/>
        </w:rPr>
        <w:t xml:space="preserve">If the claimant could only sue seriatim for past failures, we should expect that, since the holdup threat </w:t>
      </w:r>
      <w:r w:rsidR="00030584">
        <w:rPr>
          <w:rFonts w:cs="Times New Roman"/>
        </w:rPr>
        <w:t>is weaker</w:t>
      </w:r>
      <w:r w:rsidR="00CB5B4A">
        <w:rPr>
          <w:rFonts w:cs="Times New Roman"/>
        </w:rPr>
        <w:t>, the parties would be able to negotiate a settlement that would reflect their expectations about the future. The settlement value would depend upon more than the expected future damages;</w:t>
      </w:r>
      <w:r w:rsidR="003D475D">
        <w:rPr>
          <w:rFonts w:cs="Times New Roman"/>
        </w:rPr>
        <w:t xml:space="preserve"> it would also reflect </w:t>
      </w:r>
      <w:r w:rsidR="00CB5B4A">
        <w:rPr>
          <w:rFonts w:cs="Times New Roman"/>
        </w:rPr>
        <w:t>the expected costs of repeated suits and the vulnerability of each of the parties to the timing of the damage payments. It is at least plausible that parties might prefer a regime in which multiple suits would be required to one in which the damages are measured once and for all.</w:t>
      </w:r>
    </w:p>
    <w:p w14:paraId="22F7B437" w14:textId="5595E333" w:rsidR="007E7F84" w:rsidRPr="00451105" w:rsidRDefault="007E7F84" w:rsidP="007E7F84">
      <w:pPr>
        <w:rPr>
          <w:rFonts w:cs="Times New Roman"/>
        </w:rPr>
      </w:pPr>
    </w:p>
    <w:p w14:paraId="13C95E4D" w14:textId="49FAD575" w:rsidR="007E7F84" w:rsidRPr="00451105" w:rsidRDefault="007E691C" w:rsidP="007E691C">
      <w:pPr>
        <w:jc w:val="center"/>
        <w:rPr>
          <w:rFonts w:cs="Times New Roman"/>
          <w:b/>
        </w:rPr>
      </w:pPr>
      <w:r w:rsidRPr="00451105">
        <w:rPr>
          <w:rFonts w:cs="Times New Roman"/>
          <w:b/>
        </w:rPr>
        <w:t>I</w:t>
      </w:r>
      <w:r w:rsidR="00733B28">
        <w:rPr>
          <w:rFonts w:cs="Times New Roman"/>
          <w:b/>
        </w:rPr>
        <w:t>V</w:t>
      </w:r>
      <w:r w:rsidRPr="00451105">
        <w:rPr>
          <w:rFonts w:cs="Times New Roman"/>
          <w:b/>
        </w:rPr>
        <w:t>. INTERNATIONAL INVESTMENT ARBITRATION</w:t>
      </w:r>
    </w:p>
    <w:p w14:paraId="2F336BEB" w14:textId="77777777" w:rsidR="007E7F84" w:rsidRPr="00451105" w:rsidRDefault="007E7F84" w:rsidP="007E7F84">
      <w:pPr>
        <w:rPr>
          <w:rFonts w:cs="Times New Roman"/>
        </w:rPr>
      </w:pPr>
    </w:p>
    <w:p w14:paraId="62BFD5D5" w14:textId="6A2A90FB" w:rsidR="007E7F84" w:rsidRPr="00451105" w:rsidRDefault="007E7F84" w:rsidP="007E7F84">
      <w:pPr>
        <w:ind w:firstLine="720"/>
        <w:rPr>
          <w:rFonts w:cs="Times New Roman"/>
        </w:rPr>
      </w:pPr>
      <w:r w:rsidRPr="00451105">
        <w:rPr>
          <w:rFonts w:cs="Times New Roman"/>
        </w:rPr>
        <w:t>Complex long-term contracts, like the natural gas</w:t>
      </w:r>
      <w:r w:rsidR="00030584">
        <w:rPr>
          <w:rFonts w:cs="Times New Roman"/>
        </w:rPr>
        <w:t>,</w:t>
      </w:r>
      <w:r w:rsidRPr="00451105">
        <w:rPr>
          <w:rFonts w:cs="Times New Roman"/>
        </w:rPr>
        <w:t xml:space="preserve"> </w:t>
      </w:r>
      <w:r w:rsidRPr="00451105">
        <w:rPr>
          <w:rFonts w:cs="Times New Roman"/>
          <w:i/>
        </w:rPr>
        <w:t>Tractebel</w:t>
      </w:r>
      <w:r w:rsidR="00030584">
        <w:rPr>
          <w:rFonts w:cs="Times New Roman"/>
          <w:i/>
        </w:rPr>
        <w:t xml:space="preserve">, </w:t>
      </w:r>
      <w:r w:rsidR="00030584">
        <w:rPr>
          <w:rFonts w:cs="Times New Roman"/>
        </w:rPr>
        <w:t xml:space="preserve">and </w:t>
      </w:r>
      <w:r w:rsidR="00030584" w:rsidRPr="00030584">
        <w:rPr>
          <w:rFonts w:cs="Times New Roman"/>
          <w:i/>
        </w:rPr>
        <w:t>NIPSCO</w:t>
      </w:r>
      <w:r w:rsidRPr="00451105">
        <w:rPr>
          <w:rFonts w:cs="Times New Roman"/>
          <w:i/>
        </w:rPr>
        <w:t xml:space="preserve"> </w:t>
      </w:r>
      <w:r w:rsidRPr="00451105">
        <w:rPr>
          <w:rFonts w:cs="Times New Roman"/>
        </w:rPr>
        <w:t>contracts of the previous section, typically involve a substantial up-front investment by one party. After that investment has been made, the investor faces a problem. Th</w:t>
      </w:r>
      <w:r w:rsidR="00E15AE8">
        <w:rPr>
          <w:rFonts w:cs="Times New Roman"/>
        </w:rPr>
        <w:t>e counterparty might engage in holdup,</w:t>
      </w:r>
      <w:r w:rsidRPr="00451105">
        <w:rPr>
          <w:rFonts w:cs="Times New Roman"/>
        </w:rPr>
        <w:t xml:space="preserve"> taking advantage of the investor’s vulnerability to revise the terms of the deal.</w:t>
      </w:r>
      <w:r w:rsidRPr="00451105">
        <w:rPr>
          <w:rStyle w:val="FootnoteReference"/>
          <w:rFonts w:cs="Times New Roman"/>
        </w:rPr>
        <w:footnoteReference w:id="140"/>
      </w:r>
      <w:r w:rsidRPr="00451105">
        <w:rPr>
          <w:rFonts w:cs="Times New Roman"/>
        </w:rPr>
        <w:t xml:space="preserve"> The contract would be structured to take this risk into account, although as we have seen, the structuring does not resolve all the problems. If the investment project is with a foreign country the risks are exacerbated. The investor faces the possibility</w:t>
      </w:r>
      <w:r w:rsidR="00F94F94" w:rsidRPr="00F94F94">
        <w:rPr>
          <w:rFonts w:eastAsia="Times New Roman" w:cs="Times New Roman"/>
          <w:bCs/>
          <w:kern w:val="36"/>
        </w:rPr>
        <w:t xml:space="preserve"> </w:t>
      </w:r>
      <w:r w:rsidR="00F94F94">
        <w:rPr>
          <w:rFonts w:eastAsia="Times New Roman" w:cs="Times New Roman"/>
          <w:bCs/>
          <w:kern w:val="36"/>
        </w:rPr>
        <w:t>that the State might choose not to honor the contract, or to reduce the contract’s value by changes in regulations or by imposing taxes.</w:t>
      </w:r>
      <w:r w:rsidR="00F94F94">
        <w:rPr>
          <w:rFonts w:cs="Times New Roman"/>
        </w:rPr>
        <w:t xml:space="preserve"> </w:t>
      </w:r>
      <w:r w:rsidRPr="00451105">
        <w:rPr>
          <w:rFonts w:cs="Times New Roman"/>
        </w:rPr>
        <w:t xml:space="preserve"> Not all such actions by the government would be compensable. That issue nowadays is typically determined in </w:t>
      </w:r>
      <w:r w:rsidR="00EB5414">
        <w:rPr>
          <w:rFonts w:cs="Times New Roman"/>
        </w:rPr>
        <w:t xml:space="preserve">international </w:t>
      </w:r>
      <w:r w:rsidRPr="00451105">
        <w:rPr>
          <w:rFonts w:cs="Times New Roman"/>
        </w:rPr>
        <w:t>arbitration</w:t>
      </w:r>
      <w:r w:rsidR="00EB5414">
        <w:rPr>
          <w:rFonts w:cs="Times New Roman"/>
        </w:rPr>
        <w:t>, often</w:t>
      </w:r>
      <w:r w:rsidRPr="00451105">
        <w:rPr>
          <w:rFonts w:cs="Times New Roman"/>
        </w:rPr>
        <w:t xml:space="preserve"> under a Bilateral Investment Treaty (BIT). </w:t>
      </w:r>
    </w:p>
    <w:p w14:paraId="747B46CF" w14:textId="77777777" w:rsidR="007E7F84" w:rsidRPr="00451105" w:rsidRDefault="007E7F84" w:rsidP="007E7F84">
      <w:pPr>
        <w:rPr>
          <w:rFonts w:cs="Times New Roman"/>
        </w:rPr>
      </w:pPr>
    </w:p>
    <w:p w14:paraId="38586BC2" w14:textId="32634A58" w:rsidR="007E7F84" w:rsidRPr="005C6B1F" w:rsidRDefault="007E7F84" w:rsidP="00AF73D9">
      <w:pPr>
        <w:ind w:firstLine="720"/>
        <w:rPr>
          <w:rFonts w:cs="Times New Roman"/>
          <w:noProof/>
        </w:rPr>
      </w:pPr>
      <w:r w:rsidRPr="00451105">
        <w:rPr>
          <w:rFonts w:cs="Times New Roman"/>
        </w:rPr>
        <w:t>So, suppose that Oilco had entered into a participation agreement with the Duchy of Grand Fenwick in which it would explore for oil and</w:t>
      </w:r>
      <w:r w:rsidR="00B02CC6">
        <w:rPr>
          <w:rFonts w:cs="Times New Roman"/>
        </w:rPr>
        <w:t>,</w:t>
      </w:r>
      <w:r w:rsidRPr="00451105">
        <w:rPr>
          <w:rFonts w:cs="Times New Roman"/>
        </w:rPr>
        <w:t xml:space="preserve"> if successful</w:t>
      </w:r>
      <w:r w:rsidR="00B02CC6">
        <w:rPr>
          <w:rFonts w:cs="Times New Roman"/>
        </w:rPr>
        <w:t>,</w:t>
      </w:r>
      <w:r w:rsidRPr="00451105">
        <w:rPr>
          <w:rFonts w:cs="Times New Roman"/>
        </w:rPr>
        <w:t xml:space="preserve"> spend billions to exploit the field. Oilco and Fenwick would then share the revenue according to a preset formula. The project turned out to be successful and after a few years of operation the price of oil increased far beyond what the parties had anticipated when they entered into the arrangement. Moreover, the government of Fenwick had changed to one less friendly to large multi-national corporations. Although the agreement had language that said that tax rates could only be changed if both parties agree,</w:t>
      </w:r>
      <w:r w:rsidR="004A0DD7">
        <w:rPr>
          <w:rStyle w:val="FootnoteReference"/>
          <w:rFonts w:cs="Times New Roman"/>
        </w:rPr>
        <w:footnoteReference w:id="141"/>
      </w:r>
      <w:r w:rsidRPr="00451105">
        <w:rPr>
          <w:rFonts w:cs="Times New Roman"/>
        </w:rPr>
        <w:t xml:space="preserve"> </w:t>
      </w:r>
      <w:r w:rsidR="006E6FFF">
        <w:rPr>
          <w:rFonts w:cs="Times New Roman"/>
        </w:rPr>
        <w:t xml:space="preserve">suppose that </w:t>
      </w:r>
      <w:r w:rsidRPr="00451105">
        <w:rPr>
          <w:rFonts w:cs="Times New Roman"/>
        </w:rPr>
        <w:t xml:space="preserve">Fenwick unilaterally </w:t>
      </w:r>
      <w:r w:rsidRPr="00451105">
        <w:rPr>
          <w:rFonts w:cs="Times New Roman"/>
        </w:rPr>
        <w:lastRenderedPageBreak/>
        <w:t>raised the rates.</w:t>
      </w:r>
      <w:r w:rsidRPr="00451105">
        <w:rPr>
          <w:rStyle w:val="FootnoteReference"/>
          <w:rFonts w:cs="Times New Roman"/>
        </w:rPr>
        <w:footnoteReference w:id="142"/>
      </w:r>
      <w:r w:rsidRPr="00451105">
        <w:rPr>
          <w:rFonts w:cs="Times New Roman"/>
        </w:rPr>
        <w:t xml:space="preserve"> Or, perhaps, it simply declared the agreement at an end. In either event, Oilco could bring an action under the BIT, either for breach of contract or violation of the treaty</w:t>
      </w:r>
      <w:r w:rsidR="00BA5FD4">
        <w:rPr>
          <w:rFonts w:cs="Times New Roman"/>
        </w:rPr>
        <w:t xml:space="preserve"> or both</w:t>
      </w:r>
      <w:r w:rsidRPr="00451105">
        <w:rPr>
          <w:rFonts w:cs="Times New Roman"/>
        </w:rPr>
        <w:t xml:space="preserve">. </w:t>
      </w:r>
      <w:r w:rsidR="005C6B1F" w:rsidRPr="007E3C7B">
        <w:rPr>
          <w:rFonts w:cs="Times New Roman"/>
          <w:noProof/>
        </w:rPr>
        <w:t>Many BITs include an “umbrella” clause which is designed to permit an investor to proceed against the State for a breach of contract</w:t>
      </w:r>
      <w:r w:rsidR="009C45D0">
        <w:rPr>
          <w:rFonts w:cs="Times New Roman"/>
          <w:noProof/>
        </w:rPr>
        <w:t>;</w:t>
      </w:r>
      <w:r w:rsidR="005C6B1F" w:rsidRPr="007E3C7B">
        <w:rPr>
          <w:rStyle w:val="FootnoteReference"/>
          <w:rFonts w:cs="Times New Roman"/>
          <w:noProof/>
        </w:rPr>
        <w:footnoteReference w:id="143"/>
      </w:r>
      <w:r w:rsidR="00F51697">
        <w:rPr>
          <w:rFonts w:cs="Times New Roman"/>
          <w:noProof/>
        </w:rPr>
        <w:t xml:space="preserve"> and sometimes </w:t>
      </w:r>
      <w:r w:rsidR="009C45D0">
        <w:rPr>
          <w:rFonts w:cs="Times New Roman"/>
          <w:noProof/>
        </w:rPr>
        <w:t>the investors are successful</w:t>
      </w:r>
      <w:r w:rsidR="005C6B1F">
        <w:rPr>
          <w:rFonts w:cs="Times New Roman"/>
          <w:noProof/>
        </w:rPr>
        <w:t>.</w:t>
      </w:r>
      <w:r w:rsidR="005C6B1F">
        <w:rPr>
          <w:rStyle w:val="FootnoteReference"/>
          <w:rFonts w:cs="Times New Roman"/>
          <w:noProof/>
        </w:rPr>
        <w:footnoteReference w:id="144"/>
      </w:r>
      <w:r w:rsidR="005C6B1F">
        <w:rPr>
          <w:rFonts w:cs="Times New Roman"/>
          <w:noProof/>
        </w:rPr>
        <w:t xml:space="preserve"> </w:t>
      </w:r>
      <w:r w:rsidR="00473354">
        <w:rPr>
          <w:rFonts w:cs="Times New Roman"/>
        </w:rPr>
        <w:t xml:space="preserve">In effect, Oilco would argue that the State’s breach of the contract amounted to </w:t>
      </w:r>
      <w:r w:rsidR="00863884">
        <w:rPr>
          <w:rFonts w:cs="Times New Roman"/>
        </w:rPr>
        <w:t>destroying, or significantly impairing, the value of the</w:t>
      </w:r>
      <w:r w:rsidR="00473354">
        <w:rPr>
          <w:rFonts w:cs="Times New Roman"/>
        </w:rPr>
        <w:t xml:space="preserve"> asset. </w:t>
      </w:r>
      <w:r w:rsidR="00EB5414">
        <w:rPr>
          <w:rFonts w:cs="Times New Roman"/>
        </w:rPr>
        <w:t>Whether the claim is for</w:t>
      </w:r>
      <w:r w:rsidRPr="00451105">
        <w:rPr>
          <w:rFonts w:cs="Times New Roman"/>
        </w:rPr>
        <w:t xml:space="preserve"> breach </w:t>
      </w:r>
      <w:r w:rsidR="00EB5414">
        <w:rPr>
          <w:rFonts w:cs="Times New Roman"/>
        </w:rPr>
        <w:t xml:space="preserve">of contract, breach of a treaty obligation, or </w:t>
      </w:r>
      <w:r w:rsidRPr="00451105">
        <w:rPr>
          <w:rFonts w:cs="Times New Roman"/>
        </w:rPr>
        <w:t>expropriation</w:t>
      </w:r>
      <w:r w:rsidR="00EB5414">
        <w:rPr>
          <w:rFonts w:cs="Times New Roman"/>
        </w:rPr>
        <w:t>, if</w:t>
      </w:r>
      <w:r w:rsidRPr="00451105">
        <w:rPr>
          <w:rFonts w:cs="Times New Roman"/>
        </w:rPr>
        <w:t xml:space="preserve"> the panel</w:t>
      </w:r>
      <w:r w:rsidR="00EB5414">
        <w:rPr>
          <w:rFonts w:cs="Times New Roman"/>
        </w:rPr>
        <w:t xml:space="preserve"> were to find in favor of Oilco</w:t>
      </w:r>
      <w:r w:rsidR="005C6B1F">
        <w:rPr>
          <w:rFonts w:cs="Times New Roman"/>
        </w:rPr>
        <w:t>,</w:t>
      </w:r>
      <w:r w:rsidRPr="00451105">
        <w:rPr>
          <w:rFonts w:cs="Times New Roman"/>
        </w:rPr>
        <w:t xml:space="preserve"> Fenwick would be liable for damages.</w:t>
      </w:r>
      <w:r w:rsidR="00863884">
        <w:rPr>
          <w:rStyle w:val="FootnoteReference"/>
          <w:rFonts w:cs="Times New Roman"/>
        </w:rPr>
        <w:footnoteReference w:id="145"/>
      </w:r>
      <w:r w:rsidRPr="00451105">
        <w:rPr>
          <w:rFonts w:cs="Times New Roman"/>
        </w:rPr>
        <w:t xml:space="preserve"> What principles should guide the arbitration panel?</w:t>
      </w:r>
      <w:r w:rsidR="00EB5414">
        <w:rPr>
          <w:rStyle w:val="FootnoteReference"/>
          <w:rFonts w:cs="Times New Roman"/>
        </w:rPr>
        <w:footnoteReference w:id="146"/>
      </w:r>
      <w:r w:rsidRPr="00451105">
        <w:rPr>
          <w:rFonts w:cs="Times New Roman"/>
        </w:rPr>
        <w:t xml:space="preserve"> </w:t>
      </w:r>
    </w:p>
    <w:p w14:paraId="332AD55B" w14:textId="77777777" w:rsidR="007E7F84" w:rsidRPr="00451105" w:rsidRDefault="007E7F84" w:rsidP="007E7F84">
      <w:pPr>
        <w:ind w:firstLine="720"/>
        <w:rPr>
          <w:rFonts w:cs="Times New Roman"/>
        </w:rPr>
      </w:pPr>
    </w:p>
    <w:p w14:paraId="19D369D3" w14:textId="49C8AF36" w:rsidR="007E7F84" w:rsidRPr="00F51697" w:rsidRDefault="007E7F84" w:rsidP="00F51697">
      <w:pPr>
        <w:ind w:firstLine="720"/>
        <w:rPr>
          <w:rFonts w:cs="Times New Roman"/>
        </w:rPr>
      </w:pPr>
      <w:r w:rsidRPr="00451105">
        <w:rPr>
          <w:rFonts w:eastAsia="Times New Roman" w:cs="Times New Roman"/>
          <w:color w:val="000000"/>
          <w:shd w:val="clear" w:color="auto" w:fill="FFFFFF"/>
        </w:rPr>
        <w:t xml:space="preserve">The loss of a claimant like Oilco would be the value of the contract (or property) that was taken—the </w:t>
      </w:r>
      <w:r w:rsidR="00EC0357" w:rsidRPr="00451105">
        <w:rPr>
          <w:rFonts w:eastAsia="Times New Roman" w:cs="Times New Roman"/>
          <w:color w:val="000000"/>
          <w:shd w:val="clear" w:color="auto" w:fill="FFFFFF"/>
        </w:rPr>
        <w:t xml:space="preserve">change in the </w:t>
      </w:r>
      <w:r w:rsidRPr="00451105">
        <w:rPr>
          <w:rFonts w:eastAsia="Times New Roman" w:cs="Times New Roman"/>
          <w:color w:val="000000"/>
          <w:shd w:val="clear" w:color="auto" w:fill="FFFFFF"/>
        </w:rPr>
        <w:t>present value of the expected future cash flows.</w:t>
      </w:r>
      <w:r w:rsidRPr="00451105">
        <w:rPr>
          <w:rFonts w:eastAsia="Times New Roman" w:cs="Times New Roman"/>
        </w:rPr>
        <w:t xml:space="preserve"> </w:t>
      </w:r>
      <w:r w:rsidRPr="00451105">
        <w:rPr>
          <w:rFonts w:cs="Times New Roman"/>
        </w:rPr>
        <w:t xml:space="preserve">The decision by the Permanent Court of Justice (PCJI) in the </w:t>
      </w:r>
      <w:r w:rsidRPr="00451105">
        <w:rPr>
          <w:rFonts w:cs="Times New Roman"/>
          <w:i/>
        </w:rPr>
        <w:t>Factory at Chorzow</w:t>
      </w:r>
      <w:r w:rsidRPr="009C45D0">
        <w:rPr>
          <w:rStyle w:val="FootnoteReference"/>
          <w:rFonts w:cs="Times New Roman"/>
        </w:rPr>
        <w:footnoteReference w:id="147"/>
      </w:r>
      <w:r w:rsidRPr="00451105">
        <w:rPr>
          <w:rFonts w:cs="Times New Roman"/>
        </w:rPr>
        <w:t xml:space="preserve"> is widely </w:t>
      </w:r>
      <w:r w:rsidRPr="00451105">
        <w:rPr>
          <w:rFonts w:cs="Times New Roman"/>
        </w:rPr>
        <w:lastRenderedPageBreak/>
        <w:t>cited in arbitration awards as determining the appropriate standard for compensation.</w:t>
      </w:r>
      <w:r w:rsidRPr="00451105">
        <w:rPr>
          <w:rStyle w:val="FootnoteReference"/>
          <w:rFonts w:cs="Times New Roman"/>
        </w:rPr>
        <w:footnoteReference w:id="148"/>
      </w:r>
      <w:r w:rsidRPr="00451105">
        <w:rPr>
          <w:rFonts w:cs="Times New Roman"/>
        </w:rPr>
        <w:t xml:space="preserve"> The panel stated: “The essential principle . . . which seems to be established by international practice and in particular by the decisions of arbitral tribunals—is that reparation must, as far as possible, wipe out all the consequences of the illegal act and reestablish the situation which would, in all probability, have existed if that act had not been committed.”</w:t>
      </w:r>
      <w:r w:rsidRPr="00451105">
        <w:rPr>
          <w:rStyle w:val="FootnoteReference"/>
          <w:rFonts w:cs="Times New Roman"/>
        </w:rPr>
        <w:footnoteReference w:id="149"/>
      </w:r>
      <w:r w:rsidRPr="00451105">
        <w:rPr>
          <w:rFonts w:cs="Times New Roman"/>
        </w:rPr>
        <w:t xml:space="preserve"> </w:t>
      </w:r>
      <w:r w:rsidR="005C6B1F">
        <w:rPr>
          <w:rFonts w:cs="Times New Roman"/>
        </w:rPr>
        <w:t xml:space="preserve">Timothy </w:t>
      </w:r>
      <w:r w:rsidRPr="00451105">
        <w:rPr>
          <w:rFonts w:cs="Times New Roman"/>
        </w:rPr>
        <w:t xml:space="preserve">Nelson noted that the </w:t>
      </w:r>
      <w:r w:rsidR="009C45D0" w:rsidRPr="00451105">
        <w:rPr>
          <w:rFonts w:cs="Times New Roman"/>
          <w:i/>
        </w:rPr>
        <w:t>Chorzow</w:t>
      </w:r>
      <w:r w:rsidR="009C45D0" w:rsidRPr="00451105">
        <w:rPr>
          <w:rFonts w:cs="Times New Roman"/>
        </w:rPr>
        <w:t xml:space="preserve"> </w:t>
      </w:r>
      <w:r w:rsidRPr="00451105">
        <w:rPr>
          <w:rFonts w:cs="Times New Roman"/>
        </w:rPr>
        <w:t>panel did not have a chance to implement its vision since the parties settled.</w:t>
      </w:r>
      <w:r w:rsidRPr="00451105">
        <w:rPr>
          <w:rStyle w:val="FootnoteReference"/>
          <w:rFonts w:cs="Times New Roman"/>
        </w:rPr>
        <w:footnoteReference w:id="150"/>
      </w:r>
      <w:r w:rsidRPr="00451105">
        <w:rPr>
          <w:rFonts w:cs="Times New Roman"/>
        </w:rPr>
        <w:t xml:space="preserve"> </w:t>
      </w:r>
      <w:r w:rsidRPr="00451105">
        <w:rPr>
          <w:rFonts w:cs="Times New Roman"/>
          <w:i/>
        </w:rPr>
        <w:t>Chorzow</w:t>
      </w:r>
      <w:r w:rsidRPr="00451105">
        <w:rPr>
          <w:rFonts w:cs="Times New Roman"/>
        </w:rPr>
        <w:t xml:space="preserve"> really was nothing more than flowery rhetoric which has somehow been elevated to a principle—a principle which commentators and arbitration panels have felt free to mold to their own purposes. </w:t>
      </w:r>
    </w:p>
    <w:p w14:paraId="5E8F775A" w14:textId="5E66D968" w:rsidR="007E7F84" w:rsidRPr="00863884" w:rsidRDefault="00EC0357" w:rsidP="00F51697">
      <w:pPr>
        <w:spacing w:before="100" w:beforeAutospacing="1" w:after="100" w:afterAutospacing="1"/>
        <w:ind w:firstLine="720"/>
        <w:outlineLvl w:val="0"/>
        <w:rPr>
          <w:rFonts w:eastAsia="Times New Roman" w:cs="Times New Roman"/>
          <w:bCs/>
          <w:kern w:val="36"/>
        </w:rPr>
      </w:pPr>
      <w:r w:rsidRPr="00863884">
        <w:rPr>
          <w:rFonts w:cs="Times New Roman"/>
        </w:rPr>
        <w:t>Much</w:t>
      </w:r>
      <w:r w:rsidR="007E7F84" w:rsidRPr="00863884">
        <w:rPr>
          <w:rFonts w:cs="Times New Roman"/>
        </w:rPr>
        <w:t xml:space="preserve"> of the controversy over </w:t>
      </w:r>
      <w:r w:rsidR="007E7F84" w:rsidRPr="00863884">
        <w:rPr>
          <w:rFonts w:cs="Times New Roman"/>
          <w:i/>
        </w:rPr>
        <w:t>Chorzow</w:t>
      </w:r>
      <w:r w:rsidR="007E7F84" w:rsidRPr="00863884">
        <w:rPr>
          <w:rFonts w:cs="Times New Roman"/>
        </w:rPr>
        <w:t>’s application has been over determining the date at which damages should be measured. Should it be reckoned at the date of breach, the date of decision, or some time in between? W</w:t>
      </w:r>
      <w:r w:rsidR="007E7F84" w:rsidRPr="00863884">
        <w:rPr>
          <w:rFonts w:cs="Times New Roman"/>
          <w:color w:val="000000"/>
        </w:rPr>
        <w:t xml:space="preserve">öss, et al characterize the </w:t>
      </w:r>
      <w:r w:rsidR="007E7F84" w:rsidRPr="00863884">
        <w:rPr>
          <w:rFonts w:cs="Times New Roman"/>
          <w:i/>
          <w:color w:val="000000"/>
        </w:rPr>
        <w:t>Chorzow</w:t>
      </w:r>
      <w:r w:rsidR="007E7F84" w:rsidRPr="00863884">
        <w:rPr>
          <w:rFonts w:cs="Times New Roman"/>
          <w:color w:val="000000"/>
        </w:rPr>
        <w:t xml:space="preserve"> principle as “equivalent to compensation for specific performance.”</w:t>
      </w:r>
      <w:r w:rsidR="007E7F84" w:rsidRPr="00863884">
        <w:rPr>
          <w:rStyle w:val="FootnoteReference"/>
          <w:rFonts w:cs="Times New Roman"/>
          <w:color w:val="000000"/>
        </w:rPr>
        <w:footnoteReference w:id="151"/>
      </w:r>
      <w:r w:rsidR="007E7F84" w:rsidRPr="00863884">
        <w:rPr>
          <w:rFonts w:cs="Times New Roman"/>
          <w:color w:val="000000"/>
        </w:rPr>
        <w:t xml:space="preserve"> </w:t>
      </w:r>
      <w:r w:rsidR="00863884" w:rsidRPr="00863884">
        <w:rPr>
          <w:rFonts w:eastAsia="Times New Roman" w:cs="Times New Roman"/>
          <w:bCs/>
          <w:kern w:val="36"/>
        </w:rPr>
        <w:t>Since the panel could not provide for actual performance, this would entail awarding the financial equivalent, monetary specific performance.</w:t>
      </w:r>
      <w:r w:rsidR="00863884" w:rsidRPr="00863884">
        <w:rPr>
          <w:rStyle w:val="FootnoteReference"/>
          <w:rFonts w:eastAsia="Times New Roman" w:cs="Times New Roman"/>
          <w:bCs/>
          <w:kern w:val="36"/>
        </w:rPr>
        <w:footnoteReference w:id="152"/>
      </w:r>
      <w:r w:rsidR="00863884" w:rsidRPr="00863884">
        <w:rPr>
          <w:rFonts w:eastAsia="Times New Roman" w:cs="Times New Roman"/>
          <w:bCs/>
          <w:kern w:val="36"/>
        </w:rPr>
        <w:t xml:space="preserve"> </w:t>
      </w:r>
      <w:r w:rsidR="007E7F84" w:rsidRPr="00863884">
        <w:rPr>
          <w:rFonts w:cs="Times New Roman"/>
          <w:color w:val="000000"/>
        </w:rPr>
        <w:t xml:space="preserve">That is, assuming the claimant’s contract or property had not been impaired by the State, what would it have been worth </w:t>
      </w:r>
      <w:r w:rsidR="00863884" w:rsidRPr="00863884">
        <w:rPr>
          <w:rFonts w:cs="Times New Roman"/>
          <w:color w:val="000000"/>
        </w:rPr>
        <w:t xml:space="preserve">had the claimant held it until </w:t>
      </w:r>
      <w:r w:rsidR="007E7F84" w:rsidRPr="00863884">
        <w:rPr>
          <w:rFonts w:cs="Times New Roman"/>
          <w:color w:val="000000"/>
        </w:rPr>
        <w:t>the time of the decision? Unlike some other commentators, the authors are aware that this does not mean that damages must be measured at the time of the decision (although that is what they ultimately opt for).</w:t>
      </w:r>
      <w:r w:rsidRPr="00863884">
        <w:rPr>
          <w:rStyle w:val="FootnoteReference"/>
          <w:rFonts w:cs="Times New Roman"/>
          <w:color w:val="000000"/>
        </w:rPr>
        <w:footnoteReference w:id="153"/>
      </w:r>
      <w:r w:rsidR="007E7F84" w:rsidRPr="00863884">
        <w:rPr>
          <w:rFonts w:cs="Times New Roman"/>
          <w:color w:val="000000"/>
        </w:rPr>
        <w:t xml:space="preserve"> Compensation should be determined by the “but for” test: how much would the asset (property, contract) have been worth had there not been </w:t>
      </w:r>
      <w:r w:rsidR="00F51697">
        <w:rPr>
          <w:rFonts w:cs="Times New Roman"/>
          <w:color w:val="000000"/>
        </w:rPr>
        <w:t>a</w:t>
      </w:r>
      <w:r w:rsidR="00C27AA3">
        <w:rPr>
          <w:rFonts w:cs="Times New Roman"/>
          <w:color w:val="000000"/>
        </w:rPr>
        <w:t xml:space="preserve"> breach</w:t>
      </w:r>
      <w:r w:rsidR="007E7F84" w:rsidRPr="00863884">
        <w:rPr>
          <w:rFonts w:cs="Times New Roman"/>
          <w:color w:val="000000"/>
        </w:rPr>
        <w:t xml:space="preserve">, compared to what it is worth after the </w:t>
      </w:r>
      <w:r w:rsidR="00C27AA3">
        <w:rPr>
          <w:rFonts w:cs="Times New Roman"/>
          <w:color w:val="000000"/>
        </w:rPr>
        <w:t>breach</w:t>
      </w:r>
      <w:r w:rsidR="007E7F84" w:rsidRPr="00863884">
        <w:rPr>
          <w:rFonts w:cs="Times New Roman"/>
          <w:color w:val="000000"/>
        </w:rPr>
        <w:t>.</w:t>
      </w:r>
    </w:p>
    <w:p w14:paraId="40E29E46" w14:textId="60B807E4" w:rsidR="007E7F84" w:rsidRPr="00451105" w:rsidRDefault="007E7F84" w:rsidP="007E7F84">
      <w:pPr>
        <w:widowControl w:val="0"/>
        <w:autoSpaceDE w:val="0"/>
        <w:autoSpaceDN w:val="0"/>
        <w:adjustRightInd w:val="0"/>
        <w:spacing w:after="240"/>
        <w:ind w:firstLine="720"/>
        <w:rPr>
          <w:rFonts w:cs="Times New Roman"/>
          <w:color w:val="000000"/>
        </w:rPr>
      </w:pPr>
      <w:r w:rsidRPr="00451105">
        <w:rPr>
          <w:rFonts w:cs="Times New Roman"/>
          <w:color w:val="000000"/>
        </w:rPr>
        <w:t>As was argued above,</w:t>
      </w:r>
      <w:r w:rsidRPr="00451105">
        <w:rPr>
          <w:rStyle w:val="FootnoteReference"/>
          <w:rFonts w:cs="Times New Roman"/>
          <w:color w:val="000000"/>
        </w:rPr>
        <w:footnoteReference w:id="154"/>
      </w:r>
      <w:r w:rsidRPr="00451105">
        <w:rPr>
          <w:rFonts w:cs="Times New Roman"/>
          <w:color w:val="000000"/>
        </w:rPr>
        <w:t xml:space="preserve"> </w:t>
      </w:r>
      <w:r w:rsidR="00C85119">
        <w:rPr>
          <w:rFonts w:cs="Times New Roman"/>
          <w:color w:val="000000"/>
        </w:rPr>
        <w:t xml:space="preserve">when the adverse event occurs, </w:t>
      </w:r>
      <w:r w:rsidRPr="00451105">
        <w:rPr>
          <w:rFonts w:cs="Times New Roman"/>
          <w:color w:val="000000"/>
        </w:rPr>
        <w:t xml:space="preserve">the </w:t>
      </w:r>
      <w:r w:rsidR="00C85119">
        <w:rPr>
          <w:rFonts w:cs="Times New Roman"/>
          <w:color w:val="000000"/>
        </w:rPr>
        <w:t xml:space="preserve">claimant should be indifferent between </w:t>
      </w:r>
      <w:r w:rsidRPr="00451105">
        <w:rPr>
          <w:rFonts w:cs="Times New Roman"/>
          <w:color w:val="000000"/>
        </w:rPr>
        <w:t xml:space="preserve">damages </w:t>
      </w:r>
      <w:r w:rsidR="00C85119">
        <w:rPr>
          <w:rFonts w:cs="Times New Roman"/>
          <w:color w:val="000000"/>
        </w:rPr>
        <w:t xml:space="preserve">measured </w:t>
      </w:r>
      <w:r w:rsidRPr="00451105">
        <w:rPr>
          <w:rFonts w:cs="Times New Roman"/>
          <w:color w:val="000000"/>
        </w:rPr>
        <w:t xml:space="preserve">at the time of the breach </w:t>
      </w:r>
      <w:r w:rsidR="00C85119">
        <w:rPr>
          <w:rFonts w:cs="Times New Roman"/>
          <w:color w:val="000000"/>
        </w:rPr>
        <w:t xml:space="preserve">and </w:t>
      </w:r>
      <w:r w:rsidRPr="00451105">
        <w:rPr>
          <w:rFonts w:cs="Times New Roman"/>
          <w:color w:val="000000"/>
        </w:rPr>
        <w:t xml:space="preserve">damages measured at the time of </w:t>
      </w:r>
      <w:r w:rsidR="00C27AA3">
        <w:rPr>
          <w:rFonts w:cs="Times New Roman"/>
          <w:color w:val="000000"/>
        </w:rPr>
        <w:t>award</w:t>
      </w:r>
      <w:r w:rsidRPr="00451105">
        <w:rPr>
          <w:rFonts w:cs="Times New Roman"/>
          <w:color w:val="000000"/>
        </w:rPr>
        <w:t xml:space="preserve"> (or any other randomly chosen point in time).</w:t>
      </w:r>
      <w:r w:rsidRPr="00451105">
        <w:rPr>
          <w:rStyle w:val="FootnoteReference"/>
          <w:rFonts w:cs="Times New Roman"/>
          <w:color w:val="000000"/>
        </w:rPr>
        <w:footnoteReference w:id="155"/>
      </w:r>
      <w:r w:rsidRPr="00451105">
        <w:rPr>
          <w:rFonts w:cs="Times New Roman"/>
          <w:color w:val="000000"/>
        </w:rPr>
        <w:t xml:space="preserve"> If in the intervening years between breach (expropriation) and decision</w:t>
      </w:r>
      <w:r w:rsidR="00EC0357" w:rsidRPr="00451105">
        <w:rPr>
          <w:rFonts w:cs="Times New Roman"/>
          <w:color w:val="000000"/>
        </w:rPr>
        <w:t>,</w:t>
      </w:r>
      <w:r w:rsidRPr="00451105">
        <w:rPr>
          <w:rFonts w:cs="Times New Roman"/>
          <w:color w:val="000000"/>
        </w:rPr>
        <w:t xml:space="preserve"> oil prices rose more than had been antic</w:t>
      </w:r>
      <w:r w:rsidR="00EC0357" w:rsidRPr="00451105">
        <w:rPr>
          <w:rFonts w:cs="Times New Roman"/>
          <w:color w:val="000000"/>
        </w:rPr>
        <w:t>ipated, Oilco would prefer time-</w:t>
      </w:r>
      <w:r w:rsidRPr="00451105">
        <w:rPr>
          <w:rFonts w:cs="Times New Roman"/>
          <w:color w:val="000000"/>
        </w:rPr>
        <w:t>o</w:t>
      </w:r>
      <w:r w:rsidR="00EC0357" w:rsidRPr="00451105">
        <w:rPr>
          <w:rFonts w:cs="Times New Roman"/>
          <w:color w:val="000000"/>
        </w:rPr>
        <w:t>f-</w:t>
      </w:r>
      <w:r w:rsidR="00C27AA3">
        <w:rPr>
          <w:rFonts w:cs="Times New Roman"/>
          <w:color w:val="000000"/>
        </w:rPr>
        <w:t>award</w:t>
      </w:r>
      <w:r w:rsidRPr="00451105">
        <w:rPr>
          <w:rFonts w:cs="Times New Roman"/>
          <w:color w:val="000000"/>
        </w:rPr>
        <w:t xml:space="preserve">; and if they had fallen Oilco would prefer </w:t>
      </w:r>
      <w:r w:rsidR="00EC0357" w:rsidRPr="00451105">
        <w:rPr>
          <w:rFonts w:cs="Times New Roman"/>
          <w:color w:val="000000"/>
        </w:rPr>
        <w:t>time of the breach. But at the moment of</w:t>
      </w:r>
      <w:r w:rsidRPr="00451105">
        <w:rPr>
          <w:rFonts w:cs="Times New Roman"/>
          <w:color w:val="000000"/>
        </w:rPr>
        <w:t xml:space="preserve"> breach it would not have known which would happen. So, under the “veil of ignorance” the claimant should be indifferent. There is a crucial proviso to which I shal</w:t>
      </w:r>
      <w:r w:rsidR="00EC0357" w:rsidRPr="00451105">
        <w:rPr>
          <w:rFonts w:cs="Times New Roman"/>
          <w:color w:val="000000"/>
        </w:rPr>
        <w:t>l return, namely, that the time-of-</w:t>
      </w:r>
      <w:r w:rsidRPr="00451105">
        <w:rPr>
          <w:rFonts w:cs="Times New Roman"/>
          <w:color w:val="000000"/>
        </w:rPr>
        <w:t>breach remedy must be bolstered by the appropriate prejudgment interest rate.</w:t>
      </w:r>
    </w:p>
    <w:p w14:paraId="50DEB075" w14:textId="77777777" w:rsidR="007E7F84" w:rsidRPr="00451105" w:rsidRDefault="007E7F84" w:rsidP="007E7F84">
      <w:pPr>
        <w:widowControl w:val="0"/>
        <w:autoSpaceDE w:val="0"/>
        <w:autoSpaceDN w:val="0"/>
        <w:adjustRightInd w:val="0"/>
        <w:spacing w:after="240"/>
        <w:ind w:firstLine="720"/>
        <w:rPr>
          <w:rFonts w:cs="Times New Roman"/>
        </w:rPr>
      </w:pPr>
      <w:r w:rsidRPr="00451105">
        <w:rPr>
          <w:rFonts w:cs="Times New Roman"/>
          <w:color w:val="000000"/>
        </w:rPr>
        <w:t xml:space="preserve">Measuring damages at the moment of breach can be viewed as answering the hypothetical question: for how much could you sell the contract right to a willing buyer? Some arbitration panels confuse this by treating the decision of when or whether to sell </w:t>
      </w:r>
      <w:r w:rsidRPr="00451105">
        <w:rPr>
          <w:rFonts w:cs="Times New Roman"/>
          <w:color w:val="000000"/>
        </w:rPr>
        <w:lastRenderedPageBreak/>
        <w:t xml:space="preserve">post-breach as a fact question. So, for example, in </w:t>
      </w:r>
      <w:r w:rsidRPr="00451105">
        <w:rPr>
          <w:rFonts w:cs="Times New Roman"/>
          <w:i/>
          <w:iCs/>
        </w:rPr>
        <w:t>Unglaube v. Costa Rica</w:t>
      </w:r>
      <w:r w:rsidRPr="00451105">
        <w:rPr>
          <w:rFonts w:cs="Times New Roman"/>
        </w:rPr>
        <w:t>,</w:t>
      </w:r>
      <w:r w:rsidRPr="00451105">
        <w:rPr>
          <w:rStyle w:val="FootnoteReference"/>
          <w:rFonts w:cs="Times New Roman"/>
        </w:rPr>
        <w:footnoteReference w:id="156"/>
      </w:r>
      <w:r w:rsidRPr="00451105">
        <w:rPr>
          <w:rFonts w:cs="Times New Roman"/>
        </w:rPr>
        <w:t xml:space="preserve"> </w:t>
      </w:r>
      <w:r w:rsidRPr="00451105">
        <w:rPr>
          <w:rFonts w:cs="Times New Roman"/>
          <w:color w:val="000000"/>
        </w:rPr>
        <w:t>the panel “</w:t>
      </w:r>
      <w:r w:rsidRPr="00451105">
        <w:rPr>
          <w:rFonts w:cs="Times New Roman"/>
        </w:rPr>
        <w:t>held that, but for the government interference, the property owner could have sold at the peak of the real estate market in 2006, when buyers were ‘plentiful’</w:t>
      </w:r>
      <w:r w:rsidRPr="00451105">
        <w:rPr>
          <w:rFonts w:cs="Times New Roman"/>
          <w:position w:val="8"/>
        </w:rPr>
        <w:t xml:space="preserve"> </w:t>
      </w:r>
      <w:r w:rsidRPr="00451105">
        <w:rPr>
          <w:rFonts w:cs="Times New Roman"/>
        </w:rPr>
        <w:t>and therefore based damages on the hypothesis such a sale would have occurred, albeit six-months before the true peak of the market.”</w:t>
      </w:r>
      <w:r w:rsidRPr="00451105">
        <w:rPr>
          <w:rStyle w:val="FootnoteReference"/>
          <w:rFonts w:cs="Times New Roman"/>
        </w:rPr>
        <w:footnoteReference w:id="157"/>
      </w:r>
      <w:r w:rsidRPr="00451105">
        <w:rPr>
          <w:rFonts w:cs="Times New Roman"/>
          <w:position w:val="8"/>
        </w:rPr>
        <w:t xml:space="preserve"> </w:t>
      </w:r>
      <w:r w:rsidRPr="00451105">
        <w:rPr>
          <w:rFonts w:cs="Times New Roman"/>
        </w:rPr>
        <w:t xml:space="preserve">And in </w:t>
      </w:r>
      <w:r w:rsidRPr="00451105">
        <w:rPr>
          <w:rFonts w:cs="Times New Roman"/>
          <w:i/>
          <w:iCs/>
        </w:rPr>
        <w:t>Kardassopoulos v. Georgia</w:t>
      </w:r>
      <w:r w:rsidRPr="00451105">
        <w:rPr>
          <w:rFonts w:cs="Times New Roman"/>
        </w:rPr>
        <w:t>,</w:t>
      </w:r>
      <w:r w:rsidRPr="00451105">
        <w:rPr>
          <w:rStyle w:val="FootnoteReference"/>
          <w:rFonts w:cs="Times New Roman"/>
        </w:rPr>
        <w:footnoteReference w:id="158"/>
      </w:r>
      <w:r w:rsidRPr="00451105">
        <w:rPr>
          <w:rFonts w:cs="Times New Roman"/>
        </w:rPr>
        <w:t xml:space="preserve"> </w:t>
      </w:r>
    </w:p>
    <w:p w14:paraId="0A2447DB" w14:textId="77777777" w:rsidR="007E7F84" w:rsidRPr="00451105" w:rsidRDefault="007E7F84" w:rsidP="007E7F84">
      <w:pPr>
        <w:widowControl w:val="0"/>
        <w:autoSpaceDE w:val="0"/>
        <w:autoSpaceDN w:val="0"/>
        <w:adjustRightInd w:val="0"/>
        <w:spacing w:after="240"/>
        <w:ind w:left="720" w:right="720"/>
        <w:rPr>
          <w:rFonts w:cs="Times New Roman"/>
          <w:position w:val="8"/>
        </w:rPr>
      </w:pPr>
      <w:r w:rsidRPr="00451105">
        <w:rPr>
          <w:rFonts w:cs="Times New Roman"/>
        </w:rPr>
        <w:t>[T]he Tribunal observed that, “[i]n certain circumstances full reparation for an unlawful expropriation will require damages to be awarded as of the date of the arbitral Award.”</w:t>
      </w:r>
      <w:r w:rsidRPr="00451105">
        <w:rPr>
          <w:rFonts w:cs="Times New Roman"/>
          <w:position w:val="8"/>
        </w:rPr>
        <w:t xml:space="preserve"> </w:t>
      </w:r>
      <w:r w:rsidRPr="00451105">
        <w:rPr>
          <w:rFonts w:cs="Times New Roman"/>
        </w:rPr>
        <w:t xml:space="preserve">On this analysis, “[i]t may be appropriate to compensate for value gained between the date of the expropriation and the date of the award in cases </w:t>
      </w:r>
      <w:r w:rsidRPr="00451105">
        <w:rPr>
          <w:rFonts w:cs="Times New Roman"/>
          <w:i/>
        </w:rPr>
        <w:t>where it is demonstrated that the Claimants would, but for the taking, have retained their investment</w:t>
      </w:r>
      <w:r w:rsidRPr="00451105">
        <w:rPr>
          <w:rFonts w:cs="Times New Roman"/>
        </w:rPr>
        <w:t>.”</w:t>
      </w:r>
      <w:r w:rsidRPr="00451105">
        <w:rPr>
          <w:rFonts w:cs="Times New Roman"/>
          <w:position w:val="8"/>
        </w:rPr>
        <w:t xml:space="preserve"> </w:t>
      </w:r>
      <w:r w:rsidRPr="00451105">
        <w:rPr>
          <w:rFonts w:cs="Times New Roman"/>
        </w:rPr>
        <w:t>But in that case, the ‘date of award’ approach was not adopted because the evidence did not indicate that the claimants would have continued to operate their investment, post-1995.</w:t>
      </w:r>
      <w:r w:rsidRPr="00451105">
        <w:rPr>
          <w:rStyle w:val="FootnoteReference"/>
          <w:rFonts w:cs="Times New Roman"/>
        </w:rPr>
        <w:footnoteReference w:id="159"/>
      </w:r>
      <w:r w:rsidRPr="00451105">
        <w:rPr>
          <w:rFonts w:cs="Times New Roman"/>
          <w:position w:val="8"/>
        </w:rPr>
        <w:t xml:space="preserve"> </w:t>
      </w:r>
    </w:p>
    <w:p w14:paraId="2CE55DBF" w14:textId="22528924" w:rsidR="007E7F84" w:rsidRPr="00451105" w:rsidRDefault="007E7F84" w:rsidP="007E7F84">
      <w:pPr>
        <w:ind w:firstLine="720"/>
        <w:rPr>
          <w:rFonts w:cs="Times New Roman"/>
          <w:color w:val="000000"/>
        </w:rPr>
      </w:pPr>
      <w:r w:rsidRPr="00451105">
        <w:rPr>
          <w:rFonts w:cs="Times New Roman"/>
          <w:color w:val="000000"/>
        </w:rPr>
        <w:t xml:space="preserve">Because the parties should be indifferent, the </w:t>
      </w:r>
      <w:r w:rsidRPr="00451105">
        <w:rPr>
          <w:rFonts w:cs="Times New Roman"/>
          <w:i/>
          <w:color w:val="000000"/>
        </w:rPr>
        <w:t>Chorzow Factory</w:t>
      </w:r>
      <w:r w:rsidRPr="00451105">
        <w:rPr>
          <w:rFonts w:cs="Times New Roman"/>
          <w:color w:val="000000"/>
        </w:rPr>
        <w:t xml:space="preserve"> principle tells us nothing about the point at which damages should be reckoned and the role of post-breach information. Arbitration panels have varied in their response. Some, for example, </w:t>
      </w:r>
      <w:r w:rsidRPr="00451105">
        <w:rPr>
          <w:rFonts w:cs="Times New Roman"/>
          <w:i/>
          <w:iCs/>
        </w:rPr>
        <w:t>ADC Affiliate Ltd. v. Hungary</w:t>
      </w:r>
      <w:r w:rsidRPr="00451105">
        <w:rPr>
          <w:rFonts w:cs="Times New Roman"/>
          <w:color w:val="000000"/>
        </w:rPr>
        <w:t>,</w:t>
      </w:r>
      <w:r w:rsidRPr="00451105">
        <w:rPr>
          <w:rStyle w:val="FootnoteReference"/>
          <w:rFonts w:cs="Times New Roman"/>
          <w:color w:val="000000"/>
        </w:rPr>
        <w:footnoteReference w:id="160"/>
      </w:r>
      <w:r w:rsidRPr="00451105">
        <w:rPr>
          <w:rFonts w:cs="Times New Roman"/>
          <w:color w:val="000000"/>
        </w:rPr>
        <w:t xml:space="preserve"> </w:t>
      </w:r>
      <w:r w:rsidRPr="00451105">
        <w:rPr>
          <w:rFonts w:cs="Times New Roman"/>
          <w:i/>
          <w:iCs/>
        </w:rPr>
        <w:t>Amco Asia Corp v. Indonesia</w:t>
      </w:r>
      <w:r w:rsidRPr="00451105">
        <w:rPr>
          <w:rFonts w:cs="Times New Roman"/>
        </w:rPr>
        <w:t>,</w:t>
      </w:r>
      <w:r w:rsidRPr="00451105">
        <w:rPr>
          <w:rStyle w:val="FootnoteReference"/>
          <w:rFonts w:cs="Times New Roman"/>
        </w:rPr>
        <w:footnoteReference w:id="161"/>
      </w:r>
      <w:r w:rsidRPr="00451105">
        <w:rPr>
          <w:rFonts w:cs="Times New Roman"/>
        </w:rPr>
        <w:t xml:space="preserve"> </w:t>
      </w:r>
      <w:r w:rsidRPr="00451105">
        <w:rPr>
          <w:rFonts w:cs="Times New Roman"/>
          <w:i/>
          <w:iCs/>
        </w:rPr>
        <w:t>Siemens AG v. Argentina</w:t>
      </w:r>
      <w:r w:rsidRPr="00451105">
        <w:rPr>
          <w:rFonts w:cs="Times New Roman"/>
        </w:rPr>
        <w:t>,</w:t>
      </w:r>
      <w:r w:rsidRPr="00451105">
        <w:rPr>
          <w:rStyle w:val="FootnoteReference"/>
          <w:rFonts w:cs="Times New Roman"/>
        </w:rPr>
        <w:footnoteReference w:id="162"/>
      </w:r>
      <w:r w:rsidRPr="00451105">
        <w:rPr>
          <w:rFonts w:cs="Times New Roman"/>
        </w:rPr>
        <w:t xml:space="preserve"> and </w:t>
      </w:r>
      <w:r w:rsidRPr="00451105">
        <w:rPr>
          <w:rFonts w:cs="Times New Roman"/>
          <w:i/>
          <w:iCs/>
        </w:rPr>
        <w:t>ConocoPhillips Petrozuata B.V. v. Venezuela,</w:t>
      </w:r>
      <w:r w:rsidRPr="00451105">
        <w:rPr>
          <w:rStyle w:val="FootnoteReference"/>
          <w:rFonts w:cs="Times New Roman"/>
          <w:i/>
          <w:iCs/>
        </w:rPr>
        <w:footnoteReference w:id="163"/>
      </w:r>
      <w:r w:rsidRPr="00451105">
        <w:rPr>
          <w:rFonts w:cs="Times New Roman"/>
          <w:iCs/>
        </w:rPr>
        <w:t xml:space="preserve"> </w:t>
      </w:r>
      <w:r w:rsidR="00F51697">
        <w:rPr>
          <w:rFonts w:cs="Times New Roman"/>
          <w:iCs/>
        </w:rPr>
        <w:t xml:space="preserve">have </w:t>
      </w:r>
      <w:r w:rsidRPr="00451105">
        <w:rPr>
          <w:rFonts w:cs="Times New Roman"/>
          <w:iCs/>
        </w:rPr>
        <w:t>use</w:t>
      </w:r>
      <w:r w:rsidR="00F51697">
        <w:rPr>
          <w:rFonts w:cs="Times New Roman"/>
          <w:iCs/>
        </w:rPr>
        <w:t>d</w:t>
      </w:r>
      <w:r w:rsidRPr="00451105">
        <w:rPr>
          <w:rFonts w:cs="Times New Roman"/>
          <w:iCs/>
        </w:rPr>
        <w:t xml:space="preserve"> the time of the award. However, the more common approach has been to use the time of the breach.</w:t>
      </w:r>
      <w:r w:rsidRPr="00451105">
        <w:rPr>
          <w:rStyle w:val="FootnoteReference"/>
          <w:rFonts w:cs="Times New Roman"/>
          <w:iCs/>
        </w:rPr>
        <w:footnoteReference w:id="164"/>
      </w:r>
    </w:p>
    <w:p w14:paraId="764A4346" w14:textId="77777777" w:rsidR="007E7F84" w:rsidRPr="00451105" w:rsidRDefault="007E7F84" w:rsidP="007E7F84">
      <w:pPr>
        <w:ind w:firstLine="720"/>
        <w:rPr>
          <w:rFonts w:cs="Times New Roman"/>
          <w:i/>
          <w:color w:val="000000"/>
        </w:rPr>
      </w:pPr>
    </w:p>
    <w:p w14:paraId="1A03BAEF" w14:textId="36539425" w:rsidR="007E7F84" w:rsidRPr="00451105" w:rsidRDefault="007E7F84" w:rsidP="007E7F84">
      <w:pPr>
        <w:ind w:firstLine="720"/>
        <w:rPr>
          <w:rFonts w:cs="Times New Roman"/>
          <w:color w:val="000000"/>
        </w:rPr>
      </w:pPr>
      <w:r w:rsidRPr="00451105">
        <w:rPr>
          <w:rFonts w:cs="Times New Roman"/>
        </w:rPr>
        <w:t>W</w:t>
      </w:r>
      <w:r w:rsidRPr="00451105">
        <w:rPr>
          <w:rFonts w:cs="Times New Roman"/>
          <w:color w:val="000000"/>
        </w:rPr>
        <w:t>öss, et al and Abdala &amp; Spiller</w:t>
      </w:r>
      <w:r w:rsidRPr="00451105">
        <w:rPr>
          <w:rStyle w:val="FootnoteReference"/>
          <w:rFonts w:cs="Times New Roman"/>
          <w:color w:val="000000"/>
        </w:rPr>
        <w:footnoteReference w:id="165"/>
      </w:r>
      <w:r w:rsidRPr="00451105">
        <w:rPr>
          <w:rFonts w:cs="Times New Roman"/>
          <w:color w:val="000000"/>
        </w:rPr>
        <w:t xml:space="preserve"> argue that </w:t>
      </w:r>
      <w:r w:rsidRPr="00451105">
        <w:rPr>
          <w:rFonts w:cs="Times New Roman"/>
          <w:i/>
          <w:color w:val="000000"/>
        </w:rPr>
        <w:t>Chorzow Factory</w:t>
      </w:r>
      <w:r w:rsidRPr="00451105">
        <w:rPr>
          <w:rFonts w:cs="Times New Roman"/>
          <w:color w:val="000000"/>
        </w:rPr>
        <w:t xml:space="preserve"> does not pose an either/or question. Recognizing that damages measured at the </w:t>
      </w:r>
      <w:r w:rsidR="00FB55CC">
        <w:rPr>
          <w:rFonts w:cs="Times New Roman"/>
          <w:color w:val="000000"/>
        </w:rPr>
        <w:t>time of a</w:t>
      </w:r>
      <w:r w:rsidRPr="00451105">
        <w:rPr>
          <w:rFonts w:cs="Times New Roman"/>
          <w:color w:val="000000"/>
        </w:rPr>
        <w:t xml:space="preserve">ward, could be negative, they add a new wrinkle: the claimant should receive the greater of the measured damages at the time of the award and the time of the breach: </w:t>
      </w:r>
    </w:p>
    <w:p w14:paraId="1C2728E2" w14:textId="77777777" w:rsidR="007E7F84" w:rsidRPr="00451105" w:rsidRDefault="007E7F84" w:rsidP="007E7F84">
      <w:pPr>
        <w:rPr>
          <w:rFonts w:cs="Times New Roman"/>
          <w:color w:val="000000"/>
        </w:rPr>
      </w:pPr>
    </w:p>
    <w:p w14:paraId="25583993" w14:textId="77777777" w:rsidR="007E7F84" w:rsidRPr="00451105" w:rsidRDefault="007E7F84" w:rsidP="007E7F84">
      <w:pPr>
        <w:ind w:left="720" w:right="720"/>
        <w:rPr>
          <w:rFonts w:cs="Times New Roman"/>
        </w:rPr>
      </w:pPr>
      <w:r w:rsidRPr="00451105">
        <w:rPr>
          <w:rFonts w:cs="Times New Roman"/>
        </w:rPr>
        <w:t xml:space="preserve">The reference to ‘wipe out all consequences of the illegal act’ establishes the full compensation principle for damages in international law. Full compensation under the </w:t>
      </w:r>
      <w:r w:rsidRPr="00F51697">
        <w:rPr>
          <w:rFonts w:cs="Times New Roman"/>
          <w:i/>
        </w:rPr>
        <w:t>Chorzow</w:t>
      </w:r>
      <w:r w:rsidRPr="00451105">
        <w:rPr>
          <w:rFonts w:cs="Times New Roman"/>
        </w:rPr>
        <w:t xml:space="preserve"> case means awarding the higher of the value of the company at the moment of breach or at the moment of the award. If the moment of valuation is the date of award, lost profits from the date of the breach to the date of the award have to be added.</w:t>
      </w:r>
      <w:r w:rsidRPr="00451105">
        <w:rPr>
          <w:rStyle w:val="FootnoteReference"/>
          <w:rFonts w:cs="Times New Roman"/>
        </w:rPr>
        <w:footnoteReference w:id="166"/>
      </w:r>
      <w:r w:rsidRPr="00451105">
        <w:rPr>
          <w:rFonts w:cs="Times New Roman"/>
        </w:rPr>
        <w:t xml:space="preserve"> </w:t>
      </w:r>
    </w:p>
    <w:p w14:paraId="6A272212" w14:textId="3E347679" w:rsidR="007E7F84" w:rsidRPr="00377683" w:rsidRDefault="007E7F84" w:rsidP="00377683">
      <w:pPr>
        <w:spacing w:before="100" w:beforeAutospacing="1" w:after="100" w:afterAutospacing="1"/>
        <w:outlineLvl w:val="4"/>
        <w:rPr>
          <w:rFonts w:eastAsia="Times New Roman" w:cs="Times New Roman"/>
          <w:bCs/>
        </w:rPr>
      </w:pPr>
      <w:r w:rsidRPr="00451105">
        <w:rPr>
          <w:rFonts w:cs="Times New Roman"/>
          <w:color w:val="000000"/>
        </w:rPr>
        <w:lastRenderedPageBreak/>
        <w:t>Their rationale appears to be that the expropriation deprived Oilco the option of selling its business at the time of the expropriation so the value at that date should set a floor.</w:t>
      </w:r>
      <w:r w:rsidRPr="00451105">
        <w:rPr>
          <w:rStyle w:val="FootnoteReference"/>
          <w:rFonts w:cs="Times New Roman"/>
          <w:color w:val="000000"/>
        </w:rPr>
        <w:footnoteReference w:id="167"/>
      </w:r>
      <w:r w:rsidRPr="00451105">
        <w:rPr>
          <w:rFonts w:cs="Times New Roman"/>
          <w:color w:val="000000"/>
        </w:rPr>
        <w:t xml:space="preserve"> Their interpretation does not follow either from the </w:t>
      </w:r>
      <w:r w:rsidRPr="00451105">
        <w:rPr>
          <w:rFonts w:cs="Times New Roman"/>
          <w:i/>
          <w:color w:val="000000"/>
        </w:rPr>
        <w:t xml:space="preserve">Chorzow Factory </w:t>
      </w:r>
      <w:r w:rsidRPr="00451105">
        <w:rPr>
          <w:rFonts w:cs="Times New Roman"/>
          <w:color w:val="000000"/>
        </w:rPr>
        <w:t xml:space="preserve">language or from the economic sense of the transaction. The market price at the time of the </w:t>
      </w:r>
      <w:r w:rsidR="00C27AA3">
        <w:rPr>
          <w:rFonts w:cs="Times New Roman"/>
          <w:color w:val="000000"/>
        </w:rPr>
        <w:t xml:space="preserve">treaty </w:t>
      </w:r>
      <w:r w:rsidRPr="00451105">
        <w:rPr>
          <w:rFonts w:cs="Times New Roman"/>
          <w:color w:val="000000"/>
        </w:rPr>
        <w:t xml:space="preserve">breach already included the right to sell the business. The authors suggest that their interpretation would give the State better incentives when contemplating an expropriation. </w:t>
      </w:r>
      <w:r w:rsidR="00473354">
        <w:rPr>
          <w:rFonts w:cs="Times New Roman"/>
          <w:color w:val="000000"/>
        </w:rPr>
        <w:t xml:space="preserve">In effect, they tack on a penalty to discourage the State from excessive taking. </w:t>
      </w:r>
      <w:r w:rsidRPr="00451105">
        <w:rPr>
          <w:rFonts w:cs="Times New Roman"/>
          <w:color w:val="000000"/>
        </w:rPr>
        <w:t xml:space="preserve"> </w:t>
      </w:r>
      <w:r w:rsidRPr="00451105">
        <w:rPr>
          <w:rFonts w:cs="Times New Roman"/>
          <w:noProof/>
        </w:rPr>
        <w:t xml:space="preserve">“[U]nder the asymmetric </w:t>
      </w:r>
      <w:r w:rsidRPr="00451105">
        <w:rPr>
          <w:rFonts w:cs="Times New Roman"/>
          <w:i/>
          <w:noProof/>
        </w:rPr>
        <w:t>Chorzow Factory’s</w:t>
      </w:r>
      <w:r w:rsidRPr="00451105">
        <w:rPr>
          <w:rFonts w:cs="Times New Roman"/>
          <w:noProof/>
        </w:rPr>
        <w:t xml:space="preserve"> standard, a state will never benefit, economically, from expropriation, and may actually end up acquiring an asset for more than it is worth at the time of expropriation. The asymmetry in </w:t>
      </w:r>
      <w:r w:rsidRPr="00451105">
        <w:rPr>
          <w:rFonts w:cs="Times New Roman"/>
          <w:i/>
          <w:noProof/>
        </w:rPr>
        <w:t xml:space="preserve">Chorzow Factory </w:t>
      </w:r>
      <w:r w:rsidRPr="00451105">
        <w:rPr>
          <w:rFonts w:cs="Times New Roman"/>
          <w:noProof/>
        </w:rPr>
        <w:t>provides substantial incentives for states to be cautious in undertaking expropriatory actions.”</w:t>
      </w:r>
      <w:r w:rsidRPr="00451105">
        <w:rPr>
          <w:rStyle w:val="FootnoteReference"/>
          <w:rFonts w:cs="Times New Roman"/>
          <w:noProof/>
        </w:rPr>
        <w:footnoteReference w:id="168"/>
      </w:r>
      <w:r w:rsidRPr="00451105">
        <w:rPr>
          <w:rFonts w:cs="Times New Roman"/>
          <w:noProof/>
        </w:rPr>
        <w:t xml:space="preserve"> </w:t>
      </w:r>
      <w:r w:rsidRPr="00451105">
        <w:rPr>
          <w:rFonts w:eastAsia="Times New Roman" w:cs="Times New Roman"/>
          <w:bCs/>
        </w:rPr>
        <w:t xml:space="preserve"> </w:t>
      </w:r>
      <w:r w:rsidR="009C45D0">
        <w:rPr>
          <w:rFonts w:eastAsia="Times New Roman" w:cs="Times New Roman"/>
          <w:bCs/>
        </w:rPr>
        <w:t xml:space="preserve">Maybe penalizing the State is a good idea, but the notion that the penalty should take this particular form is a non sequitur. </w:t>
      </w:r>
    </w:p>
    <w:p w14:paraId="7A52F715" w14:textId="2643F93C" w:rsidR="007E7F84" w:rsidRPr="00451105" w:rsidRDefault="007E7F84" w:rsidP="007E7F84">
      <w:pPr>
        <w:ind w:firstLine="720"/>
        <w:rPr>
          <w:rFonts w:cs="Times New Roman"/>
          <w:color w:val="000000"/>
        </w:rPr>
      </w:pPr>
      <w:r w:rsidRPr="00451105">
        <w:rPr>
          <w:rFonts w:cs="Times New Roman"/>
          <w:color w:val="000000"/>
        </w:rPr>
        <w:t>The decision might come years after the breach and years before the contract was to end. Measured damages will depend on how interest is taken into account.</w:t>
      </w:r>
      <w:r w:rsidR="00C338A8" w:rsidRPr="00451105">
        <w:rPr>
          <w:rStyle w:val="FootnoteReference"/>
          <w:rFonts w:cs="Times New Roman"/>
          <w:color w:val="000000"/>
        </w:rPr>
        <w:footnoteReference w:id="169"/>
      </w:r>
      <w:r w:rsidRPr="00451105">
        <w:rPr>
          <w:rFonts w:cs="Times New Roman"/>
          <w:color w:val="000000"/>
        </w:rPr>
        <w:t xml:space="preserve"> There are two questions</w:t>
      </w:r>
      <w:r w:rsidR="00292C1E" w:rsidRPr="00292C1E">
        <w:rPr>
          <w:rFonts w:cs="Times New Roman"/>
          <w:color w:val="000000"/>
        </w:rPr>
        <w:t xml:space="preserve"> </w:t>
      </w:r>
      <w:r w:rsidR="00292C1E">
        <w:rPr>
          <w:rFonts w:cs="Times New Roman"/>
          <w:color w:val="000000"/>
        </w:rPr>
        <w:t xml:space="preserve">relating to </w:t>
      </w:r>
      <w:r w:rsidR="00292C1E" w:rsidRPr="00451105">
        <w:rPr>
          <w:rFonts w:cs="Times New Roman"/>
          <w:color w:val="000000"/>
        </w:rPr>
        <w:t>interest</w:t>
      </w:r>
      <w:r w:rsidRPr="00451105">
        <w:rPr>
          <w:rFonts w:cs="Times New Roman"/>
          <w:color w:val="000000"/>
        </w:rPr>
        <w:t>: the discount rate for future gains and losses and, if the damages are measured at the time of the breach, the prejudgment interest rate (PJI). Claimants desire a low discount rate and a high PJI</w:t>
      </w:r>
      <w:r w:rsidR="00633BD1">
        <w:rPr>
          <w:rFonts w:cs="Times New Roman"/>
          <w:color w:val="000000"/>
        </w:rPr>
        <w:t>,</w:t>
      </w:r>
      <w:r w:rsidRPr="00451105">
        <w:rPr>
          <w:rFonts w:cs="Times New Roman"/>
          <w:color w:val="000000"/>
        </w:rPr>
        <w:t xml:space="preserve"> and respondents the reverse. Not surprisingly, expert witnesses differ, although the extent of the disagreement might be surprising</w:t>
      </w:r>
      <w:r w:rsidR="00C338A8" w:rsidRPr="00451105">
        <w:rPr>
          <w:rFonts w:cs="Times New Roman"/>
          <w:color w:val="000000"/>
        </w:rPr>
        <w:t xml:space="preserve"> (and disappointing)</w:t>
      </w:r>
      <w:r w:rsidRPr="00451105">
        <w:rPr>
          <w:rFonts w:cs="Times New Roman"/>
          <w:color w:val="000000"/>
        </w:rPr>
        <w:t>. To illustrate the extent of their disagreement, in one arbitration the claimant proposed a discount rate and PJI of 10.63%; the respondent’s experts proposed a discount rate of 19.85% and a PJI of 2.9%. The panel chose neither, setting the discount rate at 14.33% and the PJI at 5.633331%.</w:t>
      </w:r>
      <w:r w:rsidRPr="00451105">
        <w:rPr>
          <w:rStyle w:val="FootnoteReference"/>
          <w:rFonts w:cs="Times New Roman"/>
          <w:color w:val="000000"/>
        </w:rPr>
        <w:footnoteReference w:id="170"/>
      </w:r>
      <w:r w:rsidRPr="00451105">
        <w:rPr>
          <w:rFonts w:cs="Times New Roman"/>
          <w:color w:val="000000"/>
        </w:rPr>
        <w:t xml:space="preserve"> </w:t>
      </w:r>
    </w:p>
    <w:p w14:paraId="72EDB3F8" w14:textId="77777777" w:rsidR="007E7F84" w:rsidRPr="00451105" w:rsidRDefault="007E7F84" w:rsidP="007E7F84">
      <w:pPr>
        <w:ind w:firstLine="720"/>
        <w:rPr>
          <w:rFonts w:cs="Times New Roman"/>
          <w:color w:val="000000"/>
        </w:rPr>
      </w:pPr>
    </w:p>
    <w:p w14:paraId="6BB649B9" w14:textId="444C9948" w:rsidR="007E7F84" w:rsidRPr="00451105" w:rsidRDefault="007E7F84" w:rsidP="007E7F84">
      <w:pPr>
        <w:ind w:firstLine="720"/>
        <w:rPr>
          <w:rFonts w:cs="Times New Roman"/>
          <w:color w:val="000000"/>
        </w:rPr>
      </w:pPr>
      <w:r w:rsidRPr="00451105">
        <w:rPr>
          <w:rFonts w:cs="Times New Roman"/>
          <w:color w:val="000000"/>
        </w:rPr>
        <w:t>A useful way of framing the question is to pose it (hypothetically) to the claimant at the moment of breach: at what point would you want the damages be reckoned? As I noted above, the parties should be indifferent</w:t>
      </w:r>
      <w:r w:rsidR="006F5A05">
        <w:rPr>
          <w:rFonts w:cs="Times New Roman"/>
          <w:color w:val="000000"/>
        </w:rPr>
        <w:t xml:space="preserve">, ex ante, </w:t>
      </w:r>
      <w:r w:rsidR="006F5A05" w:rsidRPr="00451105">
        <w:rPr>
          <w:rFonts w:cs="Times New Roman"/>
          <w:color w:val="000000"/>
        </w:rPr>
        <w:t>between</w:t>
      </w:r>
      <w:r w:rsidRPr="00451105">
        <w:rPr>
          <w:rFonts w:cs="Times New Roman"/>
          <w:color w:val="000000"/>
        </w:rPr>
        <w:t xml:space="preserve"> two measures: damages at the time of the breach plus prejudgment interest (PJI) and damages at the time of decision (including actual losses in the post-breach, pre-decision period</w:t>
      </w:r>
      <w:r w:rsidR="00633BD1">
        <w:rPr>
          <w:rFonts w:cs="Times New Roman"/>
          <w:color w:val="000000"/>
        </w:rPr>
        <w:t>)</w:t>
      </w:r>
      <w:r w:rsidRPr="00451105">
        <w:rPr>
          <w:rFonts w:cs="Times New Roman"/>
          <w:color w:val="000000"/>
        </w:rPr>
        <w:t>. The equivalence depends on choosing the proper prejudgment interest rate. Experts generally agree that the discount rate should be the weighted average cost of capital (WACC). As the previous paragraph shows there is room for substantial disagreement, but at least there is general agreement on the principle.  That is not the case with PJI.</w:t>
      </w:r>
      <w:r w:rsidR="00D63095">
        <w:rPr>
          <w:rStyle w:val="FootnoteReference"/>
          <w:rFonts w:cs="Times New Roman"/>
          <w:color w:val="000000"/>
        </w:rPr>
        <w:footnoteReference w:id="171"/>
      </w:r>
      <w:r w:rsidRPr="00451105">
        <w:rPr>
          <w:rFonts w:cs="Times New Roman"/>
          <w:color w:val="000000"/>
        </w:rPr>
        <w:t xml:space="preserve"> Some economists argue that the WACC should also be used for the PJI.</w:t>
      </w:r>
      <w:r w:rsidRPr="00451105">
        <w:rPr>
          <w:rStyle w:val="FootnoteReference"/>
          <w:rFonts w:cs="Times New Roman"/>
          <w:color w:val="000000"/>
        </w:rPr>
        <w:footnoteReference w:id="172"/>
      </w:r>
      <w:r w:rsidRPr="00451105">
        <w:rPr>
          <w:rFonts w:cs="Times New Roman"/>
          <w:color w:val="000000"/>
        </w:rPr>
        <w:t xml:space="preserve"> Others argue for a risk-free rate.</w:t>
      </w:r>
      <w:r w:rsidRPr="00451105">
        <w:rPr>
          <w:rStyle w:val="FootnoteReference"/>
          <w:rFonts w:cs="Times New Roman"/>
          <w:color w:val="000000"/>
        </w:rPr>
        <w:footnoteReference w:id="173"/>
      </w:r>
      <w:r w:rsidRPr="00451105">
        <w:rPr>
          <w:rFonts w:cs="Times New Roman"/>
          <w:color w:val="000000"/>
        </w:rPr>
        <w:t xml:space="preserve"> I find </w:t>
      </w:r>
      <w:r w:rsidRPr="00451105">
        <w:rPr>
          <w:rFonts w:cs="Times New Roman"/>
          <w:color w:val="000000"/>
        </w:rPr>
        <w:lastRenderedPageBreak/>
        <w:t xml:space="preserve">the risk-free rate argument more compelling, but I need not resolve the matter here. As </w:t>
      </w:r>
      <w:r w:rsidRPr="00451105">
        <w:rPr>
          <w:rFonts w:cs="Times New Roman"/>
        </w:rPr>
        <w:t>W</w:t>
      </w:r>
      <w:r w:rsidRPr="00451105">
        <w:rPr>
          <w:rFonts w:cs="Times New Roman"/>
          <w:color w:val="000000"/>
        </w:rPr>
        <w:t>öss, et al indicate, arbitration panels have used a variety of PJI’s, some ad hoc.</w:t>
      </w:r>
      <w:r w:rsidRPr="00451105">
        <w:rPr>
          <w:rStyle w:val="FootnoteReference"/>
          <w:rFonts w:cs="Times New Roman"/>
          <w:color w:val="000000"/>
        </w:rPr>
        <w:footnoteReference w:id="174"/>
      </w:r>
      <w:r w:rsidRPr="00451105">
        <w:rPr>
          <w:rFonts w:cs="Times New Roman"/>
          <w:color w:val="000000"/>
        </w:rPr>
        <w:t xml:space="preserve"> For my purposes it is enough to recognize that if we choose the “wrong” PJI the equivalence no longer holds.</w:t>
      </w:r>
    </w:p>
    <w:p w14:paraId="3EDC5502" w14:textId="77777777" w:rsidR="007E7F84" w:rsidRPr="00451105" w:rsidRDefault="007E7F84" w:rsidP="007E7F84">
      <w:pPr>
        <w:ind w:firstLine="720"/>
        <w:rPr>
          <w:rFonts w:cs="Times New Roman"/>
          <w:color w:val="000000"/>
        </w:rPr>
      </w:pPr>
    </w:p>
    <w:p w14:paraId="4B374095" w14:textId="227F86BC" w:rsidR="007E7F84" w:rsidRPr="00451105" w:rsidRDefault="007E7F84" w:rsidP="007E7F84">
      <w:pPr>
        <w:rPr>
          <w:rFonts w:cs="Times New Roman"/>
          <w:color w:val="000000"/>
        </w:rPr>
      </w:pPr>
      <w:r w:rsidRPr="00451105">
        <w:rPr>
          <w:rFonts w:cs="Times New Roman"/>
          <w:color w:val="000000"/>
        </w:rPr>
        <w:tab/>
        <w:t xml:space="preserve">The possible non-equivalence might incline one to opt for the time-of-decision measure of damages, incorporating all the post-breach information. However, there is a countervailing factor. Some of the </w:t>
      </w:r>
      <w:r w:rsidR="00292C1E">
        <w:rPr>
          <w:rFonts w:cs="Times New Roman"/>
          <w:color w:val="000000"/>
        </w:rPr>
        <w:t xml:space="preserve">changes that occurred </w:t>
      </w:r>
      <w:r w:rsidRPr="00451105">
        <w:rPr>
          <w:rFonts w:cs="Times New Roman"/>
          <w:color w:val="000000"/>
        </w:rPr>
        <w:t>po</w:t>
      </w:r>
      <w:r w:rsidR="00BE6EF0" w:rsidRPr="00451105">
        <w:rPr>
          <w:rFonts w:cs="Times New Roman"/>
          <w:color w:val="000000"/>
        </w:rPr>
        <w:t>s</w:t>
      </w:r>
      <w:r w:rsidR="00292C1E">
        <w:rPr>
          <w:rFonts w:cs="Times New Roman"/>
          <w:color w:val="000000"/>
        </w:rPr>
        <w:t xml:space="preserve">t-breach </w:t>
      </w:r>
      <w:r w:rsidRPr="00451105">
        <w:rPr>
          <w:rFonts w:cs="Times New Roman"/>
          <w:color w:val="000000"/>
        </w:rPr>
        <w:t>could have been caused by the breach</w:t>
      </w:r>
      <w:r w:rsidR="00292C1E">
        <w:rPr>
          <w:rFonts w:cs="Times New Roman"/>
          <w:color w:val="000000"/>
        </w:rPr>
        <w:t>.</w:t>
      </w:r>
      <w:r w:rsidRPr="00451105">
        <w:rPr>
          <w:rFonts w:cs="Times New Roman"/>
          <w:color w:val="000000"/>
        </w:rPr>
        <w:t xml:space="preserve"> Suppose, for example, that after Fenwick took control of the oil field Oilco threatened to sue anyone who purchased the oil; as a result sales declined and the price for the oil that was sold was reduced.</w:t>
      </w:r>
      <w:r w:rsidRPr="00451105">
        <w:rPr>
          <w:rStyle w:val="FootnoteReference"/>
          <w:rFonts w:cs="Times New Roman"/>
          <w:color w:val="000000"/>
        </w:rPr>
        <w:footnoteReference w:id="175"/>
      </w:r>
      <w:r w:rsidRPr="00451105">
        <w:rPr>
          <w:rFonts w:cs="Times New Roman"/>
          <w:color w:val="000000"/>
        </w:rPr>
        <w:t xml:space="preserve"> Or suppose that the expropriation had resolved an assembly problem, increasing the value.</w:t>
      </w:r>
      <w:r w:rsidRPr="00451105">
        <w:rPr>
          <w:rStyle w:val="FootnoteReference"/>
          <w:rFonts w:cs="Times New Roman"/>
          <w:color w:val="000000"/>
        </w:rPr>
        <w:footnoteReference w:id="176"/>
      </w:r>
      <w:r w:rsidRPr="00451105">
        <w:rPr>
          <w:rFonts w:cs="Times New Roman"/>
          <w:color w:val="000000"/>
        </w:rPr>
        <w:t xml:space="preserve"> The decision-date measure of damages would have to be modified to account for all value changes that were caused by the breach.</w:t>
      </w:r>
    </w:p>
    <w:p w14:paraId="21B57011" w14:textId="77777777" w:rsidR="007E7F84" w:rsidRPr="00451105" w:rsidRDefault="007E7F84" w:rsidP="007E7F84">
      <w:pPr>
        <w:rPr>
          <w:rFonts w:cs="Times New Roman"/>
          <w:color w:val="000000"/>
        </w:rPr>
      </w:pPr>
    </w:p>
    <w:p w14:paraId="27A075F8" w14:textId="726131FD" w:rsidR="003368D6" w:rsidRPr="00451105" w:rsidRDefault="007E7F84" w:rsidP="007E7F84">
      <w:pPr>
        <w:rPr>
          <w:rFonts w:cs="Times New Roman"/>
          <w:color w:val="000000"/>
        </w:rPr>
      </w:pPr>
      <w:r w:rsidRPr="00451105">
        <w:rPr>
          <w:rFonts w:cs="Times New Roman"/>
          <w:color w:val="000000"/>
        </w:rPr>
        <w:t xml:space="preserve"> </w:t>
      </w:r>
      <w:r w:rsidRPr="00451105">
        <w:rPr>
          <w:rFonts w:cs="Times New Roman"/>
          <w:color w:val="000000"/>
        </w:rPr>
        <w:tab/>
        <w:t>The expected value of the date-of-breach and the date-of-</w:t>
      </w:r>
      <w:r w:rsidR="00863884">
        <w:rPr>
          <w:rFonts w:cs="Times New Roman"/>
          <w:color w:val="000000"/>
        </w:rPr>
        <w:t>award</w:t>
      </w:r>
      <w:r w:rsidRPr="00451105">
        <w:rPr>
          <w:rFonts w:cs="Times New Roman"/>
          <w:color w:val="000000"/>
        </w:rPr>
        <w:t xml:space="preserve"> measures is roughly the same, subject to the qualifications in the previous paragraphs. My preference for a default rule is the date-of-breach which would make it consistent with contract damage measures generally. The important point is that whatever rule is chosen, that it be chosen behind the veil of ignorance. Parties could choose to opt out of the default rule in their initial agreement or, perhaps, in the BIT.</w:t>
      </w:r>
      <w:r w:rsidR="000B12FD" w:rsidRPr="00451105">
        <w:rPr>
          <w:rStyle w:val="FootnoteReference"/>
          <w:rFonts w:cs="Times New Roman"/>
          <w:color w:val="000000"/>
        </w:rPr>
        <w:footnoteReference w:id="177"/>
      </w:r>
      <w:r w:rsidRPr="00451105">
        <w:rPr>
          <w:rFonts w:cs="Times New Roman"/>
          <w:color w:val="000000"/>
        </w:rPr>
        <w:t xml:space="preserve"> If the period between breach and filing were short, the claimant could be given the choice between the date-of-filing and the date-of-decision. That might be a feasible compromise. The key point is that at the time of breach, there is no reason to believe that the choice of a measurement date would systematically favor one party.</w:t>
      </w:r>
    </w:p>
    <w:p w14:paraId="5C62E71F" w14:textId="041E9A8E" w:rsidR="007E7F84" w:rsidRPr="003368D6" w:rsidRDefault="003368D6" w:rsidP="003368D6">
      <w:pPr>
        <w:spacing w:before="100" w:beforeAutospacing="1" w:after="100" w:afterAutospacing="1"/>
        <w:ind w:firstLine="720"/>
        <w:outlineLvl w:val="0"/>
        <w:rPr>
          <w:rFonts w:eastAsia="Times New Roman" w:cs="Times New Roman"/>
          <w:bCs/>
          <w:kern w:val="36"/>
        </w:rPr>
      </w:pPr>
      <w:r w:rsidRPr="003368D6">
        <w:rPr>
          <w:rFonts w:eastAsia="Times New Roman" w:cs="Times New Roman"/>
          <w:bCs/>
          <w:kern w:val="36"/>
        </w:rPr>
        <w:t xml:space="preserve">The Oilco hypothetical presupposed that the project was already producing revenue. What if the State were to renege at an earlier stage? That was the problem the panel faced in </w:t>
      </w:r>
      <w:r w:rsidRPr="003368D6">
        <w:rPr>
          <w:rFonts w:eastAsia="Times New Roman" w:cs="Times New Roman"/>
          <w:bCs/>
          <w:i/>
          <w:kern w:val="36"/>
        </w:rPr>
        <w:t>Metalclad</w:t>
      </w:r>
      <w:r w:rsidRPr="003368D6">
        <w:rPr>
          <w:rFonts w:eastAsia="Times New Roman" w:cs="Times New Roman"/>
          <w:bCs/>
          <w:kern w:val="36"/>
        </w:rPr>
        <w:t>.</w:t>
      </w:r>
      <w:r w:rsidRPr="003368D6">
        <w:rPr>
          <w:rStyle w:val="FootnoteReference"/>
          <w:rFonts w:eastAsia="Times New Roman" w:cs="Times New Roman"/>
          <w:bCs/>
          <w:kern w:val="36"/>
        </w:rPr>
        <w:footnoteReference w:id="178"/>
      </w:r>
      <w:r w:rsidRPr="003368D6">
        <w:rPr>
          <w:rFonts w:eastAsia="Times New Roman" w:cs="Times New Roman"/>
          <w:bCs/>
          <w:kern w:val="36"/>
        </w:rPr>
        <w:t xml:space="preserve"> Metalclad had a federal permit to build a hazardous waste landfill. The local government, Guadalcazar, effectively prevented it from opening the landfill. Metalclad claimed that Mexico had violated the NAFTA agreement and the arbitration panel agreed, holding that the measures were “tantamount to expropriation.”</w:t>
      </w:r>
      <w:r w:rsidRPr="003368D6">
        <w:rPr>
          <w:rStyle w:val="FootnoteReference"/>
          <w:rFonts w:eastAsia="Times New Roman" w:cs="Times New Roman"/>
          <w:bCs/>
          <w:kern w:val="36"/>
        </w:rPr>
        <w:footnoteReference w:id="179"/>
      </w:r>
      <w:r w:rsidRPr="003368D6">
        <w:rPr>
          <w:rFonts w:eastAsia="Times New Roman" w:cs="Times New Roman"/>
          <w:bCs/>
          <w:kern w:val="36"/>
        </w:rPr>
        <w:t xml:space="preserve"> </w:t>
      </w:r>
      <w:r w:rsidRPr="003368D6">
        <w:rPr>
          <w:rFonts w:eastAsia="Times New Roman" w:cs="Times New Roman"/>
          <w:bCs/>
          <w:kern w:val="36"/>
        </w:rPr>
        <w:lastRenderedPageBreak/>
        <w:t>Metalclad asked for damages based on the discounted cash flow of future profits, or, alternatively, its actual investment. The panel rejected the lost profits measure because there had been no track record of earnings, adopting instead Metalclad’s actual investment.</w:t>
      </w:r>
      <w:r w:rsidRPr="003368D6">
        <w:rPr>
          <w:rStyle w:val="FootnoteReference"/>
          <w:rFonts w:eastAsia="Times New Roman" w:cs="Times New Roman"/>
          <w:bCs/>
          <w:kern w:val="36"/>
        </w:rPr>
        <w:footnoteReference w:id="180"/>
      </w:r>
      <w:r w:rsidRPr="003368D6">
        <w:rPr>
          <w:rFonts w:eastAsia="Times New Roman" w:cs="Times New Roman"/>
          <w:bCs/>
          <w:kern w:val="36"/>
        </w:rPr>
        <w:t xml:space="preserve"> In effect, it </w:t>
      </w:r>
      <w:r w:rsidR="009C45D0">
        <w:rPr>
          <w:rFonts w:eastAsia="Times New Roman" w:cs="Times New Roman"/>
          <w:bCs/>
          <w:kern w:val="36"/>
        </w:rPr>
        <w:t xml:space="preserve">applied a </w:t>
      </w:r>
      <w:r w:rsidRPr="003368D6">
        <w:rPr>
          <w:rFonts w:eastAsia="Times New Roman" w:cs="Times New Roman"/>
          <w:bCs/>
          <w:kern w:val="36"/>
        </w:rPr>
        <w:t>modified new business rule</w:t>
      </w:r>
      <w:r w:rsidR="009C45D0">
        <w:rPr>
          <w:rFonts w:eastAsia="Times New Roman" w:cs="Times New Roman"/>
          <w:bCs/>
          <w:kern w:val="36"/>
        </w:rPr>
        <w:t xml:space="preserve">: if the business has not operated, presume that it would not make more than the opportunity cost of capital (hence zero expected future earnings); but </w:t>
      </w:r>
      <w:r w:rsidR="00C01B2E">
        <w:rPr>
          <w:rFonts w:eastAsia="Times New Roman" w:cs="Times New Roman"/>
          <w:bCs/>
          <w:kern w:val="36"/>
        </w:rPr>
        <w:t xml:space="preserve">if </w:t>
      </w:r>
      <w:r w:rsidR="00C01B2E" w:rsidRPr="003368D6">
        <w:rPr>
          <w:rFonts w:eastAsia="Times New Roman" w:cs="Times New Roman"/>
          <w:bCs/>
          <w:kern w:val="36"/>
        </w:rPr>
        <w:t>the</w:t>
      </w:r>
      <w:r w:rsidR="009C45D0">
        <w:rPr>
          <w:rFonts w:eastAsia="Times New Roman" w:cs="Times New Roman"/>
          <w:bCs/>
          <w:kern w:val="36"/>
        </w:rPr>
        <w:t xml:space="preserve"> firm had already made specific investments it could recover some, or all, of its investment (reliance costs).</w:t>
      </w:r>
      <w:r w:rsidR="006F5A05">
        <w:rPr>
          <w:rStyle w:val="FootnoteReference"/>
          <w:rFonts w:eastAsia="Times New Roman" w:cs="Times New Roman"/>
          <w:bCs/>
          <w:kern w:val="36"/>
        </w:rPr>
        <w:footnoteReference w:id="181"/>
      </w:r>
      <w:r w:rsidR="007E7F84" w:rsidRPr="00451105">
        <w:rPr>
          <w:rFonts w:cs="Times New Roman"/>
          <w:color w:val="000000"/>
        </w:rPr>
        <w:tab/>
      </w:r>
    </w:p>
    <w:p w14:paraId="59496C7F" w14:textId="49139A77" w:rsidR="007E7F84" w:rsidRPr="00451105" w:rsidRDefault="007E7F84" w:rsidP="007E7F84">
      <w:pPr>
        <w:ind w:firstLine="720"/>
        <w:rPr>
          <w:rFonts w:eastAsia="Times New Roman" w:cs="Times New Roman"/>
          <w:color w:val="000000"/>
          <w:shd w:val="clear" w:color="auto" w:fill="FFFFFF"/>
        </w:rPr>
      </w:pPr>
      <w:r w:rsidRPr="00451105">
        <w:rPr>
          <w:rFonts w:cs="Times New Roman"/>
          <w:color w:val="000000"/>
        </w:rPr>
        <w:t>I have presumed that the breach took place at a single point in time. However, there might be a series of actions that adversely affect Oilco—a problem that has been labeled “creeping expropriation.”</w:t>
      </w:r>
      <w:r w:rsidRPr="00451105">
        <w:rPr>
          <w:rStyle w:val="FootnoteReference"/>
          <w:rFonts w:cs="Times New Roman"/>
          <w:color w:val="000000"/>
        </w:rPr>
        <w:footnoteReference w:id="182"/>
      </w:r>
      <w:r w:rsidRPr="00451105">
        <w:rPr>
          <w:rFonts w:cs="Times New Roman"/>
          <w:color w:val="000000"/>
        </w:rPr>
        <w:t xml:space="preserve"> Suppose, for example, that Fenwick imposed a tax on Oilco in year 1 and a second tax in year 2, and more taxes in subsequent years, and suppose further that an arbitration panel concluded that these taxes violated the BIT. I don’t think this should make damage assessment any more difficult. Each tax may be viewed as a partial breach with damages assessed for the period in which it was in force.</w:t>
      </w:r>
      <w:r w:rsidRPr="00451105">
        <w:rPr>
          <w:rStyle w:val="FootnoteReference"/>
          <w:rFonts w:cs="Times New Roman"/>
          <w:color w:val="000000"/>
        </w:rPr>
        <w:footnoteReference w:id="183"/>
      </w:r>
      <w:r w:rsidRPr="00451105">
        <w:rPr>
          <w:rFonts w:cs="Times New Roman"/>
          <w:color w:val="000000"/>
        </w:rPr>
        <w:t xml:space="preserve"> If the taxes eventually resulted in </w:t>
      </w:r>
      <w:r w:rsidR="00C27AA3">
        <w:rPr>
          <w:rFonts w:cs="Times New Roman"/>
          <w:color w:val="000000"/>
        </w:rPr>
        <w:t>the total destruction of value,</w:t>
      </w:r>
      <w:r w:rsidRPr="00451105">
        <w:rPr>
          <w:rFonts w:cs="Times New Roman"/>
          <w:color w:val="000000"/>
        </w:rPr>
        <w:t xml:space="preserve"> then the final component of the award should be for what was left after the penultimate tax hike.</w:t>
      </w:r>
      <w:r w:rsidRPr="00451105">
        <w:rPr>
          <w:rFonts w:cs="Times New Roman"/>
          <w:color w:val="222222"/>
        </w:rPr>
        <w:t xml:space="preserve"> </w:t>
      </w:r>
      <w:r w:rsidRPr="00451105">
        <w:rPr>
          <w:rFonts w:eastAsia="Times New Roman" w:cs="Times New Roman"/>
          <w:color w:val="000000"/>
          <w:shd w:val="clear" w:color="auto" w:fill="FFFFFF"/>
        </w:rPr>
        <w:t>It should be the present value of the stream of future losses valued at the time of the final breach and it should be added to the actual losses incurred in the previous partial breaches.</w:t>
      </w:r>
    </w:p>
    <w:p w14:paraId="4E2866F2" w14:textId="77777777" w:rsidR="001D447A" w:rsidRPr="0004303F" w:rsidRDefault="001D447A" w:rsidP="007E7F84">
      <w:pPr>
        <w:ind w:firstLine="720"/>
        <w:rPr>
          <w:rFonts w:eastAsia="Times New Roman" w:cs="Times New Roman"/>
          <w:color w:val="000000"/>
          <w:shd w:val="clear" w:color="auto" w:fill="FFFFFF"/>
        </w:rPr>
      </w:pPr>
    </w:p>
    <w:p w14:paraId="107A7E2F" w14:textId="29E2F3D3" w:rsidR="001D447A" w:rsidRPr="0004303F" w:rsidRDefault="00C461B8" w:rsidP="001D447A">
      <w:pPr>
        <w:ind w:firstLine="720"/>
        <w:jc w:val="center"/>
        <w:rPr>
          <w:rFonts w:eastAsia="Times New Roman" w:cs="Times New Roman"/>
          <w:b/>
          <w:color w:val="000000"/>
          <w:shd w:val="clear" w:color="auto" w:fill="FFFFFF"/>
        </w:rPr>
      </w:pPr>
      <w:r>
        <w:rPr>
          <w:rFonts w:eastAsia="Times New Roman" w:cs="Times New Roman"/>
          <w:b/>
          <w:color w:val="000000"/>
          <w:shd w:val="clear" w:color="auto" w:fill="FFFFFF"/>
        </w:rPr>
        <w:t>V</w:t>
      </w:r>
      <w:r w:rsidR="001D447A" w:rsidRPr="0004303F">
        <w:rPr>
          <w:rFonts w:eastAsia="Times New Roman" w:cs="Times New Roman"/>
          <w:b/>
          <w:color w:val="000000"/>
          <w:shd w:val="clear" w:color="auto" w:fill="FFFFFF"/>
        </w:rPr>
        <w:t>. CONCLUDING REMARKS</w:t>
      </w:r>
    </w:p>
    <w:p w14:paraId="76E45D52" w14:textId="77777777" w:rsidR="001D447A" w:rsidRPr="0004303F" w:rsidRDefault="001D447A" w:rsidP="001D447A">
      <w:pPr>
        <w:ind w:firstLine="720"/>
        <w:jc w:val="center"/>
        <w:rPr>
          <w:rFonts w:eastAsia="Times New Roman" w:cs="Times New Roman"/>
          <w:b/>
          <w:color w:val="000000"/>
          <w:shd w:val="clear" w:color="auto" w:fill="FFFFFF"/>
        </w:rPr>
      </w:pPr>
    </w:p>
    <w:p w14:paraId="13906C9E" w14:textId="639241BD" w:rsidR="00F77D1F" w:rsidRPr="0004303F" w:rsidRDefault="00707C44" w:rsidP="00F77D1F">
      <w:pPr>
        <w:widowControl w:val="0"/>
        <w:autoSpaceDE w:val="0"/>
        <w:autoSpaceDN w:val="0"/>
        <w:adjustRightInd w:val="0"/>
        <w:ind w:firstLine="720"/>
        <w:rPr>
          <w:rFonts w:cs="Times New Roman"/>
        </w:rPr>
      </w:pPr>
      <w:r w:rsidRPr="0004303F">
        <w:rPr>
          <w:rFonts w:cs="Times New Roman"/>
        </w:rPr>
        <w:t>What does it mean to make the victim of a contract breach whole? I have argued that the contract should be viewed as an asset and the claimant’s loss would be the decline in value of that asset.</w:t>
      </w:r>
      <w:r w:rsidRPr="0004303F">
        <w:rPr>
          <w:rStyle w:val="FootnoteReference"/>
          <w:rFonts w:cs="Times New Roman"/>
        </w:rPr>
        <w:footnoteReference w:id="184"/>
      </w:r>
      <w:r w:rsidRPr="0004303F">
        <w:rPr>
          <w:rFonts w:cs="Times New Roman"/>
        </w:rPr>
        <w:t xml:space="preserve"> </w:t>
      </w:r>
      <w:r w:rsidR="00F77D1F" w:rsidRPr="0004303F">
        <w:rPr>
          <w:rFonts w:cs="Times New Roman"/>
        </w:rPr>
        <w:t>Damages could be measured at the time of the breach, using only information available at that time. Or damages could be reckoned at some future date, in particular the decision date, utilizing post-breach data. Given that the value of the asset (the contract) can fluctuate, it should not matter which we choose, so long as that choice were made before the dispute arises. I think the breach date is more straightforward, but the more important point is that the issue should be off the table once a dispute arises. Essentially, the choice of the date of valuation should be under a “veil of ignorance.”</w:t>
      </w:r>
    </w:p>
    <w:p w14:paraId="08FC390B" w14:textId="77777777" w:rsidR="00F77D1F" w:rsidRDefault="00F77D1F" w:rsidP="00707C44">
      <w:pPr>
        <w:widowControl w:val="0"/>
        <w:autoSpaceDE w:val="0"/>
        <w:autoSpaceDN w:val="0"/>
        <w:adjustRightInd w:val="0"/>
        <w:ind w:firstLine="720"/>
        <w:rPr>
          <w:rFonts w:cs="Times New Roman"/>
        </w:rPr>
      </w:pPr>
    </w:p>
    <w:p w14:paraId="5963493F" w14:textId="25F175EB" w:rsidR="00707C44" w:rsidRPr="008A5D87" w:rsidRDefault="00141147" w:rsidP="00B44BB1">
      <w:pPr>
        <w:ind w:firstLine="720"/>
      </w:pPr>
      <w:r>
        <w:rPr>
          <w:rFonts w:cs="Times New Roman"/>
        </w:rPr>
        <w:lastRenderedPageBreak/>
        <w:t xml:space="preserve">The contract as asset approach proved useful even in the case of a breach of a simple commodity contract. But the big payoff was for </w:t>
      </w:r>
      <w:r w:rsidR="00E76014">
        <w:rPr>
          <w:rFonts w:cs="Times New Roman"/>
        </w:rPr>
        <w:t>the anticipatory repudiations</w:t>
      </w:r>
      <w:r>
        <w:rPr>
          <w:rFonts w:cs="Times New Roman"/>
        </w:rPr>
        <w:t xml:space="preserve"> of long-term contracts with termination dates after the decision date. </w:t>
      </w:r>
      <w:r w:rsidR="00707C44" w:rsidRPr="0004303F">
        <w:rPr>
          <w:rFonts w:cs="Times New Roman"/>
        </w:rPr>
        <w:t xml:space="preserve">For a commodity contract breached </w:t>
      </w:r>
      <w:r w:rsidR="000F3B79">
        <w:rPr>
          <w:rFonts w:cs="Times New Roman"/>
        </w:rPr>
        <w:t>on the date of performance, the remedy</w:t>
      </w:r>
      <w:r w:rsidR="00707C44" w:rsidRPr="0004303F">
        <w:rPr>
          <w:rFonts w:cs="Times New Roman"/>
        </w:rPr>
        <w:t xml:space="preserve"> would simply be the market/contract differential on that date. The only issue in this type of case is how to treat “cover.” My claim was that cover should not be viewed as an alternative remedy (and certainly not as a preferred alternative remedy), but as evidence of the market price. </w:t>
      </w:r>
      <w:r w:rsidR="008A5D87">
        <w:t>An alleged cover transaction that occurs immediately after the breach calling for the same quantity of an identical commodity at the same location would obviously be acceptable. The further it deviated from this ideal, the weaker the presumption that it reflects the aggrieved party’s loss.</w:t>
      </w:r>
    </w:p>
    <w:p w14:paraId="47495619" w14:textId="77777777" w:rsidR="00707C44" w:rsidRPr="0004303F" w:rsidRDefault="00707C44" w:rsidP="00141147">
      <w:pPr>
        <w:widowControl w:val="0"/>
        <w:autoSpaceDE w:val="0"/>
        <w:autoSpaceDN w:val="0"/>
        <w:adjustRightInd w:val="0"/>
        <w:rPr>
          <w:rFonts w:cs="Times New Roman"/>
        </w:rPr>
      </w:pPr>
    </w:p>
    <w:p w14:paraId="2B338BEE" w14:textId="3873270D" w:rsidR="00707C44" w:rsidRDefault="00707C44" w:rsidP="006E6FDA">
      <w:pPr>
        <w:widowControl w:val="0"/>
        <w:autoSpaceDE w:val="0"/>
        <w:autoSpaceDN w:val="0"/>
        <w:adjustRightInd w:val="0"/>
        <w:ind w:firstLine="720"/>
        <w:rPr>
          <w:rFonts w:cs="Times New Roman"/>
        </w:rPr>
      </w:pPr>
      <w:r w:rsidRPr="0004303F">
        <w:rPr>
          <w:rFonts w:cs="Times New Roman"/>
        </w:rPr>
        <w:t xml:space="preserve">Long-term contracts present two different issues: a shortfall in an individual installment and an anticipatory repudiation of the entire agreement. For the former, whether the contract is a take-or-pay agreement or a minimum quantity agreement for which the seller brought suit after the term expired, the remedy would simply be the price multiplied by the shortfall. The only breach would be a failure to pay—the value of the </w:t>
      </w:r>
      <w:r w:rsidR="008A5D87">
        <w:rPr>
          <w:rFonts w:cs="Times New Roman"/>
        </w:rPr>
        <w:t>contract itself would</w:t>
      </w:r>
      <w:r w:rsidRPr="0004303F">
        <w:rPr>
          <w:rFonts w:cs="Times New Roman"/>
        </w:rPr>
        <w:t xml:space="preserve"> not </w:t>
      </w:r>
      <w:r w:rsidR="008A5D87">
        <w:rPr>
          <w:rFonts w:cs="Times New Roman"/>
        </w:rPr>
        <w:t xml:space="preserve">be </w:t>
      </w:r>
      <w:r w:rsidRPr="0004303F">
        <w:rPr>
          <w:rFonts w:cs="Times New Roman"/>
        </w:rPr>
        <w:t>impaired.</w:t>
      </w:r>
      <w:r w:rsidR="008A5D87">
        <w:rPr>
          <w:rStyle w:val="FootnoteReference"/>
          <w:rFonts w:cs="Times New Roman"/>
        </w:rPr>
        <w:footnoteReference w:id="185"/>
      </w:r>
      <w:r w:rsidRPr="0004303F">
        <w:rPr>
          <w:rFonts w:cs="Times New Roman"/>
        </w:rPr>
        <w:t xml:space="preserve"> For the latter, the problem is to ascertain the change in the value of the asset—the contract. The present discounted value of the change in value will reflect expectations regarding the market price, the contract price, quantity, cost of production, and, perhaps, future events that might result in early termination of the contract. Both lost profits and mitigation are captured by the valuation of the contract.</w:t>
      </w:r>
      <w:r w:rsidR="00592582">
        <w:rPr>
          <w:rFonts w:cs="Times New Roman"/>
        </w:rPr>
        <w:t xml:space="preserve"> </w:t>
      </w:r>
      <w:r w:rsidR="006E6FDA">
        <w:rPr>
          <w:rFonts w:cs="Times New Roman"/>
        </w:rPr>
        <w:t xml:space="preserve">By focusing on the change in the value of the contract-asset, the approach delineates which “lost profits” matter. So, for example, if, as in the </w:t>
      </w:r>
      <w:r w:rsidR="006E6FDA" w:rsidRPr="006E6FDA">
        <w:rPr>
          <w:rFonts w:cs="Times New Roman"/>
          <w:i/>
        </w:rPr>
        <w:t>Lake River</w:t>
      </w:r>
      <w:r w:rsidR="006E6FDA">
        <w:rPr>
          <w:rFonts w:cs="Times New Roman"/>
        </w:rPr>
        <w:t xml:space="preserve"> hypothetical,</w:t>
      </w:r>
      <w:r w:rsidR="006E6FDA">
        <w:rPr>
          <w:rStyle w:val="FootnoteReference"/>
          <w:rFonts w:cs="Times New Roman"/>
        </w:rPr>
        <w:footnoteReference w:id="186"/>
      </w:r>
      <w:r w:rsidR="006E6FDA">
        <w:rPr>
          <w:rFonts w:cs="Times New Roman"/>
        </w:rPr>
        <w:t xml:space="preserve"> a </w:t>
      </w:r>
      <w:r w:rsidR="0090758B">
        <w:rPr>
          <w:rFonts w:cs="Times New Roman"/>
        </w:rPr>
        <w:t xml:space="preserve">buyer </w:t>
      </w:r>
      <w:r w:rsidR="006E6FDA">
        <w:rPr>
          <w:rFonts w:cs="Times New Roman"/>
        </w:rPr>
        <w:t xml:space="preserve">repudiated </w:t>
      </w:r>
      <w:r w:rsidR="0090758B">
        <w:rPr>
          <w:rFonts w:cs="Times New Roman"/>
        </w:rPr>
        <w:t xml:space="preserve">a contract </w:t>
      </w:r>
      <w:r w:rsidR="006E6FDA">
        <w:rPr>
          <w:rFonts w:cs="Times New Roman"/>
        </w:rPr>
        <w:t>before there had been any reliance and before the market had changed,</w:t>
      </w:r>
      <w:r w:rsidR="0090758B">
        <w:rPr>
          <w:rFonts w:cs="Times New Roman"/>
        </w:rPr>
        <w:t xml:space="preserve"> a court might </w:t>
      </w:r>
      <w:r w:rsidR="003A2815">
        <w:rPr>
          <w:rFonts w:cs="Times New Roman"/>
        </w:rPr>
        <w:t xml:space="preserve">erroneously </w:t>
      </w:r>
      <w:r w:rsidR="0090758B">
        <w:rPr>
          <w:rFonts w:cs="Times New Roman"/>
        </w:rPr>
        <w:t>find lost profits as the projected quantity times the seller’s markup. I would argue that the proper damage measure</w:t>
      </w:r>
      <w:r w:rsidR="007C474E">
        <w:rPr>
          <w:rFonts w:cs="Times New Roman"/>
        </w:rPr>
        <w:t xml:space="preserve"> in such a case</w:t>
      </w:r>
      <w:r w:rsidR="0090758B">
        <w:rPr>
          <w:rFonts w:cs="Times New Roman"/>
        </w:rPr>
        <w:t xml:space="preserve"> would be zero, or nominal at best</w:t>
      </w:r>
      <w:r w:rsidR="006E6FDA">
        <w:rPr>
          <w:rFonts w:cs="Times New Roman"/>
        </w:rPr>
        <w:t>.</w:t>
      </w:r>
    </w:p>
    <w:p w14:paraId="1253F907" w14:textId="77777777" w:rsidR="006E6FDA" w:rsidRPr="0004303F" w:rsidRDefault="006E6FDA" w:rsidP="006E6FDA">
      <w:pPr>
        <w:widowControl w:val="0"/>
        <w:autoSpaceDE w:val="0"/>
        <w:autoSpaceDN w:val="0"/>
        <w:adjustRightInd w:val="0"/>
        <w:ind w:firstLine="720"/>
        <w:rPr>
          <w:rFonts w:cs="Times New Roman"/>
        </w:rPr>
      </w:pPr>
    </w:p>
    <w:p w14:paraId="664C7307" w14:textId="0077130B" w:rsidR="00707C44" w:rsidRDefault="00707C44" w:rsidP="00707C44">
      <w:pPr>
        <w:widowControl w:val="0"/>
        <w:autoSpaceDE w:val="0"/>
        <w:autoSpaceDN w:val="0"/>
        <w:adjustRightInd w:val="0"/>
        <w:ind w:firstLine="720"/>
        <w:rPr>
          <w:rFonts w:cs="Times New Roman"/>
        </w:rPr>
      </w:pPr>
      <w:r w:rsidRPr="0004303F">
        <w:rPr>
          <w:rFonts w:cs="Times New Roman"/>
        </w:rPr>
        <w:t xml:space="preserve">The basic methodology for valuation is now standard, but as the divergent valuation estimates in </w:t>
      </w:r>
      <w:r w:rsidRPr="0004303F">
        <w:rPr>
          <w:rFonts w:cs="Times New Roman"/>
          <w:i/>
        </w:rPr>
        <w:t>Tractebel</w:t>
      </w:r>
      <w:r w:rsidRPr="0004303F">
        <w:rPr>
          <w:rFonts w:cs="Times New Roman"/>
        </w:rPr>
        <w:t xml:space="preserve"> illustrate, there is a lot of room for experts to disagree.</w:t>
      </w:r>
      <w:r w:rsidR="000F3B79">
        <w:rPr>
          <w:rStyle w:val="FootnoteReference"/>
          <w:rFonts w:cs="Times New Roman"/>
        </w:rPr>
        <w:footnoteReference w:id="187"/>
      </w:r>
      <w:r w:rsidRPr="0004303F">
        <w:rPr>
          <w:rFonts w:cs="Times New Roman"/>
        </w:rPr>
        <w:t xml:space="preserve"> To get some indication of the potential for disagreement, we can return to Widgetco. However, instead of considering a failure to deliver shares of </w:t>
      </w:r>
      <w:r w:rsidR="003A2815">
        <w:rPr>
          <w:rFonts w:cs="Times New Roman"/>
        </w:rPr>
        <w:t>stock, suppose that Widgetco had</w:t>
      </w:r>
      <w:r w:rsidRPr="0004303F">
        <w:rPr>
          <w:rFonts w:cs="Times New Roman"/>
        </w:rPr>
        <w:t xml:space="preserve"> been acquired, but that some minority shareholders have asked for an appraisal. The shareholders and the corporation then present expert testimony on the value of stock. The techniques used for this exercise are essentially the same as would be employed to ascertain the contract damages. </w:t>
      </w:r>
    </w:p>
    <w:p w14:paraId="6247995E" w14:textId="77777777" w:rsidR="00F77D1F" w:rsidRPr="0004303F" w:rsidRDefault="00F77D1F" w:rsidP="00707C44">
      <w:pPr>
        <w:widowControl w:val="0"/>
        <w:autoSpaceDE w:val="0"/>
        <w:autoSpaceDN w:val="0"/>
        <w:adjustRightInd w:val="0"/>
        <w:ind w:firstLine="720"/>
        <w:rPr>
          <w:rFonts w:cs="Times New Roman"/>
        </w:rPr>
      </w:pPr>
    </w:p>
    <w:p w14:paraId="32C45E47" w14:textId="2C68805F" w:rsidR="00861A04" w:rsidRDefault="006D49CB" w:rsidP="00707C44">
      <w:pPr>
        <w:widowControl w:val="0"/>
        <w:autoSpaceDE w:val="0"/>
        <w:autoSpaceDN w:val="0"/>
        <w:adjustRightInd w:val="0"/>
        <w:ind w:firstLine="720"/>
        <w:rPr>
          <w:rFonts w:cs="Times New Roman"/>
          <w:color w:val="000000"/>
        </w:rPr>
      </w:pPr>
      <w:r>
        <w:rPr>
          <w:rFonts w:cs="Times New Roman"/>
        </w:rPr>
        <w:t xml:space="preserve">About two decades ago, </w:t>
      </w:r>
      <w:r w:rsidR="00707C44" w:rsidRPr="0004303F">
        <w:rPr>
          <w:rFonts w:cs="Times New Roman"/>
        </w:rPr>
        <w:t xml:space="preserve">Wertheimer collected data on expert valuations in Delaware appraisal cases and his data show substantial divergences, some by a factor of </w:t>
      </w:r>
      <w:r w:rsidR="00707C44" w:rsidRPr="0004303F">
        <w:rPr>
          <w:rFonts w:cs="Times New Roman"/>
        </w:rPr>
        <w:lastRenderedPageBreak/>
        <w:t>ten or more.</w:t>
      </w:r>
      <w:r w:rsidR="00707C44" w:rsidRPr="0004303F">
        <w:rPr>
          <w:rStyle w:val="FootnoteReference"/>
          <w:rFonts w:cs="Times New Roman"/>
        </w:rPr>
        <w:footnoteReference w:id="188"/>
      </w:r>
      <w:r w:rsidR="00707C44" w:rsidRPr="0004303F">
        <w:rPr>
          <w:rFonts w:cs="Times New Roman"/>
        </w:rPr>
        <w:t xml:space="preserve"> </w:t>
      </w:r>
      <w:r>
        <w:rPr>
          <w:rFonts w:cs="Times New Roman"/>
        </w:rPr>
        <w:t>In a more recent study, Choi and Talley found that the gap had declined, but was still substantial.</w:t>
      </w:r>
      <w:r>
        <w:rPr>
          <w:rStyle w:val="FootnoteReference"/>
          <w:rFonts w:cs="Times New Roman"/>
        </w:rPr>
        <w:footnoteReference w:id="189"/>
      </w:r>
      <w:r>
        <w:rPr>
          <w:rFonts w:cs="Times New Roman"/>
        </w:rPr>
        <w:t xml:space="preserve"> </w:t>
      </w:r>
      <w:r w:rsidR="00707C44" w:rsidRPr="0004303F">
        <w:rPr>
          <w:rFonts w:cs="Times New Roman"/>
        </w:rPr>
        <w:t xml:space="preserve">As </w:t>
      </w:r>
      <w:r w:rsidR="009C45D0">
        <w:rPr>
          <w:rFonts w:cs="Times New Roman"/>
        </w:rPr>
        <w:t xml:space="preserve">then </w:t>
      </w:r>
      <w:r w:rsidR="00707C44" w:rsidRPr="0004303F">
        <w:rPr>
          <w:rFonts w:cs="Times New Roman"/>
        </w:rPr>
        <w:t>Vice Chancellor Allen asserted, “</w:t>
      </w:r>
      <w:r w:rsidR="00707C44" w:rsidRPr="0004303F">
        <w:rPr>
          <w:rFonts w:cs="Times New Roman"/>
          <w:color w:val="000000"/>
        </w:rPr>
        <w:t>if the court will ultimately reject both parties DC</w:t>
      </w:r>
      <w:r w:rsidR="000F3B79">
        <w:rPr>
          <w:rFonts w:cs="Times New Roman"/>
          <w:color w:val="000000"/>
        </w:rPr>
        <w:t>F [discounted cash flow] analyse</w:t>
      </w:r>
      <w:r w:rsidR="00707C44" w:rsidRPr="0004303F">
        <w:rPr>
          <w:rFonts w:cs="Times New Roman"/>
          <w:color w:val="000000"/>
        </w:rPr>
        <w:t>s and do its own, the incentive of the contending parties is to arrive at estimates of value that are at the outer margins of plausibility—that essentially define a bargaining range.”</w:t>
      </w:r>
      <w:r w:rsidR="00707C44" w:rsidRPr="0004303F">
        <w:rPr>
          <w:rStyle w:val="FootnoteReference"/>
          <w:rFonts w:cs="Times New Roman"/>
          <w:color w:val="000000"/>
        </w:rPr>
        <w:footnoteReference w:id="190"/>
      </w:r>
      <w:r w:rsidR="00707C44" w:rsidRPr="0004303F">
        <w:rPr>
          <w:rFonts w:cs="Times New Roman"/>
          <w:color w:val="000000"/>
        </w:rPr>
        <w:t xml:space="preserve"> </w:t>
      </w:r>
      <w:r w:rsidR="00157875">
        <w:rPr>
          <w:rFonts w:cs="Times New Roman"/>
          <w:color w:val="000000"/>
        </w:rPr>
        <w:t>If the damage estimates of experts in long-term contract and expropriation cases are destined to be a</w:t>
      </w:r>
      <w:r w:rsidR="00320EA1">
        <w:rPr>
          <w:rFonts w:cs="Times New Roman"/>
          <w:color w:val="000000"/>
        </w:rPr>
        <w:t>t</w:t>
      </w:r>
      <w:r w:rsidR="00157875">
        <w:rPr>
          <w:rFonts w:cs="Times New Roman"/>
          <w:color w:val="000000"/>
        </w:rPr>
        <w:t xml:space="preserve"> the outer margins of plausibility (and perhaps beyond),</w:t>
      </w:r>
      <w:r w:rsidR="00157875">
        <w:rPr>
          <w:rStyle w:val="FootnoteReference"/>
          <w:rFonts w:cs="Times New Roman"/>
          <w:color w:val="000000"/>
        </w:rPr>
        <w:footnoteReference w:id="191"/>
      </w:r>
      <w:r w:rsidR="00157875">
        <w:rPr>
          <w:rFonts w:cs="Times New Roman"/>
          <w:color w:val="000000"/>
        </w:rPr>
        <w:t xml:space="preserve"> are there some techniques available to courts or arbitration panels to narrow the</w:t>
      </w:r>
      <w:r w:rsidR="00320EA1">
        <w:rPr>
          <w:rFonts w:cs="Times New Roman"/>
          <w:color w:val="000000"/>
        </w:rPr>
        <w:t>ir disagreement</w:t>
      </w:r>
      <w:r w:rsidR="00157875">
        <w:rPr>
          <w:rFonts w:cs="Times New Roman"/>
          <w:color w:val="000000"/>
        </w:rPr>
        <w:t xml:space="preserve">? </w:t>
      </w:r>
    </w:p>
    <w:p w14:paraId="64768A8D" w14:textId="77777777" w:rsidR="00861A04" w:rsidRDefault="00861A04" w:rsidP="00707C44">
      <w:pPr>
        <w:widowControl w:val="0"/>
        <w:autoSpaceDE w:val="0"/>
        <w:autoSpaceDN w:val="0"/>
        <w:adjustRightInd w:val="0"/>
        <w:ind w:firstLine="720"/>
        <w:rPr>
          <w:rFonts w:cs="Times New Roman"/>
          <w:color w:val="000000"/>
        </w:rPr>
      </w:pPr>
    </w:p>
    <w:p w14:paraId="084EBF64" w14:textId="22C3F523" w:rsidR="009159C1" w:rsidRDefault="00320EA1" w:rsidP="00707C44">
      <w:pPr>
        <w:widowControl w:val="0"/>
        <w:autoSpaceDE w:val="0"/>
        <w:autoSpaceDN w:val="0"/>
        <w:adjustRightInd w:val="0"/>
        <w:ind w:firstLine="720"/>
        <w:rPr>
          <w:rFonts w:cs="Times New Roman"/>
          <w:color w:val="000000"/>
        </w:rPr>
      </w:pPr>
      <w:r>
        <w:rPr>
          <w:rFonts w:cs="Times New Roman"/>
          <w:color w:val="000000"/>
        </w:rPr>
        <w:t xml:space="preserve">I will note three. First, </w:t>
      </w:r>
      <w:r w:rsidR="00861A04">
        <w:rPr>
          <w:rFonts w:cs="Times New Roman"/>
          <w:color w:val="000000"/>
        </w:rPr>
        <w:t xml:space="preserve">neutral experts could </w:t>
      </w:r>
      <w:r w:rsidR="003A2815">
        <w:rPr>
          <w:rFonts w:cs="Times New Roman"/>
          <w:color w:val="000000"/>
        </w:rPr>
        <w:t>be appointed</w:t>
      </w:r>
      <w:r w:rsidR="00861A04">
        <w:rPr>
          <w:rFonts w:cs="Times New Roman"/>
          <w:color w:val="000000"/>
        </w:rPr>
        <w:t>; their role could</w:t>
      </w:r>
      <w:r>
        <w:rPr>
          <w:rFonts w:cs="Times New Roman"/>
          <w:color w:val="000000"/>
        </w:rPr>
        <w:t xml:space="preserve"> be defined in various ways. They could critique the reports of the party-appointed experts or, perhaps, perform their own damage </w:t>
      </w:r>
      <w:r w:rsidR="000F278F">
        <w:rPr>
          <w:rFonts w:cs="Times New Roman"/>
          <w:color w:val="000000"/>
        </w:rPr>
        <w:t>studies</w:t>
      </w:r>
      <w:r>
        <w:rPr>
          <w:rFonts w:cs="Times New Roman"/>
          <w:color w:val="000000"/>
        </w:rPr>
        <w:t xml:space="preserve">. Second, </w:t>
      </w:r>
      <w:r w:rsidR="00861A04">
        <w:rPr>
          <w:rFonts w:cs="Times New Roman"/>
          <w:color w:val="000000"/>
        </w:rPr>
        <w:t xml:space="preserve">some </w:t>
      </w:r>
      <w:r>
        <w:rPr>
          <w:rFonts w:cs="Times New Roman"/>
          <w:color w:val="000000"/>
        </w:rPr>
        <w:t>court</w:t>
      </w:r>
      <w:r w:rsidR="00861A04">
        <w:rPr>
          <w:rFonts w:cs="Times New Roman"/>
          <w:color w:val="000000"/>
        </w:rPr>
        <w:t xml:space="preserve">s notably in Australia, and some arbitration panels have used </w:t>
      </w:r>
      <w:r>
        <w:rPr>
          <w:rFonts w:cs="Times New Roman"/>
          <w:color w:val="000000"/>
        </w:rPr>
        <w:t xml:space="preserve"> “hot-tubbing.” </w:t>
      </w:r>
      <w:r w:rsidR="00861A04">
        <w:rPr>
          <w:rFonts w:cs="Times New Roman"/>
          <w:color w:val="000000"/>
        </w:rPr>
        <w:t xml:space="preserve">There are a number of variations on this practice. </w:t>
      </w:r>
      <w:r w:rsidR="00592582">
        <w:rPr>
          <w:rFonts w:cs="Times New Roman"/>
          <w:color w:val="000000"/>
        </w:rPr>
        <w:t>For example, the</w:t>
      </w:r>
      <w:r>
        <w:rPr>
          <w:rFonts w:cs="Times New Roman"/>
          <w:color w:val="000000"/>
        </w:rPr>
        <w:t xml:space="preserve"> experts </w:t>
      </w:r>
      <w:r w:rsidR="00592582">
        <w:rPr>
          <w:rFonts w:cs="Times New Roman"/>
          <w:color w:val="000000"/>
        </w:rPr>
        <w:t>could</w:t>
      </w:r>
      <w:r>
        <w:rPr>
          <w:rFonts w:cs="Times New Roman"/>
          <w:color w:val="000000"/>
        </w:rPr>
        <w:t xml:space="preserve"> question each other</w:t>
      </w:r>
      <w:r w:rsidR="00592582">
        <w:rPr>
          <w:rFonts w:cs="Times New Roman"/>
          <w:color w:val="000000"/>
        </w:rPr>
        <w:t xml:space="preserve"> or arbitrators could question the witnesses directly.</w:t>
      </w:r>
      <w:r w:rsidR="00C457E4">
        <w:rPr>
          <w:rStyle w:val="FootnoteReference"/>
          <w:rFonts w:cs="Times New Roman"/>
          <w:color w:val="000000"/>
        </w:rPr>
        <w:footnoteReference w:id="192"/>
      </w:r>
      <w:r>
        <w:rPr>
          <w:rFonts w:cs="Times New Roman"/>
          <w:color w:val="000000"/>
        </w:rPr>
        <w:t xml:space="preserve"> </w:t>
      </w:r>
      <w:r w:rsidR="009C45D0">
        <w:rPr>
          <w:rFonts w:cs="Times New Roman"/>
          <w:color w:val="000000"/>
        </w:rPr>
        <w:t>The presumption is that the process would constrain the experts and narrow the range of their disagreement.</w:t>
      </w:r>
    </w:p>
    <w:p w14:paraId="39A69F09" w14:textId="77777777" w:rsidR="009159C1" w:rsidRDefault="009159C1" w:rsidP="00707C44">
      <w:pPr>
        <w:widowControl w:val="0"/>
        <w:autoSpaceDE w:val="0"/>
        <w:autoSpaceDN w:val="0"/>
        <w:adjustRightInd w:val="0"/>
        <w:ind w:firstLine="720"/>
        <w:rPr>
          <w:rFonts w:cs="Times New Roman"/>
          <w:color w:val="000000"/>
        </w:rPr>
      </w:pPr>
    </w:p>
    <w:p w14:paraId="6FD383C9" w14:textId="64C395F7" w:rsidR="00F77D1F" w:rsidRDefault="00320EA1" w:rsidP="00707C44">
      <w:pPr>
        <w:widowControl w:val="0"/>
        <w:autoSpaceDE w:val="0"/>
        <w:autoSpaceDN w:val="0"/>
        <w:adjustRightInd w:val="0"/>
        <w:ind w:firstLine="720"/>
        <w:rPr>
          <w:rFonts w:cs="Times New Roman"/>
          <w:color w:val="000000"/>
        </w:rPr>
      </w:pPr>
      <w:r>
        <w:rPr>
          <w:rFonts w:cs="Times New Roman"/>
          <w:color w:val="000000"/>
        </w:rPr>
        <w:t xml:space="preserve">Third, the court </w:t>
      </w:r>
      <w:r w:rsidR="00592582">
        <w:rPr>
          <w:rFonts w:cs="Times New Roman"/>
          <w:color w:val="000000"/>
        </w:rPr>
        <w:t xml:space="preserve">or panel </w:t>
      </w:r>
      <w:r>
        <w:rPr>
          <w:rFonts w:cs="Times New Roman"/>
          <w:color w:val="000000"/>
        </w:rPr>
        <w:t>could adopt a for</w:t>
      </w:r>
      <w:r w:rsidR="009159C1">
        <w:rPr>
          <w:rFonts w:cs="Times New Roman"/>
          <w:color w:val="000000"/>
        </w:rPr>
        <w:t>m of “final-offer arbitration.”</w:t>
      </w:r>
      <w:r w:rsidR="00592582">
        <w:rPr>
          <w:rStyle w:val="FootnoteReference"/>
          <w:rFonts w:cs="Times New Roman"/>
          <w:color w:val="000000"/>
        </w:rPr>
        <w:footnoteReference w:id="193"/>
      </w:r>
      <w:r w:rsidR="003A2815">
        <w:rPr>
          <w:rFonts w:cs="Times New Roman"/>
          <w:color w:val="000000"/>
        </w:rPr>
        <w:t xml:space="preserve"> The court’s choice would be limited; it could </w:t>
      </w:r>
      <w:r w:rsidR="009159C1">
        <w:rPr>
          <w:rFonts w:cs="Times New Roman"/>
          <w:color w:val="000000"/>
        </w:rPr>
        <w:t>not mix and match pieces of the different reports, split the baby, or impose an</w:t>
      </w:r>
      <w:r w:rsidR="00C457E4">
        <w:rPr>
          <w:rFonts w:cs="Times New Roman"/>
          <w:color w:val="000000"/>
        </w:rPr>
        <w:t>y</w:t>
      </w:r>
      <w:r w:rsidR="009159C1">
        <w:rPr>
          <w:rFonts w:cs="Times New Roman"/>
          <w:color w:val="000000"/>
        </w:rPr>
        <w:t xml:space="preserve"> estimate proffered by neither party. </w:t>
      </w:r>
      <w:r w:rsidR="00AD67F0">
        <w:rPr>
          <w:rFonts w:cs="Times New Roman"/>
          <w:color w:val="000000"/>
        </w:rPr>
        <w:t xml:space="preserve">It could choose only one party’s measure. </w:t>
      </w:r>
      <w:r w:rsidR="009159C1">
        <w:rPr>
          <w:rFonts w:cs="Times New Roman"/>
          <w:color w:val="000000"/>
        </w:rPr>
        <w:t>When Vice Chancellor Allen attempted to implement it in an appraisal proceeding, h</w:t>
      </w:r>
      <w:r w:rsidR="009159C1" w:rsidRPr="00707C44">
        <w:rPr>
          <w:rFonts w:cs="Times New Roman"/>
          <w:color w:val="000000"/>
        </w:rPr>
        <w:t>e told both parties that it was his “inclination and [his] temperamental approach ... to want to accept one expert or the other hook, line and sinker.”</w:t>
      </w:r>
      <w:r w:rsidR="009159C1">
        <w:rPr>
          <w:rStyle w:val="FootnoteReference"/>
          <w:rFonts w:cs="Times New Roman"/>
          <w:color w:val="000000"/>
        </w:rPr>
        <w:footnoteReference w:id="194"/>
      </w:r>
      <w:r w:rsidR="009159C1">
        <w:rPr>
          <w:rFonts w:cs="Times New Roman"/>
          <w:color w:val="000000"/>
        </w:rPr>
        <w:t xml:space="preserve"> </w:t>
      </w:r>
      <w:r w:rsidR="00592582">
        <w:rPr>
          <w:rFonts w:cs="Times New Roman"/>
          <w:color w:val="000000"/>
        </w:rPr>
        <w:t xml:space="preserve">The logic is simple enough. </w:t>
      </w:r>
      <w:r w:rsidR="009159C1" w:rsidRPr="0004303F">
        <w:rPr>
          <w:rFonts w:cs="Times New Roman"/>
          <w:color w:val="000000"/>
        </w:rPr>
        <w:t xml:space="preserve">If a party </w:t>
      </w:r>
      <w:r w:rsidR="009159C1">
        <w:rPr>
          <w:rFonts w:cs="Times New Roman"/>
          <w:color w:val="000000"/>
        </w:rPr>
        <w:t>were to get</w:t>
      </w:r>
      <w:r w:rsidR="009159C1" w:rsidRPr="0004303F">
        <w:rPr>
          <w:rFonts w:cs="Times New Roman"/>
          <w:color w:val="000000"/>
        </w:rPr>
        <w:t xml:space="preserve"> too agg</w:t>
      </w:r>
      <w:r w:rsidR="009159C1">
        <w:rPr>
          <w:rFonts w:cs="Times New Roman"/>
          <w:color w:val="000000"/>
        </w:rPr>
        <w:t>ressive, the decision maker would</w:t>
      </w:r>
      <w:r w:rsidR="009159C1" w:rsidRPr="0004303F">
        <w:rPr>
          <w:rFonts w:cs="Times New Roman"/>
          <w:color w:val="000000"/>
        </w:rPr>
        <w:t xml:space="preserve"> choose the other side’s estimate. Recognizing that, both parties have an incentive to take a less aggressive position.</w:t>
      </w:r>
      <w:r w:rsidR="002C251F">
        <w:rPr>
          <w:rFonts w:cs="Times New Roman"/>
          <w:color w:val="000000"/>
        </w:rPr>
        <w:t xml:space="preserve"> </w:t>
      </w:r>
      <w:r w:rsidR="00544C4B">
        <w:rPr>
          <w:rFonts w:cs="Times New Roman"/>
          <w:color w:val="000000"/>
        </w:rPr>
        <w:t>Their estimates should converge, thereby narr</w:t>
      </w:r>
      <w:r w:rsidR="00F5070A">
        <w:rPr>
          <w:rFonts w:cs="Times New Roman"/>
          <w:color w:val="000000"/>
        </w:rPr>
        <w:t xml:space="preserve">owing the range of disagreement, or, in Allen’s words, </w:t>
      </w:r>
      <w:r w:rsidR="00122035">
        <w:rPr>
          <w:rFonts w:cs="Times New Roman"/>
          <w:color w:val="000000"/>
        </w:rPr>
        <w:t>return us</w:t>
      </w:r>
      <w:r w:rsidR="00F5070A">
        <w:rPr>
          <w:rFonts w:cs="Times New Roman"/>
          <w:color w:val="000000"/>
        </w:rPr>
        <w:t xml:space="preserve"> from the “</w:t>
      </w:r>
      <w:r w:rsidR="00F5070A" w:rsidRPr="0004303F">
        <w:rPr>
          <w:rFonts w:cs="Times New Roman"/>
          <w:color w:val="000000"/>
        </w:rPr>
        <w:t>outer margins of plausibility</w:t>
      </w:r>
      <w:r w:rsidR="00F5070A">
        <w:rPr>
          <w:rFonts w:cs="Times New Roman"/>
          <w:color w:val="000000"/>
        </w:rPr>
        <w:t>.”</w:t>
      </w:r>
      <w:r w:rsidR="00122035" w:rsidRPr="00122035">
        <w:rPr>
          <w:rStyle w:val="FootnoteReference"/>
          <w:rFonts w:cs="Times New Roman"/>
          <w:color w:val="000000"/>
        </w:rPr>
        <w:t xml:space="preserve"> </w:t>
      </w:r>
      <w:r w:rsidR="00122035" w:rsidRPr="0004303F">
        <w:rPr>
          <w:rStyle w:val="FootnoteReference"/>
          <w:rFonts w:cs="Times New Roman"/>
          <w:color w:val="000000"/>
        </w:rPr>
        <w:footnoteReference w:id="195"/>
      </w:r>
    </w:p>
    <w:p w14:paraId="196454A6" w14:textId="77777777" w:rsidR="00C457E4" w:rsidRDefault="00C457E4" w:rsidP="00707C44">
      <w:pPr>
        <w:widowControl w:val="0"/>
        <w:autoSpaceDE w:val="0"/>
        <w:autoSpaceDN w:val="0"/>
        <w:adjustRightInd w:val="0"/>
        <w:ind w:firstLine="720"/>
        <w:rPr>
          <w:rFonts w:cs="Times New Roman"/>
          <w:color w:val="000000"/>
        </w:rPr>
      </w:pPr>
    </w:p>
    <w:p w14:paraId="1173226C" w14:textId="76CD648F" w:rsidR="00F77D1F" w:rsidRDefault="00C457E4" w:rsidP="00707C44">
      <w:pPr>
        <w:widowControl w:val="0"/>
        <w:autoSpaceDE w:val="0"/>
        <w:autoSpaceDN w:val="0"/>
        <w:adjustRightInd w:val="0"/>
        <w:ind w:firstLine="720"/>
        <w:rPr>
          <w:rFonts w:cs="Times New Roman"/>
          <w:color w:val="000000"/>
        </w:rPr>
      </w:pPr>
      <w:r>
        <w:rPr>
          <w:rFonts w:cs="Times New Roman"/>
          <w:color w:val="000000"/>
        </w:rPr>
        <w:t>There is no question that estimating the damages in long-term, complex agreements will be difficult and that courts, arbitration panels, and (gasp) lay juries will be confronted with reports and testimony that will ma</w:t>
      </w:r>
      <w:r w:rsidR="002C251F">
        <w:rPr>
          <w:rFonts w:cs="Times New Roman"/>
          <w:color w:val="000000"/>
        </w:rPr>
        <w:t xml:space="preserve">ke their eyes glaze over and their heads hurt. </w:t>
      </w:r>
      <w:r w:rsidR="00FB2A23">
        <w:rPr>
          <w:rFonts w:cs="Times New Roman"/>
          <w:color w:val="000000"/>
        </w:rPr>
        <w:t>Still, it has to be done, unless we just want to label all such damages as “speculative,” and deny all recovery. Perhaps in the future</w:t>
      </w:r>
      <w:r w:rsidR="00286607">
        <w:rPr>
          <w:rFonts w:cs="Times New Roman"/>
          <w:color w:val="000000"/>
        </w:rPr>
        <w:t>,</w:t>
      </w:r>
      <w:r w:rsidR="00FB2A23">
        <w:rPr>
          <w:rFonts w:cs="Times New Roman"/>
          <w:color w:val="000000"/>
        </w:rPr>
        <w:t xml:space="preserve"> parties (or arbitration treaties) will include some guidelines (methods for determining prejudgment interest rates, discount rates, projected prices, etc</w:t>
      </w:r>
      <w:r w:rsidR="00122035">
        <w:rPr>
          <w:rFonts w:cs="Times New Roman"/>
          <w:color w:val="000000"/>
        </w:rPr>
        <w:t>.</w:t>
      </w:r>
      <w:r w:rsidR="00FB2A23">
        <w:rPr>
          <w:rFonts w:cs="Times New Roman"/>
          <w:color w:val="000000"/>
        </w:rPr>
        <w:t xml:space="preserve">) to constrain the experts in their damage estimates. </w:t>
      </w:r>
      <w:r w:rsidR="00105600">
        <w:rPr>
          <w:rFonts w:cs="Times New Roman"/>
          <w:color w:val="000000"/>
        </w:rPr>
        <w:t>My concern in this paper has not been with the nuts and bolts of damage estimation, but instead with the conceptual framework.</w:t>
      </w:r>
    </w:p>
    <w:p w14:paraId="290ADC62" w14:textId="77777777" w:rsidR="003601D4" w:rsidRPr="0004303F" w:rsidRDefault="003601D4" w:rsidP="00083949">
      <w:pPr>
        <w:rPr>
          <w:rFonts w:cs="Times New Roman"/>
        </w:rPr>
      </w:pPr>
    </w:p>
    <w:sectPr w:rsidR="003601D4" w:rsidRPr="0004303F" w:rsidSect="005C7141">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FAE62" w14:textId="77777777" w:rsidR="00B95A01" w:rsidRDefault="00B95A01" w:rsidP="00083949">
      <w:r>
        <w:separator/>
      </w:r>
    </w:p>
  </w:endnote>
  <w:endnote w:type="continuationSeparator" w:id="0">
    <w:p w14:paraId="1981CA94" w14:textId="77777777" w:rsidR="00B95A01" w:rsidRDefault="00B95A01" w:rsidP="0008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DB54" w14:textId="77777777" w:rsidR="0017002A" w:rsidRDefault="0017002A" w:rsidP="008D4F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92A62" w14:textId="77777777" w:rsidR="0017002A" w:rsidRDefault="0017002A" w:rsidP="008D4F3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51B0" w14:textId="4F727ECD" w:rsidR="0017002A" w:rsidRDefault="0017002A" w:rsidP="008D4F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F5D">
      <w:rPr>
        <w:rStyle w:val="PageNumber"/>
        <w:noProof/>
      </w:rPr>
      <w:t>31</w:t>
    </w:r>
    <w:r>
      <w:rPr>
        <w:rStyle w:val="PageNumber"/>
      </w:rPr>
      <w:fldChar w:fldCharType="end"/>
    </w:r>
  </w:p>
  <w:p w14:paraId="0A4B464B" w14:textId="77777777" w:rsidR="0017002A" w:rsidRDefault="0017002A" w:rsidP="008D4F3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748A9" w14:textId="77777777" w:rsidR="00B95A01" w:rsidRDefault="00B95A01" w:rsidP="00083949">
      <w:r>
        <w:separator/>
      </w:r>
    </w:p>
  </w:footnote>
  <w:footnote w:type="continuationSeparator" w:id="0">
    <w:p w14:paraId="774129AF" w14:textId="77777777" w:rsidR="00B95A01" w:rsidRDefault="00B95A01" w:rsidP="00083949">
      <w:r>
        <w:continuationSeparator/>
      </w:r>
    </w:p>
  </w:footnote>
  <w:footnote w:id="1">
    <w:p w14:paraId="7F40DDD8" w14:textId="77777777" w:rsidR="0017002A" w:rsidRPr="0043758E" w:rsidRDefault="0017002A" w:rsidP="009026AB">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Section 1-106.</w:t>
      </w:r>
    </w:p>
  </w:footnote>
  <w:footnote w:id="2">
    <w:p w14:paraId="28839263" w14:textId="3B5B3E24" w:rsidR="0017002A" w:rsidRPr="0043758E" w:rsidRDefault="0017002A">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1 Exch 850.</w:t>
      </w:r>
    </w:p>
  </w:footnote>
  <w:footnote w:id="3">
    <w:p w14:paraId="0D3F8474" w14:textId="30B4D687" w:rsidR="0017002A" w:rsidRPr="0043758E" w:rsidRDefault="0017002A">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bookmarkStart w:id="0" w:name="sd38"/>
      <w:r w:rsidRPr="00AC0D29">
        <w:rPr>
          <w:rFonts w:eastAsia="Times New Roman" w:cs="Times New Roman"/>
          <w:sz w:val="20"/>
          <w:szCs w:val="20"/>
          <w:lang w:val="en-AU"/>
        </w:rPr>
        <w:t>Jeffrey S. Sutton, </w:t>
      </w:r>
      <w:r w:rsidRPr="00AC0D29">
        <w:rPr>
          <w:rFonts w:eastAsia="Times New Roman" w:cs="Times New Roman"/>
          <w:i/>
          <w:iCs/>
          <w:sz w:val="20"/>
          <w:szCs w:val="20"/>
          <w:lang w:val="en-AU"/>
        </w:rPr>
        <w:t>Measuring Damages Under the United Nations Convention on the International Sale of Goods</w:t>
      </w:r>
      <w:r w:rsidRPr="00AC0D29">
        <w:rPr>
          <w:rFonts w:eastAsia="Times New Roman" w:cs="Times New Roman"/>
          <w:sz w:val="20"/>
          <w:szCs w:val="20"/>
          <w:lang w:val="en-AU"/>
        </w:rPr>
        <w:t>, 50 Ohio St. L.J. 737, 742 (1989). </w:t>
      </w:r>
      <w:bookmarkEnd w:id="0"/>
    </w:p>
  </w:footnote>
  <w:footnote w:id="4">
    <w:p w14:paraId="58EB9566" w14:textId="67ED4134" w:rsidR="0017002A" w:rsidRPr="0043758E" w:rsidRDefault="0017002A" w:rsidP="00380968">
      <w:pPr>
        <w:widowControl w:val="0"/>
        <w:autoSpaceDE w:val="0"/>
        <w:autoSpaceDN w:val="0"/>
        <w:adjustRightInd w:val="0"/>
        <w:contextualSpacing/>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43758E">
        <w:rPr>
          <w:rFonts w:cs="Times New Roman"/>
          <w:i/>
          <w:iCs/>
          <w:sz w:val="20"/>
          <w:szCs w:val="20"/>
        </w:rPr>
        <w:t>Factory at Chorzów (Ger. v. Pol.)</w:t>
      </w:r>
      <w:r w:rsidRPr="0043758E">
        <w:rPr>
          <w:rFonts w:cs="Times New Roman"/>
          <w:sz w:val="20"/>
          <w:szCs w:val="20"/>
        </w:rPr>
        <w:t>, 1928, P.C.I.J. (ser. A) No. 17, at 47 (Sept. 13) (Judgment No. 13, Merits).</w:t>
      </w:r>
    </w:p>
  </w:footnote>
  <w:footnote w:id="5">
    <w:p w14:paraId="73FA03AA" w14:textId="2DB78802" w:rsidR="0017002A" w:rsidRDefault="0017002A" w:rsidP="00380968">
      <w:pPr>
        <w:pStyle w:val="FootnoteText"/>
      </w:pPr>
      <w:r w:rsidRPr="0043758E">
        <w:rPr>
          <w:rStyle w:val="FootnoteReference"/>
          <w:rFonts w:cs="Times New Roman"/>
          <w:sz w:val="20"/>
          <w:szCs w:val="20"/>
        </w:rPr>
        <w:footnoteRef/>
      </w:r>
      <w:r w:rsidRPr="0043758E">
        <w:rPr>
          <w:rFonts w:cs="Times New Roman"/>
          <w:sz w:val="20"/>
          <w:szCs w:val="20"/>
        </w:rPr>
        <w:t xml:space="preserve"> I am not concerned in this paper with the treatment of consequential damages; on that subject, see Goldberg, </w:t>
      </w:r>
      <w:r w:rsidRPr="0037431D">
        <w:rPr>
          <w:rFonts w:cs="Times New Roman"/>
          <w:i/>
          <w:sz w:val="20"/>
          <w:szCs w:val="20"/>
        </w:rPr>
        <w:t>Rethinking Contract Law and Contract Design</w:t>
      </w:r>
      <w:r w:rsidRPr="0043758E">
        <w:rPr>
          <w:rFonts w:cs="Times New Roman"/>
          <w:sz w:val="20"/>
          <w:szCs w:val="20"/>
        </w:rPr>
        <w:t>, ch. 8-10</w:t>
      </w:r>
      <w:r>
        <w:rPr>
          <w:rFonts w:cs="Times New Roman"/>
          <w:sz w:val="20"/>
          <w:szCs w:val="20"/>
        </w:rPr>
        <w:t xml:space="preserve"> (2015)</w:t>
      </w:r>
      <w:r w:rsidRPr="0043758E">
        <w:rPr>
          <w:rFonts w:cs="Times New Roman"/>
          <w:sz w:val="20"/>
          <w:szCs w:val="20"/>
        </w:rPr>
        <w:t>.</w:t>
      </w:r>
      <w:r>
        <w:rPr>
          <w:rFonts w:cs="Times New Roman"/>
          <w:sz w:val="20"/>
          <w:szCs w:val="20"/>
        </w:rPr>
        <w:t xml:space="preserve"> (hereafter </w:t>
      </w:r>
      <w:r w:rsidRPr="0037431D">
        <w:rPr>
          <w:rFonts w:cs="Times New Roman"/>
          <w:i/>
          <w:sz w:val="20"/>
          <w:szCs w:val="20"/>
        </w:rPr>
        <w:t>Rethinking</w:t>
      </w:r>
      <w:r w:rsidRPr="0037431D">
        <w:rPr>
          <w:rFonts w:cs="Times New Roman"/>
          <w:sz w:val="20"/>
          <w:szCs w:val="20"/>
        </w:rPr>
        <w:t>)</w:t>
      </w:r>
    </w:p>
  </w:footnote>
  <w:footnote w:id="6">
    <w:p w14:paraId="7A0BB1D0" w14:textId="41DD8A02" w:rsidR="0017002A" w:rsidRPr="0043758E" w:rsidRDefault="0017002A">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Suppose that the real price of Widgetco stock remained constant between the breach date and the litigation date. And suppose further that there was substantial inflation so that the nominal price went up 20%. If the prejudgment interest rate reflected that inflation rate, awarding Brown her breach date damages ($6,000) would be equivalent to awarding her the litigation date damages ($7,200).</w:t>
      </w:r>
    </w:p>
  </w:footnote>
  <w:footnote w:id="7">
    <w:p w14:paraId="6292A901" w14:textId="4810CC91" w:rsidR="0017002A" w:rsidRPr="0043758E" w:rsidRDefault="0017002A">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So, for example in </w:t>
      </w:r>
      <w:r w:rsidRPr="0043758E">
        <w:rPr>
          <w:rFonts w:cs="Times New Roman"/>
          <w:i/>
          <w:sz w:val="20"/>
          <w:szCs w:val="20"/>
        </w:rPr>
        <w:t>Kenford v. Erie County</w:t>
      </w:r>
      <w:r w:rsidRPr="0043758E">
        <w:rPr>
          <w:rFonts w:cs="Times New Roman"/>
          <w:sz w:val="20"/>
          <w:szCs w:val="20"/>
        </w:rPr>
        <w:t xml:space="preserve">, the litigation lasted </w:t>
      </w:r>
      <w:r>
        <w:rPr>
          <w:rFonts w:cs="Times New Roman"/>
          <w:sz w:val="20"/>
          <w:szCs w:val="20"/>
        </w:rPr>
        <w:t>eighteen</w:t>
      </w:r>
      <w:r w:rsidRPr="0043758E">
        <w:rPr>
          <w:rFonts w:cs="Times New Roman"/>
          <w:sz w:val="20"/>
          <w:szCs w:val="20"/>
        </w:rPr>
        <w:t xml:space="preserve"> years in an era which included some years in which the prime rate exceeded 20%; however, the statutory prejudgment interest rate was only 3%. See </w:t>
      </w:r>
      <w:r w:rsidRPr="0037431D">
        <w:rPr>
          <w:rFonts w:cs="Times New Roman"/>
          <w:i/>
          <w:sz w:val="20"/>
          <w:szCs w:val="20"/>
        </w:rPr>
        <w:t>Rethinking</w:t>
      </w:r>
      <w:r w:rsidRPr="0043758E">
        <w:rPr>
          <w:rFonts w:cs="Times New Roman"/>
          <w:sz w:val="20"/>
          <w:szCs w:val="20"/>
        </w:rPr>
        <w:t>, ch. 9</w:t>
      </w:r>
    </w:p>
  </w:footnote>
  <w:footnote w:id="8">
    <w:p w14:paraId="6EB5BD6A" w14:textId="439FB383" w:rsidR="0017002A" w:rsidRDefault="0017002A">
      <w:pPr>
        <w:pStyle w:val="FootnoteText"/>
      </w:pPr>
      <w:r w:rsidRPr="0043758E">
        <w:rPr>
          <w:rStyle w:val="FootnoteReference"/>
          <w:rFonts w:cs="Times New Roman"/>
          <w:sz w:val="20"/>
          <w:szCs w:val="20"/>
        </w:rPr>
        <w:footnoteRef/>
      </w:r>
      <w:r w:rsidRPr="0043758E">
        <w:rPr>
          <w:rFonts w:cs="Times New Roman"/>
          <w:sz w:val="20"/>
          <w:szCs w:val="20"/>
        </w:rPr>
        <w:t xml:space="preserve"> See Goldberg, Protecting Reliance, 114 Columbia L. Rev. 1033, 1049-1054 (2014) and</w:t>
      </w:r>
      <w:r>
        <w:rPr>
          <w:rFonts w:cs="Times New Roman"/>
          <w:sz w:val="20"/>
          <w:szCs w:val="20"/>
        </w:rPr>
        <w:t xml:space="preserve"> </w:t>
      </w:r>
      <w:r w:rsidRPr="0037431D">
        <w:rPr>
          <w:rFonts w:cs="Times New Roman"/>
          <w:i/>
          <w:sz w:val="20"/>
          <w:szCs w:val="20"/>
        </w:rPr>
        <w:t>Rethinking</w:t>
      </w:r>
      <w:r w:rsidRPr="0043758E">
        <w:rPr>
          <w:rFonts w:cs="Times New Roman"/>
          <w:sz w:val="20"/>
          <w:szCs w:val="20"/>
        </w:rPr>
        <w:t>, 16-21 (2015). See also Robert Scott and George Triantis, Embedded Options and the Case Against Compensation in Contract Law, 104 Columbia L. Rev. 1428 (2004).</w:t>
      </w:r>
    </w:p>
  </w:footnote>
  <w:footnote w:id="9">
    <w:p w14:paraId="092C0FB1" w14:textId="5672E2EF" w:rsidR="0017002A" w:rsidRPr="00D94124" w:rsidRDefault="0017002A" w:rsidP="00EF6D1B">
      <w:pPr>
        <w:pStyle w:val="FootnoteText"/>
        <w:rPr>
          <w:sz w:val="20"/>
          <w:szCs w:val="20"/>
        </w:rPr>
      </w:pPr>
      <w:r w:rsidRPr="00D94124">
        <w:rPr>
          <w:rStyle w:val="FootnoteReference"/>
          <w:sz w:val="20"/>
          <w:szCs w:val="20"/>
        </w:rPr>
        <w:footnoteRef/>
      </w:r>
      <w:r w:rsidRPr="00D94124">
        <w:rPr>
          <w:sz w:val="20"/>
          <w:szCs w:val="20"/>
        </w:rPr>
        <w:t xml:space="preserve"> </w:t>
      </w:r>
      <w:r w:rsidRPr="00084FD8">
        <w:rPr>
          <w:rFonts w:cs="Times New Roman"/>
          <w:sz w:val="20"/>
          <w:szCs w:val="20"/>
        </w:rPr>
        <w:t xml:space="preserve">James J. White </w:t>
      </w:r>
      <w:r w:rsidRPr="00875F75">
        <w:rPr>
          <w:rFonts w:cs="Times New Roman"/>
          <w:sz w:val="20"/>
          <w:szCs w:val="20"/>
        </w:rPr>
        <w:t>and Robert S. Summers, Uniform Commercial Code (5</w:t>
      </w:r>
      <w:r w:rsidRPr="00875F75">
        <w:rPr>
          <w:rFonts w:cs="Times New Roman"/>
          <w:sz w:val="20"/>
          <w:szCs w:val="20"/>
          <w:vertAlign w:val="superscript"/>
        </w:rPr>
        <w:t>th</w:t>
      </w:r>
      <w:r w:rsidRPr="002C326B">
        <w:rPr>
          <w:rFonts w:cs="Times New Roman"/>
          <w:sz w:val="20"/>
          <w:szCs w:val="20"/>
        </w:rPr>
        <w:t xml:space="preserve"> ed.). I will note my disagreements with their analysis throughout the paper.</w:t>
      </w:r>
    </w:p>
  </w:footnote>
  <w:footnote w:id="10">
    <w:p w14:paraId="7A62A907" w14:textId="77777777" w:rsidR="0017002A" w:rsidRDefault="0017002A" w:rsidP="00EF6D1B">
      <w:pPr>
        <w:pStyle w:val="FootnoteText"/>
      </w:pPr>
      <w:r w:rsidRPr="0043758E">
        <w:rPr>
          <w:rStyle w:val="FootnoteReference"/>
          <w:sz w:val="20"/>
          <w:szCs w:val="20"/>
        </w:rPr>
        <w:footnoteRef/>
      </w:r>
      <w:r w:rsidRPr="0043758E">
        <w:rPr>
          <w:sz w:val="20"/>
          <w:szCs w:val="20"/>
        </w:rPr>
        <w:t xml:space="preserve"> §6.7.</w:t>
      </w:r>
    </w:p>
  </w:footnote>
  <w:footnote w:id="11">
    <w:p w14:paraId="35FB666F" w14:textId="77777777" w:rsidR="0017002A" w:rsidRDefault="0017002A" w:rsidP="00EF6D1B">
      <w:pPr>
        <w:pStyle w:val="FootnoteText"/>
      </w:pPr>
      <w:r>
        <w:rPr>
          <w:rStyle w:val="FootnoteReference"/>
        </w:rPr>
        <w:footnoteRef/>
      </w:r>
      <w:r>
        <w:t xml:space="preserve"> </w:t>
      </w:r>
      <w:r w:rsidRPr="0043758E">
        <w:rPr>
          <w:sz w:val="20"/>
          <w:szCs w:val="20"/>
        </w:rPr>
        <w:t>Robert E. Scott, The Case for Market Damages: Revisiting the Lost Prof</w:t>
      </w:r>
      <w:r>
        <w:rPr>
          <w:sz w:val="20"/>
          <w:szCs w:val="20"/>
        </w:rPr>
        <w:t>its Puzzle, 57 U. of Chicago L. Rev.</w:t>
      </w:r>
      <w:r w:rsidRPr="0043758E">
        <w:rPr>
          <w:sz w:val="20"/>
          <w:szCs w:val="20"/>
        </w:rPr>
        <w:t xml:space="preserve"> 1155(1990).</w:t>
      </w:r>
    </w:p>
  </w:footnote>
  <w:footnote w:id="12">
    <w:p w14:paraId="08957197" w14:textId="14B9EDDA" w:rsidR="0017002A" w:rsidRDefault="0017002A" w:rsidP="00EF6D1B">
      <w:pPr>
        <w:pStyle w:val="FootnoteText"/>
      </w:pPr>
      <w:r>
        <w:rPr>
          <w:rStyle w:val="FootnoteReference"/>
        </w:rPr>
        <w:footnoteRef/>
      </w:r>
      <w:r>
        <w:t xml:space="preserve"> </w:t>
      </w:r>
      <w:r w:rsidRPr="0043758E">
        <w:rPr>
          <w:sz w:val="20"/>
          <w:szCs w:val="20"/>
        </w:rPr>
        <w:t xml:space="preserve">Thomas H. Jackson, </w:t>
      </w:r>
      <w:r>
        <w:rPr>
          <w:sz w:val="20"/>
          <w:szCs w:val="20"/>
        </w:rPr>
        <w:t>“</w:t>
      </w:r>
      <w:r>
        <w:rPr>
          <w:color w:val="252525"/>
          <w:sz w:val="20"/>
          <w:szCs w:val="20"/>
        </w:rPr>
        <w:t>‘</w:t>
      </w:r>
      <w:r w:rsidRPr="0043758E">
        <w:rPr>
          <w:color w:val="252525"/>
          <w:sz w:val="20"/>
          <w:szCs w:val="20"/>
        </w:rPr>
        <w:t xml:space="preserve">Anticipatory Repudiation’ And The Temporal Element Of Contract Law: An Economic Inquiry Into Contract Damages In Cases Of Prospective Nonperformance,” </w:t>
      </w:r>
      <w:r w:rsidRPr="0043758E">
        <w:rPr>
          <w:sz w:val="20"/>
          <w:szCs w:val="20"/>
        </w:rPr>
        <w:t>31 Stan. L. Rev. 69.</w:t>
      </w:r>
    </w:p>
  </w:footnote>
  <w:footnote w:id="13">
    <w:p w14:paraId="522D513B" w14:textId="77777777" w:rsidR="0017002A" w:rsidRPr="0043758E" w:rsidRDefault="0017002A" w:rsidP="00197F5A">
      <w:pPr>
        <w:pStyle w:val="FootnoteText"/>
        <w:rPr>
          <w:sz w:val="20"/>
          <w:szCs w:val="20"/>
        </w:rPr>
      </w:pPr>
      <w:r w:rsidRPr="0043758E">
        <w:rPr>
          <w:rStyle w:val="FootnoteReference"/>
          <w:sz w:val="20"/>
          <w:szCs w:val="20"/>
        </w:rPr>
        <w:footnoteRef/>
      </w:r>
      <w:r w:rsidRPr="0043758E">
        <w:rPr>
          <w:sz w:val="20"/>
          <w:szCs w:val="20"/>
        </w:rPr>
        <w:t xml:space="preserve"> 769 F. 2d 1284 (7</w:t>
      </w:r>
      <w:r w:rsidRPr="0043758E">
        <w:rPr>
          <w:sz w:val="20"/>
          <w:szCs w:val="20"/>
          <w:vertAlign w:val="superscript"/>
        </w:rPr>
        <w:t>th</w:t>
      </w:r>
      <w:r w:rsidRPr="0043758E">
        <w:rPr>
          <w:sz w:val="20"/>
          <w:szCs w:val="20"/>
        </w:rPr>
        <w:t xml:space="preserve"> Cir. 1985).</w:t>
      </w:r>
    </w:p>
  </w:footnote>
  <w:footnote w:id="14">
    <w:p w14:paraId="255487F1" w14:textId="22E184FF" w:rsidR="0017002A" w:rsidRDefault="0017002A">
      <w:pPr>
        <w:pStyle w:val="FootnoteText"/>
      </w:pPr>
      <w:r w:rsidRPr="0017002A">
        <w:rPr>
          <w:rStyle w:val="FootnoteReference"/>
          <w:sz w:val="20"/>
          <w:szCs w:val="20"/>
        </w:rPr>
        <w:footnoteRef/>
      </w:r>
      <w:r>
        <w:t xml:space="preserve"> </w:t>
      </w:r>
      <w:r w:rsidRPr="0017002A">
        <w:rPr>
          <w:sz w:val="20"/>
          <w:szCs w:val="20"/>
        </w:rPr>
        <w:t>Specific performance is typically not available in the United States for sales contracts. Specific performance coupled with a constructive trust would be equivalent to awarding damages determined at the time of performance.</w:t>
      </w:r>
    </w:p>
  </w:footnote>
  <w:footnote w:id="15">
    <w:p w14:paraId="14FE7796" w14:textId="1B09DE0D" w:rsidR="0017002A" w:rsidRPr="0043758E" w:rsidRDefault="0017002A" w:rsidP="00392CE9">
      <w:pPr>
        <w:rPr>
          <w:rFonts w:cs="Times New Roman"/>
          <w:sz w:val="20"/>
          <w:szCs w:val="20"/>
        </w:rPr>
      </w:pPr>
      <w:r w:rsidRPr="0043758E">
        <w:rPr>
          <w:rStyle w:val="FootnoteReference"/>
          <w:rFonts w:cs="Times New Roman"/>
          <w:sz w:val="20"/>
          <w:szCs w:val="20"/>
        </w:rPr>
        <w:footnoteRef/>
      </w:r>
      <w:r>
        <w:rPr>
          <w:rFonts w:cs="Times New Roman"/>
          <w:sz w:val="20"/>
          <w:szCs w:val="20"/>
        </w:rPr>
        <w:t xml:space="preserve"> James J. White and</w:t>
      </w:r>
      <w:r w:rsidRPr="0043758E">
        <w:rPr>
          <w:rFonts w:cs="Times New Roman"/>
          <w:sz w:val="20"/>
          <w:szCs w:val="20"/>
        </w:rPr>
        <w:t xml:space="preserve"> Robert S. Summers Uniform Commercial Code </w:t>
      </w:r>
      <w:r>
        <w:rPr>
          <w:rFonts w:cs="Times New Roman"/>
          <w:sz w:val="20"/>
          <w:szCs w:val="20"/>
        </w:rPr>
        <w:t>(</w:t>
      </w:r>
      <w:r w:rsidRPr="0043758E">
        <w:rPr>
          <w:rFonts w:cs="Times New Roman"/>
          <w:sz w:val="20"/>
          <w:szCs w:val="20"/>
        </w:rPr>
        <w:t>6</w:t>
      </w:r>
      <w:r w:rsidRPr="0043758E">
        <w:rPr>
          <w:rFonts w:cs="Times New Roman"/>
          <w:sz w:val="20"/>
          <w:szCs w:val="20"/>
          <w:vertAlign w:val="superscript"/>
        </w:rPr>
        <w:t>th</w:t>
      </w:r>
      <w:r>
        <w:rPr>
          <w:rFonts w:cs="Times New Roman"/>
          <w:sz w:val="20"/>
          <w:szCs w:val="20"/>
        </w:rPr>
        <w:t xml:space="preserve"> ed. </w:t>
      </w:r>
      <w:r w:rsidRPr="0043758E">
        <w:rPr>
          <w:rFonts w:cs="Times New Roman"/>
          <w:sz w:val="20"/>
          <w:szCs w:val="20"/>
        </w:rPr>
        <w:t>2010), p. 362.</w:t>
      </w:r>
    </w:p>
  </w:footnote>
  <w:footnote w:id="16">
    <w:p w14:paraId="013E66E0" w14:textId="77777777" w:rsidR="0017002A" w:rsidRPr="0043758E" w:rsidRDefault="0017002A" w:rsidP="00392CE9">
      <w:pPr>
        <w:widowControl w:val="0"/>
        <w:autoSpaceDE w:val="0"/>
        <w:autoSpaceDN w:val="0"/>
        <w:adjustRightInd w:val="0"/>
        <w:rPr>
          <w:rFonts w:cs="Times New Roman"/>
          <w:color w:val="000000"/>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43758E">
        <w:rPr>
          <w:rFonts w:cs="Times New Roman"/>
          <w:i/>
          <w:iCs/>
          <w:sz w:val="20"/>
          <w:szCs w:val="20"/>
        </w:rPr>
        <w:t>See, e.g.</w:t>
      </w:r>
      <w:r w:rsidRPr="0043758E">
        <w:rPr>
          <w:rFonts w:cs="Times New Roman"/>
          <w:sz w:val="20"/>
          <w:szCs w:val="20"/>
        </w:rPr>
        <w:t xml:space="preserve">, Coast Trading Co. v. Cudahy Co., 592 F.2d 1074, 1083 (9th Cir. 1979, </w:t>
      </w:r>
      <w:r w:rsidRPr="0043758E">
        <w:rPr>
          <w:rFonts w:cs="Times New Roman"/>
          <w:bCs/>
          <w:color w:val="555555"/>
          <w:sz w:val="20"/>
          <w:szCs w:val="20"/>
        </w:rPr>
        <w:t xml:space="preserve">Tesoro Petroleum Corp. v. Holborn Oil Co., Ltd., </w:t>
      </w:r>
      <w:r w:rsidRPr="0043758E">
        <w:rPr>
          <w:rFonts w:cs="Times New Roman"/>
          <w:color w:val="000000"/>
          <w:sz w:val="20"/>
          <w:szCs w:val="20"/>
        </w:rPr>
        <w:t xml:space="preserve">145 Misc.2d 715, 547 N.Y.S.2d 1012, 10 UCC Rep.Serv.2d 814, </w:t>
      </w:r>
      <w:r w:rsidRPr="0043758E">
        <w:rPr>
          <w:rFonts w:cs="Times New Roman"/>
          <w:sz w:val="20"/>
          <w:szCs w:val="20"/>
        </w:rPr>
        <w:t xml:space="preserve">and Eades Commodities, Co. v. Hoeper, 825 S.W.2d 34 (Mo. App. Ct. 1992); see also </w:t>
      </w:r>
      <w:r w:rsidRPr="0043758E">
        <w:rPr>
          <w:rFonts w:cs="Times New Roman"/>
          <w:bCs/>
          <w:color w:val="555555"/>
          <w:sz w:val="20"/>
          <w:szCs w:val="20"/>
        </w:rPr>
        <w:t xml:space="preserve">Melvin A. Eisenberg, Conflicting Formulas For Measuring Expectation Damages, 45 Ariz. St. L.J. 369, </w:t>
      </w:r>
      <w:r w:rsidRPr="0043758E">
        <w:rPr>
          <w:rFonts w:cs="Times New Roman"/>
          <w:sz w:val="20"/>
          <w:szCs w:val="20"/>
        </w:rPr>
        <w:t>398-399 and J</w:t>
      </w:r>
      <w:r w:rsidRPr="0043758E">
        <w:rPr>
          <w:rFonts w:cs="Times New Roman"/>
          <w:noProof/>
          <w:sz w:val="20"/>
          <w:szCs w:val="20"/>
        </w:rPr>
        <w:t>ennifer S. Martin, Opportunistic Resales and the Uniform Commercial Code, 2016 Ill. L. Rev. (forthcoming)</w:t>
      </w:r>
    </w:p>
  </w:footnote>
  <w:footnote w:id="17">
    <w:p w14:paraId="51FD4763" w14:textId="45D7A259" w:rsidR="0017002A" w:rsidRPr="00D75D2F" w:rsidRDefault="0017002A" w:rsidP="00392CE9">
      <w:pPr>
        <w:pStyle w:val="FootnoteText"/>
        <w:rPr>
          <w:rFonts w:cs="Times New Roman"/>
        </w:rPr>
      </w:pPr>
      <w:r w:rsidRPr="0043758E">
        <w:rPr>
          <w:rStyle w:val="FootnoteReference"/>
          <w:rFonts w:cs="Times New Roman"/>
          <w:sz w:val="20"/>
          <w:szCs w:val="20"/>
        </w:rPr>
        <w:footnoteRef/>
      </w:r>
      <w:r w:rsidRPr="0043758E">
        <w:rPr>
          <w:rFonts w:cs="Times New Roman"/>
          <w:sz w:val="20"/>
          <w:szCs w:val="20"/>
        </w:rPr>
        <w:t xml:space="preserve"> Robert E. Scott, </w:t>
      </w:r>
      <w:r w:rsidRPr="006E489D">
        <w:rPr>
          <w:rFonts w:cs="Times New Roman"/>
          <w:i/>
          <w:sz w:val="20"/>
          <w:szCs w:val="20"/>
        </w:rPr>
        <w:t>supra</w:t>
      </w:r>
      <w:r>
        <w:rPr>
          <w:rFonts w:cs="Times New Roman"/>
          <w:sz w:val="20"/>
          <w:szCs w:val="20"/>
        </w:rPr>
        <w:t xml:space="preserve"> note 11.</w:t>
      </w:r>
    </w:p>
  </w:footnote>
  <w:footnote w:id="18">
    <w:p w14:paraId="1CCA6BA6" w14:textId="0C6773F4" w:rsidR="0017002A" w:rsidRPr="0043758E" w:rsidRDefault="0017002A" w:rsidP="00083949">
      <w:pPr>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For a similar argument, see </w:t>
      </w:r>
      <w:r w:rsidRPr="0043758E">
        <w:rPr>
          <w:rFonts w:eastAsia="Times New Roman" w:cs="Times New Roman"/>
          <w:sz w:val="20"/>
          <w:szCs w:val="20"/>
        </w:rPr>
        <w:t xml:space="preserve">Henry Gabriel, The Seller's Election of Remedies Under the Uniform Commercial Code: An Expectation Theory, 23 Wake Forest L. Rev. 429 (1988). </w:t>
      </w:r>
    </w:p>
  </w:footnote>
  <w:footnote w:id="19">
    <w:p w14:paraId="03732016" w14:textId="0A1F9EB3" w:rsidR="0017002A" w:rsidRPr="0043758E" w:rsidRDefault="0017002A">
      <w:pPr>
        <w:pStyle w:val="FootnoteText"/>
        <w:rPr>
          <w:sz w:val="20"/>
          <w:szCs w:val="20"/>
        </w:rPr>
      </w:pPr>
      <w:r w:rsidRPr="0043758E">
        <w:rPr>
          <w:rStyle w:val="FootnoteReference"/>
          <w:sz w:val="20"/>
          <w:szCs w:val="20"/>
        </w:rPr>
        <w:footnoteRef/>
      </w:r>
      <w:r w:rsidRPr="0043758E">
        <w:rPr>
          <w:sz w:val="20"/>
          <w:szCs w:val="20"/>
        </w:rPr>
        <w:t xml:space="preserve"> </w:t>
      </w:r>
      <w:r w:rsidRPr="0043758E">
        <w:rPr>
          <w:rFonts w:cs="Times New Roman"/>
          <w:bCs/>
          <w:color w:val="555555"/>
          <w:sz w:val="20"/>
          <w:szCs w:val="20"/>
        </w:rPr>
        <w:t>293 Fed.Appx. 592 (2008).</w:t>
      </w:r>
    </w:p>
  </w:footnote>
  <w:footnote w:id="20">
    <w:p w14:paraId="0AABE12F" w14:textId="03AA5004" w:rsidR="0017002A" w:rsidRPr="0043758E" w:rsidRDefault="0017002A">
      <w:pPr>
        <w:pStyle w:val="FootnoteText"/>
        <w:rPr>
          <w:sz w:val="20"/>
          <w:szCs w:val="20"/>
        </w:rPr>
      </w:pPr>
      <w:r w:rsidRPr="0043758E">
        <w:rPr>
          <w:rStyle w:val="FootnoteReference"/>
          <w:sz w:val="20"/>
          <w:szCs w:val="20"/>
        </w:rPr>
        <w:footnoteRef/>
      </w:r>
      <w:r w:rsidRPr="0043758E">
        <w:rPr>
          <w:sz w:val="20"/>
          <w:szCs w:val="20"/>
        </w:rPr>
        <w:t xml:space="preserve"> When Rausser moved his practice to Charles River Associates (CRA), part of his compensation was a forgivable loan to buy shares of CRA stock. He, in turn, promised to share some of the stock with other economists he brought to CRA. The dispute was over how many shares of CRA stock Rausser had promised the pla</w:t>
      </w:r>
      <w:r>
        <w:rPr>
          <w:sz w:val="20"/>
          <w:szCs w:val="20"/>
        </w:rPr>
        <w:t>intiffs and the valuation of that</w:t>
      </w:r>
      <w:r w:rsidRPr="0043758E">
        <w:rPr>
          <w:sz w:val="20"/>
          <w:szCs w:val="20"/>
        </w:rPr>
        <w:t xml:space="preserve"> stock.</w:t>
      </w:r>
      <w:r>
        <w:rPr>
          <w:sz w:val="20"/>
          <w:szCs w:val="20"/>
        </w:rPr>
        <w:t xml:space="preserve"> </w:t>
      </w:r>
      <w:r w:rsidRPr="007B3F02">
        <w:rPr>
          <w:i/>
          <w:sz w:val="20"/>
          <w:szCs w:val="20"/>
        </w:rPr>
        <w:t>Id.</w:t>
      </w:r>
    </w:p>
  </w:footnote>
  <w:footnote w:id="21">
    <w:p w14:paraId="0503C093" w14:textId="37A57628" w:rsidR="0017002A" w:rsidRPr="0043758E" w:rsidRDefault="0017002A">
      <w:pPr>
        <w:pStyle w:val="FootnoteText"/>
        <w:rPr>
          <w:rFonts w:cs="Times New Roman"/>
          <w:sz w:val="20"/>
          <w:szCs w:val="20"/>
        </w:rPr>
      </w:pPr>
      <w:r w:rsidRPr="0043758E">
        <w:rPr>
          <w:rStyle w:val="FootnoteReference"/>
          <w:rFonts w:cs="Times New Roman"/>
          <w:sz w:val="20"/>
          <w:szCs w:val="20"/>
        </w:rPr>
        <w:footnoteRef/>
      </w:r>
      <w:r>
        <w:rPr>
          <w:rFonts w:cs="Times New Roman"/>
          <w:sz w:val="20"/>
          <w:szCs w:val="20"/>
        </w:rPr>
        <w:t xml:space="preserve"> </w:t>
      </w:r>
      <w:r w:rsidRPr="007B3F02">
        <w:rPr>
          <w:rFonts w:cs="Times New Roman"/>
          <w:i/>
          <w:sz w:val="20"/>
          <w:szCs w:val="20"/>
        </w:rPr>
        <w:t>Id</w:t>
      </w:r>
      <w:r>
        <w:rPr>
          <w:rFonts w:cs="Times New Roman"/>
          <w:sz w:val="20"/>
          <w:szCs w:val="20"/>
        </w:rPr>
        <w:t>. a</w:t>
      </w:r>
      <w:r w:rsidRPr="0043758E">
        <w:rPr>
          <w:rFonts w:cs="Times New Roman"/>
          <w:sz w:val="20"/>
          <w:szCs w:val="20"/>
        </w:rPr>
        <w:t>t 605.</w:t>
      </w:r>
    </w:p>
  </w:footnote>
  <w:footnote w:id="22">
    <w:p w14:paraId="1C9084C4" w14:textId="54E4233E" w:rsidR="0017002A" w:rsidRPr="00D75D2F" w:rsidRDefault="0017002A" w:rsidP="00083949">
      <w:pPr>
        <w:widowControl w:val="0"/>
        <w:autoSpaceDE w:val="0"/>
        <w:autoSpaceDN w:val="0"/>
        <w:adjustRightInd w:val="0"/>
        <w:rPr>
          <w:rFonts w:cs="Times New Roman"/>
          <w:color w:val="252525"/>
        </w:rPr>
      </w:pPr>
      <w:r w:rsidRPr="0043758E">
        <w:rPr>
          <w:rStyle w:val="FootnoteReference"/>
          <w:rFonts w:cs="Times New Roman"/>
          <w:sz w:val="20"/>
          <w:szCs w:val="20"/>
        </w:rPr>
        <w:footnoteRef/>
      </w:r>
      <w:r w:rsidRPr="0043758E">
        <w:rPr>
          <w:rFonts w:cs="Times New Roman"/>
          <w:sz w:val="20"/>
          <w:szCs w:val="20"/>
        </w:rPr>
        <w:t xml:space="preserve"> Ellen Peters suggested this many years ago: “</w:t>
      </w:r>
      <w:r w:rsidRPr="0043758E">
        <w:rPr>
          <w:rFonts w:cs="Times New Roman"/>
          <w:color w:val="000000"/>
          <w:sz w:val="20"/>
          <w:szCs w:val="20"/>
        </w:rPr>
        <w:t xml:space="preserve">much of 2-706 should therefore be evidentiary rather than directory, a possible but not a necessary reading of the section as now drafted.” Ellen A. Peters, </w:t>
      </w:r>
      <w:r w:rsidRPr="0043758E">
        <w:rPr>
          <w:rFonts w:cs="Times New Roman"/>
          <w:color w:val="252525"/>
          <w:sz w:val="20"/>
          <w:szCs w:val="20"/>
        </w:rPr>
        <w:t xml:space="preserve">Remedies For Breach Of Contracts Relating To The Sale Of Goods Under The Uniform Commercial Code: A Roadmap For Article Two, </w:t>
      </w:r>
      <w:r w:rsidRPr="0043758E">
        <w:rPr>
          <w:rFonts w:cs="Times New Roman"/>
          <w:color w:val="000000"/>
          <w:sz w:val="20"/>
          <w:szCs w:val="20"/>
        </w:rPr>
        <w:t>73 Yale L. J. 199, 256 (1963). However, she also noted: “Though the Code</w:t>
      </w:r>
      <w:r w:rsidRPr="0043758E">
        <w:rPr>
          <w:color w:val="000000"/>
          <w:sz w:val="20"/>
          <w:szCs w:val="20"/>
        </w:rPr>
        <w:t xml:space="preserve"> </w:t>
      </w:r>
      <w:r w:rsidRPr="0043758E">
        <w:rPr>
          <w:rFonts w:cs="Times New Roman"/>
          <w:color w:val="000000"/>
          <w:sz w:val="20"/>
          <w:szCs w:val="20"/>
        </w:rPr>
        <w:t>favors substitute</w:t>
      </w:r>
      <w:r w:rsidRPr="0043758E">
        <w:rPr>
          <w:color w:val="000000"/>
          <w:sz w:val="20"/>
          <w:szCs w:val="20"/>
        </w:rPr>
        <w:t xml:space="preserve"> </w:t>
      </w:r>
      <w:r w:rsidRPr="0043758E">
        <w:rPr>
          <w:rFonts w:cs="Times New Roman"/>
          <w:color w:val="000000"/>
          <w:sz w:val="20"/>
          <w:szCs w:val="20"/>
        </w:rPr>
        <w:t>transactions, it does not compel them.</w:t>
      </w:r>
      <w:bookmarkStart w:id="1" w:name="co_footnoteReference_F161332592513_ID0E6"/>
      <w:bookmarkEnd w:id="1"/>
      <w:r w:rsidRPr="0043758E">
        <w:rPr>
          <w:rFonts w:cs="Times New Roman"/>
          <w:color w:val="000000"/>
          <w:sz w:val="20"/>
          <w:szCs w:val="20"/>
        </w:rPr>
        <w:t xml:space="preserve"> In their absence, the Code reconstructs, with some variations, the time-honored </w:t>
      </w:r>
      <w:bookmarkStart w:id="2" w:name="co_pp_sp_1292_258_1"/>
      <w:bookmarkEnd w:id="2"/>
      <w:r w:rsidRPr="0043758E">
        <w:rPr>
          <w:rFonts w:cs="Times New Roman"/>
          <w:color w:val="000000"/>
          <w:sz w:val="20"/>
          <w:szCs w:val="20"/>
        </w:rPr>
        <w:t>market-contract differentials as bases for recovery.” (</w:t>
      </w:r>
      <w:r>
        <w:rPr>
          <w:rFonts w:cs="Times New Roman"/>
          <w:color w:val="000000"/>
          <w:sz w:val="20"/>
          <w:szCs w:val="20"/>
        </w:rPr>
        <w:t xml:space="preserve">footnotes omitted) Id. At pp. </w:t>
      </w:r>
      <w:r w:rsidRPr="0043758E">
        <w:rPr>
          <w:rFonts w:cs="Times New Roman"/>
          <w:color w:val="000000"/>
          <w:sz w:val="20"/>
          <w:szCs w:val="20"/>
        </w:rPr>
        <w:t>257-58</w:t>
      </w:r>
      <w:r>
        <w:rPr>
          <w:rFonts w:cs="Times New Roman"/>
          <w:color w:val="000000"/>
          <w:sz w:val="20"/>
          <w:szCs w:val="20"/>
        </w:rPr>
        <w:t>.</w:t>
      </w:r>
      <w:r w:rsidRPr="00D75D2F">
        <w:rPr>
          <w:rFonts w:cs="Times New Roman"/>
          <w:color w:val="000000"/>
        </w:rPr>
        <w:t xml:space="preserve"> </w:t>
      </w:r>
    </w:p>
  </w:footnote>
  <w:footnote w:id="23">
    <w:p w14:paraId="6F42154A" w14:textId="27CAAEAC" w:rsidR="0017002A" w:rsidRPr="0043758E" w:rsidRDefault="0017002A" w:rsidP="00083949">
      <w:pPr>
        <w:rPr>
          <w:rFonts w:eastAsia="Times New Roman"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43758E">
        <w:rPr>
          <w:rFonts w:eastAsia="Times New Roman" w:cs="Times New Roman"/>
          <w:color w:val="222222"/>
          <w:sz w:val="20"/>
          <w:szCs w:val="20"/>
          <w:shd w:val="clear" w:color="auto" w:fill="FFFFFF"/>
        </w:rPr>
        <w:t xml:space="preserve">See </w:t>
      </w:r>
      <w:r>
        <w:rPr>
          <w:rFonts w:eastAsia="Times New Roman" w:cs="Times New Roman"/>
          <w:sz w:val="20"/>
          <w:szCs w:val="20"/>
          <w:shd w:val="clear" w:color="auto" w:fill="FFFFFF"/>
        </w:rPr>
        <w:t xml:space="preserve">Victor P. </w:t>
      </w:r>
      <w:r w:rsidRPr="00AC0D29">
        <w:rPr>
          <w:rFonts w:eastAsia="Times New Roman" w:cs="Times New Roman"/>
          <w:sz w:val="20"/>
          <w:szCs w:val="20"/>
          <w:shd w:val="clear" w:color="auto" w:fill="FFFFFF"/>
        </w:rPr>
        <w:t>Goldberg, Framing</w:t>
      </w:r>
      <w:r>
        <w:rPr>
          <w:rFonts w:eastAsia="Times New Roman" w:cs="Times New Roman"/>
          <w:sz w:val="20"/>
          <w:szCs w:val="20"/>
          <w:shd w:val="clear" w:color="auto" w:fill="FFFFFF"/>
        </w:rPr>
        <w:t xml:space="preserve"> Contract Law: An Economic Perspective</w:t>
      </w:r>
      <w:r w:rsidRPr="0043758E">
        <w:rPr>
          <w:rFonts w:eastAsia="Times New Roman" w:cs="Times New Roman"/>
          <w:color w:val="222222"/>
          <w:sz w:val="20"/>
          <w:szCs w:val="20"/>
          <w:shd w:val="clear" w:color="auto" w:fill="FFFFFF"/>
        </w:rPr>
        <w:t xml:space="preserve">. </w:t>
      </w:r>
      <w:r>
        <w:rPr>
          <w:rFonts w:eastAsia="Times New Roman" w:cs="Times New Roman"/>
          <w:color w:val="222222"/>
          <w:sz w:val="20"/>
          <w:szCs w:val="20"/>
          <w:shd w:val="clear" w:color="auto" w:fill="FFFFFF"/>
        </w:rPr>
        <w:t xml:space="preserve"> (2006), pp. 272-73. </w:t>
      </w:r>
      <w:r w:rsidRPr="0043758E">
        <w:rPr>
          <w:rFonts w:eastAsia="Times New Roman" w:cs="Times New Roman"/>
          <w:color w:val="222222"/>
          <w:sz w:val="20"/>
          <w:szCs w:val="20"/>
          <w:shd w:val="clear" w:color="auto" w:fill="FFFFFF"/>
        </w:rPr>
        <w:t xml:space="preserve">(Critiquing </w:t>
      </w:r>
      <w:r w:rsidRPr="0043758E">
        <w:rPr>
          <w:rFonts w:eastAsia="Times New Roman" w:cs="Times New Roman"/>
          <w:i/>
          <w:color w:val="222222"/>
          <w:sz w:val="20"/>
          <w:szCs w:val="20"/>
          <w:shd w:val="clear" w:color="auto" w:fill="FFFFFF"/>
        </w:rPr>
        <w:t>Columbia Nitrogen v. Royster Co.</w:t>
      </w:r>
      <w:r w:rsidRPr="0043758E">
        <w:rPr>
          <w:rFonts w:eastAsia="Times New Roman" w:cs="Times New Roman"/>
          <w:color w:val="222222"/>
          <w:sz w:val="20"/>
          <w:szCs w:val="20"/>
          <w:shd w:val="clear" w:color="auto" w:fill="FFFFFF"/>
        </w:rPr>
        <w:t xml:space="preserve"> 451 F. 2d 3(4</w:t>
      </w:r>
      <w:r w:rsidRPr="0043758E">
        <w:rPr>
          <w:rFonts w:eastAsia="Times New Roman" w:cs="Times New Roman"/>
          <w:color w:val="222222"/>
          <w:sz w:val="20"/>
          <w:szCs w:val="20"/>
          <w:shd w:val="clear" w:color="auto" w:fill="FFFFFF"/>
          <w:vertAlign w:val="superscript"/>
        </w:rPr>
        <w:t>th</w:t>
      </w:r>
      <w:r w:rsidRPr="0043758E">
        <w:rPr>
          <w:rFonts w:eastAsia="Times New Roman" w:cs="Times New Roman"/>
          <w:color w:val="222222"/>
          <w:sz w:val="20"/>
          <w:szCs w:val="20"/>
          <w:shd w:val="clear" w:color="auto" w:fill="FFFFFF"/>
        </w:rPr>
        <w:t xml:space="preserve"> Cir.1971))</w:t>
      </w:r>
    </w:p>
  </w:footnote>
  <w:footnote w:id="24">
    <w:p w14:paraId="553799AA" w14:textId="28D08CEC" w:rsidR="0017002A" w:rsidRPr="0043758E" w:rsidRDefault="0017002A" w:rsidP="002D0D8E">
      <w:pPr>
        <w:pStyle w:val="Heading1"/>
        <w:spacing w:before="0" w:beforeAutospacing="0" w:after="0" w:afterAutospacing="0"/>
        <w:rPr>
          <w:rFonts w:ascii="Times New Roman" w:eastAsia="Times New Roman" w:hAnsi="Times New Roman"/>
          <w:b w:val="0"/>
          <w:sz w:val="20"/>
          <w:szCs w:val="20"/>
        </w:rPr>
      </w:pPr>
      <w:r w:rsidRPr="0043758E">
        <w:rPr>
          <w:rStyle w:val="FootnoteReference"/>
          <w:rFonts w:ascii="Times New Roman" w:hAnsi="Times New Roman"/>
          <w:b w:val="0"/>
          <w:sz w:val="20"/>
          <w:szCs w:val="20"/>
        </w:rPr>
        <w:footnoteRef/>
      </w:r>
      <w:r w:rsidRPr="0043758E">
        <w:rPr>
          <w:rFonts w:ascii="Times New Roman" w:hAnsi="Times New Roman"/>
          <w:b w:val="0"/>
          <w:sz w:val="20"/>
          <w:szCs w:val="20"/>
        </w:rPr>
        <w:t xml:space="preserve"> </w:t>
      </w:r>
      <w:r w:rsidRPr="0043758E">
        <w:rPr>
          <w:rFonts w:ascii="Times New Roman" w:hAnsi="Times New Roman"/>
          <w:b w:val="0"/>
          <w:bCs w:val="0"/>
          <w:color w:val="555555"/>
          <w:sz w:val="20"/>
          <w:szCs w:val="20"/>
        </w:rPr>
        <w:t xml:space="preserve">355 Or. 44 (2014). Why this case? At a recent conference a contracts professor gave this as an example of an erroneous decision. I disagreed. Given her persistence, I decided to dig further into the case. For her take on the case, see Jennifer Martin, </w:t>
      </w:r>
      <w:r w:rsidRPr="0043758E">
        <w:rPr>
          <w:rFonts w:ascii="Times New Roman" w:eastAsia="Times New Roman" w:hAnsi="Times New Roman"/>
          <w:b w:val="0"/>
          <w:sz w:val="20"/>
          <w:szCs w:val="20"/>
        </w:rPr>
        <w:t>Opportunistic Resales and the Uniform Commercial Cod</w:t>
      </w:r>
      <w:r>
        <w:rPr>
          <w:rFonts w:ascii="Times New Roman" w:eastAsia="Times New Roman" w:hAnsi="Times New Roman"/>
          <w:b w:val="0"/>
          <w:sz w:val="20"/>
          <w:szCs w:val="20"/>
        </w:rPr>
        <w:t>e, U. of Illinois Law Rev, 2016.</w:t>
      </w:r>
      <w:r w:rsidRPr="0043758E">
        <w:rPr>
          <w:rFonts w:ascii="Times New Roman" w:eastAsia="Times New Roman" w:hAnsi="Times New Roman"/>
          <w:b w:val="0"/>
          <w:sz w:val="20"/>
          <w:szCs w:val="20"/>
        </w:rPr>
        <w:t xml:space="preserve"> </w:t>
      </w:r>
      <w:r>
        <w:rPr>
          <w:rFonts w:ascii="Times New Roman" w:eastAsia="Times New Roman" w:hAnsi="Times New Roman"/>
          <w:b w:val="0"/>
          <w:sz w:val="20"/>
          <w:szCs w:val="20"/>
        </w:rPr>
        <w:t>(forthcoming)</w:t>
      </w:r>
    </w:p>
  </w:footnote>
  <w:footnote w:id="25">
    <w:p w14:paraId="510EEA3F" w14:textId="0F61E7E2" w:rsidR="0017002A" w:rsidRPr="0043758E" w:rsidRDefault="0017002A" w:rsidP="002D0D8E">
      <w:pPr>
        <w:pStyle w:val="FootnoteText"/>
        <w:rPr>
          <w:sz w:val="20"/>
          <w:szCs w:val="20"/>
        </w:rPr>
      </w:pPr>
      <w:r w:rsidRPr="0043758E">
        <w:rPr>
          <w:rStyle w:val="FootnoteReference"/>
          <w:rFonts w:cs="Times New Roman"/>
          <w:sz w:val="20"/>
          <w:szCs w:val="20"/>
        </w:rPr>
        <w:footnoteRef/>
      </w:r>
      <w:r>
        <w:rPr>
          <w:rFonts w:cs="Times New Roman"/>
          <w:sz w:val="20"/>
          <w:szCs w:val="20"/>
        </w:rPr>
        <w:t xml:space="preserve"> </w:t>
      </w:r>
      <w:r w:rsidRPr="007B3F02">
        <w:rPr>
          <w:rFonts w:cs="Times New Roman"/>
          <w:i/>
          <w:sz w:val="20"/>
          <w:szCs w:val="20"/>
        </w:rPr>
        <w:t>Id.</w:t>
      </w:r>
      <w:r>
        <w:rPr>
          <w:rFonts w:cs="Times New Roman"/>
          <w:sz w:val="20"/>
          <w:szCs w:val="20"/>
        </w:rPr>
        <w:t xml:space="preserve"> a</w:t>
      </w:r>
      <w:r w:rsidRPr="0043758E">
        <w:rPr>
          <w:rFonts w:cs="Times New Roman"/>
          <w:sz w:val="20"/>
          <w:szCs w:val="20"/>
        </w:rPr>
        <w:t>t 47. In Peace River’s brief it referred to sales over a four-year period.</w:t>
      </w:r>
      <w:r w:rsidRPr="0043758E">
        <w:rPr>
          <w:sz w:val="20"/>
          <w:szCs w:val="20"/>
        </w:rPr>
        <w:t xml:space="preserve"> </w:t>
      </w:r>
      <w:r>
        <w:rPr>
          <w:sz w:val="20"/>
          <w:szCs w:val="20"/>
        </w:rPr>
        <w:t>Plaintiff Brief at __.</w:t>
      </w:r>
    </w:p>
  </w:footnote>
  <w:footnote w:id="26">
    <w:p w14:paraId="443D4469" w14:textId="5A5A57EB" w:rsidR="0017002A" w:rsidRPr="0043758E" w:rsidRDefault="0017002A" w:rsidP="002D0D8E">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Pr>
          <w:sz w:val="20"/>
          <w:szCs w:val="20"/>
        </w:rPr>
        <w:t>355 Or. 44 (2014)</w:t>
      </w:r>
      <w:r w:rsidRPr="00344B52">
        <w:rPr>
          <w:rFonts w:cs="Times New Roman"/>
          <w:sz w:val="20"/>
          <w:szCs w:val="20"/>
        </w:rPr>
        <w:t xml:space="preserve"> a</w:t>
      </w:r>
      <w:r w:rsidRPr="00084FD8">
        <w:rPr>
          <w:rFonts w:cs="Times New Roman"/>
          <w:sz w:val="20"/>
          <w:szCs w:val="20"/>
        </w:rPr>
        <w:t>t 55</w:t>
      </w:r>
      <w:r>
        <w:rPr>
          <w:rFonts w:cs="Times New Roman"/>
          <w:sz w:val="20"/>
          <w:szCs w:val="20"/>
        </w:rPr>
        <w:t>.</w:t>
      </w:r>
    </w:p>
  </w:footnote>
  <w:footnote w:id="27">
    <w:p w14:paraId="7D763B98" w14:textId="299F2C46" w:rsidR="0017002A" w:rsidRPr="00D75D2F" w:rsidRDefault="0017002A" w:rsidP="002D0D8E">
      <w:pPr>
        <w:pStyle w:val="FootnoteText"/>
        <w:rPr>
          <w:rFonts w:cs="Times New Roman"/>
        </w:rPr>
      </w:pPr>
      <w:r w:rsidRPr="0043758E">
        <w:rPr>
          <w:rStyle w:val="FootnoteReference"/>
          <w:rFonts w:cs="Times New Roman"/>
          <w:sz w:val="20"/>
          <w:szCs w:val="20"/>
        </w:rPr>
        <w:footnoteRef/>
      </w:r>
      <w:r>
        <w:rPr>
          <w:rFonts w:cs="Times New Roman"/>
          <w:i/>
          <w:sz w:val="20"/>
          <w:szCs w:val="20"/>
        </w:rPr>
        <w:t>Id</w:t>
      </w:r>
      <w:r w:rsidRPr="0043758E">
        <w:rPr>
          <w:rFonts w:cs="Times New Roman"/>
          <w:sz w:val="20"/>
          <w:szCs w:val="20"/>
        </w:rPr>
        <w:t>.</w:t>
      </w:r>
    </w:p>
  </w:footnote>
  <w:footnote w:id="28">
    <w:p w14:paraId="57D756A4" w14:textId="7873722D" w:rsidR="0017002A" w:rsidRPr="0043758E" w:rsidRDefault="0017002A" w:rsidP="005B6E0F">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In its Brief, Peace River suggested that it sold some, but not all, the seeds in four years “</w:t>
      </w:r>
      <w:r w:rsidRPr="0043758E">
        <w:rPr>
          <w:rFonts w:cs="Times New Roman"/>
          <w:color w:val="000000"/>
          <w:sz w:val="20"/>
          <w:szCs w:val="20"/>
        </w:rPr>
        <w:t xml:space="preserve">before the seed expired and became a liability.” </w:t>
      </w:r>
      <w:r>
        <w:rPr>
          <w:rFonts w:cs="Times New Roman"/>
          <w:sz w:val="20"/>
          <w:szCs w:val="20"/>
        </w:rPr>
        <w:t xml:space="preserve">Plaintiff Brief, </w:t>
      </w:r>
      <w:r>
        <w:rPr>
          <w:rFonts w:cs="Times New Roman"/>
          <w:i/>
          <w:sz w:val="20"/>
          <w:szCs w:val="20"/>
        </w:rPr>
        <w:t xml:space="preserve">supra </w:t>
      </w:r>
      <w:r>
        <w:rPr>
          <w:rFonts w:cs="Times New Roman"/>
          <w:sz w:val="20"/>
          <w:szCs w:val="20"/>
        </w:rPr>
        <w:t>note 25 at pg. 4.</w:t>
      </w:r>
    </w:p>
  </w:footnote>
  <w:footnote w:id="29">
    <w:p w14:paraId="69777EB9" w14:textId="2E73110D" w:rsidR="0017002A" w:rsidRPr="0043758E" w:rsidRDefault="0017002A">
      <w:pPr>
        <w:pStyle w:val="FootnoteText"/>
        <w:rPr>
          <w:sz w:val="20"/>
          <w:szCs w:val="20"/>
        </w:rPr>
      </w:pPr>
      <w:r w:rsidRPr="0043758E">
        <w:rPr>
          <w:rStyle w:val="FootnoteReference"/>
          <w:sz w:val="20"/>
          <w:szCs w:val="20"/>
        </w:rPr>
        <w:footnoteRef/>
      </w:r>
      <w:r w:rsidRPr="0043758E">
        <w:rPr>
          <w:sz w:val="20"/>
          <w:szCs w:val="20"/>
        </w:rPr>
        <w:t xml:space="preserve"> </w:t>
      </w:r>
      <w:r>
        <w:rPr>
          <w:rFonts w:cs="Times New Roman"/>
          <w:sz w:val="20"/>
          <w:szCs w:val="20"/>
        </w:rPr>
        <w:t xml:space="preserve">Ellen Peters, </w:t>
      </w:r>
      <w:r>
        <w:rPr>
          <w:rFonts w:cs="Times New Roman"/>
          <w:i/>
          <w:sz w:val="20"/>
          <w:szCs w:val="20"/>
        </w:rPr>
        <w:t xml:space="preserve">supra </w:t>
      </w:r>
      <w:r>
        <w:rPr>
          <w:rFonts w:cs="Times New Roman"/>
          <w:sz w:val="20"/>
          <w:szCs w:val="20"/>
        </w:rPr>
        <w:t>note 22</w:t>
      </w:r>
      <w:r w:rsidRPr="00344B52">
        <w:rPr>
          <w:rFonts w:cs="Times New Roman"/>
          <w:sz w:val="20"/>
          <w:szCs w:val="20"/>
        </w:rPr>
        <w:t xml:space="preserve"> at</w:t>
      </w:r>
      <w:r w:rsidRPr="00084FD8">
        <w:rPr>
          <w:rFonts w:cs="Times New Roman"/>
          <w:sz w:val="20"/>
          <w:szCs w:val="20"/>
        </w:rPr>
        <w:t xml:space="preserve"> 257</w:t>
      </w:r>
    </w:p>
  </w:footnote>
  <w:footnote w:id="30">
    <w:p w14:paraId="061A92F1" w14:textId="5F36135A" w:rsidR="0017002A" w:rsidRPr="00D75D2F" w:rsidRDefault="0017002A" w:rsidP="00083949">
      <w:pPr>
        <w:pStyle w:val="FootnoteText"/>
        <w:rPr>
          <w:rFonts w:cs="Times New Roman"/>
        </w:rPr>
      </w:pPr>
      <w:r w:rsidRPr="0043758E">
        <w:rPr>
          <w:rStyle w:val="FootnoteReference"/>
          <w:rFonts w:cs="Times New Roman"/>
          <w:sz w:val="20"/>
          <w:szCs w:val="20"/>
        </w:rPr>
        <w:footnoteRef/>
      </w:r>
      <w:r w:rsidRPr="0043758E">
        <w:rPr>
          <w:rFonts w:cs="Times New Roman"/>
          <w:sz w:val="20"/>
          <w:szCs w:val="20"/>
        </w:rPr>
        <w:t xml:space="preserve"> Plaintiff Brief</w:t>
      </w:r>
      <w:r>
        <w:rPr>
          <w:rFonts w:cs="Times New Roman"/>
          <w:sz w:val="20"/>
          <w:szCs w:val="20"/>
        </w:rPr>
        <w:t>,</w:t>
      </w:r>
      <w:r w:rsidRPr="0043758E">
        <w:rPr>
          <w:rFonts w:cs="Times New Roman"/>
          <w:sz w:val="20"/>
          <w:szCs w:val="20"/>
        </w:rPr>
        <w:t xml:space="preserve"> </w:t>
      </w:r>
      <w:r>
        <w:rPr>
          <w:rFonts w:cs="Times New Roman"/>
          <w:i/>
          <w:sz w:val="20"/>
          <w:szCs w:val="20"/>
        </w:rPr>
        <w:t xml:space="preserve">supra </w:t>
      </w:r>
      <w:r>
        <w:rPr>
          <w:rFonts w:cs="Times New Roman"/>
          <w:sz w:val="20"/>
          <w:szCs w:val="20"/>
        </w:rPr>
        <w:t>note 25</w:t>
      </w:r>
      <w:r w:rsidRPr="00344B52">
        <w:rPr>
          <w:rFonts w:cs="Times New Roman"/>
          <w:sz w:val="20"/>
          <w:szCs w:val="20"/>
        </w:rPr>
        <w:t xml:space="preserve"> </w:t>
      </w:r>
      <w:r w:rsidRPr="0043758E">
        <w:rPr>
          <w:rFonts w:cs="Times New Roman"/>
          <w:sz w:val="20"/>
          <w:szCs w:val="20"/>
        </w:rPr>
        <w:t>at p. 16.</w:t>
      </w:r>
      <w:r w:rsidRPr="00D75D2F">
        <w:rPr>
          <w:rFonts w:cs="Times New Roman"/>
        </w:rPr>
        <w:t xml:space="preserve"> </w:t>
      </w:r>
    </w:p>
  </w:footnote>
  <w:footnote w:id="31">
    <w:p w14:paraId="4483D7A8" w14:textId="36740822" w:rsidR="0017002A" w:rsidRPr="0043758E" w:rsidRDefault="0017002A" w:rsidP="00083949">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7B3F02">
        <w:rPr>
          <w:rFonts w:cs="Times New Roman"/>
          <w:i/>
          <w:sz w:val="20"/>
          <w:szCs w:val="20"/>
        </w:rPr>
        <w:t>Id.</w:t>
      </w:r>
    </w:p>
  </w:footnote>
  <w:footnote w:id="32">
    <w:p w14:paraId="174E1308" w14:textId="6BA8DA92" w:rsidR="0017002A" w:rsidRPr="00E310D8" w:rsidRDefault="0017002A" w:rsidP="00E310D8">
      <w:pPr>
        <w:rPr>
          <w:rFonts w:eastAsia="Times New Roman" w:cs="Times New Roman"/>
          <w:sz w:val="20"/>
          <w:szCs w:val="20"/>
        </w:rPr>
      </w:pPr>
      <w:r w:rsidRPr="00E310D8">
        <w:rPr>
          <w:rStyle w:val="FootnoteReference"/>
          <w:sz w:val="20"/>
          <w:szCs w:val="20"/>
        </w:rPr>
        <w:footnoteRef/>
      </w:r>
      <w:r>
        <w:t xml:space="preserve"> </w:t>
      </w:r>
      <w:r w:rsidRPr="0057137F">
        <w:rPr>
          <w:rFonts w:cs="Times New Roman"/>
          <w:sz w:val="20"/>
          <w:szCs w:val="20"/>
        </w:rPr>
        <w:t xml:space="preserve">One issue that can arise in anticipatory repudiation cases is how a court should take into account facts that are learned post-repudiation. Suppose, for example, that the contract included a force majeure clause that allowed a party to terminate the contract; and suppose further that some time after the repudiation had been accepted the force majeure event occurred. Should the damage assessment take that new information into account? This question has received considerable attention in England in the last decade. See </w:t>
      </w:r>
      <w:r w:rsidRPr="0057137F">
        <w:rPr>
          <w:rFonts w:cs="Times New Roman"/>
          <w:i/>
          <w:sz w:val="20"/>
          <w:szCs w:val="20"/>
        </w:rPr>
        <w:t xml:space="preserve">Golden Strait Corpn v Nippon Yusen Kubishika Kaisha (The Golden Victory) </w:t>
      </w:r>
      <w:r w:rsidRPr="0057137F">
        <w:rPr>
          <w:rFonts w:eastAsia="Times New Roman" w:cs="Times New Roman"/>
          <w:sz w:val="20"/>
          <w:szCs w:val="20"/>
        </w:rPr>
        <w:t>2005 WL 290997, and</w:t>
      </w:r>
      <w:r w:rsidRPr="0057137F">
        <w:rPr>
          <w:rFonts w:cs="Times New Roman"/>
          <w:i/>
          <w:sz w:val="20"/>
          <w:szCs w:val="20"/>
        </w:rPr>
        <w:t xml:space="preserve"> Bunge SA</w:t>
      </w:r>
      <w:r w:rsidRPr="0057137F">
        <w:rPr>
          <w:rFonts w:cs="Times New Roman"/>
          <w:sz w:val="20"/>
          <w:szCs w:val="20"/>
        </w:rPr>
        <w:t xml:space="preserve"> </w:t>
      </w:r>
      <w:r w:rsidRPr="0057137F">
        <w:rPr>
          <w:rFonts w:cs="Times New Roman"/>
          <w:i/>
          <w:sz w:val="20"/>
          <w:szCs w:val="20"/>
        </w:rPr>
        <w:t xml:space="preserve">v. Nidera BV </w:t>
      </w:r>
      <w:r w:rsidRPr="0057137F">
        <w:rPr>
          <w:rFonts w:cs="Times New Roman"/>
          <w:sz w:val="20"/>
          <w:szCs w:val="20"/>
        </w:rPr>
        <w:t xml:space="preserve">[2015] UKSC 43. </w:t>
      </w:r>
      <w:r w:rsidR="006C4665">
        <w:rPr>
          <w:rFonts w:cs="Times New Roman"/>
          <w:sz w:val="20"/>
          <w:szCs w:val="20"/>
        </w:rPr>
        <w:t xml:space="preserve">Unfortunately, the court held in both cases that the post-repudiation facts should be taken into account. </w:t>
      </w:r>
      <w:r w:rsidRPr="0057137F">
        <w:rPr>
          <w:rFonts w:cs="Times New Roman"/>
          <w:sz w:val="20"/>
          <w:szCs w:val="20"/>
        </w:rPr>
        <w:t xml:space="preserve">I have argued elsewhere that their treatment of the question was a mistake; see “After </w:t>
      </w:r>
      <w:r w:rsidRPr="0057137F">
        <w:rPr>
          <w:rFonts w:cs="Times New Roman"/>
          <w:i/>
          <w:sz w:val="20"/>
          <w:szCs w:val="20"/>
        </w:rPr>
        <w:t>The Golden Victory:</w:t>
      </w:r>
      <w:r w:rsidRPr="0057137F">
        <w:rPr>
          <w:rFonts w:cs="Times New Roman"/>
          <w:sz w:val="20"/>
          <w:szCs w:val="20"/>
        </w:rPr>
        <w:t xml:space="preserve"> Still Lost at Sea,” </w:t>
      </w:r>
      <w:r w:rsidRPr="0057137F">
        <w:rPr>
          <w:rFonts w:eastAsia="Times New Roman" w:cs="Times New Roman"/>
          <w:i/>
          <w:iCs/>
          <w:color w:val="222222"/>
          <w:sz w:val="20"/>
          <w:szCs w:val="20"/>
          <w:shd w:val="clear" w:color="auto" w:fill="FFFFFF"/>
        </w:rPr>
        <w:t>The Journal of International Maritime Law. </w:t>
      </w:r>
      <w:r w:rsidRPr="0057137F">
        <w:rPr>
          <w:rFonts w:eastAsia="Times New Roman" w:cs="Times New Roman"/>
          <w:iCs/>
          <w:color w:val="222222"/>
          <w:sz w:val="20"/>
          <w:szCs w:val="20"/>
          <w:shd w:val="clear" w:color="auto" w:fill="FFFFFF"/>
        </w:rPr>
        <w:t>I will not, therefore, pursue the question further here.</w:t>
      </w:r>
    </w:p>
  </w:footnote>
  <w:footnote w:id="33">
    <w:p w14:paraId="0EFBD5B6" w14:textId="0F8D0908" w:rsidR="0017002A" w:rsidRPr="0043758E" w:rsidRDefault="0017002A" w:rsidP="00F758FD">
      <w:pPr>
        <w:widowControl w:val="0"/>
        <w:autoSpaceDE w:val="0"/>
        <w:autoSpaceDN w:val="0"/>
        <w:adjustRightInd w:val="0"/>
        <w:rPr>
          <w:sz w:val="20"/>
          <w:szCs w:val="20"/>
        </w:rPr>
      </w:pPr>
      <w:r w:rsidRPr="0043758E">
        <w:rPr>
          <w:rStyle w:val="FootnoteReference"/>
          <w:sz w:val="20"/>
          <w:szCs w:val="20"/>
        </w:rPr>
        <w:footnoteRef/>
      </w:r>
      <w:r w:rsidRPr="0043758E">
        <w:rPr>
          <w:sz w:val="20"/>
          <w:szCs w:val="20"/>
        </w:rPr>
        <w:t xml:space="preserve"> </w:t>
      </w:r>
      <w:r w:rsidRPr="0043758E">
        <w:rPr>
          <w:color w:val="555555"/>
          <w:sz w:val="20"/>
          <w:szCs w:val="20"/>
        </w:rPr>
        <w:t xml:space="preserve">8 F. 463 (1881). For a critical analysis of the decision, see </w:t>
      </w:r>
      <w:r w:rsidRPr="0043758E">
        <w:rPr>
          <w:sz w:val="20"/>
          <w:szCs w:val="20"/>
        </w:rPr>
        <w:t>Thomas H. Jackson</w:t>
      </w:r>
      <w:bookmarkStart w:id="4" w:name="co_footnoteReference_Fa1306384426_ID0E3F"/>
      <w:bookmarkEnd w:id="4"/>
      <w:r w:rsidRPr="0043758E">
        <w:rPr>
          <w:sz w:val="20"/>
          <w:szCs w:val="20"/>
        </w:rPr>
        <w:t xml:space="preserve">, </w:t>
      </w:r>
      <w:r w:rsidRPr="007B3F02">
        <w:rPr>
          <w:i/>
          <w:color w:val="252525"/>
          <w:sz w:val="20"/>
          <w:szCs w:val="20"/>
        </w:rPr>
        <w:t xml:space="preserve">supra </w:t>
      </w:r>
      <w:r>
        <w:rPr>
          <w:color w:val="252525"/>
          <w:sz w:val="20"/>
          <w:szCs w:val="20"/>
        </w:rPr>
        <w:t>note 12</w:t>
      </w:r>
    </w:p>
  </w:footnote>
  <w:footnote w:id="34">
    <w:p w14:paraId="6E426BE6" w14:textId="0EA0360A" w:rsidR="0017002A" w:rsidRPr="0043758E" w:rsidRDefault="0017002A" w:rsidP="00F758FD">
      <w:pPr>
        <w:widowControl w:val="0"/>
        <w:autoSpaceDE w:val="0"/>
        <w:autoSpaceDN w:val="0"/>
        <w:adjustRightInd w:val="0"/>
        <w:jc w:val="both"/>
        <w:rPr>
          <w:sz w:val="20"/>
          <w:szCs w:val="20"/>
        </w:rPr>
      </w:pPr>
      <w:r w:rsidRPr="0043758E">
        <w:rPr>
          <w:rStyle w:val="FootnoteReference"/>
          <w:sz w:val="20"/>
          <w:szCs w:val="20"/>
        </w:rPr>
        <w:footnoteRef/>
      </w:r>
      <w:r w:rsidRPr="0043758E">
        <w:rPr>
          <w:sz w:val="20"/>
          <w:szCs w:val="20"/>
        </w:rPr>
        <w:t xml:space="preserve"> </w:t>
      </w:r>
      <w:r>
        <w:rPr>
          <w:rFonts w:cs="Times New Roman"/>
          <w:sz w:val="20"/>
          <w:szCs w:val="20"/>
        </w:rPr>
        <w:t>8 F. 463 (1881)</w:t>
      </w:r>
      <w:r w:rsidRPr="00185591">
        <w:rPr>
          <w:rFonts w:cs="Times New Roman"/>
          <w:sz w:val="20"/>
          <w:szCs w:val="20"/>
        </w:rPr>
        <w:t xml:space="preserve"> </w:t>
      </w:r>
      <w:r>
        <w:rPr>
          <w:rFonts w:cs="Times New Roman"/>
          <w:sz w:val="20"/>
          <w:szCs w:val="20"/>
        </w:rPr>
        <w:t>a</w:t>
      </w:r>
      <w:r w:rsidRPr="00084FD8">
        <w:rPr>
          <w:rFonts w:cs="Times New Roman"/>
          <w:sz w:val="20"/>
          <w:szCs w:val="20"/>
        </w:rPr>
        <w:t xml:space="preserve">t </w:t>
      </w:r>
      <w:r w:rsidRPr="0043758E">
        <w:rPr>
          <w:sz w:val="20"/>
          <w:szCs w:val="20"/>
        </w:rPr>
        <w:t xml:space="preserve">467. To make matters worse for the buyer it “had in its hands more coke than was required in its business, and it procured—at what precise loss does not clearly appear— the cancellation of contracts with Hutchinson [the cover contracts] to the extent of 20,000 tons.” </w:t>
      </w:r>
      <w:r>
        <w:rPr>
          <w:i/>
          <w:sz w:val="20"/>
          <w:szCs w:val="20"/>
        </w:rPr>
        <w:t>Id.</w:t>
      </w:r>
    </w:p>
  </w:footnote>
  <w:footnote w:id="35">
    <w:p w14:paraId="05324D05" w14:textId="77777777" w:rsidR="0017002A" w:rsidRPr="00F758FD" w:rsidRDefault="0017002A" w:rsidP="00F758FD">
      <w:pPr>
        <w:rPr>
          <w:color w:val="555555"/>
        </w:rPr>
      </w:pPr>
      <w:r w:rsidRPr="0043758E">
        <w:rPr>
          <w:rStyle w:val="FootnoteReference"/>
          <w:sz w:val="20"/>
          <w:szCs w:val="20"/>
        </w:rPr>
        <w:footnoteRef/>
      </w:r>
      <w:r w:rsidRPr="0043758E">
        <w:rPr>
          <w:sz w:val="20"/>
          <w:szCs w:val="20"/>
        </w:rPr>
        <w:t xml:space="preserve"> </w:t>
      </w:r>
      <w:r w:rsidRPr="0043758E">
        <w:rPr>
          <w:color w:val="555555"/>
          <w:sz w:val="20"/>
          <w:szCs w:val="20"/>
        </w:rPr>
        <w:t>553 F.2d 1222 (1977).</w:t>
      </w:r>
    </w:p>
  </w:footnote>
  <w:footnote w:id="36">
    <w:p w14:paraId="75C17308" w14:textId="55E6E320" w:rsidR="0017002A" w:rsidRPr="0043758E" w:rsidRDefault="0017002A" w:rsidP="00F758FD">
      <w:pPr>
        <w:pStyle w:val="FootnoteText"/>
        <w:rPr>
          <w:sz w:val="18"/>
          <w:szCs w:val="18"/>
        </w:rPr>
      </w:pPr>
      <w:r w:rsidRPr="0043758E">
        <w:rPr>
          <w:rStyle w:val="FootnoteReference"/>
          <w:sz w:val="18"/>
          <w:szCs w:val="18"/>
        </w:rPr>
        <w:footnoteRef/>
      </w:r>
      <w:r>
        <w:rPr>
          <w:sz w:val="18"/>
          <w:szCs w:val="18"/>
        </w:rPr>
        <w:t xml:space="preserve"> </w:t>
      </w:r>
      <w:r w:rsidRPr="007B3F02">
        <w:rPr>
          <w:i/>
          <w:sz w:val="20"/>
          <w:szCs w:val="20"/>
        </w:rPr>
        <w:t>Id.</w:t>
      </w:r>
      <w:r w:rsidRPr="007B3F02">
        <w:rPr>
          <w:sz w:val="20"/>
          <w:szCs w:val="20"/>
        </w:rPr>
        <w:t xml:space="preserve"> at 1226.</w:t>
      </w:r>
    </w:p>
  </w:footnote>
  <w:footnote w:id="37">
    <w:p w14:paraId="1966FF48" w14:textId="7CA935E2" w:rsidR="0017002A" w:rsidRPr="0043758E" w:rsidRDefault="0017002A" w:rsidP="00F758FD">
      <w:pPr>
        <w:pStyle w:val="FootnoteText"/>
        <w:rPr>
          <w:sz w:val="18"/>
          <w:szCs w:val="18"/>
        </w:rPr>
      </w:pPr>
      <w:r w:rsidRPr="0043758E">
        <w:rPr>
          <w:rStyle w:val="FootnoteReference"/>
          <w:sz w:val="18"/>
          <w:szCs w:val="18"/>
        </w:rPr>
        <w:footnoteRef/>
      </w:r>
      <w:r w:rsidRPr="0043758E">
        <w:rPr>
          <w:sz w:val="18"/>
          <w:szCs w:val="18"/>
        </w:rPr>
        <w:t xml:space="preserve"> </w:t>
      </w:r>
      <w:r w:rsidRPr="0084460F">
        <w:rPr>
          <w:sz w:val="20"/>
          <w:szCs w:val="20"/>
        </w:rPr>
        <w:t xml:space="preserve">See, for example, </w:t>
      </w:r>
      <w:r w:rsidRPr="0084460F">
        <w:rPr>
          <w:i/>
          <w:color w:val="555555"/>
          <w:sz w:val="20"/>
          <w:szCs w:val="20"/>
        </w:rPr>
        <w:t xml:space="preserve">Hess Energy, Inc. v. Lightning Oil Co. Ltd., </w:t>
      </w:r>
      <w:r w:rsidRPr="0084460F">
        <w:rPr>
          <w:color w:val="555555"/>
          <w:sz w:val="20"/>
          <w:szCs w:val="20"/>
        </w:rPr>
        <w:t>338 F.3d 357, 363 (2003); see, also, White and Summers, (</w:t>
      </w:r>
      <w:r w:rsidRPr="0084460F">
        <w:rPr>
          <w:color w:val="000000"/>
          <w:sz w:val="20"/>
          <w:szCs w:val="20"/>
        </w:rPr>
        <w:t>§6.7).</w:t>
      </w:r>
    </w:p>
  </w:footnote>
  <w:footnote w:id="38">
    <w:p w14:paraId="1F5C2CEC" w14:textId="243355C3" w:rsidR="0017002A" w:rsidRPr="0043758E" w:rsidRDefault="0017002A" w:rsidP="007D2724">
      <w:pPr>
        <w:pStyle w:val="FootnoteText"/>
        <w:rPr>
          <w:sz w:val="18"/>
          <w:szCs w:val="18"/>
        </w:rPr>
      </w:pPr>
      <w:r w:rsidRPr="0043758E">
        <w:rPr>
          <w:rStyle w:val="FootnoteReference"/>
          <w:sz w:val="18"/>
          <w:szCs w:val="18"/>
        </w:rPr>
        <w:footnoteRef/>
      </w:r>
      <w:r w:rsidRPr="0043758E">
        <w:rPr>
          <w:sz w:val="18"/>
          <w:szCs w:val="18"/>
        </w:rPr>
        <w:t xml:space="preserve"> </w:t>
      </w:r>
      <w:r>
        <w:rPr>
          <w:rFonts w:cs="Times New Roman"/>
          <w:sz w:val="20"/>
          <w:szCs w:val="20"/>
        </w:rPr>
        <w:t xml:space="preserve">553 F.2d 1222 (1977 </w:t>
      </w:r>
      <w:r w:rsidRPr="007B3F02">
        <w:rPr>
          <w:rFonts w:cs="Times New Roman"/>
          <w:sz w:val="20"/>
          <w:szCs w:val="20"/>
        </w:rPr>
        <w:t xml:space="preserve">at </w:t>
      </w:r>
      <w:r w:rsidRPr="007B3F02">
        <w:rPr>
          <w:sz w:val="20"/>
          <w:szCs w:val="20"/>
        </w:rPr>
        <w:t>1227.</w:t>
      </w:r>
    </w:p>
  </w:footnote>
  <w:footnote w:id="39">
    <w:p w14:paraId="2E342351" w14:textId="7BF6C895" w:rsidR="0017002A" w:rsidRPr="0043758E" w:rsidRDefault="0017002A" w:rsidP="007D2724">
      <w:pPr>
        <w:pStyle w:val="FootnoteText"/>
        <w:rPr>
          <w:sz w:val="18"/>
          <w:szCs w:val="18"/>
        </w:rPr>
      </w:pPr>
      <w:r w:rsidRPr="0043758E">
        <w:rPr>
          <w:rStyle w:val="FootnoteReference"/>
          <w:sz w:val="18"/>
          <w:szCs w:val="18"/>
        </w:rPr>
        <w:footnoteRef/>
      </w:r>
      <w:r w:rsidRPr="0043758E">
        <w:rPr>
          <w:sz w:val="18"/>
          <w:szCs w:val="18"/>
        </w:rPr>
        <w:t xml:space="preserve"> </w:t>
      </w:r>
      <w:r w:rsidRPr="007B3F02">
        <w:rPr>
          <w:i/>
          <w:sz w:val="20"/>
          <w:szCs w:val="20"/>
        </w:rPr>
        <w:t>Id.</w:t>
      </w:r>
    </w:p>
  </w:footnote>
  <w:footnote w:id="40">
    <w:p w14:paraId="213B9C24" w14:textId="72E7D520" w:rsidR="0017002A" w:rsidRPr="0043758E" w:rsidRDefault="0017002A" w:rsidP="007D2724">
      <w:pPr>
        <w:pStyle w:val="FootnoteText"/>
        <w:rPr>
          <w:sz w:val="18"/>
          <w:szCs w:val="18"/>
        </w:rPr>
      </w:pPr>
      <w:r w:rsidRPr="0043758E">
        <w:rPr>
          <w:rStyle w:val="FootnoteReference"/>
          <w:sz w:val="18"/>
          <w:szCs w:val="18"/>
        </w:rPr>
        <w:footnoteRef/>
      </w:r>
      <w:r w:rsidRPr="0043758E">
        <w:rPr>
          <w:sz w:val="18"/>
          <w:szCs w:val="18"/>
        </w:rPr>
        <w:t xml:space="preserve"> </w:t>
      </w:r>
      <w:r w:rsidRPr="007B3F02">
        <w:rPr>
          <w:i/>
          <w:sz w:val="20"/>
          <w:szCs w:val="20"/>
        </w:rPr>
        <w:t xml:space="preserve">Id. </w:t>
      </w:r>
      <w:r w:rsidRPr="007B3F02">
        <w:rPr>
          <w:sz w:val="20"/>
          <w:szCs w:val="20"/>
        </w:rPr>
        <w:t>at1226.</w:t>
      </w:r>
    </w:p>
  </w:footnote>
  <w:footnote w:id="41">
    <w:p w14:paraId="06E1D006" w14:textId="1E9E9CF7" w:rsidR="0017002A" w:rsidRDefault="0017002A" w:rsidP="007D2724">
      <w:pPr>
        <w:pStyle w:val="FootnoteText"/>
      </w:pPr>
      <w:r w:rsidRPr="0043758E">
        <w:rPr>
          <w:rStyle w:val="FootnoteReference"/>
          <w:sz w:val="18"/>
          <w:szCs w:val="18"/>
        </w:rPr>
        <w:footnoteRef/>
      </w:r>
    </w:p>
  </w:footnote>
  <w:footnote w:id="42">
    <w:p w14:paraId="1FF61979" w14:textId="77777777" w:rsidR="0017002A" w:rsidRPr="0043758E" w:rsidRDefault="0017002A" w:rsidP="007D2724">
      <w:pPr>
        <w:pStyle w:val="FootnoteText"/>
        <w:rPr>
          <w:sz w:val="20"/>
          <w:szCs w:val="20"/>
        </w:rPr>
      </w:pPr>
      <w:r w:rsidRPr="0043758E">
        <w:rPr>
          <w:rStyle w:val="FootnoteReference"/>
          <w:sz w:val="20"/>
          <w:szCs w:val="20"/>
        </w:rPr>
        <w:footnoteRef/>
      </w:r>
      <w:r w:rsidRPr="0043758E">
        <w:rPr>
          <w:sz w:val="20"/>
          <w:szCs w:val="20"/>
        </w:rPr>
        <w:t xml:space="preserve"> </w:t>
      </w:r>
      <w:r w:rsidRPr="0043758E">
        <w:rPr>
          <w:bCs/>
          <w:color w:val="555555"/>
          <w:sz w:val="20"/>
          <w:szCs w:val="20"/>
        </w:rPr>
        <w:t>338 F.3d 357 (2003).</w:t>
      </w:r>
    </w:p>
  </w:footnote>
  <w:footnote w:id="43">
    <w:p w14:paraId="3F3BFFA3" w14:textId="5737677C" w:rsidR="0017002A" w:rsidRPr="0043758E" w:rsidRDefault="0017002A" w:rsidP="007D2724">
      <w:pPr>
        <w:pStyle w:val="FootnoteText"/>
        <w:rPr>
          <w:sz w:val="20"/>
          <w:szCs w:val="20"/>
        </w:rPr>
      </w:pPr>
      <w:r w:rsidRPr="0043758E">
        <w:rPr>
          <w:rStyle w:val="FootnoteReference"/>
          <w:sz w:val="20"/>
          <w:szCs w:val="20"/>
        </w:rPr>
        <w:footnoteRef/>
      </w:r>
      <w:r w:rsidRPr="0043758E">
        <w:rPr>
          <w:sz w:val="20"/>
          <w:szCs w:val="20"/>
        </w:rPr>
        <w:t xml:space="preserve"> </w:t>
      </w:r>
      <w:r>
        <w:rPr>
          <w:i/>
          <w:sz w:val="20"/>
          <w:szCs w:val="20"/>
        </w:rPr>
        <w:t>Id.</w:t>
      </w:r>
      <w:r>
        <w:rPr>
          <w:sz w:val="20"/>
          <w:szCs w:val="20"/>
        </w:rPr>
        <w:t xml:space="preserve">at </w:t>
      </w:r>
      <w:r w:rsidRPr="0043758E">
        <w:rPr>
          <w:sz w:val="20"/>
          <w:szCs w:val="20"/>
        </w:rPr>
        <w:t xml:space="preserve">361. </w:t>
      </w:r>
    </w:p>
  </w:footnote>
  <w:footnote w:id="44">
    <w:p w14:paraId="7BCAF165" w14:textId="2A65F98D" w:rsidR="0017002A" w:rsidRPr="0043758E" w:rsidRDefault="0017002A" w:rsidP="007D2724">
      <w:pPr>
        <w:contextualSpacing/>
        <w:rPr>
          <w:bCs/>
          <w:color w:val="555555"/>
          <w:sz w:val="20"/>
          <w:szCs w:val="20"/>
        </w:rPr>
      </w:pPr>
      <w:r w:rsidRPr="0043758E">
        <w:rPr>
          <w:rStyle w:val="FootnoteReference"/>
          <w:sz w:val="20"/>
          <w:szCs w:val="20"/>
        </w:rPr>
        <w:footnoteRef/>
      </w:r>
      <w:r w:rsidRPr="0043758E">
        <w:rPr>
          <w:sz w:val="20"/>
          <w:szCs w:val="20"/>
        </w:rPr>
        <w:t xml:space="preserve"> </w:t>
      </w:r>
      <w:r>
        <w:rPr>
          <w:i/>
          <w:sz w:val="20"/>
          <w:szCs w:val="20"/>
        </w:rPr>
        <w:t>Id.</w:t>
      </w:r>
      <w:r>
        <w:rPr>
          <w:sz w:val="20"/>
          <w:szCs w:val="20"/>
        </w:rPr>
        <w:t>at</w:t>
      </w:r>
      <w:r w:rsidRPr="0043758E">
        <w:rPr>
          <w:sz w:val="20"/>
          <w:szCs w:val="20"/>
        </w:rPr>
        <w:t xml:space="preserve"> 363. The Second Circuit made a similar argument in </w:t>
      </w:r>
      <w:r w:rsidRPr="0043758E">
        <w:rPr>
          <w:bCs/>
          <w:color w:val="555555"/>
          <w:sz w:val="20"/>
          <w:szCs w:val="20"/>
        </w:rPr>
        <w:t>Trans World Metals, Inc. v. Southwire Co., 769 F.2d 902 (1985), in which the buyer repudiated a contract for the sale of 1,000 metric tons per month of aluminum:</w:t>
      </w:r>
    </w:p>
    <w:p w14:paraId="74593126" w14:textId="1270C434" w:rsidR="0017002A" w:rsidRPr="007B3F02" w:rsidRDefault="0017002A" w:rsidP="007B3F02">
      <w:pPr>
        <w:ind w:left="720" w:right="720"/>
        <w:contextualSpacing/>
        <w:rPr>
          <w:sz w:val="20"/>
          <w:szCs w:val="20"/>
        </w:rPr>
      </w:pPr>
      <w:r w:rsidRPr="0043758E">
        <w:rPr>
          <w:sz w:val="20"/>
          <w:szCs w:val="20"/>
        </w:rPr>
        <w:t xml:space="preserve">We would accept Southwire’s argument that the date Trans World learned of the repudiation would be the correct date on which to calculate the market price had this action been tried </w:t>
      </w:r>
      <w:r w:rsidRPr="0043758E">
        <w:rPr>
          <w:i/>
          <w:iCs/>
          <w:sz w:val="20"/>
          <w:szCs w:val="20"/>
        </w:rPr>
        <w:t>before</w:t>
      </w:r>
      <w:r w:rsidRPr="0043758E">
        <w:rPr>
          <w:sz w:val="20"/>
          <w:szCs w:val="20"/>
        </w:rPr>
        <w:t xml:space="preserve"> the time for full performance under the contract. </w:t>
      </w:r>
      <w:r w:rsidRPr="0043758E">
        <w:rPr>
          <w:i/>
          <w:iCs/>
          <w:sz w:val="20"/>
          <w:szCs w:val="20"/>
        </w:rPr>
        <w:t>See</w:t>
      </w:r>
      <w:r w:rsidRPr="0043758E">
        <w:rPr>
          <w:sz w:val="20"/>
          <w:szCs w:val="20"/>
        </w:rPr>
        <w:t xml:space="preserve"> </w:t>
      </w:r>
      <w:hyperlink r:id="rId1" w:history="1">
        <w:r w:rsidRPr="0043758E">
          <w:rPr>
            <w:sz w:val="20"/>
            <w:szCs w:val="20"/>
          </w:rPr>
          <w:t>N.Y.U.C.C. § 2-723</w:t>
        </w:r>
      </w:hyperlink>
      <w:r w:rsidRPr="0043758E">
        <w:rPr>
          <w:sz w:val="20"/>
          <w:szCs w:val="20"/>
        </w:rPr>
        <w:t xml:space="preserve">(1) (market price at time aggrieved party learned of repudiation used to calculate damages in action for anticipatory repudiation that “comes to trial before time for performance with respect to some or all of the goods”). However, where damages are awarded </w:t>
      </w:r>
      <w:r w:rsidRPr="0043758E">
        <w:rPr>
          <w:i/>
          <w:iCs/>
          <w:sz w:val="20"/>
          <w:szCs w:val="20"/>
        </w:rPr>
        <w:t>after</w:t>
      </w:r>
      <w:r w:rsidRPr="0043758E">
        <w:rPr>
          <w:sz w:val="20"/>
          <w:szCs w:val="20"/>
        </w:rPr>
        <w:t xml:space="preserve"> the time for full performance, as in this case, the calculation of damages under </w:t>
      </w:r>
      <w:hyperlink r:id="rId2" w:history="1">
        <w:r w:rsidRPr="0043758E">
          <w:rPr>
            <w:sz w:val="20"/>
            <w:szCs w:val="20"/>
          </w:rPr>
          <w:t>section 2-708</w:t>
        </w:r>
      </w:hyperlink>
      <w:r w:rsidRPr="0043758E">
        <w:rPr>
          <w:sz w:val="20"/>
          <w:szCs w:val="20"/>
        </w:rPr>
        <w:t>(1) should reflect the actual market price at each successive date when tender was to have been made under the repudiated installment contract. (emphasis in original, at 909)</w:t>
      </w:r>
    </w:p>
  </w:footnote>
  <w:footnote w:id="45">
    <w:p w14:paraId="6F245D50" w14:textId="1ABF8DD2" w:rsidR="0017002A" w:rsidRDefault="0017002A" w:rsidP="007B3F02">
      <w:pPr>
        <w:pStyle w:val="FootnoteText"/>
        <w:contextualSpacing/>
      </w:pPr>
      <w:r>
        <w:rPr>
          <w:sz w:val="20"/>
          <w:szCs w:val="20"/>
        </w:rPr>
        <w:t xml:space="preserve">    </w:t>
      </w:r>
      <w:r w:rsidRPr="007B3F02">
        <w:rPr>
          <w:rStyle w:val="FootnoteReference"/>
          <w:sz w:val="20"/>
          <w:szCs w:val="20"/>
        </w:rPr>
        <w:footnoteRef/>
      </w:r>
      <w:r w:rsidRPr="007B3F02">
        <w:rPr>
          <w:sz w:val="20"/>
          <w:szCs w:val="20"/>
        </w:rPr>
        <w:t xml:space="preserve"> </w:t>
      </w:r>
      <w:r w:rsidRPr="00185591">
        <w:rPr>
          <w:rFonts w:cs="Times New Roman"/>
          <w:bCs/>
          <w:sz w:val="20"/>
          <w:szCs w:val="20"/>
        </w:rPr>
        <w:t>338 F.3d 357 (2003).</w:t>
      </w:r>
    </w:p>
  </w:footnote>
  <w:footnote w:id="46">
    <w:p w14:paraId="1CBF71BF" w14:textId="0FCD328B" w:rsidR="0017002A" w:rsidRPr="0043758E" w:rsidRDefault="0017002A" w:rsidP="007D2724">
      <w:pPr>
        <w:pStyle w:val="FootnoteText"/>
        <w:rPr>
          <w:sz w:val="20"/>
          <w:szCs w:val="20"/>
        </w:rPr>
      </w:pPr>
      <w:r w:rsidRPr="0043758E">
        <w:rPr>
          <w:rStyle w:val="FootnoteReference"/>
          <w:sz w:val="20"/>
          <w:szCs w:val="20"/>
        </w:rPr>
        <w:footnoteRef/>
      </w:r>
      <w:r w:rsidRPr="0043758E">
        <w:rPr>
          <w:sz w:val="20"/>
          <w:szCs w:val="20"/>
        </w:rPr>
        <w:t xml:space="preserve"> </w:t>
      </w:r>
      <w:r>
        <w:rPr>
          <w:i/>
          <w:sz w:val="20"/>
          <w:szCs w:val="20"/>
        </w:rPr>
        <w:t>Id.</w:t>
      </w:r>
      <w:r>
        <w:rPr>
          <w:sz w:val="20"/>
          <w:szCs w:val="20"/>
        </w:rPr>
        <w:t xml:space="preserve"> at</w:t>
      </w:r>
      <w:r w:rsidRPr="0043758E">
        <w:rPr>
          <w:sz w:val="20"/>
          <w:szCs w:val="20"/>
        </w:rPr>
        <w:t xml:space="preserve"> 359.</w:t>
      </w:r>
    </w:p>
  </w:footnote>
  <w:footnote w:id="47">
    <w:p w14:paraId="34DA0400" w14:textId="77777777" w:rsidR="00E40E4A" w:rsidRDefault="00E40E4A" w:rsidP="00E40E4A">
      <w:pPr>
        <w:pStyle w:val="FootnoteText"/>
      </w:pPr>
      <w:r w:rsidRPr="00E40E4A">
        <w:rPr>
          <w:rStyle w:val="FootnoteReference"/>
          <w:sz w:val="20"/>
          <w:szCs w:val="20"/>
        </w:rPr>
        <w:footnoteRef/>
      </w:r>
      <w:r w:rsidRPr="00E40E4A">
        <w:rPr>
          <w:sz w:val="20"/>
          <w:szCs w:val="20"/>
        </w:rPr>
        <w:t xml:space="preserve"> </w:t>
      </w:r>
      <w:r w:rsidRPr="00AC0D29">
        <w:rPr>
          <w:rFonts w:cs="Times New Roman"/>
          <w:sz w:val="20"/>
          <w:szCs w:val="20"/>
        </w:rPr>
        <w:t xml:space="preserve">White and Summers, </w:t>
      </w:r>
      <w:r w:rsidRPr="00AC0D29">
        <w:rPr>
          <w:rFonts w:cs="Times New Roman"/>
          <w:i/>
          <w:sz w:val="20"/>
          <w:szCs w:val="20"/>
        </w:rPr>
        <w:t>supra</w:t>
      </w:r>
      <w:r w:rsidRPr="00AC0D29">
        <w:rPr>
          <w:rFonts w:cs="Times New Roman"/>
          <w:sz w:val="20"/>
          <w:szCs w:val="20"/>
        </w:rPr>
        <w:t xml:space="preserve"> note 15 at 325-326</w:t>
      </w:r>
    </w:p>
  </w:footnote>
  <w:footnote w:id="48">
    <w:p w14:paraId="777B7870" w14:textId="3C3788BA" w:rsidR="0017002A" w:rsidRPr="0043758E" w:rsidRDefault="0017002A" w:rsidP="007D2724">
      <w:pPr>
        <w:rPr>
          <w:sz w:val="20"/>
          <w:szCs w:val="20"/>
        </w:rPr>
      </w:pPr>
      <w:r w:rsidRPr="0043758E">
        <w:rPr>
          <w:rStyle w:val="FootnoteReference"/>
          <w:sz w:val="20"/>
          <w:szCs w:val="20"/>
        </w:rPr>
        <w:footnoteRef/>
      </w:r>
      <w:r w:rsidRPr="0043758E">
        <w:rPr>
          <w:sz w:val="20"/>
          <w:szCs w:val="20"/>
        </w:rPr>
        <w:t xml:space="preserve"> </w:t>
      </w:r>
      <w:r w:rsidRPr="0043758E">
        <w:rPr>
          <w:bCs/>
          <w:color w:val="555555"/>
          <w:sz w:val="20"/>
          <w:szCs w:val="20"/>
        </w:rPr>
        <w:t>See Trinidad Bean and Elevator Co. v. Frosh, 1 Neb.App. 281 (1992); First Nat. Bank of Chicago v. Jefferson Mortg. Co., 576 F.2d 479 (1978.</w:t>
      </w:r>
    </w:p>
  </w:footnote>
  <w:footnote w:id="49">
    <w:p w14:paraId="56C84889" w14:textId="77777777" w:rsidR="0017002A" w:rsidRPr="0043758E" w:rsidRDefault="0017002A" w:rsidP="007D2724">
      <w:pPr>
        <w:pStyle w:val="FootnoteText"/>
        <w:rPr>
          <w:sz w:val="20"/>
          <w:szCs w:val="20"/>
        </w:rPr>
      </w:pPr>
      <w:r w:rsidRPr="0043758E">
        <w:rPr>
          <w:rStyle w:val="FootnoteReference"/>
          <w:sz w:val="20"/>
          <w:szCs w:val="20"/>
        </w:rPr>
        <w:footnoteRef/>
      </w:r>
      <w:r w:rsidRPr="0043758E">
        <w:rPr>
          <w:sz w:val="20"/>
          <w:szCs w:val="20"/>
        </w:rPr>
        <w:t xml:space="preserve"> </w:t>
      </w:r>
      <w:r w:rsidRPr="0043758E">
        <w:rPr>
          <w:bCs/>
          <w:color w:val="555555"/>
          <w:sz w:val="20"/>
          <w:szCs w:val="20"/>
        </w:rPr>
        <w:t>11 Ill.App.3d 918 (1973).</w:t>
      </w:r>
    </w:p>
  </w:footnote>
  <w:footnote w:id="50">
    <w:p w14:paraId="5C93A6AE" w14:textId="5E2141CC" w:rsidR="0017002A" w:rsidRPr="0043758E" w:rsidRDefault="0017002A" w:rsidP="007D2724">
      <w:pPr>
        <w:pStyle w:val="FootnoteText"/>
        <w:rPr>
          <w:sz w:val="20"/>
          <w:szCs w:val="20"/>
        </w:rPr>
      </w:pPr>
      <w:r w:rsidRPr="0043758E">
        <w:rPr>
          <w:rStyle w:val="FootnoteReference"/>
          <w:sz w:val="20"/>
          <w:szCs w:val="20"/>
        </w:rPr>
        <w:footnoteRef/>
      </w:r>
      <w:r w:rsidRPr="0043758E">
        <w:rPr>
          <w:sz w:val="20"/>
          <w:szCs w:val="20"/>
        </w:rPr>
        <w:t xml:space="preserve"> “Since Coomer’s statement to Oloffson on June 3, 1970, was unequivocal and since ‘cover’ easily and immediately was available to Oloffson in the well-organized and easily accessible market for purchases of grain to be delivered in the future, it would be unreasonable for Oloffson on June 3, 1970, to have awaited Coomer’s performan</w:t>
      </w:r>
      <w:r>
        <w:rPr>
          <w:sz w:val="20"/>
          <w:szCs w:val="20"/>
        </w:rPr>
        <w:t xml:space="preserve">ce.” </w:t>
      </w:r>
      <w:r>
        <w:rPr>
          <w:i/>
          <w:sz w:val="20"/>
          <w:szCs w:val="20"/>
        </w:rPr>
        <w:t xml:space="preserve">Id. </w:t>
      </w:r>
      <w:r>
        <w:rPr>
          <w:sz w:val="20"/>
          <w:szCs w:val="20"/>
        </w:rPr>
        <w:t>at</w:t>
      </w:r>
      <w:r w:rsidRPr="0043758E">
        <w:rPr>
          <w:sz w:val="20"/>
          <w:szCs w:val="20"/>
        </w:rPr>
        <w:t xml:space="preserve"> 922.</w:t>
      </w:r>
    </w:p>
  </w:footnote>
  <w:footnote w:id="51">
    <w:p w14:paraId="276E452B" w14:textId="1EAA68F0" w:rsidR="0017002A" w:rsidRDefault="0017002A" w:rsidP="007D2724">
      <w:pPr>
        <w:pStyle w:val="FootnoteText"/>
      </w:pPr>
      <w:r w:rsidRPr="0043758E">
        <w:rPr>
          <w:rStyle w:val="FootnoteReference"/>
          <w:sz w:val="20"/>
          <w:szCs w:val="20"/>
        </w:rPr>
        <w:footnoteRef/>
      </w:r>
      <w:r w:rsidRPr="0043758E">
        <w:rPr>
          <w:sz w:val="20"/>
          <w:szCs w:val="20"/>
        </w:rPr>
        <w:t xml:space="preserve"> </w:t>
      </w:r>
      <w:r w:rsidRPr="00084FD8">
        <w:rPr>
          <w:rFonts w:cs="Times New Roman"/>
          <w:sz w:val="20"/>
          <w:szCs w:val="20"/>
        </w:rPr>
        <w:t xml:space="preserve">Thomas H. </w:t>
      </w:r>
      <w:r w:rsidRPr="00875F75">
        <w:rPr>
          <w:rFonts w:cs="Times New Roman"/>
          <w:sz w:val="20"/>
          <w:szCs w:val="20"/>
        </w:rPr>
        <w:t xml:space="preserve">Jackson, </w:t>
      </w:r>
      <w:r w:rsidRPr="00875F75">
        <w:rPr>
          <w:rFonts w:cs="Times New Roman"/>
          <w:i/>
          <w:sz w:val="20"/>
          <w:szCs w:val="20"/>
        </w:rPr>
        <w:t xml:space="preserve">supra </w:t>
      </w:r>
      <w:r w:rsidRPr="002C326B">
        <w:rPr>
          <w:rFonts w:cs="Times New Roman"/>
          <w:sz w:val="20"/>
          <w:szCs w:val="20"/>
        </w:rPr>
        <w:t xml:space="preserve">note 12 </w:t>
      </w:r>
      <w:r w:rsidRPr="00E40581">
        <w:rPr>
          <w:rFonts w:cs="Times New Roman"/>
          <w:sz w:val="20"/>
          <w:szCs w:val="20"/>
        </w:rPr>
        <w:t>at 94</w:t>
      </w:r>
    </w:p>
  </w:footnote>
  <w:footnote w:id="52">
    <w:p w14:paraId="23CE5A53" w14:textId="6E428F33" w:rsidR="0017002A" w:rsidRPr="0043758E" w:rsidRDefault="0017002A" w:rsidP="007D2724">
      <w:pPr>
        <w:pStyle w:val="FootnoteText"/>
        <w:rPr>
          <w:sz w:val="20"/>
          <w:szCs w:val="20"/>
        </w:rPr>
      </w:pPr>
      <w:r w:rsidRPr="0043758E">
        <w:rPr>
          <w:rStyle w:val="FootnoteReference"/>
          <w:sz w:val="20"/>
          <w:szCs w:val="20"/>
        </w:rPr>
        <w:footnoteRef/>
      </w:r>
      <w:r w:rsidRPr="0043758E">
        <w:rPr>
          <w:sz w:val="20"/>
          <w:szCs w:val="20"/>
        </w:rPr>
        <w:t xml:space="preserve"> </w:t>
      </w:r>
      <w:r w:rsidRPr="00185591">
        <w:rPr>
          <w:rFonts w:cs="Times New Roman"/>
          <w:bCs/>
          <w:sz w:val="20"/>
          <w:szCs w:val="20"/>
        </w:rPr>
        <w:t>11 Ill.App.3d 918 (1973)</w:t>
      </w:r>
      <w:r>
        <w:rPr>
          <w:rFonts w:cs="Times New Roman"/>
          <w:bCs/>
          <w:sz w:val="20"/>
          <w:szCs w:val="20"/>
        </w:rPr>
        <w:t xml:space="preserve"> a</w:t>
      </w:r>
      <w:r w:rsidRPr="00344B52">
        <w:rPr>
          <w:rFonts w:cs="Times New Roman"/>
          <w:sz w:val="20"/>
          <w:szCs w:val="20"/>
        </w:rPr>
        <w:t>t 922</w:t>
      </w:r>
      <w:r>
        <w:rPr>
          <w:rFonts w:cs="Times New Roman"/>
          <w:sz w:val="20"/>
          <w:szCs w:val="20"/>
        </w:rPr>
        <w:t xml:space="preserve">. </w:t>
      </w:r>
      <w:r w:rsidRPr="0043758E">
        <w:rPr>
          <w:sz w:val="20"/>
          <w:szCs w:val="20"/>
        </w:rPr>
        <w:t>The court does not say how this characterization would have helped Oloffson.</w:t>
      </w:r>
      <w:r>
        <w:rPr>
          <w:sz w:val="20"/>
          <w:szCs w:val="20"/>
        </w:rPr>
        <w:t xml:space="preserve"> I presume that Oloffson’s argument would have been that Coomer had failed to follow the proper procedure to make known its desire to cancel. </w:t>
      </w:r>
    </w:p>
  </w:footnote>
  <w:footnote w:id="53">
    <w:p w14:paraId="79D8EA55" w14:textId="0FFC91B5" w:rsidR="0017002A" w:rsidRPr="00003CBB" w:rsidRDefault="0017002A">
      <w:pPr>
        <w:pStyle w:val="FootnoteText"/>
        <w:rPr>
          <w:sz w:val="20"/>
          <w:szCs w:val="20"/>
        </w:rPr>
      </w:pPr>
      <w:r w:rsidRPr="00003CBB">
        <w:rPr>
          <w:rStyle w:val="FootnoteReference"/>
          <w:sz w:val="20"/>
          <w:szCs w:val="20"/>
        </w:rPr>
        <w:footnoteRef/>
      </w:r>
      <w:r w:rsidRPr="00003CBB">
        <w:rPr>
          <w:sz w:val="20"/>
          <w:szCs w:val="20"/>
        </w:rPr>
        <w:t xml:space="preserve"> </w:t>
      </w:r>
      <w:r>
        <w:rPr>
          <w:rFonts w:cs="Times New Roman"/>
          <w:sz w:val="20"/>
          <w:szCs w:val="20"/>
        </w:rPr>
        <w:t xml:space="preserve">White and Summers, </w:t>
      </w:r>
      <w:r>
        <w:rPr>
          <w:rFonts w:cs="Times New Roman"/>
          <w:i/>
          <w:sz w:val="20"/>
          <w:szCs w:val="20"/>
          <w:u w:val="single"/>
        </w:rPr>
        <w:t xml:space="preserve">supra </w:t>
      </w:r>
      <w:r>
        <w:rPr>
          <w:rFonts w:cs="Times New Roman"/>
          <w:sz w:val="20"/>
          <w:szCs w:val="20"/>
          <w:u w:val="single"/>
        </w:rPr>
        <w:t>note 15 a</w:t>
      </w:r>
      <w:r w:rsidRPr="00344B52">
        <w:rPr>
          <w:rFonts w:cs="Times New Roman"/>
          <w:sz w:val="20"/>
          <w:szCs w:val="20"/>
        </w:rPr>
        <w:t>t</w:t>
      </w:r>
      <w:r w:rsidRPr="00003CBB">
        <w:rPr>
          <w:sz w:val="20"/>
          <w:szCs w:val="20"/>
        </w:rPr>
        <w:t xml:space="preserve"> </w:t>
      </w:r>
      <w:r w:rsidRPr="00003CBB">
        <w:rPr>
          <w:color w:val="000000"/>
          <w:sz w:val="20"/>
          <w:szCs w:val="20"/>
        </w:rPr>
        <w:t>§6.3</w:t>
      </w:r>
    </w:p>
  </w:footnote>
  <w:footnote w:id="54">
    <w:p w14:paraId="3E6BD63A" w14:textId="77777777" w:rsidR="0017002A" w:rsidRPr="0043758E" w:rsidRDefault="0017002A" w:rsidP="007D2724">
      <w:pPr>
        <w:pStyle w:val="FootnoteText"/>
        <w:rPr>
          <w:sz w:val="20"/>
          <w:szCs w:val="20"/>
        </w:rPr>
      </w:pPr>
      <w:r w:rsidRPr="0043758E">
        <w:rPr>
          <w:rStyle w:val="FootnoteReference"/>
          <w:sz w:val="20"/>
          <w:szCs w:val="20"/>
        </w:rPr>
        <w:footnoteRef/>
      </w:r>
      <w:r w:rsidRPr="0043758E">
        <w:rPr>
          <w:sz w:val="20"/>
          <w:szCs w:val="20"/>
        </w:rPr>
        <w:t xml:space="preserve"> It used a standard 2-207 battle of the forms analysis.</w:t>
      </w:r>
    </w:p>
  </w:footnote>
  <w:footnote w:id="55">
    <w:p w14:paraId="4A065220" w14:textId="77777777" w:rsidR="0017002A" w:rsidRPr="0043758E" w:rsidRDefault="0017002A" w:rsidP="007D2724">
      <w:pPr>
        <w:widowControl w:val="0"/>
        <w:autoSpaceDE w:val="0"/>
        <w:autoSpaceDN w:val="0"/>
        <w:adjustRightInd w:val="0"/>
        <w:rPr>
          <w:sz w:val="20"/>
          <w:szCs w:val="20"/>
        </w:rPr>
      </w:pPr>
      <w:r w:rsidRPr="0043758E">
        <w:rPr>
          <w:rStyle w:val="FootnoteReference"/>
          <w:sz w:val="20"/>
          <w:szCs w:val="20"/>
        </w:rPr>
        <w:footnoteRef/>
      </w:r>
      <w:r w:rsidRPr="0043758E">
        <w:rPr>
          <w:sz w:val="20"/>
          <w:szCs w:val="20"/>
        </w:rPr>
        <w:t xml:space="preserve"> </w:t>
      </w:r>
      <w:r w:rsidRPr="0043758E">
        <w:rPr>
          <w:bCs/>
          <w:sz w:val="20"/>
          <w:szCs w:val="20"/>
        </w:rPr>
        <w:t>NGFA Grain Trade Rules.</w:t>
      </w:r>
    </w:p>
  </w:footnote>
  <w:footnote w:id="56">
    <w:p w14:paraId="6F897468" w14:textId="77777777" w:rsidR="0017002A" w:rsidRPr="0043758E" w:rsidRDefault="0017002A" w:rsidP="007D2724">
      <w:pPr>
        <w:rPr>
          <w:rFonts w:eastAsia="Times New Roman"/>
          <w:sz w:val="20"/>
          <w:szCs w:val="20"/>
        </w:rPr>
      </w:pPr>
      <w:r w:rsidRPr="0043758E">
        <w:rPr>
          <w:rStyle w:val="FootnoteReference"/>
          <w:sz w:val="20"/>
          <w:szCs w:val="20"/>
        </w:rPr>
        <w:footnoteRef/>
      </w:r>
      <w:r w:rsidRPr="0043758E">
        <w:rPr>
          <w:sz w:val="20"/>
          <w:szCs w:val="20"/>
        </w:rPr>
        <w:t xml:space="preserve"> This is not just a matter of wily grain traders attempting to take advantage of naïve farmers. In </w:t>
      </w:r>
      <w:r w:rsidRPr="0043758E">
        <w:rPr>
          <w:rFonts w:eastAsia="Times New Roman" w:cs="Times New Roman"/>
          <w:sz w:val="20"/>
          <w:szCs w:val="20"/>
        </w:rPr>
        <w:t>Nat'l Farmers Org. v. Bartlett &amp; Co., Grain, 560 F.2d 1350, 1353 (8th Cir. 1977)</w:t>
      </w:r>
      <w:r w:rsidRPr="0043758E">
        <w:rPr>
          <w:rFonts w:eastAsia="Times New Roman"/>
          <w:sz w:val="20"/>
          <w:szCs w:val="20"/>
        </w:rPr>
        <w:t xml:space="preserve">, the roles were reversed; </w:t>
      </w:r>
      <w:r w:rsidRPr="0043758E">
        <w:rPr>
          <w:sz w:val="20"/>
          <w:szCs w:val="20"/>
        </w:rPr>
        <w:t>the farmers’ cooperative claimed that the buyer had repudiated and it immediately brought “</w:t>
      </w:r>
      <w:r w:rsidRPr="0043758E">
        <w:rPr>
          <w:rFonts w:eastAsia="Times New Roman"/>
          <w:sz w:val="20"/>
          <w:szCs w:val="20"/>
        </w:rPr>
        <w:t>all outstanding contracts we have with your office to current market price.”</w:t>
      </w:r>
      <w:r w:rsidRPr="0043758E">
        <w:rPr>
          <w:sz w:val="20"/>
          <w:szCs w:val="20"/>
        </w:rPr>
        <w:t xml:space="preserve"> </w:t>
      </w:r>
    </w:p>
  </w:footnote>
  <w:footnote w:id="57">
    <w:p w14:paraId="01568A77" w14:textId="3ABBEDA2" w:rsidR="0017002A" w:rsidRPr="0043758E" w:rsidRDefault="0017002A">
      <w:pPr>
        <w:pStyle w:val="FootnoteText"/>
        <w:rPr>
          <w:sz w:val="20"/>
          <w:szCs w:val="20"/>
        </w:rPr>
      </w:pPr>
      <w:r w:rsidRPr="0043758E">
        <w:rPr>
          <w:rStyle w:val="FootnoteReference"/>
          <w:sz w:val="20"/>
          <w:szCs w:val="20"/>
        </w:rPr>
        <w:footnoteRef/>
      </w:r>
      <w:r w:rsidRPr="0043758E">
        <w:rPr>
          <w:sz w:val="20"/>
          <w:szCs w:val="20"/>
        </w:rPr>
        <w:t xml:space="preserve"> Even for significant transactions, parties often end up with a battle of the forms as they did in </w:t>
      </w:r>
      <w:r w:rsidRPr="0043758E">
        <w:rPr>
          <w:i/>
          <w:sz w:val="20"/>
          <w:szCs w:val="20"/>
        </w:rPr>
        <w:t>Cargill</w:t>
      </w:r>
      <w:r w:rsidRPr="0043758E">
        <w:rPr>
          <w:sz w:val="20"/>
          <w:szCs w:val="20"/>
        </w:rPr>
        <w:t xml:space="preserve">. In </w:t>
      </w:r>
      <w:r w:rsidRPr="0043758E">
        <w:rPr>
          <w:bCs/>
          <w:color w:val="555555"/>
          <w:sz w:val="20"/>
          <w:szCs w:val="20"/>
        </w:rPr>
        <w:t xml:space="preserve">Trans World Metals, Inc. v. Southwire Co., 769 F.2d 902 (1985) </w:t>
      </w:r>
      <w:r w:rsidRPr="00AC0D29">
        <w:rPr>
          <w:rFonts w:cs="Times New Roman"/>
          <w:bCs/>
          <w:sz w:val="20"/>
          <w:szCs w:val="20"/>
        </w:rPr>
        <w:t>(</w:t>
      </w:r>
      <w:r>
        <w:rPr>
          <w:rFonts w:cs="Times New Roman"/>
          <w:bCs/>
          <w:sz w:val="20"/>
          <w:szCs w:val="20"/>
        </w:rPr>
        <w:t xml:space="preserve">see </w:t>
      </w:r>
      <w:r>
        <w:rPr>
          <w:rFonts w:cs="Times New Roman"/>
          <w:bCs/>
          <w:i/>
          <w:sz w:val="20"/>
          <w:szCs w:val="20"/>
        </w:rPr>
        <w:t xml:space="preserve">supra </w:t>
      </w:r>
      <w:r>
        <w:rPr>
          <w:rFonts w:cs="Times New Roman"/>
          <w:bCs/>
          <w:sz w:val="20"/>
          <w:szCs w:val="20"/>
        </w:rPr>
        <w:t>note 44</w:t>
      </w:r>
      <w:r w:rsidRPr="00AC0D29">
        <w:rPr>
          <w:rFonts w:cs="Times New Roman"/>
          <w:bCs/>
          <w:sz w:val="20"/>
          <w:szCs w:val="20"/>
        </w:rPr>
        <w:t xml:space="preserve">), </w:t>
      </w:r>
      <w:r w:rsidRPr="0043758E">
        <w:rPr>
          <w:bCs/>
          <w:color w:val="555555"/>
          <w:sz w:val="20"/>
          <w:szCs w:val="20"/>
        </w:rPr>
        <w:t xml:space="preserve">for example, the transaction was for more than $20 million, but it was memorialized only by two conflicting forms. </w:t>
      </w:r>
    </w:p>
  </w:footnote>
  <w:footnote w:id="58">
    <w:p w14:paraId="779668B5" w14:textId="77777777" w:rsidR="0017002A" w:rsidRDefault="0017002A" w:rsidP="00E0144D">
      <w:pPr>
        <w:pStyle w:val="FootnoteText"/>
      </w:pPr>
      <w:r w:rsidRPr="0043758E">
        <w:rPr>
          <w:rStyle w:val="FootnoteReference"/>
          <w:sz w:val="20"/>
          <w:szCs w:val="20"/>
        </w:rPr>
        <w:footnoteRef/>
      </w:r>
      <w:r w:rsidRPr="0043758E">
        <w:rPr>
          <w:sz w:val="20"/>
          <w:szCs w:val="20"/>
        </w:rPr>
        <w:t xml:space="preserve"> 736 F.2d 1064 (5th Cir. 1984).</w:t>
      </w:r>
    </w:p>
  </w:footnote>
  <w:footnote w:id="59">
    <w:p w14:paraId="603BEA6B" w14:textId="6456B364" w:rsidR="0017002A" w:rsidRPr="0043758E" w:rsidRDefault="0017002A" w:rsidP="00E0144D">
      <w:pPr>
        <w:pStyle w:val="FootnoteText"/>
        <w:rPr>
          <w:sz w:val="20"/>
          <w:szCs w:val="20"/>
        </w:rPr>
      </w:pPr>
      <w:r w:rsidRPr="0043758E">
        <w:rPr>
          <w:rStyle w:val="FootnoteReference"/>
          <w:sz w:val="20"/>
          <w:szCs w:val="20"/>
        </w:rPr>
        <w:footnoteRef/>
      </w:r>
      <w:r>
        <w:rPr>
          <w:sz w:val="20"/>
          <w:szCs w:val="20"/>
        </w:rPr>
        <w:t xml:space="preserve"> </w:t>
      </w:r>
      <w:r w:rsidRPr="007B3F02">
        <w:rPr>
          <w:i/>
          <w:sz w:val="20"/>
          <w:szCs w:val="20"/>
        </w:rPr>
        <w:t>Id.</w:t>
      </w:r>
      <w:r>
        <w:rPr>
          <w:sz w:val="20"/>
          <w:szCs w:val="20"/>
        </w:rPr>
        <w:t xml:space="preserve"> a</w:t>
      </w:r>
      <w:r w:rsidRPr="0043758E">
        <w:rPr>
          <w:sz w:val="20"/>
          <w:szCs w:val="20"/>
        </w:rPr>
        <w:t>t 1069.</w:t>
      </w:r>
    </w:p>
  </w:footnote>
  <w:footnote w:id="60">
    <w:p w14:paraId="759CF38B" w14:textId="46638B28" w:rsidR="0017002A" w:rsidRPr="0043758E" w:rsidRDefault="0017002A" w:rsidP="00E0144D">
      <w:pPr>
        <w:pStyle w:val="FootnoteText"/>
        <w:rPr>
          <w:sz w:val="20"/>
          <w:szCs w:val="20"/>
        </w:rPr>
      </w:pPr>
      <w:r w:rsidRPr="0043758E">
        <w:rPr>
          <w:rStyle w:val="FootnoteReference"/>
          <w:sz w:val="20"/>
          <w:szCs w:val="20"/>
        </w:rPr>
        <w:footnoteRef/>
      </w:r>
      <w:r w:rsidRPr="0043758E">
        <w:rPr>
          <w:sz w:val="20"/>
          <w:szCs w:val="20"/>
        </w:rPr>
        <w:t xml:space="preserve"> “</w:t>
      </w:r>
      <w:r w:rsidRPr="0043758E">
        <w:rPr>
          <w:color w:val="000000"/>
          <w:sz w:val="20"/>
          <w:szCs w:val="20"/>
        </w:rPr>
        <w:t>Allowing the aggrieved buyer a commercially reasonable time, however, provides him with an opportunity to investigate his cover possibilities in a rising market without fear that, if he is unsuccessful in obtaining cover, he will be relegated to a market-contract damage remedy measured</w:t>
      </w:r>
      <w:r>
        <w:rPr>
          <w:color w:val="000000"/>
          <w:sz w:val="20"/>
          <w:szCs w:val="20"/>
        </w:rPr>
        <w:t xml:space="preserve"> at the time of repudiation.” (</w:t>
      </w:r>
      <w:r>
        <w:rPr>
          <w:i/>
          <w:color w:val="000000"/>
          <w:sz w:val="20"/>
          <w:szCs w:val="20"/>
        </w:rPr>
        <w:t>I</w:t>
      </w:r>
      <w:r w:rsidRPr="007B3F02">
        <w:rPr>
          <w:i/>
          <w:color w:val="000000"/>
          <w:sz w:val="20"/>
          <w:szCs w:val="20"/>
        </w:rPr>
        <w:t>d.</w:t>
      </w:r>
      <w:r>
        <w:rPr>
          <w:color w:val="000000"/>
          <w:sz w:val="20"/>
          <w:szCs w:val="20"/>
        </w:rPr>
        <w:t xml:space="preserve"> a</w:t>
      </w:r>
      <w:r w:rsidRPr="0043758E">
        <w:rPr>
          <w:color w:val="000000"/>
          <w:sz w:val="20"/>
          <w:szCs w:val="20"/>
        </w:rPr>
        <w:t>t 1072)</w:t>
      </w:r>
    </w:p>
  </w:footnote>
  <w:footnote w:id="61">
    <w:p w14:paraId="0E4001F5" w14:textId="5D753A6D" w:rsidR="0017002A" w:rsidRPr="007B3F02" w:rsidRDefault="0017002A" w:rsidP="008A3F5B">
      <w:pPr>
        <w:pStyle w:val="FootnoteText"/>
      </w:pPr>
      <w:r w:rsidRPr="0043758E">
        <w:rPr>
          <w:rStyle w:val="FootnoteReference"/>
          <w:sz w:val="20"/>
          <w:szCs w:val="20"/>
        </w:rPr>
        <w:footnoteRef/>
      </w:r>
      <w:r w:rsidRPr="0043758E">
        <w:rPr>
          <w:sz w:val="20"/>
          <w:szCs w:val="20"/>
        </w:rPr>
        <w:t xml:space="preserve"> Recall Lightning’s claim that Hess “knew the price [of natural gas] was going up, up, up, up, up, up.”</w:t>
      </w:r>
      <w:r>
        <w:rPr>
          <w:sz w:val="20"/>
          <w:szCs w:val="20"/>
        </w:rPr>
        <w:t xml:space="preserve"> See </w:t>
      </w:r>
      <w:r>
        <w:rPr>
          <w:i/>
          <w:sz w:val="20"/>
          <w:szCs w:val="20"/>
        </w:rPr>
        <w:t>supra</w:t>
      </w:r>
      <w:r>
        <w:rPr>
          <w:sz w:val="20"/>
          <w:szCs w:val="20"/>
        </w:rPr>
        <w:t xml:space="preserve"> note 43.</w:t>
      </w:r>
    </w:p>
  </w:footnote>
  <w:footnote w:id="62">
    <w:p w14:paraId="4B79CF98" w14:textId="049DBA12" w:rsidR="0017002A" w:rsidRPr="0043758E" w:rsidRDefault="0017002A">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At 1076.</w:t>
      </w:r>
    </w:p>
  </w:footnote>
  <w:footnote w:id="63">
    <w:p w14:paraId="1CDE9BCB" w14:textId="3569CC28" w:rsidR="0017002A" w:rsidRPr="00527DDA" w:rsidRDefault="0017002A">
      <w:pPr>
        <w:pStyle w:val="FootnoteText"/>
        <w:rPr>
          <w:sz w:val="20"/>
          <w:szCs w:val="20"/>
        </w:rPr>
      </w:pPr>
      <w:r w:rsidRPr="00527DDA">
        <w:rPr>
          <w:rStyle w:val="FootnoteReference"/>
          <w:sz w:val="20"/>
          <w:szCs w:val="20"/>
        </w:rPr>
        <w:footnoteRef/>
      </w:r>
      <w:r w:rsidRPr="00527DDA">
        <w:rPr>
          <w:sz w:val="20"/>
          <w:szCs w:val="20"/>
        </w:rPr>
        <w:t xml:space="preserve"> Rec</w:t>
      </w:r>
      <w:r>
        <w:rPr>
          <w:sz w:val="20"/>
          <w:szCs w:val="20"/>
        </w:rPr>
        <w:t xml:space="preserve">all Judge Peters’ argument (see </w:t>
      </w:r>
      <w:r>
        <w:rPr>
          <w:i/>
          <w:sz w:val="20"/>
          <w:szCs w:val="20"/>
        </w:rPr>
        <w:t xml:space="preserve">supra </w:t>
      </w:r>
      <w:r>
        <w:rPr>
          <w:sz w:val="20"/>
          <w:szCs w:val="20"/>
        </w:rPr>
        <w:t xml:space="preserve"> note 29</w:t>
      </w:r>
      <w:r w:rsidRPr="00527DDA">
        <w:rPr>
          <w:sz w:val="20"/>
          <w:szCs w:val="20"/>
        </w:rPr>
        <w:t>) that it would be easy to manipulate damages by the appropriate choice of a substitute contract.</w:t>
      </w:r>
    </w:p>
  </w:footnote>
  <w:footnote w:id="64">
    <w:p w14:paraId="7B490F2A" w14:textId="00819DA2" w:rsidR="0017002A" w:rsidRDefault="0017002A">
      <w:pPr>
        <w:pStyle w:val="FootnoteText"/>
      </w:pPr>
      <w:r w:rsidRPr="0043758E">
        <w:rPr>
          <w:rStyle w:val="FootnoteReference"/>
          <w:rFonts w:cs="Times New Roman"/>
          <w:sz w:val="20"/>
          <w:szCs w:val="20"/>
        </w:rPr>
        <w:footnoteRef/>
      </w:r>
      <w:r w:rsidRPr="0043758E">
        <w:rPr>
          <w:rFonts w:cs="Times New Roman"/>
          <w:sz w:val="20"/>
          <w:szCs w:val="20"/>
        </w:rPr>
        <w:t xml:space="preserve"> </w:t>
      </w:r>
      <w:r w:rsidRPr="0043758E">
        <w:rPr>
          <w:rFonts w:cs="Times New Roman"/>
          <w:bCs/>
          <w:color w:val="555555"/>
          <w:sz w:val="20"/>
          <w:szCs w:val="20"/>
        </w:rPr>
        <w:t xml:space="preserve">513 S.W.2d 210 (1974). In </w:t>
      </w:r>
      <w:r w:rsidRPr="0043758E">
        <w:rPr>
          <w:rFonts w:cs="Times New Roman"/>
          <w:bCs/>
          <w:i/>
          <w:color w:val="555555"/>
          <w:sz w:val="20"/>
          <w:szCs w:val="20"/>
        </w:rPr>
        <w:t>The Golden Victory</w:t>
      </w:r>
      <w:r w:rsidRPr="0043758E">
        <w:rPr>
          <w:rFonts w:cs="Times New Roman"/>
          <w:bCs/>
          <w:color w:val="555555"/>
          <w:sz w:val="20"/>
          <w:szCs w:val="20"/>
        </w:rPr>
        <w:t xml:space="preserve"> (see </w:t>
      </w:r>
      <w:r>
        <w:rPr>
          <w:rFonts w:cs="Times New Roman"/>
          <w:bCs/>
          <w:i/>
          <w:color w:val="555555"/>
          <w:sz w:val="20"/>
          <w:szCs w:val="20"/>
        </w:rPr>
        <w:t xml:space="preserve">supra </w:t>
      </w:r>
      <w:r>
        <w:rPr>
          <w:rFonts w:cs="Times New Roman"/>
          <w:bCs/>
          <w:color w:val="555555"/>
          <w:sz w:val="20"/>
          <w:szCs w:val="20"/>
        </w:rPr>
        <w:t>note 32</w:t>
      </w:r>
      <w:r w:rsidRPr="0043758E">
        <w:rPr>
          <w:rFonts w:cs="Times New Roman"/>
          <w:bCs/>
          <w:color w:val="555555"/>
          <w:sz w:val="20"/>
          <w:szCs w:val="20"/>
        </w:rPr>
        <w:t>) the repudiation was of a multi-year charter with a base price</w:t>
      </w:r>
      <w:r>
        <w:rPr>
          <w:rFonts w:cs="Times New Roman"/>
          <w:bCs/>
          <w:color w:val="555555"/>
          <w:sz w:val="20"/>
          <w:szCs w:val="20"/>
        </w:rPr>
        <w:t xml:space="preserve"> that would change over time,</w:t>
      </w:r>
      <w:r w:rsidRPr="0043758E">
        <w:rPr>
          <w:rFonts w:cs="Times New Roman"/>
          <w:bCs/>
          <w:color w:val="555555"/>
          <w:sz w:val="20"/>
          <w:szCs w:val="20"/>
        </w:rPr>
        <w:t xml:space="preserve"> a profit-sharing clause</w:t>
      </w:r>
      <w:r>
        <w:rPr>
          <w:rFonts w:cs="Times New Roman"/>
          <w:bCs/>
          <w:color w:val="555555"/>
          <w:sz w:val="20"/>
          <w:szCs w:val="20"/>
        </w:rPr>
        <w:t>, and, of course, a force majeure clause allowing either party to terminate</w:t>
      </w:r>
      <w:r w:rsidRPr="0043758E">
        <w:rPr>
          <w:rFonts w:cs="Times New Roman"/>
          <w:bCs/>
          <w:color w:val="555555"/>
          <w:sz w:val="20"/>
          <w:szCs w:val="20"/>
        </w:rPr>
        <w:t>.</w:t>
      </w:r>
    </w:p>
  </w:footnote>
  <w:footnote w:id="65">
    <w:p w14:paraId="2E3DF92A" w14:textId="77777777" w:rsidR="004A70D1" w:rsidRPr="00E06860" w:rsidRDefault="004A70D1" w:rsidP="004A70D1">
      <w:pPr>
        <w:pStyle w:val="FootnoteText"/>
        <w:rPr>
          <w:rFonts w:cs="Times New Roman"/>
          <w:sz w:val="20"/>
          <w:szCs w:val="20"/>
        </w:rPr>
      </w:pPr>
      <w:r w:rsidRPr="00E06860">
        <w:rPr>
          <w:rStyle w:val="FootnoteReference"/>
          <w:rFonts w:cs="Times New Roman"/>
          <w:sz w:val="20"/>
          <w:szCs w:val="20"/>
        </w:rPr>
        <w:footnoteRef/>
      </w:r>
      <w:r w:rsidRPr="00E06860">
        <w:rPr>
          <w:rFonts w:cs="Times New Roman"/>
          <w:sz w:val="20"/>
          <w:szCs w:val="20"/>
        </w:rPr>
        <w:t xml:space="preserve"> White and Summers, </w:t>
      </w:r>
      <w:r w:rsidRPr="00E06860">
        <w:rPr>
          <w:rFonts w:cs="Times New Roman"/>
          <w:i/>
          <w:sz w:val="20"/>
          <w:szCs w:val="20"/>
        </w:rPr>
        <w:t>supra</w:t>
      </w:r>
      <w:r w:rsidRPr="00E06860">
        <w:rPr>
          <w:rFonts w:cs="Times New Roman"/>
          <w:sz w:val="20"/>
          <w:szCs w:val="20"/>
        </w:rPr>
        <w:t xml:space="preserve"> note 15 at p. 334.</w:t>
      </w:r>
    </w:p>
  </w:footnote>
  <w:footnote w:id="66">
    <w:p w14:paraId="1A8C8857" w14:textId="77777777" w:rsidR="004A70D1" w:rsidRPr="00E06860" w:rsidRDefault="004A70D1" w:rsidP="004A70D1">
      <w:pPr>
        <w:pStyle w:val="FootnoteText"/>
        <w:rPr>
          <w:rFonts w:cs="Times New Roman"/>
          <w:sz w:val="20"/>
          <w:szCs w:val="20"/>
        </w:rPr>
      </w:pPr>
      <w:r w:rsidRPr="00E06860">
        <w:rPr>
          <w:rStyle w:val="FootnoteReference"/>
          <w:rFonts w:cs="Times New Roman"/>
          <w:sz w:val="20"/>
          <w:szCs w:val="20"/>
        </w:rPr>
        <w:footnoteRef/>
      </w:r>
      <w:r w:rsidRPr="00E06860">
        <w:rPr>
          <w:rFonts w:cs="Times New Roman"/>
          <w:sz w:val="20"/>
          <w:szCs w:val="20"/>
        </w:rPr>
        <w:t xml:space="preserve"> </w:t>
      </w:r>
      <w:r w:rsidRPr="00E06860">
        <w:rPr>
          <w:rFonts w:cs="Times New Roman"/>
          <w:i/>
          <w:sz w:val="20"/>
          <w:szCs w:val="20"/>
        </w:rPr>
        <w:t>Id.</w:t>
      </w:r>
      <w:r w:rsidRPr="00E06860">
        <w:rPr>
          <w:rFonts w:cs="Times New Roman"/>
          <w:sz w:val="20"/>
          <w:szCs w:val="20"/>
        </w:rPr>
        <w:t xml:space="preserve"> at 334.</w:t>
      </w:r>
    </w:p>
  </w:footnote>
  <w:footnote w:id="67">
    <w:p w14:paraId="1C574168" w14:textId="77777777" w:rsidR="004A70D1" w:rsidRPr="00E06860" w:rsidRDefault="004A70D1" w:rsidP="004A70D1">
      <w:pPr>
        <w:pStyle w:val="FootnoteText"/>
        <w:rPr>
          <w:rFonts w:cs="Times New Roman"/>
          <w:sz w:val="20"/>
          <w:szCs w:val="20"/>
        </w:rPr>
      </w:pPr>
      <w:r w:rsidRPr="00E06860">
        <w:rPr>
          <w:rStyle w:val="FootnoteReference"/>
          <w:rFonts w:cs="Times New Roman"/>
          <w:sz w:val="20"/>
          <w:szCs w:val="20"/>
        </w:rPr>
        <w:footnoteRef/>
      </w:r>
      <w:r w:rsidRPr="00E06860">
        <w:rPr>
          <w:rFonts w:cs="Times New Roman"/>
          <w:sz w:val="20"/>
          <w:szCs w:val="20"/>
        </w:rPr>
        <w:t xml:space="preserve"> They qualify this by accepting any price information that would become available in the period between repudiation and trial. See </w:t>
      </w:r>
      <w:r w:rsidRPr="00E06860">
        <w:rPr>
          <w:rFonts w:cs="Times New Roman"/>
          <w:i/>
          <w:sz w:val="20"/>
          <w:szCs w:val="20"/>
        </w:rPr>
        <w:t>Id.</w:t>
      </w:r>
    </w:p>
  </w:footnote>
  <w:footnote w:id="68">
    <w:p w14:paraId="5A74F76A" w14:textId="77777777" w:rsidR="004A70D1" w:rsidRPr="00E06860" w:rsidRDefault="004A70D1" w:rsidP="004A70D1">
      <w:pPr>
        <w:pStyle w:val="FootnoteText"/>
        <w:rPr>
          <w:rFonts w:cs="Times New Roman"/>
          <w:sz w:val="20"/>
          <w:szCs w:val="20"/>
        </w:rPr>
      </w:pPr>
      <w:r w:rsidRPr="00E06860">
        <w:rPr>
          <w:rStyle w:val="FootnoteReference"/>
          <w:rFonts w:cs="Times New Roman"/>
          <w:sz w:val="20"/>
          <w:szCs w:val="20"/>
        </w:rPr>
        <w:footnoteRef/>
      </w:r>
      <w:r w:rsidRPr="00E06860">
        <w:rPr>
          <w:rFonts w:cs="Times New Roman"/>
          <w:sz w:val="20"/>
          <w:szCs w:val="20"/>
        </w:rPr>
        <w:t xml:space="preserve"> </w:t>
      </w:r>
      <w:r w:rsidRPr="00E06860">
        <w:rPr>
          <w:rFonts w:cs="Times New Roman"/>
          <w:i/>
          <w:sz w:val="20"/>
          <w:szCs w:val="20"/>
        </w:rPr>
        <w:t xml:space="preserve">Id. </w:t>
      </w:r>
      <w:r w:rsidRPr="00E06860">
        <w:rPr>
          <w:rFonts w:cs="Times New Roman"/>
          <w:sz w:val="20"/>
          <w:szCs w:val="20"/>
        </w:rPr>
        <w:t>at p. 337.</w:t>
      </w:r>
    </w:p>
  </w:footnote>
  <w:footnote w:id="69">
    <w:p w14:paraId="54448608" w14:textId="77777777" w:rsidR="004A70D1" w:rsidRPr="00E06860" w:rsidRDefault="004A70D1" w:rsidP="004A70D1">
      <w:pPr>
        <w:pStyle w:val="FootnoteText"/>
        <w:rPr>
          <w:rFonts w:cs="Times New Roman"/>
          <w:sz w:val="20"/>
          <w:szCs w:val="20"/>
        </w:rPr>
      </w:pPr>
      <w:r w:rsidRPr="00E06860">
        <w:rPr>
          <w:rStyle w:val="FootnoteReference"/>
          <w:rFonts w:cs="Times New Roman"/>
          <w:sz w:val="20"/>
          <w:szCs w:val="20"/>
        </w:rPr>
        <w:footnoteRef/>
      </w:r>
      <w:r w:rsidRPr="00E06860">
        <w:rPr>
          <w:rFonts w:cs="Times New Roman"/>
          <w:sz w:val="20"/>
          <w:szCs w:val="20"/>
        </w:rPr>
        <w:t xml:space="preserve"> </w:t>
      </w:r>
      <w:r w:rsidRPr="00E06860">
        <w:rPr>
          <w:rFonts w:cs="Times New Roman"/>
          <w:i/>
          <w:sz w:val="20"/>
          <w:szCs w:val="20"/>
        </w:rPr>
        <w:t>Id.</w:t>
      </w:r>
      <w:r w:rsidRPr="00E06860">
        <w:rPr>
          <w:rFonts w:cs="Times New Roman"/>
          <w:sz w:val="20"/>
          <w:szCs w:val="20"/>
        </w:rPr>
        <w:t xml:space="preserve"> at p.  337.</w:t>
      </w:r>
    </w:p>
  </w:footnote>
  <w:footnote w:id="70">
    <w:p w14:paraId="63D6C9A7" w14:textId="77777777" w:rsidR="004A70D1" w:rsidRDefault="004A70D1" w:rsidP="004A70D1">
      <w:pPr>
        <w:pStyle w:val="FootnoteText"/>
      </w:pPr>
      <w:r w:rsidRPr="00E06860">
        <w:rPr>
          <w:rStyle w:val="FootnoteReference"/>
          <w:rFonts w:cs="Times New Roman"/>
        </w:rPr>
        <w:footnoteRef/>
      </w:r>
      <w:r w:rsidRPr="00E06860">
        <w:rPr>
          <w:rFonts w:cs="Times New Roman"/>
        </w:rPr>
        <w:t xml:space="preserve"> </w:t>
      </w:r>
      <w:r w:rsidRPr="00E06860">
        <w:rPr>
          <w:rFonts w:cs="Times New Roman"/>
          <w:bCs/>
          <w:color w:val="555555"/>
          <w:sz w:val="20"/>
          <w:szCs w:val="20"/>
        </w:rPr>
        <w:t>799 F.2d 265 (1986)</w:t>
      </w:r>
    </w:p>
  </w:footnote>
  <w:footnote w:id="71">
    <w:p w14:paraId="42030953" w14:textId="77777777" w:rsidR="004A70D1" w:rsidRPr="007950AE" w:rsidRDefault="004A70D1" w:rsidP="004A70D1">
      <w:pPr>
        <w:pStyle w:val="FootnoteText"/>
        <w:rPr>
          <w:rFonts w:cs="Times New Roman"/>
          <w:sz w:val="20"/>
          <w:szCs w:val="20"/>
        </w:rPr>
      </w:pPr>
      <w:r w:rsidRPr="007950AE">
        <w:rPr>
          <w:rStyle w:val="FootnoteReference"/>
          <w:rFonts w:cs="Times New Roman"/>
          <w:sz w:val="20"/>
          <w:szCs w:val="20"/>
        </w:rPr>
        <w:footnoteRef/>
      </w:r>
      <w:r w:rsidRPr="007950AE">
        <w:rPr>
          <w:rFonts w:cs="Times New Roman"/>
          <w:sz w:val="20"/>
          <w:szCs w:val="20"/>
        </w:rPr>
        <w:t xml:space="preserve"> At 279.</w:t>
      </w:r>
    </w:p>
  </w:footnote>
  <w:footnote w:id="72">
    <w:p w14:paraId="09898016" w14:textId="77777777" w:rsidR="004A70D1" w:rsidRPr="007950AE" w:rsidRDefault="004A70D1" w:rsidP="004A70D1">
      <w:pPr>
        <w:pStyle w:val="FootnoteText"/>
        <w:rPr>
          <w:rFonts w:cs="Times New Roman"/>
          <w:sz w:val="20"/>
          <w:szCs w:val="20"/>
        </w:rPr>
      </w:pPr>
      <w:r w:rsidRPr="007950AE">
        <w:rPr>
          <w:rStyle w:val="FootnoteReference"/>
          <w:rFonts w:cs="Times New Roman"/>
          <w:sz w:val="20"/>
          <w:szCs w:val="20"/>
        </w:rPr>
        <w:footnoteRef/>
      </w:r>
      <w:r w:rsidRPr="007950AE">
        <w:rPr>
          <w:rFonts w:cs="Times New Roman"/>
          <w:sz w:val="20"/>
          <w:szCs w:val="20"/>
        </w:rPr>
        <w:t xml:space="preserve"> There is a long list of economically minded scholars who have criticized American law’s hostility to penalty clauses. For my contributions to that literature, see Framing Contract Law, ch. 17 and Rethinking Contract Law and Design, ch. 7.</w:t>
      </w:r>
    </w:p>
  </w:footnote>
  <w:footnote w:id="73">
    <w:p w14:paraId="7B0371AE" w14:textId="77777777" w:rsidR="004A70D1" w:rsidRPr="00E06860" w:rsidRDefault="004A70D1" w:rsidP="004A70D1">
      <w:pPr>
        <w:pStyle w:val="FootnoteText"/>
        <w:rPr>
          <w:rFonts w:cs="Times New Roman"/>
          <w:sz w:val="20"/>
          <w:szCs w:val="20"/>
        </w:rPr>
      </w:pPr>
      <w:r w:rsidRPr="00E06860">
        <w:rPr>
          <w:rStyle w:val="FootnoteReference"/>
          <w:rFonts w:cs="Times New Roman"/>
          <w:sz w:val="20"/>
          <w:szCs w:val="20"/>
        </w:rPr>
        <w:footnoteRef/>
      </w:r>
      <w:r w:rsidRPr="00E06860">
        <w:rPr>
          <w:rFonts w:cs="Times New Roman"/>
          <w:sz w:val="20"/>
          <w:szCs w:val="20"/>
        </w:rPr>
        <w:t xml:space="preserve"> </w:t>
      </w:r>
      <w:r w:rsidRPr="00E06860">
        <w:rPr>
          <w:rFonts w:cs="Times New Roman"/>
          <w:bCs/>
          <w:color w:val="555555"/>
          <w:sz w:val="20"/>
          <w:szCs w:val="20"/>
        </w:rPr>
        <w:t>Tractebel Energy Marketing, Inc. v. AEP Power Marketing, Inc., 487 F.3d 89, 104 (2007).</w:t>
      </w:r>
    </w:p>
  </w:footnote>
  <w:footnote w:id="74">
    <w:p w14:paraId="4E2D0810" w14:textId="77777777" w:rsidR="004A70D1" w:rsidRPr="00E06860" w:rsidRDefault="004A70D1" w:rsidP="004A70D1">
      <w:pPr>
        <w:pStyle w:val="FootnoteText"/>
        <w:rPr>
          <w:rFonts w:cs="Times New Roman"/>
          <w:sz w:val="20"/>
          <w:szCs w:val="20"/>
        </w:rPr>
      </w:pPr>
      <w:r w:rsidRPr="00E06860">
        <w:rPr>
          <w:rStyle w:val="FootnoteReference"/>
          <w:rFonts w:cs="Times New Roman"/>
          <w:sz w:val="20"/>
          <w:szCs w:val="20"/>
        </w:rPr>
        <w:footnoteRef/>
      </w:r>
      <w:r w:rsidRPr="00E06860">
        <w:rPr>
          <w:rFonts w:cs="Times New Roman"/>
          <w:sz w:val="20"/>
          <w:szCs w:val="20"/>
        </w:rPr>
        <w:t xml:space="preserve"> 769 F. 2d 1284 (7</w:t>
      </w:r>
      <w:r w:rsidRPr="00E06860">
        <w:rPr>
          <w:rFonts w:cs="Times New Roman"/>
          <w:sz w:val="20"/>
          <w:szCs w:val="20"/>
          <w:vertAlign w:val="superscript"/>
        </w:rPr>
        <w:t>th</w:t>
      </w:r>
      <w:r w:rsidRPr="00E06860">
        <w:rPr>
          <w:rFonts w:cs="Times New Roman"/>
          <w:sz w:val="20"/>
          <w:szCs w:val="20"/>
        </w:rPr>
        <w:t xml:space="preserve"> Cir. 1985).</w:t>
      </w:r>
    </w:p>
  </w:footnote>
  <w:footnote w:id="75">
    <w:p w14:paraId="309B1E5D" w14:textId="77777777" w:rsidR="004A70D1" w:rsidRPr="00E06860" w:rsidRDefault="004A70D1" w:rsidP="004A70D1">
      <w:pPr>
        <w:pStyle w:val="FootnoteText"/>
        <w:rPr>
          <w:rFonts w:cs="Times New Roman"/>
        </w:rPr>
      </w:pPr>
      <w:r w:rsidRPr="00E06860">
        <w:rPr>
          <w:rStyle w:val="FootnoteReference"/>
          <w:rFonts w:cs="Times New Roman"/>
          <w:sz w:val="20"/>
          <w:szCs w:val="20"/>
        </w:rPr>
        <w:footnoteRef/>
      </w:r>
      <w:r w:rsidRPr="00E06860">
        <w:rPr>
          <w:rFonts w:cs="Times New Roman"/>
        </w:rPr>
        <w:t xml:space="preserve"> </w:t>
      </w:r>
      <w:r w:rsidRPr="00E06860">
        <w:rPr>
          <w:rFonts w:cs="Times New Roman"/>
          <w:sz w:val="20"/>
          <w:szCs w:val="20"/>
        </w:rPr>
        <w:t>Over 100 cases were filed.</w:t>
      </w:r>
      <w:r w:rsidRPr="00E06860">
        <w:rPr>
          <w:rFonts w:cs="Times New Roman"/>
        </w:rPr>
        <w:t xml:space="preserve"> </w:t>
      </w:r>
      <w:hyperlink r:id="rId3" w:history="1">
        <w:r w:rsidRPr="00E06860">
          <w:rPr>
            <w:rFonts w:cs="Times New Roman"/>
            <w:color w:val="000000"/>
            <w:sz w:val="20"/>
            <w:szCs w:val="20"/>
          </w:rPr>
          <w:t>J. Michael Medina</w:t>
        </w:r>
      </w:hyperlink>
      <w:r w:rsidRPr="00E06860">
        <w:rPr>
          <w:rFonts w:cs="Times New Roman"/>
          <w:color w:val="000000"/>
          <w:sz w:val="20"/>
          <w:szCs w:val="20"/>
        </w:rPr>
        <w:t xml:space="preserve"> et al., Take or Litigate: </w:t>
      </w:r>
      <w:r w:rsidRPr="00E06860">
        <w:rPr>
          <w:rFonts w:cs="Times New Roman"/>
          <w:sz w:val="20"/>
          <w:szCs w:val="20"/>
        </w:rPr>
        <w:t>Enforcing The Plain Meaning Of The Take-Or-Pay Clause In Natural Gas Contracts, 40 Ark. L. Rev. 185, 187 (1986).</w:t>
      </w:r>
    </w:p>
  </w:footnote>
  <w:footnote w:id="76">
    <w:p w14:paraId="49E89360" w14:textId="77777777" w:rsidR="004A70D1" w:rsidRPr="00E06860" w:rsidRDefault="004A70D1" w:rsidP="004A70D1">
      <w:pPr>
        <w:pStyle w:val="FootnoteText"/>
        <w:rPr>
          <w:rFonts w:cs="Times New Roman"/>
        </w:rPr>
      </w:pPr>
      <w:r w:rsidRPr="00E06860">
        <w:rPr>
          <w:rStyle w:val="FootnoteReference"/>
          <w:rFonts w:cs="Times New Roman"/>
          <w:sz w:val="20"/>
          <w:szCs w:val="20"/>
        </w:rPr>
        <w:footnoteRef/>
      </w:r>
      <w:r w:rsidRPr="00E06860">
        <w:rPr>
          <w:rFonts w:cs="Times New Roman"/>
          <w:sz w:val="20"/>
          <w:szCs w:val="20"/>
        </w:rPr>
        <w:t xml:space="preserve"> UCC 2-612 distinguishes between non-conforming installments which substantially impair the contract as a whole and those that do not. Of course, a shortfall in a single installment in a take-or-pay contract is not an impairment; it is the exercise by the buyer of a contractually defined option.</w:t>
      </w:r>
    </w:p>
  </w:footnote>
  <w:footnote w:id="77">
    <w:p w14:paraId="5690CCFB" w14:textId="77777777" w:rsidR="0017002A" w:rsidRPr="0043758E" w:rsidRDefault="0017002A" w:rsidP="006D3348">
      <w:pPr>
        <w:widowControl w:val="0"/>
        <w:autoSpaceDE w:val="0"/>
        <w:autoSpaceDN w:val="0"/>
        <w:adjustRightInd w:val="0"/>
        <w:ind w:right="806"/>
        <w:rPr>
          <w:rFonts w:cs="Times New Roman"/>
          <w:color w:val="000000"/>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43758E">
        <w:rPr>
          <w:rFonts w:cs="Times New Roman"/>
          <w:bCs/>
          <w:i/>
          <w:color w:val="555555"/>
          <w:sz w:val="20"/>
          <w:szCs w:val="20"/>
        </w:rPr>
        <w:t>Manchester Pipeline Corp. v. Peoples Natural Gas. Co</w:t>
      </w:r>
      <w:r w:rsidRPr="0043758E">
        <w:rPr>
          <w:rFonts w:cs="Times New Roman"/>
          <w:bCs/>
          <w:color w:val="555555"/>
          <w:sz w:val="20"/>
          <w:szCs w:val="20"/>
        </w:rPr>
        <w:t>., 862 F.2d 1439, 1440 (1988)</w:t>
      </w:r>
      <w:r w:rsidRPr="0043758E">
        <w:rPr>
          <w:rFonts w:cs="Times New Roman"/>
          <w:color w:val="000000"/>
          <w:sz w:val="20"/>
          <w:szCs w:val="20"/>
        </w:rPr>
        <w:t>.</w:t>
      </w:r>
    </w:p>
  </w:footnote>
  <w:footnote w:id="78">
    <w:p w14:paraId="0C14937A" w14:textId="297FCB0F" w:rsidR="0017002A" w:rsidRPr="00E26126" w:rsidRDefault="0017002A" w:rsidP="00A01CA4">
      <w:pPr>
        <w:pStyle w:val="FootnoteText"/>
        <w:rPr>
          <w:rFonts w:cs="Times New Roman"/>
        </w:rPr>
      </w:pPr>
      <w:r w:rsidRPr="0043758E">
        <w:rPr>
          <w:rStyle w:val="FootnoteReference"/>
          <w:rFonts w:cs="Times New Roman"/>
          <w:sz w:val="20"/>
          <w:szCs w:val="20"/>
        </w:rPr>
        <w:footnoteRef/>
      </w:r>
      <w:r w:rsidRPr="0043758E">
        <w:rPr>
          <w:rFonts w:cs="Times New Roman"/>
          <w:sz w:val="20"/>
          <w:szCs w:val="20"/>
        </w:rPr>
        <w:t xml:space="preserve"> </w:t>
      </w:r>
      <w:r>
        <w:rPr>
          <w:rFonts w:cs="Times New Roman"/>
          <w:i/>
          <w:sz w:val="20"/>
          <w:szCs w:val="20"/>
        </w:rPr>
        <w:t>Id.</w:t>
      </w:r>
      <w:r w:rsidRPr="0043758E">
        <w:rPr>
          <w:rFonts w:cs="Times New Roman"/>
          <w:sz w:val="20"/>
          <w:szCs w:val="20"/>
        </w:rPr>
        <w:t xml:space="preserve"> </w:t>
      </w:r>
      <w:r>
        <w:rPr>
          <w:rFonts w:cs="Times New Roman"/>
          <w:sz w:val="20"/>
          <w:szCs w:val="20"/>
        </w:rPr>
        <w:t xml:space="preserve">at </w:t>
      </w:r>
      <w:r w:rsidRPr="0043758E">
        <w:rPr>
          <w:rFonts w:cs="Times New Roman"/>
          <w:sz w:val="20"/>
          <w:szCs w:val="20"/>
        </w:rPr>
        <w:t>1446. The Scissortail contract was a spot contract Manchester entered into when PNG repudiated.</w:t>
      </w:r>
    </w:p>
  </w:footnote>
  <w:footnote w:id="79">
    <w:p w14:paraId="0C6A5E14" w14:textId="5946F813" w:rsidR="0017002A" w:rsidRPr="0043758E" w:rsidRDefault="0017002A" w:rsidP="00A01CA4">
      <w:pPr>
        <w:pStyle w:val="FootnoteText"/>
        <w:rPr>
          <w:rFonts w:cs="Times New Roman"/>
          <w:sz w:val="20"/>
          <w:szCs w:val="20"/>
        </w:rPr>
      </w:pPr>
      <w:r w:rsidRPr="0043758E">
        <w:rPr>
          <w:rStyle w:val="FootnoteReference"/>
          <w:rFonts w:cs="Times New Roman"/>
          <w:sz w:val="20"/>
          <w:szCs w:val="20"/>
        </w:rPr>
        <w:footnoteRef/>
      </w:r>
      <w:r>
        <w:rPr>
          <w:rFonts w:cs="Times New Roman"/>
          <w:sz w:val="20"/>
          <w:szCs w:val="20"/>
        </w:rPr>
        <w:t xml:space="preserve"> </w:t>
      </w:r>
      <w:r>
        <w:rPr>
          <w:rFonts w:cs="Times New Roman"/>
          <w:i/>
          <w:sz w:val="20"/>
          <w:szCs w:val="20"/>
        </w:rPr>
        <w:t>Id.</w:t>
      </w:r>
      <w:r>
        <w:rPr>
          <w:rFonts w:cs="Times New Roman"/>
          <w:sz w:val="20"/>
          <w:szCs w:val="20"/>
        </w:rPr>
        <w:t xml:space="preserve"> c</w:t>
      </w:r>
      <w:r w:rsidRPr="0043758E">
        <w:rPr>
          <w:rFonts w:cs="Times New Roman"/>
          <w:sz w:val="20"/>
          <w:szCs w:val="20"/>
        </w:rPr>
        <w:t>ited at 1447.</w:t>
      </w:r>
      <w:r w:rsidRPr="00A34B72">
        <w:rPr>
          <w:rFonts w:cs="Times New Roman"/>
          <w:i/>
          <w:sz w:val="20"/>
          <w:szCs w:val="20"/>
        </w:rPr>
        <w:t xml:space="preserve"> </w:t>
      </w:r>
    </w:p>
  </w:footnote>
  <w:footnote w:id="80">
    <w:p w14:paraId="67A7E5ED" w14:textId="52BA515F" w:rsidR="0017002A" w:rsidRPr="0043758E" w:rsidRDefault="0017002A" w:rsidP="00A01CA4">
      <w:pPr>
        <w:pStyle w:val="FootnoteText"/>
        <w:rPr>
          <w:sz w:val="20"/>
          <w:szCs w:val="20"/>
        </w:rPr>
      </w:pPr>
      <w:r w:rsidRPr="0043758E">
        <w:rPr>
          <w:rStyle w:val="FootnoteReference"/>
          <w:rFonts w:cs="Times New Roman"/>
          <w:sz w:val="20"/>
          <w:szCs w:val="20"/>
        </w:rPr>
        <w:footnoteRef/>
      </w:r>
      <w:r w:rsidRPr="0043758E">
        <w:rPr>
          <w:rFonts w:cs="Times New Roman"/>
          <w:sz w:val="20"/>
          <w:szCs w:val="20"/>
        </w:rPr>
        <w:t xml:space="preserve"> </w:t>
      </w:r>
      <w:r>
        <w:rPr>
          <w:rFonts w:cs="Times New Roman"/>
          <w:i/>
          <w:sz w:val="20"/>
          <w:szCs w:val="20"/>
        </w:rPr>
        <w:t xml:space="preserve">Id. </w:t>
      </w:r>
      <w:r>
        <w:rPr>
          <w:rFonts w:cs="Times New Roman"/>
          <w:sz w:val="20"/>
          <w:szCs w:val="20"/>
        </w:rPr>
        <w:t>c</w:t>
      </w:r>
      <w:r w:rsidRPr="0043758E">
        <w:rPr>
          <w:rFonts w:cs="Times New Roman"/>
          <w:sz w:val="20"/>
          <w:szCs w:val="20"/>
        </w:rPr>
        <w:t>ited at 1446.</w:t>
      </w:r>
    </w:p>
  </w:footnote>
  <w:footnote w:id="81">
    <w:p w14:paraId="2EE06C4C" w14:textId="43A753CA" w:rsidR="0017002A" w:rsidRPr="0043758E" w:rsidRDefault="0017002A">
      <w:pPr>
        <w:pStyle w:val="FootnoteText"/>
        <w:rPr>
          <w:sz w:val="20"/>
          <w:szCs w:val="20"/>
        </w:rPr>
      </w:pPr>
      <w:r w:rsidRPr="0043758E">
        <w:rPr>
          <w:rStyle w:val="FootnoteReference"/>
          <w:sz w:val="20"/>
          <w:szCs w:val="20"/>
        </w:rPr>
        <w:footnoteRef/>
      </w:r>
      <w:r w:rsidRPr="0043758E">
        <w:rPr>
          <w:sz w:val="20"/>
          <w:szCs w:val="20"/>
        </w:rPr>
        <w:t xml:space="preserve"> If the inflation rate were high</w:t>
      </w:r>
      <w:r>
        <w:rPr>
          <w:sz w:val="20"/>
          <w:szCs w:val="20"/>
        </w:rPr>
        <w:t>, say 7%,</w:t>
      </w:r>
      <w:r w:rsidRPr="0043758E">
        <w:rPr>
          <w:sz w:val="20"/>
          <w:szCs w:val="20"/>
        </w:rPr>
        <w:t xml:space="preserve"> and if the nominal price of gas </w:t>
      </w:r>
      <w:r>
        <w:rPr>
          <w:sz w:val="20"/>
          <w:szCs w:val="20"/>
        </w:rPr>
        <w:t xml:space="preserve">was treated as </w:t>
      </w:r>
      <w:r w:rsidRPr="0043758E">
        <w:rPr>
          <w:sz w:val="20"/>
          <w:szCs w:val="20"/>
        </w:rPr>
        <w:t xml:space="preserve">unchanged for the ten years, the court would implicitly assume that the real price of gas </w:t>
      </w:r>
      <w:r>
        <w:rPr>
          <w:sz w:val="20"/>
          <w:szCs w:val="20"/>
        </w:rPr>
        <w:t>had fallen by half over the ten years</w:t>
      </w:r>
      <w:r w:rsidRPr="0043758E">
        <w:rPr>
          <w:sz w:val="20"/>
          <w:szCs w:val="20"/>
        </w:rPr>
        <w:t>.</w:t>
      </w:r>
    </w:p>
  </w:footnote>
  <w:footnote w:id="82">
    <w:p w14:paraId="1DDEA275" w14:textId="737C448E" w:rsidR="0017002A" w:rsidRPr="0043758E" w:rsidRDefault="0017002A" w:rsidP="007750F0">
      <w:pPr>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A market-out clause allows the buyer to unilaterally modify the contract price. In 1982, one buyer in take-or-pay gas contracts, Tenneco, unilaterally modified 1400 contracts which had immediately exercisable market-out clauses; it had 20 contracts without such clauses.</w:t>
      </w:r>
      <w:r>
        <w:rPr>
          <w:rFonts w:cs="Times New Roman"/>
          <w:sz w:val="20"/>
          <w:szCs w:val="20"/>
        </w:rPr>
        <w:t xml:space="preserve"> See</w:t>
      </w:r>
      <w:r w:rsidRPr="0043758E">
        <w:rPr>
          <w:rFonts w:cs="Times New Roman"/>
          <w:sz w:val="20"/>
          <w:szCs w:val="20"/>
        </w:rPr>
        <w:t xml:space="preserve"> </w:t>
      </w:r>
      <w:r w:rsidRPr="0043758E">
        <w:rPr>
          <w:rFonts w:cs="Times New Roman"/>
          <w:bCs/>
          <w:i/>
          <w:color w:val="555555"/>
          <w:sz w:val="20"/>
          <w:szCs w:val="20"/>
        </w:rPr>
        <w:t>Forest Oil Corp. v. Tenneco, Inc.,</w:t>
      </w:r>
      <w:r w:rsidRPr="0043758E">
        <w:rPr>
          <w:rFonts w:cs="Times New Roman"/>
          <w:bCs/>
          <w:color w:val="555555"/>
          <w:sz w:val="20"/>
          <w:szCs w:val="20"/>
        </w:rPr>
        <w:t xml:space="preserve"> 622 F.Supp. 152, 153 (1985).</w:t>
      </w:r>
    </w:p>
  </w:footnote>
  <w:footnote w:id="83">
    <w:p w14:paraId="2F2CABEF" w14:textId="77777777" w:rsidR="0017002A" w:rsidRPr="0043758E" w:rsidRDefault="0017002A" w:rsidP="00A01CA4">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43758E">
        <w:rPr>
          <w:rFonts w:cs="Times New Roman"/>
          <w:bCs/>
          <w:i/>
          <w:color w:val="555555"/>
          <w:sz w:val="20"/>
          <w:szCs w:val="20"/>
        </w:rPr>
        <w:t>Prenalta Corp. v. Colorado Interstate Gas. Co.,</w:t>
      </w:r>
      <w:r w:rsidRPr="0043758E">
        <w:rPr>
          <w:rFonts w:cs="Times New Roman"/>
          <w:bCs/>
          <w:color w:val="555555"/>
          <w:sz w:val="20"/>
          <w:szCs w:val="20"/>
        </w:rPr>
        <w:t xml:space="preserve"> 944 F.2d 677 (1991).</w:t>
      </w:r>
    </w:p>
  </w:footnote>
  <w:footnote w:id="84">
    <w:p w14:paraId="5FCCCCCF" w14:textId="61524A07" w:rsidR="0017002A" w:rsidRPr="007750F0" w:rsidRDefault="0017002A" w:rsidP="00A01CA4">
      <w:pPr>
        <w:pStyle w:val="FootnoteText"/>
        <w:rPr>
          <w:rFonts w:cs="Times New Roman"/>
        </w:rPr>
      </w:pPr>
      <w:r w:rsidRPr="0043758E">
        <w:rPr>
          <w:rStyle w:val="FootnoteReference"/>
          <w:rFonts w:cs="Times New Roman"/>
          <w:sz w:val="20"/>
          <w:szCs w:val="20"/>
        </w:rPr>
        <w:footnoteRef/>
      </w:r>
      <w:r w:rsidRPr="0043758E">
        <w:rPr>
          <w:rFonts w:cs="Times New Roman"/>
          <w:sz w:val="20"/>
          <w:szCs w:val="20"/>
        </w:rPr>
        <w:t xml:space="preserve"> </w:t>
      </w:r>
      <w:r>
        <w:rPr>
          <w:rFonts w:cs="Times New Roman"/>
          <w:i/>
          <w:sz w:val="20"/>
          <w:szCs w:val="20"/>
        </w:rPr>
        <w:t xml:space="preserve">Id. </w:t>
      </w:r>
      <w:r>
        <w:rPr>
          <w:rFonts w:cs="Times New Roman"/>
          <w:sz w:val="20"/>
          <w:szCs w:val="20"/>
        </w:rPr>
        <w:t>at</w:t>
      </w:r>
      <w:r w:rsidRPr="0043758E">
        <w:rPr>
          <w:rFonts w:cs="Times New Roman"/>
          <w:sz w:val="20"/>
          <w:szCs w:val="20"/>
        </w:rPr>
        <w:t xml:space="preserve"> 680.</w:t>
      </w:r>
    </w:p>
  </w:footnote>
  <w:footnote w:id="85">
    <w:p w14:paraId="4EDA0AFF" w14:textId="379C1C6F" w:rsidR="0017002A" w:rsidRPr="0043758E" w:rsidRDefault="0017002A" w:rsidP="00A01CA4">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Pr>
          <w:rFonts w:cs="Times New Roman"/>
          <w:i/>
          <w:sz w:val="20"/>
          <w:szCs w:val="20"/>
        </w:rPr>
        <w:t xml:space="preserve">Id. </w:t>
      </w:r>
      <w:r>
        <w:rPr>
          <w:rFonts w:cs="Times New Roman"/>
          <w:sz w:val="20"/>
          <w:szCs w:val="20"/>
        </w:rPr>
        <w:t>at</w:t>
      </w:r>
      <w:r w:rsidRPr="0043758E">
        <w:rPr>
          <w:rFonts w:cs="Times New Roman"/>
          <w:sz w:val="20"/>
          <w:szCs w:val="20"/>
        </w:rPr>
        <w:t xml:space="preserve"> 681.</w:t>
      </w:r>
    </w:p>
  </w:footnote>
  <w:footnote w:id="86">
    <w:p w14:paraId="1DE4C4C3" w14:textId="77777777" w:rsidR="0017002A" w:rsidRPr="0043758E" w:rsidRDefault="0017002A" w:rsidP="005E178A">
      <w:pPr>
        <w:pStyle w:val="FootnoteText"/>
        <w:rPr>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43758E">
        <w:rPr>
          <w:rFonts w:cs="Times New Roman"/>
          <w:color w:val="000000"/>
          <w:sz w:val="20"/>
          <w:szCs w:val="20"/>
        </w:rPr>
        <w:t xml:space="preserve">§ 1082 of </w:t>
      </w:r>
      <w:r w:rsidRPr="0043758E">
        <w:rPr>
          <w:rFonts w:cs="Times New Roman"/>
          <w:i/>
          <w:iCs/>
          <w:color w:val="000000"/>
          <w:sz w:val="20"/>
          <w:szCs w:val="20"/>
        </w:rPr>
        <w:t>Corbin on Contracts</w:t>
      </w:r>
    </w:p>
  </w:footnote>
  <w:footnote w:id="87">
    <w:p w14:paraId="6C5D246F" w14:textId="77777777" w:rsidR="0017002A" w:rsidRPr="0043758E" w:rsidRDefault="0017002A" w:rsidP="005E178A">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43758E">
        <w:rPr>
          <w:rFonts w:cs="Times New Roman"/>
          <w:color w:val="000000"/>
          <w:sz w:val="20"/>
          <w:szCs w:val="20"/>
        </w:rPr>
        <w:t xml:space="preserve">§ 1085 of </w:t>
      </w:r>
      <w:r w:rsidRPr="0043758E">
        <w:rPr>
          <w:rFonts w:cs="Times New Roman"/>
          <w:i/>
          <w:iCs/>
          <w:color w:val="000000"/>
          <w:sz w:val="20"/>
          <w:szCs w:val="20"/>
        </w:rPr>
        <w:t xml:space="preserve">Corbin on Contracts. </w:t>
      </w:r>
      <w:r w:rsidRPr="0043758E">
        <w:rPr>
          <w:rFonts w:cs="Times New Roman"/>
          <w:iCs/>
          <w:color w:val="000000"/>
          <w:sz w:val="20"/>
          <w:szCs w:val="20"/>
        </w:rPr>
        <w:t>(emphasis added by court)</w:t>
      </w:r>
    </w:p>
  </w:footnote>
  <w:footnote w:id="88">
    <w:p w14:paraId="4C4BADFC" w14:textId="249871CA" w:rsidR="0017002A" w:rsidRPr="0043758E" w:rsidRDefault="0017002A" w:rsidP="005E178A">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185591">
        <w:rPr>
          <w:rFonts w:cs="Times New Roman"/>
          <w:bCs/>
          <w:sz w:val="20"/>
          <w:szCs w:val="20"/>
        </w:rPr>
        <w:t>944 F.2d 677 (1991)</w:t>
      </w:r>
      <w:r>
        <w:rPr>
          <w:rFonts w:cs="Times New Roman"/>
          <w:bCs/>
          <w:sz w:val="20"/>
          <w:szCs w:val="20"/>
        </w:rPr>
        <w:t xml:space="preserve"> a</w:t>
      </w:r>
      <w:r w:rsidRPr="00344B52">
        <w:rPr>
          <w:rFonts w:cs="Times New Roman"/>
          <w:sz w:val="20"/>
          <w:szCs w:val="20"/>
        </w:rPr>
        <w:t>t 687.</w:t>
      </w:r>
    </w:p>
  </w:footnote>
  <w:footnote w:id="89">
    <w:p w14:paraId="0E5E7989" w14:textId="71F0EC7F" w:rsidR="0017002A" w:rsidRPr="00B57C61" w:rsidRDefault="0017002A" w:rsidP="005E178A">
      <w:pPr>
        <w:pStyle w:val="FootnoteText"/>
        <w:rPr>
          <w:rFonts w:cs="Times New Roman"/>
        </w:rPr>
      </w:pPr>
      <w:r w:rsidRPr="0043758E">
        <w:rPr>
          <w:rStyle w:val="FootnoteReference"/>
          <w:rFonts w:cs="Times New Roman"/>
          <w:sz w:val="20"/>
          <w:szCs w:val="20"/>
        </w:rPr>
        <w:footnoteRef/>
      </w:r>
      <w:r>
        <w:rPr>
          <w:rFonts w:cs="Times New Roman"/>
          <w:sz w:val="20"/>
          <w:szCs w:val="20"/>
        </w:rPr>
        <w:t xml:space="preserve"> </w:t>
      </w:r>
      <w:r w:rsidRPr="00A34B72">
        <w:rPr>
          <w:rFonts w:cs="Times New Roman"/>
          <w:i/>
          <w:sz w:val="20"/>
          <w:szCs w:val="20"/>
        </w:rPr>
        <w:t>Id.</w:t>
      </w:r>
      <w:r>
        <w:rPr>
          <w:rFonts w:cs="Times New Roman"/>
          <w:sz w:val="20"/>
          <w:szCs w:val="20"/>
        </w:rPr>
        <w:t xml:space="preserve"> a</w:t>
      </w:r>
      <w:r w:rsidRPr="0043758E">
        <w:rPr>
          <w:rFonts w:cs="Times New Roman"/>
          <w:sz w:val="20"/>
          <w:szCs w:val="20"/>
        </w:rPr>
        <w:t>t 688.</w:t>
      </w:r>
      <w:r w:rsidRPr="00B57C61">
        <w:rPr>
          <w:rFonts w:cs="Times New Roman"/>
          <w:i/>
          <w:iCs/>
          <w:color w:val="000000"/>
        </w:rPr>
        <w:t xml:space="preserve"> </w:t>
      </w:r>
    </w:p>
  </w:footnote>
  <w:footnote w:id="90">
    <w:p w14:paraId="59694034" w14:textId="77777777" w:rsidR="0017002A" w:rsidRPr="0043758E" w:rsidRDefault="0017002A" w:rsidP="005E178A">
      <w:pPr>
        <w:pStyle w:val="NormalWeb"/>
        <w:spacing w:before="0" w:beforeAutospacing="0" w:after="0"/>
        <w:rPr>
          <w:rFonts w:ascii="Times New Roman" w:hAnsi="Times New Roman"/>
        </w:rPr>
      </w:pPr>
      <w:r w:rsidRPr="0043758E">
        <w:rPr>
          <w:rStyle w:val="FootnoteReference"/>
          <w:rFonts w:ascii="Times New Roman" w:hAnsi="Times New Roman"/>
        </w:rPr>
        <w:footnoteRef/>
      </w:r>
      <w:r w:rsidRPr="0043758E">
        <w:rPr>
          <w:rFonts w:ascii="Times New Roman" w:hAnsi="Times New Roman"/>
        </w:rPr>
        <w:t xml:space="preserve"> </w:t>
      </w:r>
      <w:r w:rsidRPr="0043758E">
        <w:rPr>
          <w:rFonts w:ascii="Times New Roman" w:hAnsi="Times New Roman"/>
          <w:i/>
          <w:iCs/>
          <w:color w:val="000000"/>
        </w:rPr>
        <w:t>Roye Realty &amp; Developing, Inc. v. Arkla, Inc.,</w:t>
      </w:r>
      <w:r w:rsidRPr="0043758E">
        <w:rPr>
          <w:rFonts w:ascii="Times New Roman" w:hAnsi="Times New Roman"/>
          <w:color w:val="000000"/>
        </w:rPr>
        <w:t xml:space="preserve"> 863 P.2d 1150 (Okla.1993).</w:t>
      </w:r>
    </w:p>
  </w:footnote>
  <w:footnote w:id="91">
    <w:p w14:paraId="28E14258" w14:textId="77777777" w:rsidR="0017002A" w:rsidRPr="0043758E" w:rsidRDefault="0017002A" w:rsidP="005E178A">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43758E">
        <w:rPr>
          <w:rFonts w:cs="Times New Roman"/>
          <w:bCs/>
          <w:color w:val="555555"/>
          <w:sz w:val="20"/>
          <w:szCs w:val="20"/>
        </w:rPr>
        <w:t>854 P.2d 1232 (1993).</w:t>
      </w:r>
    </w:p>
  </w:footnote>
  <w:footnote w:id="92">
    <w:p w14:paraId="35D0F703" w14:textId="5B68718F" w:rsidR="0017002A" w:rsidRPr="0043758E" w:rsidRDefault="0017002A" w:rsidP="00A01CA4">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AC0D29">
        <w:rPr>
          <w:sz w:val="20"/>
          <w:szCs w:val="20"/>
        </w:rPr>
        <w:t xml:space="preserve">863 P.2d 1150 (Okla.1993) </w:t>
      </w:r>
      <w:r w:rsidRPr="00A941BF">
        <w:rPr>
          <w:rFonts w:cs="Times New Roman"/>
          <w:sz w:val="20"/>
          <w:szCs w:val="20"/>
        </w:rPr>
        <w:t>at</w:t>
      </w:r>
      <w:r>
        <w:rPr>
          <w:rFonts w:cs="Times New Roman"/>
          <w:sz w:val="20"/>
          <w:szCs w:val="20"/>
        </w:rPr>
        <w:t xml:space="preserve"> 1152</w:t>
      </w:r>
      <w:r w:rsidRPr="0043758E">
        <w:rPr>
          <w:rFonts w:cs="Times New Roman"/>
          <w:sz w:val="20"/>
          <w:szCs w:val="20"/>
        </w:rPr>
        <w:t xml:space="preserve">. </w:t>
      </w:r>
      <w:r w:rsidRPr="0043758E">
        <w:rPr>
          <w:color w:val="000000"/>
          <w:sz w:val="20"/>
          <w:szCs w:val="20"/>
        </w:rPr>
        <w:t xml:space="preserve">Regarding the second part of the question the court noted: </w:t>
      </w:r>
      <w:r w:rsidRPr="0043758E">
        <w:rPr>
          <w:rFonts w:cs="Times New Roman"/>
          <w:color w:val="000000"/>
          <w:sz w:val="20"/>
          <w:szCs w:val="20"/>
        </w:rPr>
        <w:t>“If the seller is capable of performance on the date of the breach, the damages recoverable will not be diminished.” (At 1160)</w:t>
      </w:r>
    </w:p>
  </w:footnote>
  <w:footnote w:id="93">
    <w:p w14:paraId="2CA10C0D" w14:textId="3F3BB44B" w:rsidR="0017002A" w:rsidRPr="0043758E" w:rsidRDefault="0017002A" w:rsidP="00A01CA4">
      <w:pPr>
        <w:pStyle w:val="FootnoteText"/>
        <w:rPr>
          <w:rFonts w:cs="Times New Roman"/>
          <w:sz w:val="20"/>
          <w:szCs w:val="20"/>
        </w:rPr>
      </w:pPr>
      <w:r w:rsidRPr="0043758E">
        <w:rPr>
          <w:rStyle w:val="FootnoteReference"/>
          <w:rFonts w:cs="Times New Roman"/>
          <w:sz w:val="20"/>
          <w:szCs w:val="20"/>
        </w:rPr>
        <w:footnoteRef/>
      </w:r>
      <w:r>
        <w:rPr>
          <w:rFonts w:cs="Times New Roman"/>
          <w:sz w:val="20"/>
          <w:szCs w:val="20"/>
        </w:rPr>
        <w:t xml:space="preserve"> </w:t>
      </w:r>
      <w:r w:rsidRPr="00AC0D29">
        <w:rPr>
          <w:rFonts w:cs="Times New Roman"/>
          <w:i/>
          <w:sz w:val="20"/>
          <w:szCs w:val="20"/>
        </w:rPr>
        <w:t>Id.</w:t>
      </w:r>
      <w:r>
        <w:rPr>
          <w:rFonts w:cs="Times New Roman"/>
          <w:sz w:val="20"/>
          <w:szCs w:val="20"/>
        </w:rPr>
        <w:t xml:space="preserve"> a</w:t>
      </w:r>
      <w:r w:rsidRPr="00344B52">
        <w:rPr>
          <w:rFonts w:cs="Times New Roman"/>
          <w:sz w:val="20"/>
          <w:szCs w:val="20"/>
        </w:rPr>
        <w:t xml:space="preserve">t </w:t>
      </w:r>
      <w:r w:rsidRPr="0043758E">
        <w:rPr>
          <w:rFonts w:cs="Times New Roman"/>
          <w:sz w:val="20"/>
          <w:szCs w:val="20"/>
        </w:rPr>
        <w:t>1152.</w:t>
      </w:r>
    </w:p>
  </w:footnote>
  <w:footnote w:id="94">
    <w:p w14:paraId="39582005" w14:textId="0E37F310" w:rsidR="0017002A" w:rsidRPr="0043758E" w:rsidRDefault="0017002A" w:rsidP="00A01CA4">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AC0D29">
        <w:rPr>
          <w:rFonts w:cs="Times New Roman"/>
          <w:i/>
          <w:sz w:val="20"/>
          <w:szCs w:val="20"/>
        </w:rPr>
        <w:t>Id.</w:t>
      </w:r>
      <w:r>
        <w:rPr>
          <w:rFonts w:cs="Times New Roman"/>
          <w:sz w:val="20"/>
          <w:szCs w:val="20"/>
        </w:rPr>
        <w:t xml:space="preserve"> a</w:t>
      </w:r>
      <w:r w:rsidRPr="00344B52">
        <w:rPr>
          <w:rFonts w:cs="Times New Roman"/>
          <w:sz w:val="20"/>
          <w:szCs w:val="20"/>
        </w:rPr>
        <w:t>t</w:t>
      </w:r>
      <w:r w:rsidRPr="0043758E">
        <w:rPr>
          <w:rFonts w:cs="Times New Roman"/>
          <w:sz w:val="20"/>
          <w:szCs w:val="20"/>
        </w:rPr>
        <w:t xml:space="preserve"> 1154.</w:t>
      </w:r>
    </w:p>
  </w:footnote>
  <w:footnote w:id="95">
    <w:p w14:paraId="04D13CBB" w14:textId="7100DB2D" w:rsidR="0017002A" w:rsidRPr="006C646D" w:rsidRDefault="0017002A" w:rsidP="00A01CA4">
      <w:pPr>
        <w:pStyle w:val="FootnoteText"/>
        <w:rPr>
          <w:rFonts w:cs="Times New Roman"/>
        </w:rPr>
      </w:pPr>
      <w:r w:rsidRPr="0043758E">
        <w:rPr>
          <w:rStyle w:val="FootnoteReference"/>
          <w:rFonts w:cs="Times New Roman"/>
          <w:sz w:val="20"/>
          <w:szCs w:val="20"/>
        </w:rPr>
        <w:footnoteRef/>
      </w:r>
      <w:r w:rsidRPr="0043758E">
        <w:rPr>
          <w:rFonts w:cs="Times New Roman"/>
          <w:sz w:val="20"/>
          <w:szCs w:val="20"/>
        </w:rPr>
        <w:t xml:space="preserve"> </w:t>
      </w:r>
      <w:r w:rsidRPr="00AC0D29">
        <w:rPr>
          <w:rFonts w:cs="Times New Roman"/>
          <w:i/>
          <w:sz w:val="20"/>
          <w:szCs w:val="20"/>
        </w:rPr>
        <w:t>Id.</w:t>
      </w:r>
      <w:r>
        <w:rPr>
          <w:rFonts w:cs="Times New Roman"/>
          <w:sz w:val="20"/>
          <w:szCs w:val="20"/>
        </w:rPr>
        <w:t xml:space="preserve"> a</w:t>
      </w:r>
      <w:r w:rsidRPr="00344B52">
        <w:rPr>
          <w:rFonts w:cs="Times New Roman"/>
          <w:sz w:val="20"/>
          <w:szCs w:val="20"/>
        </w:rPr>
        <w:t>t</w:t>
      </w:r>
      <w:r w:rsidRPr="0043758E">
        <w:rPr>
          <w:rFonts w:cs="Times New Roman"/>
          <w:sz w:val="20"/>
          <w:szCs w:val="20"/>
        </w:rPr>
        <w:t xml:space="preserve"> 1157.</w:t>
      </w:r>
    </w:p>
  </w:footnote>
  <w:footnote w:id="96">
    <w:p w14:paraId="595F2FBD" w14:textId="1CBDCFED" w:rsidR="0017002A" w:rsidRPr="0043758E" w:rsidRDefault="0017002A">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AC0D29">
        <w:rPr>
          <w:rFonts w:cs="Times New Roman"/>
          <w:i/>
          <w:sz w:val="20"/>
          <w:szCs w:val="20"/>
        </w:rPr>
        <w:t>Id.</w:t>
      </w:r>
      <w:r>
        <w:rPr>
          <w:rFonts w:cs="Times New Roman"/>
          <w:sz w:val="20"/>
          <w:szCs w:val="20"/>
        </w:rPr>
        <w:t xml:space="preserve"> a</w:t>
      </w:r>
      <w:r w:rsidRPr="00344B52">
        <w:rPr>
          <w:rFonts w:cs="Times New Roman"/>
          <w:sz w:val="20"/>
          <w:szCs w:val="20"/>
        </w:rPr>
        <w:t>t</w:t>
      </w:r>
      <w:r w:rsidRPr="0043758E">
        <w:rPr>
          <w:rFonts w:cs="Times New Roman"/>
          <w:sz w:val="20"/>
          <w:szCs w:val="20"/>
        </w:rPr>
        <w:t xml:space="preserve"> 1159.</w:t>
      </w:r>
    </w:p>
  </w:footnote>
  <w:footnote w:id="97">
    <w:p w14:paraId="7ABF0BA8" w14:textId="77777777" w:rsidR="0017002A" w:rsidRPr="0043758E" w:rsidRDefault="0017002A" w:rsidP="0043407B">
      <w:pPr>
        <w:pStyle w:val="FootnoteText"/>
        <w:rPr>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43758E">
        <w:rPr>
          <w:rFonts w:cs="Times New Roman"/>
          <w:i/>
          <w:iCs/>
          <w:color w:val="000000"/>
          <w:sz w:val="20"/>
          <w:szCs w:val="20"/>
        </w:rPr>
        <w:t>Roye Realty &amp; Developing, Inc. v. Arkla, Inc.,</w:t>
      </w:r>
      <w:r w:rsidRPr="0043758E">
        <w:rPr>
          <w:rFonts w:cs="Times New Roman"/>
          <w:b/>
          <w:bCs/>
          <w:color w:val="000000"/>
          <w:sz w:val="20"/>
          <w:szCs w:val="20"/>
        </w:rPr>
        <w:t xml:space="preserve"> </w:t>
      </w:r>
      <w:r w:rsidRPr="0043758E">
        <w:rPr>
          <w:rFonts w:cs="Times New Roman"/>
          <w:bCs/>
          <w:color w:val="000000"/>
          <w:sz w:val="20"/>
          <w:szCs w:val="20"/>
        </w:rPr>
        <w:t>78 F.3d 597, 1996 WL 87055 (10th Cir.(Okla.))</w:t>
      </w:r>
    </w:p>
  </w:footnote>
  <w:footnote w:id="98">
    <w:p w14:paraId="29027BEC" w14:textId="5423D52D" w:rsidR="0017002A" w:rsidRPr="00A34B72" w:rsidRDefault="0017002A">
      <w:pPr>
        <w:pStyle w:val="FootnoteText"/>
        <w:rPr>
          <w:sz w:val="20"/>
          <w:szCs w:val="20"/>
        </w:rPr>
      </w:pPr>
      <w:r w:rsidRPr="00A34B72">
        <w:rPr>
          <w:rStyle w:val="FootnoteReference"/>
          <w:sz w:val="20"/>
          <w:szCs w:val="20"/>
        </w:rPr>
        <w:footnoteRef/>
      </w:r>
      <w:r w:rsidRPr="00A34B72">
        <w:rPr>
          <w:sz w:val="20"/>
          <w:szCs w:val="20"/>
        </w:rPr>
        <w:t xml:space="preserve"> </w:t>
      </w:r>
      <w:r w:rsidRPr="00185591">
        <w:rPr>
          <w:rFonts w:cs="Times New Roman"/>
          <w:bCs/>
          <w:sz w:val="20"/>
          <w:szCs w:val="20"/>
        </w:rPr>
        <w:t>854 P.2d 1232 (1993).</w:t>
      </w:r>
    </w:p>
  </w:footnote>
  <w:footnote w:id="99">
    <w:p w14:paraId="67897FD8" w14:textId="76A56A80" w:rsidR="0017002A" w:rsidRPr="0043758E" w:rsidRDefault="0017002A" w:rsidP="0043758E">
      <w:pPr>
        <w:rPr>
          <w:color w:val="000000"/>
          <w:sz w:val="20"/>
          <w:szCs w:val="20"/>
        </w:rPr>
      </w:pPr>
      <w:r w:rsidRPr="0043758E">
        <w:rPr>
          <w:rStyle w:val="FootnoteReference"/>
          <w:sz w:val="20"/>
          <w:szCs w:val="20"/>
        </w:rPr>
        <w:footnoteRef/>
      </w:r>
      <w:r w:rsidRPr="0043758E">
        <w:rPr>
          <w:sz w:val="20"/>
          <w:szCs w:val="20"/>
        </w:rPr>
        <w:t xml:space="preserve"> </w:t>
      </w:r>
      <w:r w:rsidRPr="00A34B72">
        <w:rPr>
          <w:rFonts w:cs="Times New Roman"/>
          <w:bCs/>
          <w:i/>
          <w:sz w:val="20"/>
          <w:szCs w:val="20"/>
        </w:rPr>
        <w:t>Id.</w:t>
      </w:r>
      <w:r>
        <w:rPr>
          <w:rFonts w:cs="Times New Roman"/>
          <w:bCs/>
          <w:sz w:val="20"/>
          <w:szCs w:val="20"/>
        </w:rPr>
        <w:t xml:space="preserve"> at</w:t>
      </w:r>
      <w:r w:rsidRPr="0043758E">
        <w:rPr>
          <w:rFonts w:cs="Times New Roman"/>
          <w:color w:val="000000"/>
          <w:sz w:val="20"/>
          <w:szCs w:val="20"/>
        </w:rPr>
        <w:t xml:space="preserve"> 1239. </w:t>
      </w:r>
      <w:r w:rsidRPr="0043758E">
        <w:rPr>
          <w:color w:val="000000"/>
          <w:sz w:val="20"/>
          <w:szCs w:val="20"/>
        </w:rPr>
        <w:t>Chemco was asking for assurance three years after the repudiation because “[a]fter the phase I finding of liability, CIG requested the resumption of full performance from all committed wells effective May 2, 1988.” (</w:t>
      </w:r>
      <w:r>
        <w:rPr>
          <w:i/>
          <w:color w:val="000000"/>
          <w:sz w:val="20"/>
          <w:szCs w:val="20"/>
        </w:rPr>
        <w:t>Id.</w:t>
      </w:r>
      <w:r w:rsidRPr="0043758E">
        <w:rPr>
          <w:color w:val="000000"/>
          <w:sz w:val="20"/>
          <w:szCs w:val="20"/>
        </w:rPr>
        <w:t xml:space="preserve"> at 1238) </w:t>
      </w:r>
    </w:p>
  </w:footnote>
  <w:footnote w:id="100">
    <w:p w14:paraId="266A33F4" w14:textId="44FC5CA8" w:rsidR="0017002A" w:rsidRPr="00D66D2E" w:rsidRDefault="0017002A" w:rsidP="00D66D2E">
      <w:pPr>
        <w:pStyle w:val="FootnoteText"/>
        <w:rPr>
          <w:rFonts w:cs="Times New Roman"/>
        </w:rPr>
      </w:pPr>
      <w:r w:rsidRPr="0043758E">
        <w:rPr>
          <w:rStyle w:val="FootnoteReference"/>
          <w:rFonts w:cs="Times New Roman"/>
          <w:sz w:val="20"/>
          <w:szCs w:val="20"/>
        </w:rPr>
        <w:footnoteRef/>
      </w:r>
      <w:r w:rsidRPr="0043758E">
        <w:rPr>
          <w:rFonts w:cs="Times New Roman"/>
          <w:sz w:val="20"/>
          <w:szCs w:val="20"/>
        </w:rPr>
        <w:t xml:space="preserve"> </w:t>
      </w:r>
      <w:r>
        <w:rPr>
          <w:i/>
          <w:color w:val="000000"/>
          <w:sz w:val="20"/>
          <w:szCs w:val="20"/>
        </w:rPr>
        <w:t>Id.</w:t>
      </w:r>
      <w:r w:rsidRPr="0043758E">
        <w:rPr>
          <w:color w:val="000000"/>
          <w:sz w:val="20"/>
          <w:szCs w:val="20"/>
        </w:rPr>
        <w:t xml:space="preserve"> at</w:t>
      </w:r>
      <w:r w:rsidRPr="0043758E">
        <w:rPr>
          <w:rFonts w:cs="Times New Roman"/>
          <w:sz w:val="20"/>
          <w:szCs w:val="20"/>
        </w:rPr>
        <w:t xml:space="preserve"> 1234.</w:t>
      </w:r>
    </w:p>
  </w:footnote>
  <w:footnote w:id="101">
    <w:p w14:paraId="5357F1C7" w14:textId="71351DCA" w:rsidR="0017002A" w:rsidRPr="0043758E" w:rsidRDefault="0017002A" w:rsidP="00D66D2E">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Pr>
          <w:i/>
          <w:color w:val="000000"/>
          <w:sz w:val="20"/>
          <w:szCs w:val="20"/>
        </w:rPr>
        <w:t>Id.</w:t>
      </w:r>
      <w:r w:rsidRPr="0043758E">
        <w:rPr>
          <w:color w:val="000000"/>
          <w:sz w:val="20"/>
          <w:szCs w:val="20"/>
        </w:rPr>
        <w:t xml:space="preserve"> at</w:t>
      </w:r>
      <w:r w:rsidRPr="0043758E">
        <w:rPr>
          <w:rFonts w:cs="Times New Roman"/>
          <w:sz w:val="20"/>
          <w:szCs w:val="20"/>
        </w:rPr>
        <w:t xml:space="preserve"> 1237.</w:t>
      </w:r>
      <w:r w:rsidR="00B065AF">
        <w:rPr>
          <w:rFonts w:cs="Times New Roman"/>
          <w:sz w:val="20"/>
          <w:szCs w:val="20"/>
        </w:rPr>
        <w:t xml:space="preserve"> The court appears to have treated “take-and-pay” as synonymous with “take-or-pay;” as noted below (at note 109), a take-and-pay contract is different, although the remedy for a repudiation would be the same.</w:t>
      </w:r>
    </w:p>
  </w:footnote>
  <w:footnote w:id="102">
    <w:p w14:paraId="6FE34CD6" w14:textId="7C896B02" w:rsidR="0017002A" w:rsidRPr="0043758E" w:rsidRDefault="0017002A" w:rsidP="00D66D2E">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Pr>
          <w:i/>
          <w:color w:val="000000"/>
          <w:sz w:val="20"/>
          <w:szCs w:val="20"/>
        </w:rPr>
        <w:t>Id.</w:t>
      </w:r>
      <w:r w:rsidRPr="0043758E">
        <w:rPr>
          <w:color w:val="000000"/>
          <w:sz w:val="20"/>
          <w:szCs w:val="20"/>
        </w:rPr>
        <w:t xml:space="preserve"> at</w:t>
      </w:r>
      <w:r w:rsidRPr="0043758E">
        <w:rPr>
          <w:rFonts w:cs="Times New Roman"/>
          <w:sz w:val="20"/>
          <w:szCs w:val="20"/>
        </w:rPr>
        <w:t xml:space="preserve"> 1236.</w:t>
      </w:r>
      <w:r w:rsidR="00B065AF">
        <w:rPr>
          <w:rFonts w:cs="Times New Roman"/>
          <w:sz w:val="20"/>
          <w:szCs w:val="20"/>
        </w:rPr>
        <w:t xml:space="preserve"> </w:t>
      </w:r>
    </w:p>
  </w:footnote>
  <w:footnote w:id="103">
    <w:p w14:paraId="1BEB1B99" w14:textId="2F8CD130" w:rsidR="0017002A" w:rsidRPr="0043758E" w:rsidRDefault="0017002A">
      <w:pPr>
        <w:pStyle w:val="FootnoteText"/>
        <w:rPr>
          <w:sz w:val="20"/>
          <w:szCs w:val="20"/>
        </w:rPr>
      </w:pPr>
      <w:r w:rsidRPr="0043758E">
        <w:rPr>
          <w:rStyle w:val="FootnoteReference"/>
          <w:sz w:val="20"/>
          <w:szCs w:val="20"/>
        </w:rPr>
        <w:footnoteRef/>
      </w:r>
      <w:r w:rsidRPr="0043758E">
        <w:rPr>
          <w:sz w:val="20"/>
          <w:szCs w:val="20"/>
        </w:rPr>
        <w:t xml:space="preserve"> Colorado Interstate Gas Co. </w:t>
      </w:r>
      <w:r w:rsidRPr="0043758E">
        <w:rPr>
          <w:rFonts w:cs="Times New Roman"/>
          <w:bCs/>
          <w:color w:val="555555"/>
          <w:sz w:val="20"/>
          <w:szCs w:val="20"/>
        </w:rPr>
        <w:t>v. Chemco, Inc., 987 P.2d 829 (1998)</w:t>
      </w:r>
      <w:r>
        <w:rPr>
          <w:rFonts w:cs="Times New Roman"/>
          <w:bCs/>
          <w:color w:val="555555"/>
          <w:sz w:val="20"/>
          <w:szCs w:val="20"/>
        </w:rPr>
        <w:t xml:space="preserve">  (</w:t>
      </w:r>
      <w:r w:rsidRPr="00A34B72">
        <w:rPr>
          <w:rFonts w:cs="Times New Roman"/>
          <w:bCs/>
          <w:i/>
          <w:color w:val="555555"/>
          <w:sz w:val="20"/>
          <w:szCs w:val="20"/>
        </w:rPr>
        <w:t>Chemco II</w:t>
      </w:r>
      <w:r>
        <w:rPr>
          <w:rFonts w:cs="Times New Roman"/>
          <w:bCs/>
          <w:color w:val="555555"/>
          <w:sz w:val="20"/>
          <w:szCs w:val="20"/>
        </w:rPr>
        <w:t>)</w:t>
      </w:r>
    </w:p>
  </w:footnote>
  <w:footnote w:id="104">
    <w:p w14:paraId="4D30EAFB" w14:textId="28FA05E8" w:rsidR="0017002A" w:rsidRPr="0043758E" w:rsidRDefault="0017002A">
      <w:pPr>
        <w:pStyle w:val="FootnoteText"/>
        <w:rPr>
          <w:sz w:val="20"/>
          <w:szCs w:val="20"/>
        </w:rPr>
      </w:pPr>
      <w:r w:rsidRPr="0043758E">
        <w:rPr>
          <w:rStyle w:val="FootnoteReference"/>
          <w:sz w:val="20"/>
          <w:szCs w:val="20"/>
        </w:rPr>
        <w:footnoteRef/>
      </w:r>
      <w:r w:rsidRPr="0043758E">
        <w:rPr>
          <w:sz w:val="20"/>
          <w:szCs w:val="20"/>
        </w:rPr>
        <w:t xml:space="preserve"> </w:t>
      </w:r>
      <w:r>
        <w:rPr>
          <w:i/>
          <w:color w:val="000000"/>
          <w:sz w:val="20"/>
          <w:szCs w:val="20"/>
        </w:rPr>
        <w:t>Id.</w:t>
      </w:r>
      <w:r w:rsidRPr="0043758E">
        <w:rPr>
          <w:color w:val="000000"/>
          <w:sz w:val="20"/>
          <w:szCs w:val="20"/>
        </w:rPr>
        <w:t xml:space="preserve"> at</w:t>
      </w:r>
      <w:r w:rsidRPr="0043758E">
        <w:rPr>
          <w:sz w:val="20"/>
          <w:szCs w:val="20"/>
        </w:rPr>
        <w:t xml:space="preserve"> 834.</w:t>
      </w:r>
    </w:p>
  </w:footnote>
  <w:footnote w:id="105">
    <w:p w14:paraId="00D7FD7D" w14:textId="77777777" w:rsidR="0017002A" w:rsidRPr="0043758E" w:rsidRDefault="0017002A" w:rsidP="006E1F45">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43758E">
        <w:rPr>
          <w:rFonts w:cs="Times New Roman"/>
          <w:color w:val="000000"/>
          <w:sz w:val="20"/>
          <w:szCs w:val="20"/>
        </w:rPr>
        <w:t>No. CIV 89-533-R (W.D.Okla.1989)</w:t>
      </w:r>
    </w:p>
  </w:footnote>
  <w:footnote w:id="106">
    <w:p w14:paraId="7924454D" w14:textId="448F6739" w:rsidR="0017002A" w:rsidRPr="0043758E" w:rsidRDefault="0017002A" w:rsidP="00D25467">
      <w:pPr>
        <w:rPr>
          <w:sz w:val="20"/>
          <w:szCs w:val="20"/>
        </w:rPr>
      </w:pPr>
      <w:r w:rsidRPr="0043758E">
        <w:rPr>
          <w:rStyle w:val="FootnoteReference"/>
          <w:rFonts w:cs="Times New Roman"/>
          <w:sz w:val="20"/>
          <w:szCs w:val="20"/>
        </w:rPr>
        <w:footnoteRef/>
      </w:r>
      <w:r w:rsidRPr="0043758E">
        <w:rPr>
          <w:rFonts w:cs="Times New Roman"/>
          <w:sz w:val="20"/>
          <w:szCs w:val="20"/>
        </w:rPr>
        <w:t xml:space="preserve"> </w:t>
      </w:r>
      <w:r>
        <w:rPr>
          <w:i/>
          <w:color w:val="000000"/>
          <w:sz w:val="20"/>
          <w:szCs w:val="20"/>
        </w:rPr>
        <w:t>Id.</w:t>
      </w:r>
      <w:r w:rsidRPr="0043758E">
        <w:rPr>
          <w:color w:val="000000"/>
          <w:sz w:val="20"/>
          <w:szCs w:val="20"/>
        </w:rPr>
        <w:t xml:space="preserve"> at</w:t>
      </w:r>
      <w:r w:rsidRPr="0043758E">
        <w:rPr>
          <w:rFonts w:cs="Times New Roman"/>
          <w:sz w:val="20"/>
          <w:szCs w:val="20"/>
        </w:rPr>
        <w:t xml:space="preserve"> 9-10.  </w:t>
      </w:r>
    </w:p>
  </w:footnote>
  <w:footnote w:id="107">
    <w:p w14:paraId="7F839135" w14:textId="2692C7A2" w:rsidR="0017002A" w:rsidRPr="0043758E" w:rsidRDefault="0017002A" w:rsidP="006E1F45">
      <w:pPr>
        <w:widowControl w:val="0"/>
        <w:autoSpaceDE w:val="0"/>
        <w:autoSpaceDN w:val="0"/>
        <w:adjustRightInd w:val="0"/>
        <w:rPr>
          <w:rFonts w:cs="Times New Roman"/>
          <w:color w:val="000000"/>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43758E">
        <w:rPr>
          <w:rFonts w:cs="Times New Roman"/>
          <w:color w:val="000000"/>
          <w:sz w:val="20"/>
          <w:szCs w:val="20"/>
        </w:rPr>
        <w:t>A.F. Brooke II,</w:t>
      </w:r>
      <w:r w:rsidRPr="0043758E">
        <w:rPr>
          <w:rFonts w:cs="Times New Roman"/>
          <w:color w:val="252525"/>
          <w:sz w:val="20"/>
          <w:szCs w:val="20"/>
        </w:rPr>
        <w:t xml:space="preserve"> Great Expectations: Assessing The Contract Damages Of The Take-Or-Pay Producer</w:t>
      </w:r>
      <w:bookmarkStart w:id="7" w:name="co_footnoteReference_Fd1102522671_ID0EZJ"/>
      <w:bookmarkEnd w:id="7"/>
      <w:r w:rsidRPr="0043758E">
        <w:rPr>
          <w:rFonts w:cs="Times New Roman"/>
          <w:color w:val="252525"/>
          <w:sz w:val="20"/>
          <w:szCs w:val="20"/>
        </w:rPr>
        <w:t xml:space="preserve">, </w:t>
      </w:r>
      <w:r w:rsidRPr="0043758E">
        <w:rPr>
          <w:rFonts w:cs="Times New Roman"/>
          <w:color w:val="000000"/>
          <w:sz w:val="20"/>
          <w:szCs w:val="20"/>
        </w:rPr>
        <w:t xml:space="preserve">70 Tex. L. Rev. 1469, 1485 (1992). The double-payment argument also was raised in </w:t>
      </w:r>
      <w:r w:rsidRPr="0043758E">
        <w:rPr>
          <w:rFonts w:cs="Times New Roman"/>
          <w:i/>
          <w:color w:val="000000"/>
          <w:sz w:val="20"/>
          <w:szCs w:val="20"/>
        </w:rPr>
        <w:t>Chemco</w:t>
      </w:r>
      <w:r w:rsidRPr="0043758E">
        <w:rPr>
          <w:rFonts w:cs="Times New Roman"/>
          <w:color w:val="000000"/>
          <w:sz w:val="20"/>
          <w:szCs w:val="20"/>
        </w:rPr>
        <w:t xml:space="preserve">: </w:t>
      </w:r>
      <w:r w:rsidRPr="0043758E">
        <w:rPr>
          <w:color w:val="000000"/>
          <w:sz w:val="20"/>
          <w:szCs w:val="20"/>
        </w:rPr>
        <w:t>“CIG argues that this puts Chemco in a better position than if the contract had been performed because it results in Chemco’s receiving the full contract price and also retaining the gas for r</w:t>
      </w:r>
      <w:r>
        <w:rPr>
          <w:color w:val="000000"/>
          <w:sz w:val="20"/>
          <w:szCs w:val="20"/>
        </w:rPr>
        <w:t>esale”</w:t>
      </w:r>
      <w:r w:rsidRPr="0043758E">
        <w:rPr>
          <w:color w:val="000000"/>
          <w:sz w:val="20"/>
          <w:szCs w:val="20"/>
        </w:rPr>
        <w:t xml:space="preserve">. </w:t>
      </w:r>
      <w:r>
        <w:rPr>
          <w:color w:val="000000"/>
          <w:sz w:val="20"/>
          <w:szCs w:val="20"/>
        </w:rPr>
        <w:t xml:space="preserve">See </w:t>
      </w:r>
      <w:r w:rsidRPr="0043758E">
        <w:rPr>
          <w:i/>
          <w:color w:val="000000"/>
          <w:sz w:val="20"/>
          <w:szCs w:val="20"/>
        </w:rPr>
        <w:t>Chemco</w:t>
      </w:r>
      <w:r w:rsidRPr="00A34B72">
        <w:rPr>
          <w:i/>
          <w:color w:val="000000"/>
          <w:sz w:val="20"/>
          <w:szCs w:val="20"/>
        </w:rPr>
        <w:t xml:space="preserve"> II</w:t>
      </w:r>
      <w:r>
        <w:rPr>
          <w:color w:val="000000"/>
          <w:sz w:val="20"/>
          <w:szCs w:val="20"/>
        </w:rPr>
        <w:t>, at 833.</w:t>
      </w:r>
    </w:p>
  </w:footnote>
  <w:footnote w:id="108">
    <w:p w14:paraId="75669BC2" w14:textId="019D87F2" w:rsidR="0017002A" w:rsidRPr="006E1F45" w:rsidRDefault="0017002A" w:rsidP="006E1F45">
      <w:pPr>
        <w:pStyle w:val="FootnoteText"/>
        <w:rPr>
          <w:rFonts w:cs="Times New Roman"/>
        </w:rPr>
      </w:pPr>
      <w:r w:rsidRPr="0043758E">
        <w:rPr>
          <w:rStyle w:val="FootnoteReference"/>
          <w:rFonts w:cs="Times New Roman"/>
          <w:sz w:val="20"/>
          <w:szCs w:val="20"/>
        </w:rPr>
        <w:footnoteRef/>
      </w:r>
      <w:r w:rsidRPr="0043758E">
        <w:rPr>
          <w:rFonts w:cs="Times New Roman"/>
          <w:sz w:val="20"/>
          <w:szCs w:val="20"/>
        </w:rPr>
        <w:t xml:space="preserve"> </w:t>
      </w:r>
      <w:r>
        <w:rPr>
          <w:i/>
          <w:color w:val="000000"/>
          <w:sz w:val="20"/>
          <w:szCs w:val="20"/>
        </w:rPr>
        <w:t>Id.</w:t>
      </w:r>
      <w:r w:rsidRPr="0043758E">
        <w:rPr>
          <w:color w:val="000000"/>
          <w:sz w:val="20"/>
          <w:szCs w:val="20"/>
        </w:rPr>
        <w:t xml:space="preserve"> at</w:t>
      </w:r>
      <w:r w:rsidRPr="0043758E">
        <w:rPr>
          <w:rFonts w:cs="Times New Roman"/>
          <w:sz w:val="20"/>
          <w:szCs w:val="20"/>
        </w:rPr>
        <w:t xml:space="preserve"> </w:t>
      </w:r>
      <w:r>
        <w:rPr>
          <w:rFonts w:cs="Times New Roman"/>
          <w:sz w:val="20"/>
          <w:szCs w:val="20"/>
        </w:rPr>
        <w:t>1486-</w:t>
      </w:r>
      <w:r w:rsidRPr="0043758E">
        <w:rPr>
          <w:rFonts w:cs="Times New Roman"/>
          <w:sz w:val="20"/>
          <w:szCs w:val="20"/>
        </w:rPr>
        <w:t>1487.</w:t>
      </w:r>
    </w:p>
  </w:footnote>
  <w:footnote w:id="109">
    <w:p w14:paraId="18E41AD6" w14:textId="77777777" w:rsidR="0017002A" w:rsidRPr="00C807BA" w:rsidRDefault="0017002A" w:rsidP="00372DD5">
      <w:pPr>
        <w:pStyle w:val="FootnoteText"/>
        <w:rPr>
          <w:sz w:val="20"/>
          <w:szCs w:val="20"/>
        </w:rPr>
      </w:pPr>
      <w:r w:rsidRPr="00C807BA">
        <w:rPr>
          <w:rStyle w:val="FootnoteReference"/>
          <w:sz w:val="20"/>
          <w:szCs w:val="20"/>
        </w:rPr>
        <w:footnoteRef/>
      </w:r>
      <w:r w:rsidRPr="00C807BA">
        <w:rPr>
          <w:sz w:val="20"/>
          <w:szCs w:val="20"/>
        </w:rPr>
        <w:t xml:space="preserve"> See Section III A. 2.</w:t>
      </w:r>
    </w:p>
  </w:footnote>
  <w:footnote w:id="110">
    <w:p w14:paraId="01E63726" w14:textId="7FE3C5A2" w:rsidR="0017002A" w:rsidRPr="00C807BA" w:rsidRDefault="0017002A" w:rsidP="00372DD5">
      <w:pPr>
        <w:pStyle w:val="FootnoteText"/>
        <w:rPr>
          <w:sz w:val="20"/>
          <w:szCs w:val="20"/>
        </w:rPr>
      </w:pPr>
      <w:r w:rsidRPr="00C807BA">
        <w:rPr>
          <w:rStyle w:val="FootnoteReference"/>
          <w:sz w:val="20"/>
          <w:szCs w:val="20"/>
        </w:rPr>
        <w:footnoteRef/>
      </w:r>
      <w:r w:rsidRPr="00C807BA">
        <w:rPr>
          <w:sz w:val="20"/>
          <w:szCs w:val="20"/>
        </w:rPr>
        <w:t xml:space="preserve"> </w:t>
      </w:r>
      <w:r w:rsidRPr="00185591">
        <w:rPr>
          <w:rFonts w:cs="Times New Roman"/>
          <w:bCs/>
          <w:sz w:val="20"/>
          <w:szCs w:val="20"/>
        </w:rPr>
        <w:t>944 F.2d 677 (1991)</w:t>
      </w:r>
      <w:r>
        <w:rPr>
          <w:rFonts w:cs="Times New Roman"/>
          <w:bCs/>
          <w:sz w:val="20"/>
          <w:szCs w:val="20"/>
        </w:rPr>
        <w:t xml:space="preserve"> </w:t>
      </w:r>
      <w:r>
        <w:rPr>
          <w:rFonts w:cs="Times New Roman"/>
          <w:sz w:val="20"/>
          <w:szCs w:val="20"/>
        </w:rPr>
        <w:t>a</w:t>
      </w:r>
      <w:r w:rsidRPr="00344B52">
        <w:rPr>
          <w:rFonts w:cs="Times New Roman"/>
          <w:sz w:val="20"/>
          <w:szCs w:val="20"/>
        </w:rPr>
        <w:t>t 691</w:t>
      </w:r>
      <w:r>
        <w:rPr>
          <w:rFonts w:cs="Times New Roman"/>
          <w:sz w:val="20"/>
          <w:szCs w:val="20"/>
        </w:rPr>
        <w:t>.</w:t>
      </w:r>
    </w:p>
  </w:footnote>
  <w:footnote w:id="111">
    <w:p w14:paraId="1B69424D" w14:textId="37DFA398" w:rsidR="001C4FB0" w:rsidRPr="001C4FB0" w:rsidRDefault="001C4FB0">
      <w:pPr>
        <w:pStyle w:val="FootnoteText"/>
        <w:rPr>
          <w:sz w:val="20"/>
          <w:szCs w:val="20"/>
        </w:rPr>
      </w:pPr>
      <w:r w:rsidRPr="001C4FB0">
        <w:rPr>
          <w:rStyle w:val="FootnoteReference"/>
          <w:sz w:val="20"/>
          <w:szCs w:val="20"/>
        </w:rPr>
        <w:footnoteRef/>
      </w:r>
      <w:r w:rsidRPr="001C4FB0">
        <w:rPr>
          <w:sz w:val="20"/>
          <w:szCs w:val="20"/>
        </w:rPr>
        <w:t xml:space="preserve"> A shortfall in a take-or-pay contract would not be a breach, whereas a shortfall in a take-and-pay contract would be.</w:t>
      </w:r>
      <w:r>
        <w:t xml:space="preserve"> </w:t>
      </w:r>
      <w:r>
        <w:rPr>
          <w:sz w:val="20"/>
          <w:szCs w:val="20"/>
        </w:rPr>
        <w:t>The breach of a single installment need not result in a total breach of the contract. If the breach were deemed a substantial impairment of the entire contract, then the buyer could, but need not, declare that the entire agreement had been breached. See UCC 2-612.</w:t>
      </w:r>
    </w:p>
  </w:footnote>
  <w:footnote w:id="112">
    <w:p w14:paraId="4FF19A8A" w14:textId="4DCD31F3" w:rsidR="0017002A" w:rsidRPr="0043758E" w:rsidRDefault="0017002A">
      <w:pPr>
        <w:pStyle w:val="FootnoteText"/>
        <w:rPr>
          <w:sz w:val="20"/>
          <w:szCs w:val="20"/>
        </w:rPr>
      </w:pPr>
      <w:r w:rsidRPr="0043758E">
        <w:rPr>
          <w:rStyle w:val="FootnoteReference"/>
          <w:rFonts w:cs="Times New Roman"/>
          <w:sz w:val="20"/>
          <w:szCs w:val="20"/>
        </w:rPr>
        <w:footnoteRef/>
      </w:r>
      <w:r w:rsidRPr="0043758E">
        <w:rPr>
          <w:rFonts w:cs="Times New Roman"/>
          <w:sz w:val="20"/>
          <w:szCs w:val="20"/>
        </w:rPr>
        <w:t xml:space="preserve"> There might be some nuances like make-up clauses, but that does not alter the basic point.</w:t>
      </w:r>
    </w:p>
  </w:footnote>
  <w:footnote w:id="113">
    <w:p w14:paraId="74CA06D1" w14:textId="4E506D25" w:rsidR="0017002A" w:rsidRPr="0043758E" w:rsidRDefault="0017002A" w:rsidP="008802EA">
      <w:pPr>
        <w:widowControl w:val="0"/>
        <w:autoSpaceDE w:val="0"/>
        <w:autoSpaceDN w:val="0"/>
        <w:adjustRightInd w:val="0"/>
        <w:rPr>
          <w:rFonts w:cs="Times New Roman"/>
          <w:color w:val="000000"/>
          <w:sz w:val="20"/>
          <w:szCs w:val="20"/>
        </w:rPr>
      </w:pPr>
      <w:r w:rsidRPr="0043758E">
        <w:rPr>
          <w:rStyle w:val="FootnoteReference"/>
          <w:sz w:val="20"/>
          <w:szCs w:val="20"/>
        </w:rPr>
        <w:footnoteRef/>
      </w:r>
      <w:r w:rsidRPr="0043758E">
        <w:rPr>
          <w:sz w:val="20"/>
          <w:szCs w:val="20"/>
        </w:rPr>
        <w:t xml:space="preserve"> </w:t>
      </w:r>
      <w:hyperlink r:id="rId4" w:history="1">
        <w:r w:rsidRPr="0043758E">
          <w:rPr>
            <w:rFonts w:cs="Times New Roman"/>
            <w:color w:val="000000"/>
            <w:sz w:val="20"/>
            <w:szCs w:val="20"/>
          </w:rPr>
          <w:t>J. Michael Medina</w:t>
        </w:r>
      </w:hyperlink>
      <w:r w:rsidRPr="0043758E">
        <w:rPr>
          <w:rFonts w:cs="Times New Roman"/>
          <w:color w:val="000000"/>
          <w:sz w:val="20"/>
          <w:szCs w:val="20"/>
        </w:rPr>
        <w:t xml:space="preserve"> et al., </w:t>
      </w:r>
      <w:r>
        <w:rPr>
          <w:rFonts w:cs="Times New Roman"/>
          <w:i/>
          <w:sz w:val="20"/>
          <w:szCs w:val="20"/>
        </w:rPr>
        <w:t xml:space="preserve">supra </w:t>
      </w:r>
      <w:r>
        <w:rPr>
          <w:rFonts w:cs="Times New Roman"/>
          <w:sz w:val="20"/>
          <w:szCs w:val="20"/>
        </w:rPr>
        <w:t>note 73 at 201</w:t>
      </w:r>
      <w:r w:rsidRPr="00344B52">
        <w:rPr>
          <w:rFonts w:cs="Times New Roman"/>
          <w:sz w:val="20"/>
          <w:szCs w:val="20"/>
        </w:rPr>
        <w:t>.</w:t>
      </w:r>
      <w:r>
        <w:rPr>
          <w:rFonts w:cs="Times New Roman"/>
          <w:sz w:val="20"/>
          <w:szCs w:val="20"/>
        </w:rPr>
        <w:t xml:space="preserve"> [footnotes omitted]</w:t>
      </w:r>
    </w:p>
  </w:footnote>
  <w:footnote w:id="114">
    <w:p w14:paraId="7A45A004" w14:textId="51BA9813" w:rsidR="0033063B" w:rsidRPr="0033063B" w:rsidRDefault="0033063B">
      <w:pPr>
        <w:pStyle w:val="FootnoteText"/>
        <w:rPr>
          <w:sz w:val="20"/>
          <w:szCs w:val="20"/>
        </w:rPr>
      </w:pPr>
      <w:r w:rsidRPr="0033063B">
        <w:rPr>
          <w:rStyle w:val="FootnoteReference"/>
          <w:sz w:val="20"/>
          <w:szCs w:val="20"/>
        </w:rPr>
        <w:footnoteRef/>
      </w:r>
      <w:r w:rsidRPr="0033063B">
        <w:rPr>
          <w:sz w:val="20"/>
          <w:szCs w:val="20"/>
        </w:rPr>
        <w:t xml:space="preserve"> This assumes that continued production would take place. If, as noted above, the seller is better off by not producing, the damages would be the lost profits.</w:t>
      </w:r>
    </w:p>
  </w:footnote>
  <w:footnote w:id="115">
    <w:p w14:paraId="280426AF" w14:textId="429B8288" w:rsidR="0017002A" w:rsidRPr="00A40A5C" w:rsidRDefault="0017002A">
      <w:pPr>
        <w:pStyle w:val="FootnoteText"/>
        <w:rPr>
          <w:rFonts w:cs="Times New Roman"/>
        </w:rPr>
      </w:pPr>
      <w:r w:rsidRPr="0043758E">
        <w:rPr>
          <w:rStyle w:val="FootnoteReference"/>
          <w:rFonts w:cs="Times New Roman"/>
          <w:sz w:val="20"/>
          <w:szCs w:val="20"/>
        </w:rPr>
        <w:footnoteRef/>
      </w:r>
      <w:r w:rsidRPr="0043758E">
        <w:rPr>
          <w:rFonts w:cs="Times New Roman"/>
          <w:sz w:val="20"/>
          <w:szCs w:val="20"/>
        </w:rPr>
        <w:t xml:space="preserve"> Or we could ask for how much could the seller sell the contract.</w:t>
      </w:r>
    </w:p>
  </w:footnote>
  <w:footnote w:id="116">
    <w:p w14:paraId="0995F288" w14:textId="2D72225B" w:rsidR="0017002A" w:rsidRPr="00A34B72" w:rsidRDefault="0017002A">
      <w:pPr>
        <w:pStyle w:val="FootnoteText"/>
        <w:rPr>
          <w:sz w:val="20"/>
          <w:szCs w:val="20"/>
        </w:rPr>
      </w:pPr>
      <w:r w:rsidRPr="00A34B72">
        <w:rPr>
          <w:rStyle w:val="FootnoteReference"/>
          <w:sz w:val="20"/>
          <w:szCs w:val="20"/>
        </w:rPr>
        <w:footnoteRef/>
      </w:r>
      <w:r w:rsidRPr="00A34B72">
        <w:rPr>
          <w:sz w:val="20"/>
          <w:szCs w:val="20"/>
        </w:rPr>
        <w:t xml:space="preserve"> </w:t>
      </w:r>
      <w:r>
        <w:rPr>
          <w:rFonts w:cs="Times New Roman"/>
          <w:bCs/>
          <w:sz w:val="20"/>
          <w:szCs w:val="20"/>
        </w:rPr>
        <w:t>487 F.3d 89</w:t>
      </w:r>
      <w:r w:rsidRPr="00185591">
        <w:rPr>
          <w:rFonts w:cs="Times New Roman"/>
          <w:bCs/>
          <w:sz w:val="20"/>
          <w:szCs w:val="20"/>
        </w:rPr>
        <w:t xml:space="preserve"> (2007).</w:t>
      </w:r>
    </w:p>
  </w:footnote>
  <w:footnote w:id="117">
    <w:p w14:paraId="0D9A1642" w14:textId="2CEB00E8" w:rsidR="0017002A" w:rsidRPr="0043758E" w:rsidRDefault="0017002A" w:rsidP="00394695">
      <w:pPr>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43758E">
        <w:rPr>
          <w:rFonts w:cs="Times New Roman"/>
          <w:color w:val="000000"/>
          <w:sz w:val="20"/>
          <w:szCs w:val="20"/>
        </w:rPr>
        <w:t xml:space="preserve">Because Dow needs large quantities of steam in its operations, the units need to run, and therefore generate power, almost constantly. This is not to say that all the units must run at maximum capacity at all times. All four units can be turned down to produce less energy. In addition, any one of the units can be turned off entirely. The remaining three units, however, have to be on line in order to provide enough steam for Dow to operate its plant.” </w:t>
      </w:r>
      <w:r>
        <w:rPr>
          <w:rFonts w:cs="Times New Roman"/>
          <w:bCs/>
          <w:i/>
          <w:color w:val="555555"/>
          <w:sz w:val="20"/>
          <w:szCs w:val="20"/>
        </w:rPr>
        <w:t xml:space="preserve">Id. </w:t>
      </w:r>
      <w:r w:rsidRPr="00A34B72">
        <w:rPr>
          <w:rFonts w:cs="Times New Roman"/>
          <w:bCs/>
          <w:color w:val="555555"/>
          <w:sz w:val="20"/>
          <w:szCs w:val="20"/>
        </w:rPr>
        <w:t>at 104.</w:t>
      </w:r>
    </w:p>
  </w:footnote>
  <w:footnote w:id="118">
    <w:p w14:paraId="6B548B69" w14:textId="15BF9706" w:rsidR="0017002A" w:rsidRPr="0043758E" w:rsidRDefault="0017002A" w:rsidP="00394695">
      <w:pPr>
        <w:widowControl w:val="0"/>
        <w:autoSpaceDE w:val="0"/>
        <w:autoSpaceDN w:val="0"/>
        <w:adjustRightInd w:val="0"/>
        <w:rPr>
          <w:rFonts w:cs="Times New Roman"/>
          <w:color w:val="000000"/>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43758E">
        <w:rPr>
          <w:rFonts w:cs="Times New Roman"/>
          <w:color w:val="000000"/>
          <w:sz w:val="20"/>
          <w:szCs w:val="20"/>
        </w:rPr>
        <w:t>“If at any time a party had ‘reasonable grounds to believe’ that the other party’s termination payment ‘would exceed the value of the guaranty,’ it could provide written notice and request an increase in the guaranty in the amount of the projected termination payment. PPSA §§ 7.1.2, 7.2.2. The other party would then have five business days to increase its guaranty or it would be in default. In April 2003, AEP requested an increase</w:t>
      </w:r>
      <w:r w:rsidRPr="0043758E">
        <w:rPr>
          <w:color w:val="000000"/>
          <w:sz w:val="20"/>
          <w:szCs w:val="20"/>
        </w:rPr>
        <w:t xml:space="preserve"> </w:t>
      </w:r>
      <w:r w:rsidRPr="0043758E">
        <w:rPr>
          <w:rFonts w:cs="Times New Roman"/>
          <w:color w:val="000000"/>
          <w:sz w:val="20"/>
          <w:szCs w:val="20"/>
        </w:rPr>
        <w:t>in TEMI’s guaranty based on its calculation of TEMI’s projected termination payment, but TEMI refused to provide any additional guaranty based on its belief that AEP had made an unfounded demand that violated the ‘reasonable grounds’ requirement of the PPSA.</w:t>
      </w:r>
      <w:r>
        <w:rPr>
          <w:rFonts w:cs="Times New Roman"/>
          <w:color w:val="000000"/>
          <w:sz w:val="20"/>
          <w:szCs w:val="20"/>
        </w:rPr>
        <w:t>”</w:t>
      </w:r>
      <w:r w:rsidRPr="0043758E">
        <w:rPr>
          <w:rFonts w:cs="Times New Roman"/>
          <w:color w:val="000000"/>
          <w:sz w:val="20"/>
          <w:szCs w:val="20"/>
        </w:rPr>
        <w:t xml:space="preserve"> </w:t>
      </w:r>
      <w:r>
        <w:rPr>
          <w:rFonts w:cs="Times New Roman"/>
          <w:bCs/>
          <w:color w:val="555555"/>
          <w:sz w:val="20"/>
          <w:szCs w:val="20"/>
        </w:rPr>
        <w:t xml:space="preserve">See </w:t>
      </w:r>
      <w:r w:rsidRPr="0043758E">
        <w:rPr>
          <w:rFonts w:cs="Times New Roman"/>
          <w:bCs/>
          <w:i/>
          <w:color w:val="555555"/>
          <w:sz w:val="20"/>
          <w:szCs w:val="20"/>
        </w:rPr>
        <w:t>Tractebel Energy Marketing, Inc. v. AEP Power Marketing, Inc</w:t>
      </w:r>
      <w:r w:rsidRPr="0043758E">
        <w:rPr>
          <w:rFonts w:cs="Times New Roman"/>
          <w:bCs/>
          <w:color w:val="555555"/>
          <w:sz w:val="20"/>
          <w:szCs w:val="20"/>
        </w:rPr>
        <w:t>.,</w:t>
      </w:r>
      <w:r>
        <w:rPr>
          <w:rFonts w:cs="Times New Roman"/>
          <w:color w:val="000000"/>
          <w:sz w:val="20"/>
          <w:szCs w:val="20"/>
        </w:rPr>
        <w:t xml:space="preserve"> 4, 2005 WL 1863853, </w:t>
      </w:r>
      <w:r w:rsidRPr="00185591">
        <w:rPr>
          <w:rFonts w:eastAsia="Times New Roman" w:cs="Times New Roman"/>
          <w:color w:val="545454"/>
          <w:sz w:val="20"/>
          <w:szCs w:val="20"/>
          <w:shd w:val="clear" w:color="auto" w:fill="FCFCFC"/>
          <w:lang w:val="en-AU"/>
        </w:rPr>
        <w:t>2005 U.S. Dist. LEXIS 15972 (S.D.N.Y. Aug. 8, 2005)</w:t>
      </w:r>
      <w:r>
        <w:rPr>
          <w:rFonts w:cs="Times New Roman"/>
          <w:sz w:val="20"/>
          <w:szCs w:val="20"/>
        </w:rPr>
        <w:t>.</w:t>
      </w:r>
    </w:p>
  </w:footnote>
  <w:footnote w:id="119">
    <w:p w14:paraId="6840CBB1" w14:textId="34CD2278" w:rsidR="0017002A" w:rsidRPr="0043758E" w:rsidRDefault="0017002A" w:rsidP="00CB33B1">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There were a lot of other issues that I am ignoring.  For example, TEMI claimed that there was not a legally enforceable agreement; and AEP claimed that it should be compensated for an alleged right to supply replacement electricity during the period in which it was not yet producing electricity. TEMI had no success with the first argument; AEP prevailed on the second one at trial, but was reversed by the Court of Appeals. </w:t>
      </w:r>
    </w:p>
  </w:footnote>
  <w:footnote w:id="120">
    <w:p w14:paraId="18D342F5" w14:textId="6BA0FCE7" w:rsidR="0017002A" w:rsidRPr="00A40A5C" w:rsidRDefault="0017002A" w:rsidP="00CB33B1">
      <w:pPr>
        <w:pStyle w:val="FootnoteText"/>
        <w:rPr>
          <w:rFonts w:cs="Times New Roman"/>
        </w:rPr>
      </w:pPr>
      <w:r w:rsidRPr="0043758E">
        <w:rPr>
          <w:rStyle w:val="FootnoteReference"/>
          <w:rFonts w:cs="Times New Roman"/>
          <w:sz w:val="20"/>
          <w:szCs w:val="20"/>
        </w:rPr>
        <w:footnoteRef/>
      </w:r>
      <w:r w:rsidRPr="0043758E">
        <w:rPr>
          <w:rFonts w:cs="Times New Roman"/>
          <w:sz w:val="20"/>
          <w:szCs w:val="20"/>
        </w:rPr>
        <w:t xml:space="preserve"> </w:t>
      </w:r>
      <w:r w:rsidRPr="00185591">
        <w:rPr>
          <w:rFonts w:cs="Times New Roman"/>
          <w:sz w:val="20"/>
          <w:szCs w:val="20"/>
        </w:rPr>
        <w:t>2005 WL 1863853</w:t>
      </w:r>
      <w:r>
        <w:rPr>
          <w:rFonts w:cs="Times New Roman"/>
          <w:sz w:val="20"/>
          <w:szCs w:val="20"/>
        </w:rPr>
        <w:t xml:space="preserve"> </w:t>
      </w:r>
      <w:r w:rsidRPr="00185591">
        <w:rPr>
          <w:rFonts w:eastAsia="Times New Roman" w:cs="Times New Roman"/>
          <w:color w:val="545454"/>
          <w:sz w:val="20"/>
          <w:szCs w:val="20"/>
          <w:shd w:val="clear" w:color="auto" w:fill="FCFCFC"/>
          <w:lang w:val="en-AU"/>
        </w:rPr>
        <w:t>(S.D.N.Y. Aug. 8, 2005)</w:t>
      </w:r>
      <w:r>
        <w:rPr>
          <w:rFonts w:eastAsia="Times New Roman" w:cs="Times New Roman"/>
          <w:color w:val="545454"/>
          <w:sz w:val="20"/>
          <w:szCs w:val="20"/>
          <w:shd w:val="clear" w:color="auto" w:fill="FCFCFC"/>
          <w:lang w:val="en-AU"/>
        </w:rPr>
        <w:t xml:space="preserve"> </w:t>
      </w:r>
      <w:r w:rsidRPr="009055AD">
        <w:rPr>
          <w:rFonts w:cs="Times New Roman"/>
          <w:sz w:val="20"/>
          <w:szCs w:val="20"/>
        </w:rPr>
        <w:t>at</w:t>
      </w:r>
      <w:r w:rsidRPr="0043758E">
        <w:rPr>
          <w:rFonts w:cs="Times New Roman"/>
          <w:sz w:val="20"/>
          <w:szCs w:val="20"/>
        </w:rPr>
        <w:t>, p. 14.</w:t>
      </w:r>
    </w:p>
  </w:footnote>
  <w:footnote w:id="121">
    <w:p w14:paraId="08EB4BE1" w14:textId="7FE3ED3D" w:rsidR="0017002A" w:rsidRPr="0043758E" w:rsidRDefault="0017002A" w:rsidP="00CB33B1">
      <w:pPr>
        <w:pStyle w:val="FootnoteText"/>
        <w:rPr>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9055AD">
        <w:rPr>
          <w:rFonts w:cs="Times New Roman"/>
          <w:bCs/>
          <w:i/>
          <w:sz w:val="20"/>
          <w:szCs w:val="20"/>
        </w:rPr>
        <w:t>Tractebel Energy Marketing, Inc. v. AEP Power Marketing, Inc</w:t>
      </w:r>
      <w:r w:rsidRPr="00556FDF">
        <w:rPr>
          <w:rFonts w:cs="Times New Roman"/>
          <w:bCs/>
          <w:sz w:val="20"/>
          <w:szCs w:val="20"/>
        </w:rPr>
        <w:t xml:space="preserve">., </w:t>
      </w:r>
      <w:r w:rsidRPr="00556FDF">
        <w:rPr>
          <w:rFonts w:eastAsia="Times New Roman" w:cs="Times New Roman"/>
          <w:sz w:val="20"/>
          <w:szCs w:val="20"/>
          <w:lang w:val="en-AU"/>
        </w:rPr>
        <w:t>Nos. 03 Civ.6731 HB, 03 Civ.6770 HB, 2006 WL 147586 (S.D.N.Y. Jan. 20, 2006) at</w:t>
      </w:r>
      <w:r w:rsidRPr="0043758E">
        <w:rPr>
          <w:rFonts w:cs="Times New Roman"/>
          <w:sz w:val="20"/>
          <w:szCs w:val="20"/>
        </w:rPr>
        <w:t xml:space="preserve"> p. 3. Reconsideration Order.</w:t>
      </w:r>
    </w:p>
  </w:footnote>
  <w:footnote w:id="122">
    <w:p w14:paraId="45CAB84D" w14:textId="42A7B263" w:rsidR="0017002A" w:rsidRPr="0043758E" w:rsidRDefault="0017002A" w:rsidP="00CB33B1">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sidRPr="00E969DF">
        <w:rPr>
          <w:rFonts w:cs="Times New Roman"/>
          <w:sz w:val="20"/>
          <w:szCs w:val="20"/>
        </w:rPr>
        <w:t xml:space="preserve">5 WL 1863853 </w:t>
      </w:r>
      <w:r w:rsidRPr="00E250A0">
        <w:rPr>
          <w:rFonts w:eastAsia="Times New Roman" w:cs="Times New Roman"/>
          <w:color w:val="545454"/>
          <w:sz w:val="20"/>
          <w:szCs w:val="20"/>
          <w:shd w:val="clear" w:color="auto" w:fill="FCFCFC"/>
          <w:lang w:val="en-AU"/>
        </w:rPr>
        <w:t xml:space="preserve">(S.D.N.Y. Aug. 8, 2005) </w:t>
      </w:r>
      <w:r w:rsidRPr="00FB43D9">
        <w:rPr>
          <w:rFonts w:cs="Times New Roman"/>
          <w:sz w:val="20"/>
          <w:szCs w:val="20"/>
        </w:rPr>
        <w:t>at</w:t>
      </w:r>
      <w:r w:rsidRPr="0043758E">
        <w:rPr>
          <w:rFonts w:cs="Times New Roman"/>
          <w:sz w:val="20"/>
          <w:szCs w:val="20"/>
        </w:rPr>
        <w:t xml:space="preserve"> p. 11-12.</w:t>
      </w:r>
    </w:p>
  </w:footnote>
  <w:footnote w:id="123">
    <w:p w14:paraId="6D8C7220" w14:textId="5F680D5D" w:rsidR="0017002A" w:rsidRPr="0043758E" w:rsidRDefault="0017002A" w:rsidP="00CB33B1">
      <w:pPr>
        <w:widowControl w:val="0"/>
        <w:autoSpaceDE w:val="0"/>
        <w:autoSpaceDN w:val="0"/>
        <w:adjustRightInd w:val="0"/>
        <w:rPr>
          <w:rFonts w:cs="Times New Roman"/>
          <w:color w:val="000000"/>
          <w:sz w:val="20"/>
          <w:szCs w:val="20"/>
        </w:rPr>
      </w:pPr>
      <w:r w:rsidRPr="0043758E">
        <w:rPr>
          <w:rStyle w:val="FootnoteReference"/>
          <w:rFonts w:cs="Times New Roman"/>
          <w:sz w:val="20"/>
          <w:szCs w:val="20"/>
        </w:rPr>
        <w:footnoteRef/>
      </w:r>
      <w:r>
        <w:rPr>
          <w:rFonts w:cs="Times New Roman"/>
          <w:sz w:val="20"/>
          <w:szCs w:val="20"/>
        </w:rPr>
        <w:t xml:space="preserve"> </w:t>
      </w:r>
      <w:r w:rsidRPr="00A34B72">
        <w:rPr>
          <w:rFonts w:cs="Times New Roman"/>
          <w:i/>
          <w:sz w:val="20"/>
          <w:szCs w:val="20"/>
        </w:rPr>
        <w:t>Id.</w:t>
      </w:r>
      <w:r>
        <w:rPr>
          <w:rFonts w:cs="Times New Roman"/>
          <w:sz w:val="20"/>
          <w:szCs w:val="20"/>
        </w:rPr>
        <w:t xml:space="preserve"> a</w:t>
      </w:r>
      <w:r w:rsidRPr="0043758E">
        <w:rPr>
          <w:rFonts w:cs="Times New Roman"/>
          <w:sz w:val="20"/>
          <w:szCs w:val="20"/>
        </w:rPr>
        <w:t>t ___. The judge also claimed that since the plant had not yet operated, this was a “new business,” and since New York</w:t>
      </w:r>
      <w:r>
        <w:rPr>
          <w:rFonts w:cs="Times New Roman"/>
          <w:sz w:val="20"/>
          <w:szCs w:val="20"/>
        </w:rPr>
        <w:t xml:space="preserve"> is</w:t>
      </w:r>
      <w:r w:rsidRPr="0043758E">
        <w:rPr>
          <w:rFonts w:cs="Times New Roman"/>
          <w:sz w:val="20"/>
          <w:szCs w:val="20"/>
        </w:rPr>
        <w:t xml:space="preserve"> </w:t>
      </w:r>
      <w:r w:rsidRPr="0043758E">
        <w:rPr>
          <w:rFonts w:cs="Times New Roman"/>
          <w:color w:val="000000"/>
          <w:sz w:val="20"/>
          <w:szCs w:val="20"/>
        </w:rPr>
        <w:t>one of the few jurisdictions with a per se rule against finding lost profits for a new business, there could be no lost profits.</w:t>
      </w:r>
      <w:r w:rsidR="00E82B6E">
        <w:rPr>
          <w:rFonts w:cs="Times New Roman"/>
          <w:color w:val="000000"/>
          <w:sz w:val="20"/>
          <w:szCs w:val="20"/>
        </w:rPr>
        <w:t xml:space="preserve"> For an analysis of the new business rule see my “The New Business Rule and Compensation for Lost Profits, 1 Criterion J. on Innovation 341</w:t>
      </w:r>
      <w:r w:rsidR="00C516F1">
        <w:rPr>
          <w:rFonts w:cs="Times New Roman"/>
          <w:color w:val="000000"/>
          <w:sz w:val="20"/>
          <w:szCs w:val="20"/>
        </w:rPr>
        <w:t xml:space="preserve"> (2016).</w:t>
      </w:r>
    </w:p>
  </w:footnote>
  <w:footnote w:id="124">
    <w:p w14:paraId="0D0D3958" w14:textId="7BEC415D" w:rsidR="0017002A" w:rsidRPr="0043758E" w:rsidRDefault="0017002A" w:rsidP="00CB33B1">
      <w:pPr>
        <w:pStyle w:val="FootnoteText"/>
        <w:rPr>
          <w:rFonts w:cs="Times New Roman"/>
          <w:sz w:val="20"/>
          <w:szCs w:val="20"/>
        </w:rPr>
      </w:pPr>
      <w:r w:rsidRPr="0043758E">
        <w:rPr>
          <w:rStyle w:val="FootnoteReference"/>
          <w:rFonts w:cs="Times New Roman"/>
          <w:sz w:val="20"/>
          <w:szCs w:val="20"/>
        </w:rPr>
        <w:footnoteRef/>
      </w:r>
      <w:r w:rsidRPr="0043758E">
        <w:rPr>
          <w:rFonts w:cs="Times New Roman"/>
          <w:sz w:val="20"/>
          <w:szCs w:val="20"/>
        </w:rPr>
        <w:t xml:space="preserve"> </w:t>
      </w:r>
      <w:r>
        <w:rPr>
          <w:rFonts w:cs="Times New Roman"/>
          <w:bCs/>
          <w:sz w:val="20"/>
          <w:szCs w:val="20"/>
        </w:rPr>
        <w:t xml:space="preserve">487 F.3d 89 (2007) at </w:t>
      </w:r>
      <w:r w:rsidRPr="0043758E">
        <w:rPr>
          <w:rFonts w:cs="Times New Roman"/>
          <w:sz w:val="20"/>
          <w:szCs w:val="20"/>
        </w:rPr>
        <w:t>p. 109.</w:t>
      </w:r>
    </w:p>
  </w:footnote>
  <w:footnote w:id="125">
    <w:p w14:paraId="4F5D9080" w14:textId="5E5ECDEA" w:rsidR="0017002A" w:rsidRPr="00A40A5C" w:rsidRDefault="0017002A" w:rsidP="00CB33B1">
      <w:pPr>
        <w:pStyle w:val="FootnoteText"/>
        <w:rPr>
          <w:rFonts w:cs="Times New Roman"/>
        </w:rPr>
      </w:pPr>
      <w:r w:rsidRPr="0043758E">
        <w:rPr>
          <w:rStyle w:val="FootnoteReference"/>
          <w:rFonts w:cs="Times New Roman"/>
          <w:sz w:val="20"/>
          <w:szCs w:val="20"/>
        </w:rPr>
        <w:footnoteRef/>
      </w:r>
      <w:r w:rsidRPr="0043758E">
        <w:rPr>
          <w:rFonts w:cs="Times New Roman"/>
          <w:sz w:val="20"/>
          <w:szCs w:val="20"/>
        </w:rPr>
        <w:t xml:space="preserve"> “</w:t>
      </w:r>
      <w:r w:rsidRPr="0043758E">
        <w:rPr>
          <w:rFonts w:cs="Times New Roman"/>
          <w:color w:val="000000"/>
          <w:sz w:val="20"/>
          <w:szCs w:val="20"/>
        </w:rPr>
        <w:t xml:space="preserve">Not a single product or service exists for which a company’s profit margin, over time, is unaffected by fluctuating supply and demand, changes in operating costs, increased competition from alternatives, alterations to the relevant regulatory regime, population increases or decreases in the targeted market, or technological advances. The variables identified by the district court exist in every long-term contract. It is not the case that all such contracts may be breached with impunity because of the difficulty of accurately calculating damages.” </w:t>
      </w:r>
      <w:r w:rsidRPr="00A34B72">
        <w:rPr>
          <w:rFonts w:cs="Times New Roman"/>
          <w:i/>
          <w:color w:val="000000"/>
          <w:sz w:val="20"/>
          <w:szCs w:val="20"/>
        </w:rPr>
        <w:t>Id.</w:t>
      </w:r>
      <w:r>
        <w:rPr>
          <w:rFonts w:cs="Times New Roman"/>
          <w:color w:val="000000"/>
          <w:sz w:val="20"/>
          <w:szCs w:val="20"/>
        </w:rPr>
        <w:t xml:space="preserve"> at </w:t>
      </w:r>
      <w:r w:rsidRPr="0043758E">
        <w:rPr>
          <w:rFonts w:cs="Times New Roman"/>
          <w:color w:val="000000"/>
          <w:sz w:val="20"/>
          <w:szCs w:val="20"/>
        </w:rPr>
        <w:t>p. 112.</w:t>
      </w:r>
    </w:p>
  </w:footnote>
  <w:footnote w:id="126">
    <w:p w14:paraId="252AA611" w14:textId="212DF62E" w:rsidR="0017002A" w:rsidRPr="00411921" w:rsidRDefault="0017002A">
      <w:pPr>
        <w:pStyle w:val="FootnoteText"/>
        <w:rPr>
          <w:sz w:val="20"/>
          <w:szCs w:val="20"/>
        </w:rPr>
      </w:pPr>
      <w:r w:rsidRPr="00411921">
        <w:rPr>
          <w:rStyle w:val="FootnoteReference"/>
          <w:rFonts w:cs="Times New Roman"/>
          <w:sz w:val="20"/>
          <w:szCs w:val="20"/>
        </w:rPr>
        <w:footnoteRef/>
      </w:r>
      <w:r w:rsidRPr="00411921">
        <w:rPr>
          <w:rFonts w:cs="Times New Roman"/>
          <w:sz w:val="20"/>
          <w:szCs w:val="20"/>
        </w:rPr>
        <w:t xml:space="preserve"> </w:t>
      </w:r>
      <w:r w:rsidRPr="00185591">
        <w:rPr>
          <w:rFonts w:cs="Times New Roman"/>
          <w:sz w:val="20"/>
          <w:szCs w:val="20"/>
        </w:rPr>
        <w:t>2005 WL 1863853</w:t>
      </w:r>
      <w:r>
        <w:rPr>
          <w:rFonts w:cs="Times New Roman"/>
          <w:sz w:val="20"/>
          <w:szCs w:val="20"/>
        </w:rPr>
        <w:t xml:space="preserve"> </w:t>
      </w:r>
      <w:r w:rsidRPr="00185591">
        <w:rPr>
          <w:rFonts w:eastAsia="Times New Roman" w:cs="Times New Roman"/>
          <w:color w:val="545454"/>
          <w:sz w:val="20"/>
          <w:szCs w:val="20"/>
          <w:shd w:val="clear" w:color="auto" w:fill="FCFCFC"/>
          <w:lang w:val="en-AU"/>
        </w:rPr>
        <w:t>(S.D.N.Y. Aug. 8, 2005)</w:t>
      </w:r>
      <w:r>
        <w:rPr>
          <w:rFonts w:eastAsia="Times New Roman" w:cs="Times New Roman"/>
          <w:color w:val="545454"/>
          <w:sz w:val="20"/>
          <w:szCs w:val="20"/>
          <w:shd w:val="clear" w:color="auto" w:fill="FCFCFC"/>
          <w:lang w:val="en-AU"/>
        </w:rPr>
        <w:t xml:space="preserve"> at p.</w:t>
      </w:r>
      <w:r w:rsidRPr="00411921">
        <w:rPr>
          <w:rFonts w:cs="Times New Roman"/>
          <w:sz w:val="20"/>
          <w:szCs w:val="20"/>
        </w:rPr>
        <w:t xml:space="preserve"> 4.</w:t>
      </w:r>
    </w:p>
  </w:footnote>
  <w:footnote w:id="127">
    <w:p w14:paraId="558893FD" w14:textId="490403E3" w:rsidR="0017002A" w:rsidRPr="00411921" w:rsidRDefault="0017002A">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w:t>
      </w:r>
      <w:r w:rsidRPr="00A34B72">
        <w:rPr>
          <w:rFonts w:cs="Times New Roman"/>
          <w:i/>
          <w:sz w:val="20"/>
          <w:szCs w:val="20"/>
        </w:rPr>
        <w:t>Id.</w:t>
      </w:r>
      <w:r>
        <w:rPr>
          <w:rFonts w:cs="Times New Roman"/>
          <w:sz w:val="20"/>
          <w:szCs w:val="20"/>
        </w:rPr>
        <w:t xml:space="preserve"> a</w:t>
      </w:r>
      <w:r w:rsidRPr="00411921">
        <w:rPr>
          <w:rFonts w:cs="Times New Roman"/>
          <w:sz w:val="20"/>
          <w:szCs w:val="20"/>
        </w:rPr>
        <w:t xml:space="preserve">t </w:t>
      </w:r>
      <w:r>
        <w:rPr>
          <w:rFonts w:cs="Times New Roman"/>
          <w:sz w:val="20"/>
          <w:szCs w:val="20"/>
        </w:rPr>
        <w:t xml:space="preserve">p. </w:t>
      </w:r>
      <w:r w:rsidRPr="00411921">
        <w:rPr>
          <w:rFonts w:cs="Times New Roman"/>
          <w:sz w:val="20"/>
          <w:szCs w:val="20"/>
        </w:rPr>
        <w:t>5.</w:t>
      </w:r>
    </w:p>
  </w:footnote>
  <w:footnote w:id="128">
    <w:p w14:paraId="537D6CCB" w14:textId="785566D7" w:rsidR="0017002A" w:rsidRPr="00411921" w:rsidRDefault="0017002A" w:rsidP="00394695">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w:t>
      </w:r>
      <w:r>
        <w:rPr>
          <w:rFonts w:cs="Times New Roman"/>
          <w:bCs/>
          <w:sz w:val="20"/>
          <w:szCs w:val="20"/>
        </w:rPr>
        <w:t>487 F.3d 89</w:t>
      </w:r>
      <w:r w:rsidRPr="00185591">
        <w:rPr>
          <w:rFonts w:cs="Times New Roman"/>
          <w:bCs/>
          <w:sz w:val="20"/>
          <w:szCs w:val="20"/>
        </w:rPr>
        <w:t xml:space="preserve"> (2007)</w:t>
      </w:r>
      <w:r>
        <w:rPr>
          <w:rFonts w:cs="Times New Roman"/>
          <w:bCs/>
          <w:sz w:val="20"/>
          <w:szCs w:val="20"/>
        </w:rPr>
        <w:t xml:space="preserve"> at </w:t>
      </w:r>
      <w:r w:rsidRPr="00411921">
        <w:rPr>
          <w:rFonts w:cs="Times New Roman"/>
          <w:sz w:val="20"/>
          <w:szCs w:val="20"/>
        </w:rPr>
        <w:t xml:space="preserve">fn. 26. </w:t>
      </w:r>
    </w:p>
  </w:footnote>
  <w:footnote w:id="129">
    <w:p w14:paraId="5BAE6223" w14:textId="77777777" w:rsidR="0017002A" w:rsidRPr="00A40A5C" w:rsidRDefault="0017002A" w:rsidP="00C11A9C">
      <w:pPr>
        <w:pStyle w:val="FootnoteText"/>
        <w:rPr>
          <w:rFonts w:cs="Times New Roman"/>
        </w:rPr>
      </w:pPr>
      <w:r w:rsidRPr="00411921">
        <w:rPr>
          <w:rStyle w:val="FootnoteReference"/>
          <w:rFonts w:cs="Times New Roman"/>
          <w:sz w:val="20"/>
          <w:szCs w:val="20"/>
        </w:rPr>
        <w:footnoteRef/>
      </w:r>
      <w:r w:rsidRPr="00411921">
        <w:rPr>
          <w:rFonts w:cs="Times New Roman"/>
          <w:sz w:val="20"/>
          <w:szCs w:val="20"/>
        </w:rPr>
        <w:t xml:space="preserve"> </w:t>
      </w:r>
      <w:r w:rsidRPr="00411921">
        <w:rPr>
          <w:rFonts w:eastAsia="Times New Roman" w:cs="Times New Roman"/>
          <w:i/>
          <w:sz w:val="20"/>
          <w:szCs w:val="20"/>
        </w:rPr>
        <w:t>Lake River Corp. v. Carborundum Co.,</w:t>
      </w:r>
      <w:r w:rsidRPr="00411921">
        <w:rPr>
          <w:rFonts w:eastAsia="Times New Roman" w:cs="Times New Roman"/>
          <w:sz w:val="20"/>
          <w:szCs w:val="20"/>
        </w:rPr>
        <w:t xml:space="preserve"> 769 F.2d 1284 (7th Cir. 1985).</w:t>
      </w:r>
    </w:p>
  </w:footnote>
  <w:footnote w:id="130">
    <w:p w14:paraId="30FB90AA" w14:textId="6AF3DF73" w:rsidR="0017002A" w:rsidRPr="00411921" w:rsidRDefault="0017002A">
      <w:pPr>
        <w:pStyle w:val="FootnoteText"/>
        <w:rPr>
          <w:sz w:val="20"/>
          <w:szCs w:val="20"/>
        </w:rPr>
      </w:pPr>
      <w:r w:rsidRPr="00411921">
        <w:rPr>
          <w:rStyle w:val="FootnoteReference"/>
          <w:sz w:val="20"/>
          <w:szCs w:val="20"/>
        </w:rPr>
        <w:footnoteRef/>
      </w:r>
      <w:r w:rsidRPr="00411921">
        <w:rPr>
          <w:sz w:val="20"/>
          <w:szCs w:val="20"/>
        </w:rPr>
        <w:t xml:space="preserve"> 400 tons per week for three years would</w:t>
      </w:r>
      <w:r>
        <w:rPr>
          <w:sz w:val="20"/>
          <w:szCs w:val="20"/>
        </w:rPr>
        <w:t xml:space="preserve"> be a bit more than 60,000 tons.</w:t>
      </w:r>
    </w:p>
  </w:footnote>
  <w:footnote w:id="131">
    <w:p w14:paraId="4BF7C669" w14:textId="7F574EFF" w:rsidR="0017002A" w:rsidRPr="00411921" w:rsidRDefault="0017002A" w:rsidP="00C11A9C">
      <w:pPr>
        <w:pStyle w:val="FootnoteText"/>
        <w:rPr>
          <w:sz w:val="20"/>
          <w:szCs w:val="20"/>
        </w:rPr>
      </w:pPr>
      <w:r w:rsidRPr="00411921">
        <w:rPr>
          <w:rStyle w:val="FootnoteReference"/>
          <w:rFonts w:cs="Times New Roman"/>
          <w:sz w:val="20"/>
          <w:szCs w:val="20"/>
        </w:rPr>
        <w:footnoteRef/>
      </w:r>
      <w:r w:rsidRPr="00411921">
        <w:rPr>
          <w:rFonts w:cs="Times New Roman"/>
          <w:sz w:val="20"/>
          <w:szCs w:val="20"/>
        </w:rPr>
        <w:t xml:space="preserve"> </w:t>
      </w:r>
      <w:r w:rsidRPr="00A34B72">
        <w:rPr>
          <w:rFonts w:cs="Times New Roman"/>
          <w:i/>
          <w:sz w:val="20"/>
          <w:szCs w:val="20"/>
        </w:rPr>
        <w:t>Rethinking</w:t>
      </w:r>
      <w:r w:rsidRPr="00411921">
        <w:rPr>
          <w:rFonts w:cs="Times New Roman"/>
          <w:sz w:val="20"/>
          <w:szCs w:val="20"/>
        </w:rPr>
        <w:t xml:space="preserve">, </w:t>
      </w:r>
      <w:r>
        <w:rPr>
          <w:rFonts w:cs="Times New Roman"/>
          <w:sz w:val="20"/>
          <w:szCs w:val="20"/>
        </w:rPr>
        <w:t xml:space="preserve">supra note 5 at </w:t>
      </w:r>
      <w:r w:rsidRPr="00411921">
        <w:rPr>
          <w:rFonts w:cs="Times New Roman"/>
          <w:sz w:val="20"/>
          <w:szCs w:val="20"/>
        </w:rPr>
        <w:t>ch. 7.</w:t>
      </w:r>
    </w:p>
  </w:footnote>
  <w:footnote w:id="132">
    <w:p w14:paraId="7B8380FC" w14:textId="09BF88DD" w:rsidR="0017002A" w:rsidRPr="00411921" w:rsidRDefault="0017002A" w:rsidP="00C11A9C">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w:t>
      </w:r>
      <w:r w:rsidRPr="00084FD8">
        <w:rPr>
          <w:rFonts w:eastAsia="Times New Roman" w:cs="Times New Roman"/>
          <w:sz w:val="20"/>
          <w:szCs w:val="20"/>
        </w:rPr>
        <w:t>769 F.2d 1284 (7th Cir</w:t>
      </w:r>
      <w:r w:rsidRPr="009055AD">
        <w:rPr>
          <w:rFonts w:eastAsia="Times New Roman" w:cs="Times New Roman"/>
          <w:sz w:val="20"/>
          <w:szCs w:val="20"/>
        </w:rPr>
        <w:t>. 1985)</w:t>
      </w:r>
      <w:r w:rsidRPr="00556FDF">
        <w:rPr>
          <w:rFonts w:eastAsia="Times New Roman" w:cs="Times New Roman"/>
          <w:sz w:val="20"/>
          <w:szCs w:val="20"/>
        </w:rPr>
        <w:t xml:space="preserve"> </w:t>
      </w:r>
      <w:r w:rsidRPr="00556FDF">
        <w:rPr>
          <w:rFonts w:cs="Times New Roman"/>
          <w:sz w:val="20"/>
          <w:szCs w:val="20"/>
        </w:rPr>
        <w:t>at</w:t>
      </w:r>
      <w:r w:rsidRPr="00411921">
        <w:rPr>
          <w:rFonts w:cs="Times New Roman"/>
          <w:sz w:val="20"/>
          <w:szCs w:val="20"/>
        </w:rPr>
        <w:t xml:space="preserve"> 1290.</w:t>
      </w:r>
    </w:p>
  </w:footnote>
  <w:footnote w:id="133">
    <w:p w14:paraId="7EF83163" w14:textId="4FE0B107" w:rsidR="0017002A" w:rsidRPr="00B57C61" w:rsidRDefault="0017002A" w:rsidP="00C11A9C">
      <w:pPr>
        <w:pStyle w:val="FootnoteText"/>
        <w:rPr>
          <w:rFonts w:cs="Times New Roman"/>
        </w:rPr>
      </w:pPr>
      <w:r w:rsidRPr="00411921">
        <w:rPr>
          <w:rStyle w:val="FootnoteReference"/>
          <w:rFonts w:cs="Times New Roman"/>
          <w:sz w:val="20"/>
          <w:szCs w:val="20"/>
        </w:rPr>
        <w:footnoteRef/>
      </w:r>
      <w:r w:rsidRPr="00411921">
        <w:rPr>
          <w:rFonts w:cs="Times New Roman"/>
          <w:sz w:val="20"/>
          <w:szCs w:val="20"/>
        </w:rPr>
        <w:t xml:space="preserve"> </w:t>
      </w:r>
      <w:r w:rsidRPr="00A34B72">
        <w:rPr>
          <w:rFonts w:cs="Times New Roman"/>
          <w:i/>
          <w:sz w:val="20"/>
          <w:szCs w:val="20"/>
        </w:rPr>
        <w:t xml:space="preserve">Id. </w:t>
      </w:r>
      <w:r>
        <w:rPr>
          <w:rFonts w:cs="Times New Roman"/>
          <w:sz w:val="20"/>
          <w:szCs w:val="20"/>
        </w:rPr>
        <w:t>at</w:t>
      </w:r>
      <w:r w:rsidRPr="00411921">
        <w:rPr>
          <w:rFonts w:cs="Times New Roman"/>
          <w:sz w:val="20"/>
          <w:szCs w:val="20"/>
        </w:rPr>
        <w:t xml:space="preserve"> 1291. I assume that this was raised in oral argument because it was not in the briefs.</w:t>
      </w:r>
    </w:p>
  </w:footnote>
  <w:footnote w:id="134">
    <w:p w14:paraId="2E529669" w14:textId="77777777" w:rsidR="0017002A" w:rsidRPr="00411921" w:rsidRDefault="0017002A" w:rsidP="004E6C27">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w:t>
      </w:r>
      <w:r w:rsidRPr="00411921">
        <w:rPr>
          <w:rFonts w:cs="Times New Roman"/>
          <w:bCs/>
          <w:color w:val="555555"/>
          <w:sz w:val="20"/>
          <w:szCs w:val="20"/>
        </w:rPr>
        <w:t>[2008] Bus. L.R. D68 (2008)</w:t>
      </w:r>
    </w:p>
  </w:footnote>
  <w:footnote w:id="135">
    <w:p w14:paraId="3160FE68" w14:textId="4A5800D7" w:rsidR="0017002A" w:rsidRPr="00411921" w:rsidRDefault="0017002A" w:rsidP="004E6C27">
      <w:pPr>
        <w:pStyle w:val="FootnoteText"/>
        <w:rPr>
          <w:sz w:val="20"/>
          <w:szCs w:val="20"/>
        </w:rPr>
      </w:pPr>
      <w:r w:rsidRPr="00411921">
        <w:rPr>
          <w:rStyle w:val="FootnoteReference"/>
          <w:rFonts w:cs="Times New Roman"/>
          <w:sz w:val="20"/>
          <w:szCs w:val="20"/>
        </w:rPr>
        <w:footnoteRef/>
      </w:r>
      <w:r w:rsidRPr="00411921">
        <w:rPr>
          <w:rFonts w:cs="Times New Roman"/>
          <w:sz w:val="20"/>
          <w:szCs w:val="20"/>
        </w:rPr>
        <w:t xml:space="preserve"> “</w:t>
      </w:r>
      <w:r w:rsidRPr="00411921">
        <w:rPr>
          <w:rFonts w:cs="Times New Roman"/>
          <w:color w:val="000000"/>
          <w:sz w:val="20"/>
          <w:szCs w:val="20"/>
        </w:rPr>
        <w:t>The buyers collectively will pay for the minimum quantities of products . . . even if they together have not ordered the indicated quantities during the relevant monthly period.”</w:t>
      </w:r>
      <w:r>
        <w:rPr>
          <w:rFonts w:cs="Times New Roman"/>
          <w:color w:val="000000"/>
          <w:sz w:val="20"/>
          <w:szCs w:val="20"/>
        </w:rPr>
        <w:t xml:space="preserve"> </w:t>
      </w:r>
      <w:r>
        <w:rPr>
          <w:rFonts w:cs="Times New Roman"/>
          <w:i/>
          <w:color w:val="000000"/>
          <w:sz w:val="20"/>
          <w:szCs w:val="20"/>
        </w:rPr>
        <w:t>I</w:t>
      </w:r>
      <w:r w:rsidRPr="00A34B72">
        <w:rPr>
          <w:rFonts w:cs="Times New Roman"/>
          <w:i/>
          <w:color w:val="000000"/>
          <w:sz w:val="20"/>
          <w:szCs w:val="20"/>
        </w:rPr>
        <w:t>d</w:t>
      </w:r>
      <w:r>
        <w:rPr>
          <w:rFonts w:cs="Times New Roman"/>
          <w:i/>
          <w:color w:val="000000"/>
          <w:sz w:val="20"/>
          <w:szCs w:val="20"/>
        </w:rPr>
        <w:t xml:space="preserve">. </w:t>
      </w:r>
      <w:r>
        <w:rPr>
          <w:rFonts w:cs="Times New Roman"/>
          <w:color w:val="000000"/>
          <w:sz w:val="20"/>
          <w:szCs w:val="20"/>
        </w:rPr>
        <w:t>at ___.</w:t>
      </w:r>
    </w:p>
  </w:footnote>
  <w:footnote w:id="136">
    <w:p w14:paraId="710CA176" w14:textId="7A764763" w:rsidR="0017002A" w:rsidRPr="007179D5" w:rsidRDefault="0017002A" w:rsidP="004E6C27">
      <w:pPr>
        <w:pStyle w:val="FootnoteText"/>
        <w:rPr>
          <w:rFonts w:cs="Times New Roman"/>
        </w:rPr>
      </w:pPr>
      <w:r w:rsidRPr="00411921">
        <w:rPr>
          <w:rStyle w:val="FootnoteReference"/>
          <w:rFonts w:cs="Times New Roman"/>
          <w:sz w:val="20"/>
          <w:szCs w:val="20"/>
        </w:rPr>
        <w:footnoteRef/>
      </w:r>
      <w:r>
        <w:rPr>
          <w:rFonts w:cs="Times New Roman"/>
          <w:sz w:val="20"/>
          <w:szCs w:val="20"/>
        </w:rPr>
        <w:t xml:space="preserve"> </w:t>
      </w:r>
      <w:r>
        <w:rPr>
          <w:rFonts w:cs="Times New Roman"/>
          <w:i/>
          <w:sz w:val="20"/>
          <w:szCs w:val="20"/>
        </w:rPr>
        <w:t xml:space="preserve">Id. </w:t>
      </w:r>
      <w:r>
        <w:rPr>
          <w:rFonts w:cs="Times New Roman"/>
          <w:sz w:val="20"/>
          <w:szCs w:val="20"/>
        </w:rPr>
        <w:t>a</w:t>
      </w:r>
      <w:r w:rsidRPr="00411921">
        <w:rPr>
          <w:rFonts w:cs="Times New Roman"/>
          <w:sz w:val="20"/>
          <w:szCs w:val="20"/>
        </w:rPr>
        <w:t>t 68-69.</w:t>
      </w:r>
    </w:p>
  </w:footnote>
  <w:footnote w:id="137">
    <w:p w14:paraId="55646FE1" w14:textId="60E66304" w:rsidR="0017002A" w:rsidRPr="00411921" w:rsidRDefault="0017002A">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The shortfall could be modified by a make-up clause, but that does not alter the principle.</w:t>
      </w:r>
    </w:p>
  </w:footnote>
  <w:footnote w:id="138">
    <w:p w14:paraId="1AE4C2C6" w14:textId="3990E216" w:rsidR="00345F0E" w:rsidRPr="00DE49AC" w:rsidRDefault="00345F0E">
      <w:pPr>
        <w:pStyle w:val="FootnoteText"/>
        <w:rPr>
          <w:sz w:val="20"/>
          <w:szCs w:val="20"/>
        </w:rPr>
      </w:pPr>
      <w:r w:rsidRPr="00DE49AC">
        <w:rPr>
          <w:rStyle w:val="FootnoteReference"/>
          <w:sz w:val="20"/>
          <w:szCs w:val="20"/>
        </w:rPr>
        <w:footnoteRef/>
      </w:r>
      <w:r w:rsidRPr="00DE49AC">
        <w:rPr>
          <w:sz w:val="20"/>
          <w:szCs w:val="20"/>
        </w:rPr>
        <w:t xml:space="preserve"> </w:t>
      </w:r>
      <w:r w:rsidR="00DE49AC" w:rsidRPr="00DE49AC">
        <w:rPr>
          <w:sz w:val="20"/>
          <w:szCs w:val="20"/>
        </w:rPr>
        <w:t>At 279.</w:t>
      </w:r>
    </w:p>
  </w:footnote>
  <w:footnote w:id="139">
    <w:p w14:paraId="7B0B902B" w14:textId="323D5054" w:rsidR="00505F5D" w:rsidRDefault="00505F5D" w:rsidP="00505F5D">
      <w:pPr>
        <w:widowControl w:val="0"/>
        <w:autoSpaceDE w:val="0"/>
        <w:autoSpaceDN w:val="0"/>
        <w:adjustRightInd w:val="0"/>
        <w:jc w:val="both"/>
        <w:rPr>
          <w:rFonts w:cs="Times New Roman"/>
          <w:color w:val="000000"/>
          <w:sz w:val="20"/>
          <w:szCs w:val="20"/>
        </w:rPr>
      </w:pPr>
      <w:r>
        <w:rPr>
          <w:rStyle w:val="FootnoteReference"/>
        </w:rPr>
        <w:footnoteRef/>
      </w:r>
      <w:r>
        <w:t xml:space="preserve"> “</w:t>
      </w:r>
      <w:r>
        <w:rPr>
          <w:rFonts w:cs="Times New Roman"/>
          <w:color w:val="000000"/>
          <w:sz w:val="20"/>
          <w:szCs w:val="20"/>
        </w:rPr>
        <w:t>With continued production uneconomical, it is unlikely that an order of specific performance, if made, would ever actually be implemented. If, as a finding that the breach was efficient implies, the cost of a substitute supply (whether of coal, or of electricity) to NIPSCO is less than the cost of producing coal from Carbon County’s mine, NIPSCO and Carbon County can both be made better off by negotiating a cancellation of the contract and with it a dissolution of the order of specific performance. Suppose, by way of example, that Carbon County’s coal costs $20 a ton to produce, that the contract price is $40, and that NIPSCO can buy coal elsewhere for $10. Then Carbon County would be making a profit of only $20 on each ton it sold to NIPSCO ($40–$20), while NIPSCO would be losing $30 on each ton it bought from Carbon County ($40–$10). Hence by offering Carbon County more than contract damages (i.e., more than Carbon County’s lost profits), NIPSCO could induce Carbon County to discharge the contract and release NIPSCO to buy cheaper coal. For example, at $25, both parties would be better off than under specific performance, where Carbon County gains only $20 but NIPSCO loses $30. Probably, therefore, Carbon County is seeking specific performance in order to have bargaining leverage with NIPSCO, and we can think of no reason why the law should give it such</w:t>
      </w:r>
      <w:bookmarkStart w:id="11" w:name="co_pp_sp_350_280_1"/>
      <w:bookmarkEnd w:id="11"/>
      <w:r>
        <w:rPr>
          <w:rFonts w:cs="Times New Roman"/>
          <w:color w:val="000000"/>
          <w:sz w:val="20"/>
          <w:szCs w:val="20"/>
        </w:rPr>
        <w:t xml:space="preserve"> leverage.</w:t>
      </w:r>
      <w:r>
        <w:rPr>
          <w:rFonts w:cs="Times New Roman"/>
          <w:color w:val="000000"/>
          <w:sz w:val="20"/>
          <w:szCs w:val="20"/>
        </w:rPr>
        <w:t>”</w:t>
      </w:r>
      <w:bookmarkStart w:id="12" w:name="_GoBack"/>
      <w:bookmarkEnd w:id="12"/>
      <w:r>
        <w:rPr>
          <w:rFonts w:cs="Times New Roman"/>
          <w:color w:val="000000"/>
          <w:sz w:val="20"/>
          <w:szCs w:val="20"/>
        </w:rPr>
        <w:t xml:space="preserve"> </w:t>
      </w:r>
      <w:r>
        <w:rPr>
          <w:rFonts w:cs="Times New Roman"/>
          <w:color w:val="000000"/>
          <w:sz w:val="20"/>
          <w:szCs w:val="20"/>
        </w:rPr>
        <w:t>(279-280)</w:t>
      </w:r>
    </w:p>
    <w:p w14:paraId="38820532" w14:textId="0DAF5862" w:rsidR="00505F5D" w:rsidRDefault="00505F5D">
      <w:pPr>
        <w:pStyle w:val="FootnoteText"/>
      </w:pPr>
    </w:p>
  </w:footnote>
  <w:footnote w:id="140">
    <w:p w14:paraId="70D434FA" w14:textId="7332E0EE" w:rsidR="0017002A" w:rsidRPr="007179D5" w:rsidRDefault="0017002A" w:rsidP="009C45D0">
      <w:pPr>
        <w:widowControl w:val="0"/>
        <w:autoSpaceDE w:val="0"/>
        <w:autoSpaceDN w:val="0"/>
        <w:adjustRightInd w:val="0"/>
        <w:rPr>
          <w:rFonts w:cs="Times New Roman"/>
        </w:rPr>
      </w:pPr>
      <w:r w:rsidRPr="00411921">
        <w:rPr>
          <w:rStyle w:val="FootnoteReference"/>
          <w:rFonts w:cs="Times New Roman"/>
          <w:sz w:val="20"/>
          <w:szCs w:val="20"/>
        </w:rPr>
        <w:footnoteRef/>
      </w:r>
      <w:r w:rsidRPr="00411921">
        <w:rPr>
          <w:rFonts w:cs="Times New Roman"/>
          <w:sz w:val="20"/>
          <w:szCs w:val="20"/>
        </w:rPr>
        <w:t xml:space="preserve"> See Victor Goldberg, Regulation and Administered Contracts, 7 Bell Journal of Economics, 426, 439 (1976) and Herfried W</w:t>
      </w:r>
      <w:r w:rsidRPr="00411921">
        <w:rPr>
          <w:rFonts w:cs="Times New Roman"/>
          <w:color w:val="000000"/>
          <w:sz w:val="20"/>
          <w:szCs w:val="20"/>
        </w:rPr>
        <w:t>öss, et al, Damages in International Arbitration Under Complex Long-Term Contracts, Oxford University Press, §§6.04-6.06 (2014).</w:t>
      </w:r>
    </w:p>
  </w:footnote>
  <w:footnote w:id="141">
    <w:p w14:paraId="3C1BA98D" w14:textId="4577F8F4" w:rsidR="0017002A" w:rsidRPr="00411921" w:rsidRDefault="0017002A" w:rsidP="009C45D0">
      <w:pPr>
        <w:rPr>
          <w:rFonts w:ascii="Times" w:eastAsia="Times New Roman" w:hAnsi="Times" w:cs="Times New Roman"/>
          <w:sz w:val="20"/>
          <w:szCs w:val="20"/>
        </w:rPr>
      </w:pPr>
      <w:r w:rsidRPr="00411921">
        <w:rPr>
          <w:rStyle w:val="FootnoteReference"/>
          <w:sz w:val="20"/>
          <w:szCs w:val="20"/>
        </w:rPr>
        <w:footnoteRef/>
      </w:r>
      <w:r w:rsidRPr="00411921">
        <w:rPr>
          <w:sz w:val="20"/>
          <w:szCs w:val="20"/>
        </w:rPr>
        <w:t xml:space="preserve"> </w:t>
      </w:r>
      <w:r w:rsidRPr="00411921">
        <w:rPr>
          <w:rFonts w:cs="Times New Roman"/>
          <w:sz w:val="20"/>
          <w:szCs w:val="20"/>
        </w:rPr>
        <w:t xml:space="preserve">The contract would likely have included a “stabilization clause” which “requires the mutual consent of the parties for a modification of a contract and ‘freezes’ the law of the host State, thereby preventing the State from using its legislative power to modify the contract in its own favour.” Sergey Ripinsky with Kevin Williams, Damages in International Investment Law, British Inst of Int’l and Comparative Law, p. 70 (2008). However, the authors note, “the right to nationalize and expropriate property in the public interest—as a manifestation of the State’s sovereignty—exists regardless of whether the property is contractual or non-contractual in nature. . . . This does not mean, of course, that the State will be absolved from the obligation to pay compensation for the lawful expropriation of the contract rights in question.” (pp. 70-71) </w:t>
      </w:r>
    </w:p>
  </w:footnote>
  <w:footnote w:id="142">
    <w:p w14:paraId="180149CB" w14:textId="77777777" w:rsidR="0017002A" w:rsidRPr="00411921" w:rsidRDefault="0017002A" w:rsidP="007E7F84">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See, for example, Occidental v. Ecuador. A number of similar arbitrations were triggered by the rapid rise in oil prices following 2005; see Manuel A. Abdala &amp; Pablo T. Spiller, Chorzow’s Standard Rejuvenated: Assessing Damages in Investment Treaty Arbitrations, 25 J. of International Arbitration, 103, 111-112 (2008)</w:t>
      </w:r>
    </w:p>
  </w:footnote>
  <w:footnote w:id="143">
    <w:p w14:paraId="5B4239BE" w14:textId="70C4F168" w:rsidR="0017002A" w:rsidRPr="00863884" w:rsidRDefault="0017002A" w:rsidP="005C6B1F">
      <w:pPr>
        <w:widowControl w:val="0"/>
        <w:autoSpaceDE w:val="0"/>
        <w:autoSpaceDN w:val="0"/>
        <w:adjustRightInd w:val="0"/>
        <w:spacing w:after="240"/>
        <w:rPr>
          <w:rFonts w:cs="Times New Roman"/>
        </w:rPr>
      </w:pPr>
      <w:r w:rsidRPr="00411921">
        <w:rPr>
          <w:rStyle w:val="FootnoteReference"/>
          <w:rFonts w:cs="Times New Roman"/>
          <w:sz w:val="20"/>
          <w:szCs w:val="20"/>
        </w:rPr>
        <w:footnoteRef/>
      </w:r>
      <w:r w:rsidRPr="00411921">
        <w:rPr>
          <w:rFonts w:cs="Times New Roman"/>
          <w:sz w:val="20"/>
          <w:szCs w:val="20"/>
        </w:rPr>
        <w:t xml:space="preserve"> In 2004, about 40% of the 2500 BITs had some form of umbrella clause. Katia Yannaca-Small, Interpretation of the Umbrella Clause in Investment Agreements, OECD Working Papers on International Investment, p. 5, Number 2006/3. The clauses go by many names</w:t>
      </w:r>
      <w:r w:rsidRPr="00863884">
        <w:rPr>
          <w:rFonts w:cs="Times New Roman"/>
        </w:rPr>
        <w:t>:</w:t>
      </w:r>
    </w:p>
    <w:p w14:paraId="16AE276A" w14:textId="09733268" w:rsidR="0017002A" w:rsidRPr="00411921" w:rsidRDefault="0017002A" w:rsidP="00B02CC6">
      <w:pPr>
        <w:widowControl w:val="0"/>
        <w:autoSpaceDE w:val="0"/>
        <w:autoSpaceDN w:val="0"/>
        <w:adjustRightInd w:val="0"/>
        <w:ind w:left="720" w:right="720"/>
        <w:rPr>
          <w:rFonts w:cs="Times New Roman"/>
          <w:sz w:val="20"/>
          <w:szCs w:val="20"/>
        </w:rPr>
      </w:pPr>
      <w:r w:rsidRPr="00411921">
        <w:rPr>
          <w:rFonts w:cs="Times New Roman"/>
          <w:sz w:val="20"/>
          <w:szCs w:val="20"/>
        </w:rPr>
        <w:t>Some [BITs] create an international law obligation that a host state shall, for example, “observe any obligation it may have entered to”; “constantly guarantee the observance of the commitments it has entered into”; “observe any obligation it has assumed”, and other formulations, in respect to investments. These provisions are commonly called “</w:t>
      </w:r>
      <w:r w:rsidRPr="00411921">
        <w:rPr>
          <w:rFonts w:cs="Times New Roman"/>
          <w:i/>
          <w:sz w:val="20"/>
          <w:szCs w:val="20"/>
        </w:rPr>
        <w:t>umbrella clauses</w:t>
      </w:r>
      <w:r w:rsidRPr="00411921">
        <w:rPr>
          <w:rFonts w:cs="Times New Roman"/>
          <w:sz w:val="20"/>
          <w:szCs w:val="20"/>
        </w:rPr>
        <w:t>”, although other formulations have also been used: “mirror effect”, “elevator”, “parallel effect”, “sanctity of contract”, “respect clause” and “</w:t>
      </w:r>
      <w:r w:rsidRPr="00411921">
        <w:rPr>
          <w:rFonts w:cs="Times New Roman"/>
          <w:i/>
          <w:sz w:val="20"/>
          <w:szCs w:val="20"/>
        </w:rPr>
        <w:t>pacta sunt servanda</w:t>
      </w:r>
      <w:r w:rsidRPr="00411921">
        <w:rPr>
          <w:rFonts w:cs="Times New Roman"/>
          <w:sz w:val="20"/>
          <w:szCs w:val="20"/>
        </w:rPr>
        <w:t>”. Clauses of this kind have been added to provide additional protection to investors and are directed at covering investment agreements that host countries frequently conclude with foreign</w:t>
      </w:r>
      <w:r>
        <w:rPr>
          <w:rFonts w:cs="Times New Roman"/>
          <w:sz w:val="20"/>
          <w:szCs w:val="20"/>
        </w:rPr>
        <w:t xml:space="preserve"> investors. (Yannaca-Small, p. 2</w:t>
      </w:r>
      <w:r w:rsidRPr="00411921">
        <w:rPr>
          <w:rFonts w:cs="Times New Roman"/>
          <w:sz w:val="20"/>
          <w:szCs w:val="20"/>
        </w:rPr>
        <w:t>)</w:t>
      </w:r>
    </w:p>
  </w:footnote>
  <w:footnote w:id="144">
    <w:p w14:paraId="322ABB84" w14:textId="6A14393A" w:rsidR="0017002A" w:rsidRPr="00411921" w:rsidRDefault="0017002A" w:rsidP="00B02CC6">
      <w:pPr>
        <w:rPr>
          <w:rFonts w:ascii="Times" w:eastAsia="Times New Roman" w:hAnsi="Time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“Arbitral tribunals, in their majority, when faced with a ‘proper’ umbrella clause, i.e. one drafted in broad and inclusive terms, seem to be adopting a fairly consistent interpretation which covers all state obligations, including contrac</w:t>
      </w:r>
      <w:r>
        <w:rPr>
          <w:rFonts w:cs="Times New Roman"/>
          <w:sz w:val="20"/>
          <w:szCs w:val="20"/>
        </w:rPr>
        <w:t>tual ones.” Yannaca-Small, p. 25</w:t>
      </w:r>
      <w:r w:rsidRPr="00411921">
        <w:rPr>
          <w:rFonts w:cs="Times New Roman"/>
          <w:sz w:val="20"/>
          <w:szCs w:val="20"/>
        </w:rPr>
        <w:t>. However, at least one panel has asserted that purely contractual rights are not capable of being the object on an expropriation. (</w:t>
      </w:r>
      <w:r w:rsidRPr="00411921">
        <w:rPr>
          <w:rFonts w:eastAsia="Times New Roman" w:cs="Times New Roman"/>
          <w:i/>
          <w:iCs/>
          <w:sz w:val="20"/>
          <w:szCs w:val="20"/>
        </w:rPr>
        <w:t>Accession Mezzanine Capital L.P. and Danubius Kereskedöház Vagyonkezelö Zrt. v. Hungary, </w:t>
      </w:r>
      <w:r w:rsidRPr="00411921">
        <w:rPr>
          <w:rFonts w:eastAsia="Times New Roman" w:cs="Times New Roman"/>
          <w:sz w:val="20"/>
          <w:szCs w:val="20"/>
        </w:rPr>
        <w:t>ICSID Case No. ARB/12/3</w:t>
      </w:r>
      <w:r w:rsidRPr="00411921">
        <w:rPr>
          <w:rFonts w:ascii="Times" w:eastAsia="Times New Roman" w:hAnsi="Times" w:cs="Times New Roman"/>
          <w:sz w:val="20"/>
          <w:szCs w:val="20"/>
        </w:rPr>
        <w:t xml:space="preserve">) </w:t>
      </w:r>
    </w:p>
  </w:footnote>
  <w:footnote w:id="145">
    <w:p w14:paraId="61265C90" w14:textId="173021A4" w:rsidR="0017002A" w:rsidRPr="00411921" w:rsidRDefault="0017002A" w:rsidP="00B02CC6">
      <w:pPr>
        <w:pStyle w:val="FootnoteText"/>
        <w:rPr>
          <w:sz w:val="20"/>
          <w:szCs w:val="20"/>
        </w:rPr>
      </w:pPr>
      <w:r w:rsidRPr="00411921">
        <w:rPr>
          <w:rStyle w:val="FootnoteReference"/>
          <w:rFonts w:cs="Times New Roman"/>
          <w:sz w:val="20"/>
          <w:szCs w:val="20"/>
        </w:rPr>
        <w:footnoteRef/>
      </w:r>
      <w:r w:rsidRPr="00411921">
        <w:rPr>
          <w:rFonts w:cs="Times New Roman"/>
          <w:sz w:val="20"/>
          <w:szCs w:val="20"/>
        </w:rPr>
        <w:t xml:space="preserve"> Some contract claims could also be characterized as expropriations.</w:t>
      </w:r>
    </w:p>
  </w:footnote>
  <w:footnote w:id="146">
    <w:p w14:paraId="42B6893D" w14:textId="065D078F" w:rsidR="0017002A" w:rsidRPr="00411921" w:rsidRDefault="0017002A">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“[T]he general objective of full compensation is the same regardless of whether a loss has been suffered as a result of a breach of contract or a breach of international law.” Ripinsky and Williams,</w:t>
      </w:r>
      <w:r>
        <w:rPr>
          <w:rFonts w:cs="Times New Roman"/>
          <w:sz w:val="20"/>
          <w:szCs w:val="20"/>
        </w:rPr>
        <w:t>supra not 142 at p. 106</w:t>
      </w:r>
      <w:r w:rsidRPr="00411921">
        <w:rPr>
          <w:rFonts w:cs="Times New Roman"/>
          <w:sz w:val="20"/>
          <w:szCs w:val="20"/>
        </w:rPr>
        <w:t>. “It has been rightly pointed out that compensation for lawful and unlawful expropriation cannot be the same, ‘for every legal system must</w:t>
      </w:r>
      <w:r w:rsidRPr="00292C1E">
        <w:rPr>
          <w:rFonts w:cs="Times New Roman"/>
        </w:rPr>
        <w:t xml:space="preserve"> </w:t>
      </w:r>
      <w:r w:rsidRPr="00411921">
        <w:rPr>
          <w:rFonts w:cs="Times New Roman"/>
          <w:sz w:val="20"/>
          <w:szCs w:val="20"/>
        </w:rPr>
        <w:t>necessarily make a distinction between damages arising from lawful and unlawful acts.’</w:t>
      </w:r>
      <w:r>
        <w:rPr>
          <w:rFonts w:cs="Times New Roman"/>
          <w:sz w:val="20"/>
          <w:szCs w:val="20"/>
        </w:rPr>
        <w:t>”</w:t>
      </w:r>
      <w:r w:rsidRPr="00411921">
        <w:rPr>
          <w:rFonts w:cs="Times New Roman"/>
          <w:sz w:val="20"/>
          <w:szCs w:val="20"/>
        </w:rPr>
        <w:t xml:space="preserve"> (citing M. Sornarajah, the International Law on Foreign Investment, p. 438 (2004). They cite some arbitrations which make the distinction (p. 66) and others</w:t>
      </w:r>
      <w:r w:rsidRPr="00292C1E">
        <w:rPr>
          <w:rFonts w:cs="Times New Roman"/>
        </w:rPr>
        <w:t xml:space="preserve"> </w:t>
      </w:r>
      <w:r w:rsidRPr="00411921">
        <w:rPr>
          <w:rFonts w:cs="Times New Roman"/>
          <w:sz w:val="20"/>
          <w:szCs w:val="20"/>
        </w:rPr>
        <w:t>which do not (pp. 84-85). Marboe says: “The idea that compensation is due in case of lawful expropriations and damages in case</w:t>
      </w:r>
      <w:r w:rsidRPr="00292C1E">
        <w:rPr>
          <w:rFonts w:cs="Times New Roman"/>
        </w:rPr>
        <w:t xml:space="preserve"> </w:t>
      </w:r>
      <w:r w:rsidRPr="00411921">
        <w:rPr>
          <w:rFonts w:cs="Times New Roman"/>
          <w:sz w:val="20"/>
          <w:szCs w:val="20"/>
        </w:rPr>
        <w:t>of unlawful</w:t>
      </w:r>
      <w:r w:rsidRPr="00292C1E">
        <w:rPr>
          <w:rFonts w:cs="Times New Roman"/>
        </w:rPr>
        <w:t xml:space="preserve"> </w:t>
      </w:r>
      <w:r w:rsidRPr="00411921">
        <w:rPr>
          <w:rFonts w:cs="Times New Roman"/>
          <w:sz w:val="20"/>
          <w:szCs w:val="20"/>
        </w:rPr>
        <w:t xml:space="preserve">expropriations, thus seems to gain ground in recent investment arbitration practice. It is, however, not yet generally accepted. One of the main reasons might be the fact that . . . in the English language, the term compensation is used for both and almost as a synonym. . . . Thus, the necessity to differentiate is not obvious.” </w:t>
      </w:r>
      <w:r>
        <w:rPr>
          <w:rFonts w:cs="Times New Roman"/>
          <w:sz w:val="20"/>
          <w:szCs w:val="20"/>
        </w:rPr>
        <w:t xml:space="preserve">[citations omitted] </w:t>
      </w:r>
      <w:r w:rsidRPr="00411921">
        <w:rPr>
          <w:rFonts w:cs="Times New Roman"/>
          <w:sz w:val="20"/>
          <w:szCs w:val="20"/>
        </w:rPr>
        <w:t>Irmgard Marboe, Calculation of Compensation and Damages in International Investment Law, §3.108.</w:t>
      </w:r>
    </w:p>
  </w:footnote>
  <w:footnote w:id="147">
    <w:p w14:paraId="0478A4AD" w14:textId="77777777" w:rsidR="0017002A" w:rsidRPr="00411921" w:rsidRDefault="0017002A" w:rsidP="007E7F84">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1928 PCJI Series A, No. 17.</w:t>
      </w:r>
    </w:p>
  </w:footnote>
  <w:footnote w:id="148">
    <w:p w14:paraId="23522F9B" w14:textId="6F538F9C" w:rsidR="0017002A" w:rsidRPr="00411921" w:rsidRDefault="0017002A" w:rsidP="00C85119">
      <w:pPr>
        <w:widowControl w:val="0"/>
        <w:autoSpaceDE w:val="0"/>
        <w:autoSpaceDN w:val="0"/>
        <w:adjustRightInd w:val="0"/>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w:t>
      </w:r>
      <w:r w:rsidRPr="00411921">
        <w:rPr>
          <w:rFonts w:cs="Times New Roman"/>
          <w:iCs/>
          <w:sz w:val="20"/>
          <w:szCs w:val="20"/>
        </w:rPr>
        <w:t>Timothy G. Nelson,</w:t>
      </w:r>
      <w:r w:rsidRPr="00411921">
        <w:rPr>
          <w:rFonts w:cs="Times New Roman"/>
          <w:i/>
          <w:iCs/>
          <w:sz w:val="20"/>
          <w:szCs w:val="20"/>
        </w:rPr>
        <w:t xml:space="preserve"> </w:t>
      </w:r>
      <w:r w:rsidRPr="00411921">
        <w:rPr>
          <w:rFonts w:cs="Times New Roman"/>
          <w:sz w:val="20"/>
          <w:szCs w:val="20"/>
        </w:rPr>
        <w:t>A Factory In Chorzów: The Silesian Dispute That Continues To Influence International Law And Expropriation Damages Almost A Century Later, J. of Damages in I</w:t>
      </w:r>
      <w:r>
        <w:rPr>
          <w:rFonts w:cs="Times New Roman"/>
          <w:sz w:val="20"/>
          <w:szCs w:val="20"/>
        </w:rPr>
        <w:t>nternational Arbitration, 77 (2014</w:t>
      </w:r>
      <w:r w:rsidRPr="00411921">
        <w:rPr>
          <w:rFonts w:cs="Times New Roman"/>
          <w:sz w:val="20"/>
          <w:szCs w:val="20"/>
        </w:rPr>
        <w:t>). See also W</w:t>
      </w:r>
      <w:r w:rsidRPr="00411921">
        <w:rPr>
          <w:rFonts w:cs="Times New Roman"/>
          <w:color w:val="000000"/>
          <w:sz w:val="20"/>
          <w:szCs w:val="20"/>
        </w:rPr>
        <w:t>öss, et al, Damages in International Arbitration Under Complex Long-Term Contracts, Oxford University Press, 2014.</w:t>
      </w:r>
    </w:p>
  </w:footnote>
  <w:footnote w:id="149">
    <w:p w14:paraId="22F90DF9" w14:textId="5032C93B" w:rsidR="0017002A" w:rsidRPr="00411921" w:rsidRDefault="0017002A" w:rsidP="00C85119">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w:t>
      </w:r>
      <w:r>
        <w:rPr>
          <w:rFonts w:cs="Times New Roman"/>
          <w:sz w:val="20"/>
          <w:szCs w:val="20"/>
        </w:rPr>
        <w:t xml:space="preserve">1928 PCJI Series A, No. 17. See also Timothy G. Nelson, </w:t>
      </w:r>
      <w:r>
        <w:rPr>
          <w:rFonts w:cs="Times New Roman"/>
          <w:i/>
          <w:sz w:val="20"/>
          <w:szCs w:val="20"/>
        </w:rPr>
        <w:t xml:space="preserve">supra </w:t>
      </w:r>
      <w:r>
        <w:rPr>
          <w:rFonts w:cs="Times New Roman"/>
          <w:sz w:val="20"/>
          <w:szCs w:val="20"/>
        </w:rPr>
        <w:t xml:space="preserve">note </w:t>
      </w:r>
      <w:r w:rsidRPr="00AC0D29">
        <w:rPr>
          <w:rFonts w:cs="Times New Roman"/>
          <w:sz w:val="20"/>
          <w:szCs w:val="20"/>
        </w:rPr>
        <w:t>149</w:t>
      </w:r>
      <w:r w:rsidRPr="00344B52">
        <w:rPr>
          <w:rFonts w:cs="Times New Roman"/>
          <w:sz w:val="20"/>
          <w:szCs w:val="20"/>
        </w:rPr>
        <w:t xml:space="preserve"> at 84.</w:t>
      </w:r>
    </w:p>
  </w:footnote>
  <w:footnote w:id="150">
    <w:p w14:paraId="4799D9EE" w14:textId="429684EB" w:rsidR="0017002A" w:rsidRPr="00411921" w:rsidRDefault="0017002A" w:rsidP="00C85119">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w:t>
      </w:r>
      <w:r>
        <w:rPr>
          <w:rFonts w:cs="Times New Roman"/>
          <w:sz w:val="20"/>
          <w:szCs w:val="20"/>
        </w:rPr>
        <w:t xml:space="preserve">Timothy G. Nelson, </w:t>
      </w:r>
      <w:r>
        <w:rPr>
          <w:rFonts w:cs="Times New Roman"/>
          <w:i/>
          <w:sz w:val="20"/>
          <w:szCs w:val="20"/>
        </w:rPr>
        <w:t xml:space="preserve">supra </w:t>
      </w:r>
      <w:r>
        <w:rPr>
          <w:rFonts w:cs="Times New Roman"/>
          <w:sz w:val="20"/>
          <w:szCs w:val="20"/>
        </w:rPr>
        <w:t xml:space="preserve">note 149 </w:t>
      </w:r>
      <w:r w:rsidRPr="00344B52">
        <w:rPr>
          <w:rFonts w:cs="Times New Roman"/>
          <w:sz w:val="20"/>
          <w:szCs w:val="20"/>
        </w:rPr>
        <w:t>at 77.</w:t>
      </w:r>
    </w:p>
  </w:footnote>
  <w:footnote w:id="151">
    <w:p w14:paraId="63C96B36" w14:textId="1927A30B" w:rsidR="0017002A" w:rsidRPr="00411921" w:rsidRDefault="0017002A" w:rsidP="00C85119">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w:t>
      </w:r>
      <w:r w:rsidRPr="00875F75">
        <w:rPr>
          <w:rFonts w:cs="Times New Roman"/>
          <w:sz w:val="20"/>
          <w:szCs w:val="20"/>
        </w:rPr>
        <w:t>W</w:t>
      </w:r>
      <w:r w:rsidRPr="00185591">
        <w:rPr>
          <w:rFonts w:cs="Times New Roman"/>
          <w:sz w:val="20"/>
          <w:szCs w:val="20"/>
        </w:rPr>
        <w:t>öss, et al</w:t>
      </w:r>
      <w:r>
        <w:rPr>
          <w:rFonts w:cs="Times New Roman"/>
          <w:sz w:val="20"/>
          <w:szCs w:val="20"/>
        </w:rPr>
        <w:t xml:space="preserve">., </w:t>
      </w:r>
      <w:r>
        <w:rPr>
          <w:rFonts w:cs="Times New Roman"/>
          <w:i/>
          <w:sz w:val="20"/>
          <w:szCs w:val="20"/>
        </w:rPr>
        <w:t xml:space="preserve">supra </w:t>
      </w:r>
      <w:r>
        <w:rPr>
          <w:rFonts w:cs="Times New Roman"/>
          <w:sz w:val="20"/>
          <w:szCs w:val="20"/>
        </w:rPr>
        <w:t>note 149 a</w:t>
      </w:r>
      <w:r w:rsidRPr="00344B52">
        <w:rPr>
          <w:rFonts w:cs="Times New Roman"/>
          <w:sz w:val="20"/>
          <w:szCs w:val="20"/>
        </w:rPr>
        <w:t>t</w:t>
      </w:r>
      <w:r w:rsidRPr="00411921">
        <w:rPr>
          <w:rFonts w:cs="Times New Roman"/>
          <w:sz w:val="20"/>
          <w:szCs w:val="20"/>
        </w:rPr>
        <w:t xml:space="preserve"> </w:t>
      </w:r>
      <w:r w:rsidRPr="00411921">
        <w:rPr>
          <w:rFonts w:cs="Times New Roman"/>
          <w:color w:val="000000"/>
          <w:sz w:val="20"/>
          <w:szCs w:val="20"/>
        </w:rPr>
        <w:t>¶ 6.25.</w:t>
      </w:r>
    </w:p>
  </w:footnote>
  <w:footnote w:id="152">
    <w:p w14:paraId="7972E4A1" w14:textId="20A6A0CF" w:rsidR="0017002A" w:rsidRPr="00411921" w:rsidRDefault="0017002A" w:rsidP="00C85119">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For a discussion of monetary specific performance, see </w:t>
      </w:r>
      <w:r w:rsidRPr="00A34B72">
        <w:rPr>
          <w:rFonts w:cs="Times New Roman"/>
          <w:i/>
          <w:sz w:val="20"/>
          <w:szCs w:val="20"/>
        </w:rPr>
        <w:t>Rethinking</w:t>
      </w:r>
      <w:r w:rsidRPr="00411921">
        <w:rPr>
          <w:rFonts w:cs="Times New Roman"/>
          <w:sz w:val="20"/>
          <w:szCs w:val="20"/>
        </w:rPr>
        <w:t xml:space="preserve">, </w:t>
      </w:r>
      <w:r w:rsidRPr="00A34B72">
        <w:rPr>
          <w:rFonts w:cs="Times New Roman"/>
          <w:i/>
          <w:sz w:val="20"/>
          <w:szCs w:val="20"/>
        </w:rPr>
        <w:t>supra</w:t>
      </w:r>
      <w:r>
        <w:rPr>
          <w:rFonts w:cs="Times New Roman"/>
          <w:sz w:val="20"/>
          <w:szCs w:val="20"/>
        </w:rPr>
        <w:t xml:space="preserve"> note 5 at </w:t>
      </w:r>
      <w:r w:rsidRPr="00411921">
        <w:rPr>
          <w:rFonts w:cs="Times New Roman"/>
          <w:sz w:val="20"/>
          <w:szCs w:val="20"/>
        </w:rPr>
        <w:t>pp. 29-30.</w:t>
      </w:r>
    </w:p>
  </w:footnote>
  <w:footnote w:id="153">
    <w:p w14:paraId="240B2E6D" w14:textId="45E8759B" w:rsidR="0017002A" w:rsidRPr="00863884" w:rsidRDefault="0017002A" w:rsidP="00C85119">
      <w:pPr>
        <w:pStyle w:val="FootnoteText"/>
        <w:rPr>
          <w:rFonts w:cs="Times New Roman"/>
        </w:rPr>
      </w:pPr>
      <w:r w:rsidRPr="00411921">
        <w:rPr>
          <w:rStyle w:val="FootnoteReference"/>
          <w:rFonts w:cs="Times New Roman"/>
          <w:sz w:val="20"/>
          <w:szCs w:val="20"/>
        </w:rPr>
        <w:footnoteRef/>
      </w:r>
      <w:r w:rsidRPr="00411921">
        <w:rPr>
          <w:rFonts w:cs="Times New Roman"/>
          <w:sz w:val="20"/>
          <w:szCs w:val="20"/>
        </w:rPr>
        <w:t xml:space="preserve"> As we shall see below, they argue for the time-of-decision rule only if that yields a higher award.</w:t>
      </w:r>
    </w:p>
  </w:footnote>
  <w:footnote w:id="154">
    <w:p w14:paraId="4122E2BD" w14:textId="77777777" w:rsidR="0017002A" w:rsidRPr="008C78A5" w:rsidRDefault="0017002A" w:rsidP="00C85119">
      <w:pPr>
        <w:pStyle w:val="FootnoteText"/>
        <w:rPr>
          <w:rFonts w:cs="Times New Roman"/>
          <w:sz w:val="20"/>
          <w:szCs w:val="20"/>
        </w:rPr>
      </w:pPr>
      <w:r w:rsidRPr="008C78A5">
        <w:rPr>
          <w:rStyle w:val="FootnoteReference"/>
          <w:rFonts w:cs="Times New Roman"/>
          <w:sz w:val="20"/>
          <w:szCs w:val="20"/>
        </w:rPr>
        <w:footnoteRef/>
      </w:r>
      <w:r w:rsidRPr="008C78A5">
        <w:rPr>
          <w:rFonts w:cs="Times New Roman"/>
          <w:sz w:val="20"/>
          <w:szCs w:val="20"/>
        </w:rPr>
        <w:t xml:space="preserve"> At p. xx.</w:t>
      </w:r>
    </w:p>
  </w:footnote>
  <w:footnote w:id="155">
    <w:p w14:paraId="72614A9E" w14:textId="77777777" w:rsidR="0017002A" w:rsidRPr="008C78A5" w:rsidRDefault="0017002A" w:rsidP="00C85119">
      <w:pPr>
        <w:pStyle w:val="FootnoteText"/>
        <w:rPr>
          <w:rFonts w:cs="Times New Roman"/>
          <w:sz w:val="20"/>
          <w:szCs w:val="20"/>
        </w:rPr>
      </w:pPr>
      <w:r w:rsidRPr="008C78A5">
        <w:rPr>
          <w:rStyle w:val="FootnoteReference"/>
          <w:rFonts w:cs="Times New Roman"/>
          <w:sz w:val="20"/>
          <w:szCs w:val="20"/>
        </w:rPr>
        <w:footnoteRef/>
      </w:r>
      <w:r w:rsidRPr="008C78A5">
        <w:rPr>
          <w:rFonts w:cs="Times New Roman"/>
          <w:sz w:val="20"/>
          <w:szCs w:val="20"/>
        </w:rPr>
        <w:t xml:space="preserve"> An award at the time of decision would, of course, include any losses (or gains) incurred in the period prior to the decision.</w:t>
      </w:r>
    </w:p>
  </w:footnote>
  <w:footnote w:id="156">
    <w:p w14:paraId="19788710" w14:textId="77777777" w:rsidR="0017002A" w:rsidRPr="008C78A5" w:rsidRDefault="0017002A" w:rsidP="00411921">
      <w:pPr>
        <w:pStyle w:val="FootnoteText"/>
        <w:rPr>
          <w:sz w:val="20"/>
          <w:szCs w:val="20"/>
        </w:rPr>
      </w:pPr>
      <w:r w:rsidRPr="008C78A5">
        <w:rPr>
          <w:rStyle w:val="FootnoteReference"/>
          <w:rFonts w:cs="Times New Roman"/>
          <w:sz w:val="20"/>
          <w:szCs w:val="20"/>
        </w:rPr>
        <w:footnoteRef/>
      </w:r>
      <w:r w:rsidRPr="008C78A5">
        <w:rPr>
          <w:rFonts w:cs="Times New Roman"/>
          <w:sz w:val="20"/>
          <w:szCs w:val="20"/>
        </w:rPr>
        <w:t xml:space="preserve"> ARB/08/1 and ARB/09/20, Award (ICSID May 16, 2012). </w:t>
      </w:r>
    </w:p>
  </w:footnote>
  <w:footnote w:id="157">
    <w:p w14:paraId="3FE22770" w14:textId="7BFB9620" w:rsidR="0017002A" w:rsidRPr="008C78A5" w:rsidRDefault="0017002A" w:rsidP="00411921">
      <w:pPr>
        <w:pStyle w:val="FootnoteText"/>
        <w:rPr>
          <w:rFonts w:cs="Times New Roman"/>
          <w:sz w:val="20"/>
          <w:szCs w:val="20"/>
        </w:rPr>
      </w:pPr>
      <w:r w:rsidRPr="008C78A5">
        <w:rPr>
          <w:rStyle w:val="FootnoteReference"/>
          <w:rFonts w:cs="Times New Roman"/>
          <w:sz w:val="20"/>
          <w:szCs w:val="20"/>
        </w:rPr>
        <w:footnoteRef/>
      </w:r>
      <w:r w:rsidRPr="008C78A5">
        <w:rPr>
          <w:rFonts w:cs="Times New Roman"/>
          <w:sz w:val="20"/>
          <w:szCs w:val="20"/>
        </w:rPr>
        <w:t xml:space="preserve"> </w:t>
      </w:r>
      <w:r>
        <w:rPr>
          <w:rFonts w:cs="Times New Roman"/>
          <w:sz w:val="20"/>
          <w:szCs w:val="20"/>
        </w:rPr>
        <w:t xml:space="preserve">Timothy G. Nelson, </w:t>
      </w:r>
      <w:r>
        <w:rPr>
          <w:rFonts w:cs="Times New Roman"/>
          <w:i/>
          <w:sz w:val="20"/>
          <w:szCs w:val="20"/>
        </w:rPr>
        <w:t xml:space="preserve">supra </w:t>
      </w:r>
      <w:r>
        <w:rPr>
          <w:rFonts w:cs="Times New Roman"/>
          <w:sz w:val="20"/>
          <w:szCs w:val="20"/>
        </w:rPr>
        <w:t xml:space="preserve">note 149 at </w:t>
      </w:r>
      <w:r w:rsidRPr="00344B52">
        <w:rPr>
          <w:rFonts w:cs="Times New Roman"/>
          <w:sz w:val="20"/>
          <w:szCs w:val="20"/>
        </w:rPr>
        <w:t>p. 90.</w:t>
      </w:r>
      <w:r>
        <w:rPr>
          <w:rFonts w:cs="Times New Roman"/>
          <w:sz w:val="20"/>
          <w:szCs w:val="20"/>
        </w:rPr>
        <w:t xml:space="preserve"> [footnotes omitted]</w:t>
      </w:r>
    </w:p>
  </w:footnote>
  <w:footnote w:id="158">
    <w:p w14:paraId="620FB71F" w14:textId="77777777" w:rsidR="0017002A" w:rsidRPr="008C78A5" w:rsidRDefault="0017002A" w:rsidP="00411921">
      <w:pPr>
        <w:widowControl w:val="0"/>
        <w:autoSpaceDE w:val="0"/>
        <w:autoSpaceDN w:val="0"/>
        <w:adjustRightInd w:val="0"/>
        <w:rPr>
          <w:rFonts w:cs="Times New Roman"/>
          <w:sz w:val="20"/>
          <w:szCs w:val="20"/>
        </w:rPr>
      </w:pPr>
      <w:r w:rsidRPr="008C78A5">
        <w:rPr>
          <w:rStyle w:val="FootnoteReference"/>
          <w:rFonts w:cs="Times New Roman"/>
          <w:sz w:val="20"/>
          <w:szCs w:val="20"/>
        </w:rPr>
        <w:footnoteRef/>
      </w:r>
      <w:r w:rsidRPr="008C78A5">
        <w:rPr>
          <w:rFonts w:cs="Times New Roman"/>
          <w:sz w:val="20"/>
          <w:szCs w:val="20"/>
        </w:rPr>
        <w:t xml:space="preserve"> ARB/05/18 and ARB/07/15, Award, ¶ 514 (ICSID Mar. 3, 2010). </w:t>
      </w:r>
    </w:p>
  </w:footnote>
  <w:footnote w:id="159">
    <w:p w14:paraId="0FF10C63" w14:textId="1A30282C" w:rsidR="0017002A" w:rsidRPr="008C78A5" w:rsidRDefault="0017002A" w:rsidP="00411921">
      <w:pPr>
        <w:pStyle w:val="FootnoteText"/>
        <w:rPr>
          <w:rFonts w:cs="Times New Roman"/>
          <w:sz w:val="20"/>
          <w:szCs w:val="20"/>
        </w:rPr>
      </w:pPr>
      <w:r w:rsidRPr="008C78A5">
        <w:rPr>
          <w:rStyle w:val="FootnoteReference"/>
          <w:rFonts w:cs="Times New Roman"/>
          <w:sz w:val="20"/>
          <w:szCs w:val="20"/>
        </w:rPr>
        <w:footnoteRef/>
      </w:r>
      <w:r w:rsidRPr="008C78A5">
        <w:rPr>
          <w:rFonts w:cs="Times New Roman"/>
          <w:sz w:val="20"/>
          <w:szCs w:val="20"/>
        </w:rPr>
        <w:t xml:space="preserve"> </w:t>
      </w:r>
      <w:r>
        <w:rPr>
          <w:rFonts w:cs="Times New Roman"/>
          <w:sz w:val="20"/>
          <w:szCs w:val="20"/>
        </w:rPr>
        <w:t xml:space="preserve">Timothy G. Nelson, </w:t>
      </w:r>
      <w:r>
        <w:rPr>
          <w:rFonts w:cs="Times New Roman"/>
          <w:i/>
          <w:sz w:val="20"/>
          <w:szCs w:val="20"/>
        </w:rPr>
        <w:t xml:space="preserve">supra </w:t>
      </w:r>
      <w:r>
        <w:rPr>
          <w:rFonts w:cs="Times New Roman"/>
          <w:sz w:val="20"/>
          <w:szCs w:val="20"/>
        </w:rPr>
        <w:t>note, 149 at</w:t>
      </w:r>
      <w:r w:rsidRPr="008C78A5">
        <w:rPr>
          <w:rFonts w:cs="Times New Roman"/>
          <w:sz w:val="20"/>
          <w:szCs w:val="20"/>
        </w:rPr>
        <w:t xml:space="preserve"> p. 91. (emphasis added)</w:t>
      </w:r>
    </w:p>
  </w:footnote>
  <w:footnote w:id="160">
    <w:p w14:paraId="2D74E990" w14:textId="77777777" w:rsidR="0017002A" w:rsidRPr="008C78A5" w:rsidRDefault="0017002A" w:rsidP="00411921">
      <w:pPr>
        <w:pStyle w:val="FootnoteText"/>
        <w:rPr>
          <w:rFonts w:cs="Times New Roman"/>
          <w:sz w:val="20"/>
          <w:szCs w:val="20"/>
        </w:rPr>
      </w:pPr>
      <w:r w:rsidRPr="008C78A5">
        <w:rPr>
          <w:rStyle w:val="FootnoteReference"/>
          <w:rFonts w:cs="Times New Roman"/>
          <w:sz w:val="20"/>
          <w:szCs w:val="20"/>
        </w:rPr>
        <w:footnoteRef/>
      </w:r>
      <w:r w:rsidRPr="008C78A5">
        <w:rPr>
          <w:rFonts w:cs="Times New Roman"/>
          <w:sz w:val="20"/>
          <w:szCs w:val="20"/>
        </w:rPr>
        <w:t xml:space="preserve"> ARB/05/6, Award, ¶ 481 (ICSID Oct. 2, 2006).</w:t>
      </w:r>
    </w:p>
  </w:footnote>
  <w:footnote w:id="161">
    <w:p w14:paraId="79310A9B" w14:textId="77777777" w:rsidR="0017002A" w:rsidRPr="008C78A5" w:rsidRDefault="0017002A" w:rsidP="00411921">
      <w:pPr>
        <w:pStyle w:val="FootnoteText"/>
        <w:rPr>
          <w:rFonts w:cs="Times New Roman"/>
          <w:sz w:val="20"/>
          <w:szCs w:val="20"/>
        </w:rPr>
      </w:pPr>
      <w:r w:rsidRPr="008C78A5">
        <w:rPr>
          <w:rStyle w:val="FootnoteReference"/>
          <w:rFonts w:cs="Times New Roman"/>
          <w:sz w:val="20"/>
          <w:szCs w:val="20"/>
        </w:rPr>
        <w:footnoteRef/>
      </w:r>
      <w:r w:rsidRPr="008C78A5">
        <w:rPr>
          <w:rFonts w:cs="Times New Roman"/>
          <w:sz w:val="20"/>
          <w:szCs w:val="20"/>
        </w:rPr>
        <w:t xml:space="preserve"> No. ARB/81/8, Resubmission Award ¶¶ 1–2 (ICSID June 5, 1990).</w:t>
      </w:r>
    </w:p>
  </w:footnote>
  <w:footnote w:id="162">
    <w:p w14:paraId="6970DF95" w14:textId="77777777" w:rsidR="0017002A" w:rsidRPr="00411921" w:rsidRDefault="0017002A" w:rsidP="00411921">
      <w:pPr>
        <w:pStyle w:val="FootnoteText"/>
        <w:rPr>
          <w:rFonts w:cs="Times New Roman"/>
          <w:sz w:val="18"/>
          <w:szCs w:val="18"/>
        </w:rPr>
      </w:pPr>
      <w:r w:rsidRPr="008C78A5">
        <w:rPr>
          <w:rStyle w:val="FootnoteReference"/>
          <w:rFonts w:cs="Times New Roman"/>
          <w:sz w:val="20"/>
          <w:szCs w:val="20"/>
        </w:rPr>
        <w:footnoteRef/>
      </w:r>
      <w:r w:rsidRPr="008C78A5">
        <w:rPr>
          <w:rFonts w:cs="Times New Roman"/>
          <w:sz w:val="20"/>
          <w:szCs w:val="20"/>
        </w:rPr>
        <w:t xml:space="preserve"> ARB/02/8, Award, ¶ 352 (ICSID Feb. 6, 2007), </w:t>
      </w:r>
      <w:r w:rsidRPr="008C78A5">
        <w:rPr>
          <w:rFonts w:cs="Times New Roman"/>
          <w:i/>
          <w:iCs/>
          <w:sz w:val="20"/>
          <w:szCs w:val="20"/>
        </w:rPr>
        <w:t xml:space="preserve">reprinted in </w:t>
      </w:r>
      <w:r w:rsidRPr="008C78A5">
        <w:rPr>
          <w:rFonts w:cs="Times New Roman"/>
          <w:sz w:val="20"/>
          <w:szCs w:val="20"/>
        </w:rPr>
        <w:t>14 ICSID Rep. 513 (2009).</w:t>
      </w:r>
    </w:p>
  </w:footnote>
  <w:footnote w:id="163">
    <w:p w14:paraId="2A3E39F6" w14:textId="77777777" w:rsidR="0017002A" w:rsidRPr="008C78A5" w:rsidRDefault="0017002A" w:rsidP="00411921">
      <w:pPr>
        <w:pStyle w:val="FootnoteText"/>
        <w:rPr>
          <w:rFonts w:cs="Times New Roman"/>
          <w:sz w:val="20"/>
          <w:szCs w:val="20"/>
        </w:rPr>
      </w:pPr>
      <w:r w:rsidRPr="008C78A5">
        <w:rPr>
          <w:rStyle w:val="FootnoteReference"/>
          <w:rFonts w:cs="Times New Roman"/>
          <w:sz w:val="20"/>
          <w:szCs w:val="20"/>
        </w:rPr>
        <w:footnoteRef/>
      </w:r>
      <w:r w:rsidRPr="008C78A5">
        <w:rPr>
          <w:rFonts w:cs="Times New Roman"/>
          <w:sz w:val="20"/>
          <w:szCs w:val="20"/>
        </w:rPr>
        <w:t xml:space="preserve"> ARB/07/30, Decision on Jurisdiction and the Merits ¶ 342-43 (ICSID Sept. 3, 2013).</w:t>
      </w:r>
    </w:p>
  </w:footnote>
  <w:footnote w:id="164">
    <w:p w14:paraId="30425C3F" w14:textId="77777777" w:rsidR="0017002A" w:rsidRPr="007179D5" w:rsidRDefault="0017002A" w:rsidP="00411921">
      <w:pPr>
        <w:pStyle w:val="FootnoteText"/>
        <w:rPr>
          <w:rFonts w:cs="Times New Roman"/>
        </w:rPr>
      </w:pPr>
      <w:r w:rsidRPr="008C78A5">
        <w:rPr>
          <w:rStyle w:val="FootnoteReference"/>
          <w:rFonts w:cs="Times New Roman"/>
          <w:sz w:val="20"/>
          <w:szCs w:val="20"/>
        </w:rPr>
        <w:footnoteRef/>
      </w:r>
      <w:r w:rsidRPr="008C78A5">
        <w:rPr>
          <w:rFonts w:cs="Times New Roman"/>
          <w:sz w:val="20"/>
          <w:szCs w:val="20"/>
        </w:rPr>
        <w:t xml:space="preserve"> Get citation.</w:t>
      </w:r>
    </w:p>
  </w:footnote>
  <w:footnote w:id="165">
    <w:p w14:paraId="7CD9BA78" w14:textId="77777777" w:rsidR="0017002A" w:rsidRPr="00411921" w:rsidRDefault="0017002A" w:rsidP="00411921">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Spiller was the main author of the relevant chapters of the W</w:t>
      </w:r>
      <w:r w:rsidRPr="00411921">
        <w:rPr>
          <w:rFonts w:cs="Times New Roman"/>
          <w:color w:val="000000"/>
          <w:sz w:val="20"/>
          <w:szCs w:val="20"/>
        </w:rPr>
        <w:t>öss, et al book.</w:t>
      </w:r>
    </w:p>
  </w:footnote>
  <w:footnote w:id="166">
    <w:p w14:paraId="47D388C7" w14:textId="48855295" w:rsidR="0017002A" w:rsidRPr="00411921" w:rsidRDefault="0017002A" w:rsidP="007E7F84">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w:t>
      </w:r>
      <w:r w:rsidRPr="00875F75">
        <w:rPr>
          <w:rFonts w:cs="Times New Roman"/>
          <w:sz w:val="20"/>
          <w:szCs w:val="20"/>
        </w:rPr>
        <w:t>W</w:t>
      </w:r>
      <w:r w:rsidRPr="00185591">
        <w:rPr>
          <w:rFonts w:cs="Times New Roman"/>
          <w:sz w:val="20"/>
          <w:szCs w:val="20"/>
        </w:rPr>
        <w:t>öss, et al</w:t>
      </w:r>
      <w:r>
        <w:rPr>
          <w:rFonts w:cs="Times New Roman"/>
          <w:sz w:val="20"/>
          <w:szCs w:val="20"/>
        </w:rPr>
        <w:t xml:space="preserve">., </w:t>
      </w:r>
      <w:r>
        <w:rPr>
          <w:rFonts w:cs="Times New Roman"/>
          <w:i/>
          <w:sz w:val="20"/>
          <w:szCs w:val="20"/>
        </w:rPr>
        <w:t xml:space="preserve">supra </w:t>
      </w:r>
      <w:r>
        <w:rPr>
          <w:rFonts w:cs="Times New Roman"/>
          <w:sz w:val="20"/>
          <w:szCs w:val="20"/>
        </w:rPr>
        <w:t>note 149 a</w:t>
      </w:r>
      <w:r w:rsidRPr="00344B52">
        <w:rPr>
          <w:rFonts w:cs="Times New Roman"/>
          <w:sz w:val="20"/>
          <w:szCs w:val="20"/>
        </w:rPr>
        <w:t>t</w:t>
      </w:r>
      <w:r w:rsidRPr="00185591">
        <w:rPr>
          <w:rFonts w:cs="Times New Roman"/>
          <w:sz w:val="20"/>
          <w:szCs w:val="20"/>
        </w:rPr>
        <w:t xml:space="preserve"> </w:t>
      </w:r>
      <w:r w:rsidRPr="00411921">
        <w:rPr>
          <w:rFonts w:cs="Times New Roman"/>
          <w:sz w:val="20"/>
          <w:szCs w:val="20"/>
        </w:rPr>
        <w:t>¶5.80.</w:t>
      </w:r>
    </w:p>
  </w:footnote>
  <w:footnote w:id="167">
    <w:p w14:paraId="19330573" w14:textId="3C3AB2A1" w:rsidR="0017002A" w:rsidRPr="00411921" w:rsidRDefault="0017002A" w:rsidP="007E7F84">
      <w:pPr>
        <w:pStyle w:val="FootnoteText"/>
        <w:rPr>
          <w:sz w:val="20"/>
          <w:szCs w:val="20"/>
        </w:rPr>
      </w:pPr>
      <w:r w:rsidRPr="00411921">
        <w:rPr>
          <w:rStyle w:val="FootnoteReference"/>
          <w:rFonts w:cs="Times New Roman"/>
          <w:sz w:val="20"/>
          <w:szCs w:val="20"/>
        </w:rPr>
        <w:footnoteRef/>
      </w:r>
      <w:r w:rsidRPr="00411921">
        <w:rPr>
          <w:rFonts w:cs="Times New Roman"/>
          <w:sz w:val="20"/>
          <w:szCs w:val="20"/>
        </w:rPr>
        <w:t xml:space="preserve"> </w:t>
      </w:r>
      <w:r>
        <w:rPr>
          <w:rFonts w:cs="Times New Roman"/>
          <w:i/>
          <w:sz w:val="20"/>
          <w:szCs w:val="20"/>
        </w:rPr>
        <w:t>Id. at</w:t>
      </w:r>
      <w:r w:rsidRPr="00411921">
        <w:rPr>
          <w:rFonts w:cs="Times New Roman"/>
          <w:color w:val="000000"/>
          <w:sz w:val="20"/>
          <w:szCs w:val="20"/>
        </w:rPr>
        <w:t xml:space="preserve"> </w:t>
      </w:r>
      <w:r w:rsidRPr="00411921">
        <w:rPr>
          <w:rFonts w:cs="Times New Roman"/>
          <w:sz w:val="20"/>
          <w:szCs w:val="20"/>
        </w:rPr>
        <w:t>¶ ¶6.67-6.79.</w:t>
      </w:r>
    </w:p>
  </w:footnote>
  <w:footnote w:id="168">
    <w:p w14:paraId="5564C75F" w14:textId="064B73FA" w:rsidR="0017002A" w:rsidRPr="00411921" w:rsidRDefault="0017002A" w:rsidP="007E7F84">
      <w:pPr>
        <w:pStyle w:val="FootnoteText"/>
        <w:rPr>
          <w:rFonts w:cs="Times New Roman"/>
          <w:sz w:val="20"/>
          <w:szCs w:val="20"/>
        </w:rPr>
      </w:pPr>
      <w:r w:rsidRPr="00411921">
        <w:rPr>
          <w:rStyle w:val="FootnoteReference"/>
          <w:rFonts w:cs="Times New Roman"/>
          <w:sz w:val="20"/>
          <w:szCs w:val="20"/>
        </w:rPr>
        <w:footnoteRef/>
      </w:r>
      <w:r>
        <w:rPr>
          <w:rFonts w:cs="Times New Roman"/>
          <w:sz w:val="20"/>
          <w:szCs w:val="20"/>
        </w:rPr>
        <w:t xml:space="preserve"> M. A.</w:t>
      </w:r>
      <w:r w:rsidRPr="00411921">
        <w:rPr>
          <w:rFonts w:cs="Times New Roman"/>
          <w:sz w:val="20"/>
          <w:szCs w:val="20"/>
        </w:rPr>
        <w:t xml:space="preserve"> Abdala, P. T. Spiller, and S. Zuccon, </w:t>
      </w:r>
      <w:r w:rsidRPr="00411921">
        <w:rPr>
          <w:rFonts w:eastAsia="Times New Roman" w:cs="Times New Roman"/>
          <w:bCs/>
          <w:sz w:val="20"/>
          <w:szCs w:val="20"/>
        </w:rPr>
        <w:t>Chorzow’s Compensation Standard as Applied in ADB v. Hungary, 4</w:t>
      </w:r>
      <w:r>
        <w:rPr>
          <w:rFonts w:eastAsia="Times New Roman" w:cs="Times New Roman"/>
          <w:bCs/>
          <w:sz w:val="20"/>
          <w:szCs w:val="20"/>
        </w:rPr>
        <w:t>(3)</w:t>
      </w:r>
      <w:r w:rsidRPr="00411921">
        <w:rPr>
          <w:rFonts w:eastAsia="Times New Roman" w:cs="Times New Roman"/>
          <w:bCs/>
          <w:sz w:val="20"/>
          <w:szCs w:val="20"/>
        </w:rPr>
        <w:t xml:space="preserve"> Transnational Dispute Management, 5-6 (2007.</w:t>
      </w:r>
    </w:p>
  </w:footnote>
  <w:footnote w:id="169">
    <w:p w14:paraId="3CADD019" w14:textId="3D709830" w:rsidR="0017002A" w:rsidRPr="007179D5" w:rsidRDefault="0017002A">
      <w:pPr>
        <w:pStyle w:val="FootnoteText"/>
        <w:rPr>
          <w:rFonts w:cs="Times New Roman"/>
        </w:rPr>
      </w:pPr>
      <w:r w:rsidRPr="00411921">
        <w:rPr>
          <w:rStyle w:val="FootnoteReference"/>
          <w:rFonts w:cs="Times New Roman"/>
          <w:sz w:val="20"/>
          <w:szCs w:val="20"/>
        </w:rPr>
        <w:footnoteRef/>
      </w:r>
      <w:r w:rsidRPr="00411921">
        <w:rPr>
          <w:rFonts w:cs="Times New Roman"/>
          <w:sz w:val="20"/>
          <w:szCs w:val="20"/>
        </w:rPr>
        <w:t xml:space="preserve"> The same is true of the sort of domestic long-term contracts discuss</w:t>
      </w:r>
      <w:r>
        <w:rPr>
          <w:rFonts w:cs="Times New Roman"/>
          <w:sz w:val="20"/>
          <w:szCs w:val="20"/>
        </w:rPr>
        <w:t>ed in Part III</w:t>
      </w:r>
      <w:r w:rsidRPr="00411921">
        <w:rPr>
          <w:rFonts w:cs="Times New Roman"/>
          <w:sz w:val="20"/>
          <w:szCs w:val="20"/>
        </w:rPr>
        <w:t>.</w:t>
      </w:r>
    </w:p>
  </w:footnote>
  <w:footnote w:id="170">
    <w:p w14:paraId="657FC885" w14:textId="18BD2D78" w:rsidR="0017002A" w:rsidRPr="00D63095" w:rsidRDefault="0017002A" w:rsidP="00411921">
      <w:pPr>
        <w:pStyle w:val="FootnoteText"/>
        <w:rPr>
          <w:sz w:val="20"/>
          <w:szCs w:val="20"/>
        </w:rPr>
      </w:pPr>
      <w:r w:rsidRPr="00411921">
        <w:rPr>
          <w:rStyle w:val="FootnoteReference"/>
          <w:rFonts w:cs="Times New Roman"/>
          <w:sz w:val="20"/>
          <w:szCs w:val="20"/>
        </w:rPr>
        <w:footnoteRef/>
      </w:r>
      <w:r w:rsidRPr="00411921">
        <w:rPr>
          <w:rFonts w:cs="Times New Roman"/>
          <w:i/>
          <w:sz w:val="20"/>
          <w:szCs w:val="20"/>
        </w:rPr>
        <w:t>Guaracachi  America Inc. and Ruralec Plc. v. The Plurinational State of Bolivia</w:t>
      </w:r>
      <w:r w:rsidRPr="00411921">
        <w:rPr>
          <w:rFonts w:cs="Times New Roman"/>
          <w:sz w:val="20"/>
          <w:szCs w:val="20"/>
        </w:rPr>
        <w:t xml:space="preserve">, PCA Case No. 2011-17, Award, January 31, 2014. For a discussion of damage estimation in that case, see Jonathan A. Lesser, A </w:t>
      </w:r>
      <w:r w:rsidRPr="00D63095">
        <w:rPr>
          <w:rFonts w:cs="Times New Roman"/>
          <w:sz w:val="20"/>
          <w:szCs w:val="20"/>
        </w:rPr>
        <w:t>Case Study in Damage Estimation: Bolivia’s Nationalization of EGSA, 1 J. of Damages in International Arbitration, 103 (2014).</w:t>
      </w:r>
    </w:p>
  </w:footnote>
  <w:footnote w:id="171">
    <w:p w14:paraId="49A12F2E" w14:textId="2491530C" w:rsidR="00D63095" w:rsidRDefault="00D63095">
      <w:pPr>
        <w:pStyle w:val="FootnoteText"/>
      </w:pPr>
      <w:r w:rsidRPr="00D63095">
        <w:rPr>
          <w:rStyle w:val="FootnoteReference"/>
          <w:sz w:val="20"/>
          <w:szCs w:val="20"/>
        </w:rPr>
        <w:footnoteRef/>
      </w:r>
      <w:r w:rsidRPr="00D63095">
        <w:rPr>
          <w:sz w:val="20"/>
          <w:szCs w:val="20"/>
        </w:rPr>
        <w:t xml:space="preserve"> Arbitrators might choose a statutory rate. If the contract included a New York choice of law</w:t>
      </w:r>
      <w:r>
        <w:rPr>
          <w:sz w:val="20"/>
          <w:szCs w:val="20"/>
        </w:rPr>
        <w:t>, for example,</w:t>
      </w:r>
      <w:r w:rsidRPr="00D63095">
        <w:rPr>
          <w:sz w:val="20"/>
          <w:szCs w:val="20"/>
        </w:rPr>
        <w:t xml:space="preserve"> the arbitrators might choose New York’s statutory rate—9% simple interest</w:t>
      </w:r>
      <w:r>
        <w:rPr>
          <w:sz w:val="20"/>
          <w:szCs w:val="20"/>
        </w:rPr>
        <w:t>, a rate that bears no relation to reality</w:t>
      </w:r>
      <w:r w:rsidRPr="00D63095">
        <w:rPr>
          <w:sz w:val="20"/>
          <w:szCs w:val="20"/>
        </w:rPr>
        <w:t xml:space="preserve">. </w:t>
      </w:r>
    </w:p>
  </w:footnote>
  <w:footnote w:id="172">
    <w:p w14:paraId="723C8821" w14:textId="36BE55D3" w:rsidR="0017002A" w:rsidRPr="00411921" w:rsidRDefault="0017002A" w:rsidP="00411921">
      <w:pPr>
        <w:widowControl w:val="0"/>
        <w:autoSpaceDE w:val="0"/>
        <w:autoSpaceDN w:val="0"/>
        <w:adjustRightInd w:val="0"/>
        <w:rPr>
          <w:rFonts w:ascii="Cambria" w:hAnsi="Cambria" w:cs="Cambria"/>
          <w:sz w:val="20"/>
          <w:szCs w:val="20"/>
        </w:rPr>
      </w:pPr>
      <w:r w:rsidRPr="00411921">
        <w:rPr>
          <w:rStyle w:val="FootnoteReference"/>
          <w:sz w:val="20"/>
          <w:szCs w:val="20"/>
        </w:rPr>
        <w:footnoteRef/>
      </w:r>
      <w:r w:rsidRPr="00411921">
        <w:rPr>
          <w:sz w:val="20"/>
          <w:szCs w:val="20"/>
        </w:rPr>
        <w:t xml:space="preserve"> </w:t>
      </w:r>
      <w:r w:rsidRPr="00411921">
        <w:rPr>
          <w:rFonts w:cs="Times New Roman"/>
          <w:sz w:val="20"/>
          <w:szCs w:val="20"/>
        </w:rPr>
        <w:t>See Manual A. Abdala, Pablo D. Lopez Zadicoff,</w:t>
      </w:r>
      <w:r>
        <w:rPr>
          <w:rFonts w:cs="Times New Roman"/>
          <w:sz w:val="20"/>
          <w:szCs w:val="20"/>
        </w:rPr>
        <w:t xml:space="preserve"> and Pablo T. Spiller, Invalid </w:t>
      </w:r>
      <w:r w:rsidRPr="00411921">
        <w:rPr>
          <w:rFonts w:cs="Times New Roman"/>
          <w:sz w:val="20"/>
          <w:szCs w:val="20"/>
        </w:rPr>
        <w:t>Round Trips in Setting Pre-Judgment Interest in International Arbitration, 5 World Arbitration &amp; Mediation Review, 1 (2011). See also W</w:t>
      </w:r>
      <w:r w:rsidRPr="00411921">
        <w:rPr>
          <w:rFonts w:cs="Times New Roman"/>
          <w:color w:val="000000"/>
          <w:sz w:val="20"/>
          <w:szCs w:val="20"/>
        </w:rPr>
        <w:t xml:space="preserve">öss, et al, </w:t>
      </w:r>
      <w:r>
        <w:rPr>
          <w:rFonts w:cs="Times New Roman"/>
          <w:i/>
          <w:color w:val="000000"/>
          <w:sz w:val="20"/>
          <w:szCs w:val="20"/>
        </w:rPr>
        <w:t>supra</w:t>
      </w:r>
      <w:r>
        <w:rPr>
          <w:rFonts w:cs="Times New Roman"/>
          <w:color w:val="000000"/>
          <w:sz w:val="20"/>
          <w:szCs w:val="20"/>
        </w:rPr>
        <w:t xml:space="preserve"> note 149 at </w:t>
      </w:r>
      <w:r w:rsidRPr="00411921">
        <w:rPr>
          <w:rFonts w:cs="Times New Roman"/>
          <w:sz w:val="20"/>
          <w:szCs w:val="20"/>
        </w:rPr>
        <w:t>¶ ¶6.107-6.120.</w:t>
      </w:r>
    </w:p>
  </w:footnote>
  <w:footnote w:id="173">
    <w:p w14:paraId="173F56D2" w14:textId="77777777" w:rsidR="0017002A" w:rsidRPr="00411921" w:rsidRDefault="0017002A" w:rsidP="00411921">
      <w:pPr>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See Franklin M. Fisher &amp; R. Craig Romaine, Janis Joplin’s Yearbook and the Theory of Damages, 5 J. of Accounting Auditing &amp; Finance145 (1990).</w:t>
      </w:r>
    </w:p>
  </w:footnote>
  <w:footnote w:id="174">
    <w:p w14:paraId="73F28170" w14:textId="443E64B6" w:rsidR="0017002A" w:rsidRPr="00005491" w:rsidRDefault="0017002A" w:rsidP="00411921">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W</w:t>
      </w:r>
      <w:r w:rsidRPr="00411921">
        <w:rPr>
          <w:rFonts w:cs="Times New Roman"/>
          <w:color w:val="000000"/>
          <w:sz w:val="20"/>
          <w:szCs w:val="20"/>
        </w:rPr>
        <w:t xml:space="preserve">öss, et al, </w:t>
      </w:r>
      <w:r>
        <w:rPr>
          <w:rFonts w:cs="Times New Roman"/>
          <w:i/>
          <w:color w:val="000000"/>
          <w:sz w:val="20"/>
          <w:szCs w:val="20"/>
        </w:rPr>
        <w:t>supra</w:t>
      </w:r>
      <w:r>
        <w:rPr>
          <w:rFonts w:cs="Times New Roman"/>
          <w:color w:val="000000"/>
          <w:sz w:val="20"/>
          <w:szCs w:val="20"/>
        </w:rPr>
        <w:t xml:space="preserve"> note 149 at </w:t>
      </w:r>
      <w:r w:rsidR="00D63095">
        <w:rPr>
          <w:rFonts w:cs="Times New Roman"/>
          <w:sz w:val="20"/>
          <w:szCs w:val="20"/>
        </w:rPr>
        <w:t>¶ 6.108</w:t>
      </w:r>
      <w:r>
        <w:rPr>
          <w:rFonts w:cs="Times New Roman"/>
          <w:sz w:val="20"/>
          <w:szCs w:val="20"/>
        </w:rPr>
        <w:t>.</w:t>
      </w:r>
    </w:p>
  </w:footnote>
  <w:footnote w:id="175">
    <w:p w14:paraId="395CAD02" w14:textId="3AAF3F52" w:rsidR="0017002A" w:rsidRPr="00411921" w:rsidRDefault="0017002A" w:rsidP="00411921">
      <w:pPr>
        <w:outlineLvl w:val="0"/>
        <w:rPr>
          <w:rFonts w:eastAsia="Times New Roman" w:cs="Times New Roman"/>
          <w:bCs/>
          <w:kern w:val="36"/>
          <w:sz w:val="20"/>
          <w:szCs w:val="20"/>
        </w:rPr>
      </w:pPr>
      <w:r w:rsidRPr="00411921">
        <w:rPr>
          <w:rStyle w:val="FootnoteReference"/>
          <w:rFonts w:cs="Times New Roman"/>
          <w:sz w:val="20"/>
          <w:szCs w:val="20"/>
        </w:rPr>
        <w:footnoteRef/>
      </w:r>
      <w:r w:rsidRPr="00411921">
        <w:rPr>
          <w:rFonts w:cs="Times New Roman"/>
          <w:sz w:val="20"/>
          <w:szCs w:val="20"/>
        </w:rPr>
        <w:t xml:space="preserve"> See </w:t>
      </w:r>
      <w:r w:rsidRPr="00411921">
        <w:rPr>
          <w:rFonts w:eastAsia="Times New Roman" w:cs="Times New Roman"/>
          <w:bCs/>
          <w:kern w:val="36"/>
          <w:sz w:val="20"/>
          <w:szCs w:val="20"/>
        </w:rPr>
        <w:t xml:space="preserve">Perenco Ecuador Limited v Ecuador, Decision on remaining issues of jurisdiction and on liability, ICSID Case No ARB/08/6, IIC 657 (2014), dispatched 12th September 2014, International Centre for Settlement of Investment Disputes [ICSID], </w:t>
      </w:r>
      <w:r w:rsidRPr="00411921">
        <w:rPr>
          <w:rFonts w:cs="Times New Roman"/>
          <w:sz w:val="20"/>
          <w:szCs w:val="20"/>
        </w:rPr>
        <w:t>¶ 697.</w:t>
      </w:r>
    </w:p>
  </w:footnote>
  <w:footnote w:id="176">
    <w:p w14:paraId="3366015D" w14:textId="77777777" w:rsidR="0017002A" w:rsidRPr="007179D5" w:rsidRDefault="0017002A" w:rsidP="00411921">
      <w:pPr>
        <w:pStyle w:val="FootnoteText"/>
        <w:rPr>
          <w:rFonts w:cs="Times New Roman"/>
        </w:rPr>
      </w:pPr>
      <w:r w:rsidRPr="00411921">
        <w:rPr>
          <w:rStyle w:val="FootnoteReference"/>
          <w:rFonts w:cs="Times New Roman"/>
          <w:sz w:val="20"/>
          <w:szCs w:val="20"/>
        </w:rPr>
        <w:footnoteRef/>
      </w:r>
      <w:r w:rsidRPr="00411921">
        <w:rPr>
          <w:rFonts w:cs="Times New Roman"/>
          <w:sz w:val="20"/>
          <w:szCs w:val="20"/>
        </w:rPr>
        <w:t xml:space="preserve"> For example, by combining Oilco’s holding with an adjacent property, it might be able to unitize the field and develop it more efficiently.</w:t>
      </w:r>
    </w:p>
  </w:footnote>
  <w:footnote w:id="177">
    <w:p w14:paraId="24203E68" w14:textId="50EA0962" w:rsidR="0017002A" w:rsidRPr="00411921" w:rsidRDefault="0017002A" w:rsidP="00411921">
      <w:pPr>
        <w:rPr>
          <w:sz w:val="20"/>
          <w:szCs w:val="20"/>
        </w:rPr>
      </w:pPr>
      <w:r w:rsidRPr="00411921">
        <w:rPr>
          <w:rStyle w:val="FootnoteReference"/>
          <w:rFonts w:cs="Times New Roman"/>
          <w:sz w:val="20"/>
          <w:szCs w:val="20"/>
        </w:rPr>
        <w:footnoteRef/>
      </w:r>
      <w:r w:rsidRPr="00411921">
        <w:rPr>
          <w:sz w:val="20"/>
          <w:szCs w:val="20"/>
        </w:rPr>
        <w:t xml:space="preserve"> BIT’s typically are silent on remedies for breach of treaty obligations other than expropriations. A 2012 OECD study found that many treaties specify a compensation standard for expropriations, but that only 9% include some language on remedies and only 3% expressly mention pecuniary remedies. See </w:t>
      </w:r>
      <w:r w:rsidRPr="00411921">
        <w:rPr>
          <w:color w:val="474747"/>
          <w:sz w:val="20"/>
          <w:szCs w:val="20"/>
        </w:rPr>
        <w:t xml:space="preserve">Investor-State Dispute Settlement Public Consultation: 16 May - 9 July 2012, </w:t>
      </w:r>
      <w:r w:rsidRPr="00411921">
        <w:rPr>
          <w:sz w:val="20"/>
          <w:szCs w:val="20"/>
        </w:rPr>
        <w:t xml:space="preserve">Organisation for Economic Co-operation and Development Investment Division, Directorate for Financial and Enterprise Affairs Paris, France, </w:t>
      </w:r>
      <w:r w:rsidRPr="00411921">
        <w:rPr>
          <w:color w:val="000000"/>
          <w:sz w:val="20"/>
          <w:szCs w:val="20"/>
        </w:rPr>
        <w:t>¶ 61.</w:t>
      </w:r>
    </w:p>
  </w:footnote>
  <w:footnote w:id="178">
    <w:p w14:paraId="598F9A2C" w14:textId="77777777" w:rsidR="0017002A" w:rsidRPr="00411921" w:rsidRDefault="0017002A" w:rsidP="00411921">
      <w:pPr>
        <w:outlineLvl w:val="0"/>
        <w:rPr>
          <w:rFonts w:eastAsia="Times New Roman" w:cs="Times New Roman"/>
          <w:bCs/>
          <w:kern w:val="36"/>
          <w:sz w:val="20"/>
          <w:szCs w:val="20"/>
        </w:rPr>
      </w:pPr>
      <w:r w:rsidRPr="00411921">
        <w:rPr>
          <w:rStyle w:val="FootnoteReference"/>
          <w:rFonts w:cs="Times New Roman"/>
          <w:sz w:val="20"/>
          <w:szCs w:val="20"/>
        </w:rPr>
        <w:footnoteRef/>
      </w:r>
      <w:r w:rsidRPr="00411921">
        <w:rPr>
          <w:rFonts w:cs="Times New Roman"/>
          <w:sz w:val="20"/>
          <w:szCs w:val="20"/>
        </w:rPr>
        <w:t xml:space="preserve"> </w:t>
      </w:r>
      <w:r w:rsidRPr="00411921">
        <w:rPr>
          <w:rFonts w:eastAsia="Times New Roman" w:cs="Times New Roman"/>
          <w:bCs/>
          <w:kern w:val="36"/>
          <w:sz w:val="20"/>
          <w:szCs w:val="20"/>
        </w:rPr>
        <w:t>Metalclad Corporation v. The United Mexican States, ICSID Case No. ARB(AF)/97/1.</w:t>
      </w:r>
    </w:p>
  </w:footnote>
  <w:footnote w:id="179">
    <w:p w14:paraId="751A634C" w14:textId="14EB3A8B" w:rsidR="0017002A" w:rsidRPr="00411921" w:rsidRDefault="0017002A" w:rsidP="00411921">
      <w:pPr>
        <w:widowControl w:val="0"/>
        <w:autoSpaceDE w:val="0"/>
        <w:autoSpaceDN w:val="0"/>
        <w:adjustRightInd w:val="0"/>
        <w:rPr>
          <w:rFonts w:cs="Times New Roman"/>
          <w:sz w:val="20"/>
          <w:szCs w:val="20"/>
        </w:rPr>
      </w:pPr>
      <w:r w:rsidRPr="00411921">
        <w:rPr>
          <w:rStyle w:val="FootnoteReference"/>
          <w:rFonts w:cs="Times New Roman"/>
          <w:sz w:val="20"/>
          <w:szCs w:val="20"/>
        </w:rPr>
        <w:footnoteRef/>
      </w:r>
      <w:r>
        <w:rPr>
          <w:rFonts w:cs="Times New Roman"/>
          <w:i/>
          <w:sz w:val="20"/>
          <w:szCs w:val="20"/>
        </w:rPr>
        <w:t>Id.</w:t>
      </w:r>
      <w:r>
        <w:rPr>
          <w:rFonts w:cs="Times New Roman"/>
          <w:sz w:val="20"/>
          <w:szCs w:val="20"/>
        </w:rPr>
        <w:t xml:space="preserve"> at </w:t>
      </w:r>
      <w:r w:rsidRPr="00411921">
        <w:rPr>
          <w:rFonts w:cs="Times New Roman"/>
          <w:sz w:val="20"/>
          <w:szCs w:val="20"/>
        </w:rPr>
        <w:t xml:space="preserve"> ¶104. “[E]xpropriation under NAFTA includes not only open, deliberate and acknowledged takings of property, such as outright seizure or formal or obligatory transfer of title in favour of the host State, but also covert or incidental interference with the use of property which has the effect of depriving the owner, in whole or in significant part, of the use or reasonably-to-be-expected economic benefit of property even if not necessarily to the obvious benefit of the host State.”</w:t>
      </w:r>
      <w:r>
        <w:rPr>
          <w:rFonts w:cs="Times New Roman"/>
          <w:sz w:val="20"/>
          <w:szCs w:val="20"/>
        </w:rPr>
        <w:t xml:space="preserve"> </w:t>
      </w:r>
      <w:r>
        <w:rPr>
          <w:rFonts w:cs="Times New Roman"/>
          <w:i/>
          <w:sz w:val="20"/>
          <w:szCs w:val="20"/>
        </w:rPr>
        <w:t>Id.</w:t>
      </w:r>
      <w:r>
        <w:rPr>
          <w:rFonts w:cs="Times New Roman"/>
          <w:sz w:val="20"/>
          <w:szCs w:val="20"/>
        </w:rPr>
        <w:t xml:space="preserve"> at</w:t>
      </w:r>
      <w:r w:rsidRPr="00411921">
        <w:rPr>
          <w:rFonts w:cs="Times New Roman"/>
          <w:sz w:val="20"/>
          <w:szCs w:val="20"/>
        </w:rPr>
        <w:t xml:space="preserve">  ¶103</w:t>
      </w:r>
    </w:p>
  </w:footnote>
  <w:footnote w:id="180">
    <w:p w14:paraId="5183B52C" w14:textId="1FF56695" w:rsidR="0017002A" w:rsidRPr="00411921" w:rsidRDefault="0017002A" w:rsidP="00411921">
      <w:pPr>
        <w:rPr>
          <w:rFonts w:cs="Times New Roman"/>
          <w:sz w:val="20"/>
          <w:szCs w:val="20"/>
        </w:rPr>
      </w:pPr>
      <w:r w:rsidRPr="00411921">
        <w:rPr>
          <w:rStyle w:val="FootnoteReference"/>
          <w:rFonts w:cs="Times New Roman"/>
          <w:sz w:val="20"/>
          <w:szCs w:val="20"/>
        </w:rPr>
        <w:footnoteRef/>
      </w:r>
      <w:r>
        <w:rPr>
          <w:rFonts w:cs="Times New Roman"/>
          <w:i/>
          <w:sz w:val="20"/>
          <w:szCs w:val="20"/>
        </w:rPr>
        <w:t xml:space="preserve"> Id.</w:t>
      </w:r>
      <w:r>
        <w:rPr>
          <w:rFonts w:cs="Times New Roman"/>
          <w:sz w:val="20"/>
          <w:szCs w:val="20"/>
        </w:rPr>
        <w:t xml:space="preserve"> at</w:t>
      </w:r>
      <w:r w:rsidRPr="00411921">
        <w:rPr>
          <w:rFonts w:cs="Times New Roman"/>
          <w:sz w:val="20"/>
          <w:szCs w:val="20"/>
        </w:rPr>
        <w:t xml:space="preserve">  ¶¶114-122. </w:t>
      </w:r>
    </w:p>
  </w:footnote>
  <w:footnote w:id="181">
    <w:p w14:paraId="49ADA7CB" w14:textId="4BCED3D3" w:rsidR="0017002A" w:rsidRPr="00005491" w:rsidRDefault="0017002A">
      <w:pPr>
        <w:pStyle w:val="FootnoteText"/>
        <w:rPr>
          <w:sz w:val="20"/>
          <w:szCs w:val="20"/>
        </w:rPr>
      </w:pPr>
      <w:r w:rsidRPr="00E76014">
        <w:rPr>
          <w:rStyle w:val="FootnoteReference"/>
          <w:sz w:val="20"/>
          <w:szCs w:val="20"/>
        </w:rPr>
        <w:footnoteRef/>
      </w:r>
      <w:r w:rsidRPr="00E76014">
        <w:rPr>
          <w:sz w:val="20"/>
          <w:szCs w:val="20"/>
        </w:rPr>
        <w:t xml:space="preserve"> For more on the “new business rule” and why there should be no recovery of lost profits in a case like </w:t>
      </w:r>
      <w:r w:rsidRPr="00E76014">
        <w:rPr>
          <w:i/>
          <w:sz w:val="20"/>
          <w:szCs w:val="20"/>
        </w:rPr>
        <w:t>Metalclad</w:t>
      </w:r>
      <w:r w:rsidRPr="00E76014">
        <w:rPr>
          <w:sz w:val="20"/>
          <w:szCs w:val="20"/>
        </w:rPr>
        <w:t>, see Goldberg, “The New Business Rule and Compensation</w:t>
      </w:r>
      <w:r>
        <w:rPr>
          <w:sz w:val="20"/>
          <w:szCs w:val="20"/>
        </w:rPr>
        <w:t xml:space="preserve"> for Lost Profits,” 1 </w:t>
      </w:r>
      <w:r w:rsidRPr="00005491">
        <w:rPr>
          <w:i/>
          <w:sz w:val="20"/>
          <w:szCs w:val="20"/>
        </w:rPr>
        <w:t>Criterion Journal of Innovation</w:t>
      </w:r>
      <w:r>
        <w:rPr>
          <w:sz w:val="20"/>
          <w:szCs w:val="20"/>
        </w:rPr>
        <w:t xml:space="preserve"> 341 (2016).</w:t>
      </w:r>
    </w:p>
  </w:footnote>
  <w:footnote w:id="182">
    <w:p w14:paraId="6B4F2C3E" w14:textId="0C6ED89B" w:rsidR="0017002A" w:rsidRPr="00BE6EF0" w:rsidRDefault="0017002A" w:rsidP="00411921">
      <w:pPr>
        <w:widowControl w:val="0"/>
        <w:autoSpaceDE w:val="0"/>
        <w:autoSpaceDN w:val="0"/>
        <w:adjustRightInd w:val="0"/>
        <w:rPr>
          <w:rFonts w:cs="Times New Roman"/>
        </w:rPr>
      </w:pPr>
      <w:r w:rsidRPr="00411921">
        <w:rPr>
          <w:rStyle w:val="FootnoteReference"/>
          <w:rFonts w:cs="Times New Roman"/>
          <w:sz w:val="20"/>
          <w:szCs w:val="20"/>
        </w:rPr>
        <w:footnoteRef/>
      </w:r>
      <w:r w:rsidRPr="00411921">
        <w:rPr>
          <w:rFonts w:cs="Times New Roman"/>
          <w:sz w:val="20"/>
          <w:szCs w:val="20"/>
        </w:rPr>
        <w:t xml:space="preserve"> W. M. Reisman and R.D. Sloane, </w:t>
      </w:r>
      <w:r w:rsidRPr="00411921">
        <w:rPr>
          <w:rFonts w:cs="Times New Roman"/>
          <w:i/>
          <w:iCs/>
          <w:sz w:val="20"/>
          <w:szCs w:val="20"/>
        </w:rPr>
        <w:t>Indirect Expropriation and its Valuation in the BIT Generation</w:t>
      </w:r>
      <w:r w:rsidRPr="00411921">
        <w:rPr>
          <w:rFonts w:cs="Times New Roman"/>
          <w:sz w:val="20"/>
          <w:szCs w:val="20"/>
        </w:rPr>
        <w:t xml:space="preserve">, 74 Br.Y.B. Int’l L. 115 (2003). See also Marboe, </w:t>
      </w:r>
      <w:r w:rsidRPr="00005491">
        <w:rPr>
          <w:rFonts w:cs="Times New Roman"/>
          <w:i/>
          <w:sz w:val="20"/>
          <w:szCs w:val="20"/>
        </w:rPr>
        <w:t xml:space="preserve">supra </w:t>
      </w:r>
      <w:r>
        <w:rPr>
          <w:rFonts w:cs="Times New Roman"/>
          <w:sz w:val="20"/>
          <w:szCs w:val="20"/>
        </w:rPr>
        <w:t xml:space="preserve">note 147, </w:t>
      </w:r>
      <w:r w:rsidRPr="00411921">
        <w:rPr>
          <w:rFonts w:cs="Times New Roman"/>
          <w:sz w:val="20"/>
          <w:szCs w:val="20"/>
        </w:rPr>
        <w:t>§§3.51-3.56.</w:t>
      </w:r>
    </w:p>
  </w:footnote>
  <w:footnote w:id="183">
    <w:p w14:paraId="57613019" w14:textId="47B24FF4" w:rsidR="0017002A" w:rsidRPr="00411921" w:rsidRDefault="0017002A" w:rsidP="007E7F84">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This would be roughly the same as treating each partial breach as a breach of an installment, as in </w:t>
      </w:r>
      <w:r w:rsidRPr="00411921">
        <w:rPr>
          <w:rFonts w:cs="Times New Roman"/>
          <w:i/>
          <w:sz w:val="20"/>
          <w:szCs w:val="20"/>
        </w:rPr>
        <w:t xml:space="preserve">Prenalta </w:t>
      </w:r>
      <w:r w:rsidRPr="00411921">
        <w:rPr>
          <w:rFonts w:cs="Times New Roman"/>
          <w:sz w:val="20"/>
          <w:szCs w:val="20"/>
        </w:rPr>
        <w:t xml:space="preserve">(see </w:t>
      </w:r>
      <w:r>
        <w:rPr>
          <w:rFonts w:cs="Times New Roman"/>
          <w:sz w:val="20"/>
          <w:szCs w:val="20"/>
        </w:rPr>
        <w:t>III</w:t>
      </w:r>
      <w:r w:rsidRPr="00411921">
        <w:rPr>
          <w:rFonts w:cs="Times New Roman"/>
          <w:sz w:val="20"/>
          <w:szCs w:val="20"/>
        </w:rPr>
        <w:t xml:space="preserve">. A. 2, above) and </w:t>
      </w:r>
      <w:r w:rsidRPr="00411921">
        <w:rPr>
          <w:rFonts w:cs="Times New Roman"/>
          <w:bCs/>
          <w:i/>
          <w:color w:val="555555"/>
          <w:sz w:val="20"/>
          <w:szCs w:val="20"/>
        </w:rPr>
        <w:t xml:space="preserve">M&amp;J Polymers </w:t>
      </w:r>
      <w:r w:rsidRPr="00411921">
        <w:rPr>
          <w:rFonts w:cs="Times New Roman"/>
          <w:bCs/>
          <w:color w:val="555555"/>
          <w:sz w:val="20"/>
          <w:szCs w:val="20"/>
        </w:rPr>
        <w:t>(</w:t>
      </w:r>
      <w:r w:rsidR="00C516F1">
        <w:rPr>
          <w:rFonts w:cs="Times New Roman"/>
          <w:bCs/>
          <w:color w:val="555555"/>
          <w:sz w:val="20"/>
          <w:szCs w:val="20"/>
        </w:rPr>
        <w:t>III. D</w:t>
      </w:r>
      <w:r w:rsidRPr="00411921">
        <w:rPr>
          <w:rFonts w:cs="Times New Roman"/>
          <w:bCs/>
          <w:color w:val="555555"/>
          <w:sz w:val="20"/>
          <w:szCs w:val="20"/>
        </w:rPr>
        <w:t>)</w:t>
      </w:r>
    </w:p>
  </w:footnote>
  <w:footnote w:id="184">
    <w:p w14:paraId="599BDE5B" w14:textId="77777777" w:rsidR="0017002A" w:rsidRPr="00411921" w:rsidRDefault="0017002A" w:rsidP="00707C44">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If consequential damages were recoverable, then that could be an additional loss.</w:t>
      </w:r>
    </w:p>
  </w:footnote>
  <w:footnote w:id="185">
    <w:p w14:paraId="079C223D" w14:textId="4B11E53A" w:rsidR="0017002A" w:rsidRPr="000F278F" w:rsidRDefault="0017002A">
      <w:pPr>
        <w:pStyle w:val="FootnoteText"/>
        <w:rPr>
          <w:sz w:val="20"/>
          <w:szCs w:val="20"/>
        </w:rPr>
      </w:pPr>
      <w:r w:rsidRPr="000F278F">
        <w:rPr>
          <w:rStyle w:val="FootnoteReference"/>
          <w:sz w:val="20"/>
          <w:szCs w:val="20"/>
        </w:rPr>
        <w:footnoteRef/>
      </w:r>
      <w:r w:rsidRPr="000F278F">
        <w:rPr>
          <w:sz w:val="20"/>
          <w:szCs w:val="20"/>
        </w:rPr>
        <w:t xml:space="preserve"> If nonperformance of one installment were viewed as significantly impairing the entire contract, the aggrieved party would have the option of declaring that there had been an anticipatory repudiation of the remainder of the contract. UCC </w:t>
      </w:r>
      <w:r w:rsidRPr="000F278F">
        <w:rPr>
          <w:rFonts w:cs="Times New Roman"/>
          <w:sz w:val="20"/>
          <w:szCs w:val="20"/>
        </w:rPr>
        <w:t>§</w:t>
      </w:r>
      <w:r w:rsidRPr="000F278F">
        <w:rPr>
          <w:sz w:val="20"/>
          <w:szCs w:val="20"/>
        </w:rPr>
        <w:t>2-612(3).</w:t>
      </w:r>
    </w:p>
  </w:footnote>
  <w:footnote w:id="186">
    <w:p w14:paraId="1EB59EEA" w14:textId="0C6F1366" w:rsidR="0017002A" w:rsidRPr="00411921" w:rsidRDefault="0017002A">
      <w:pPr>
        <w:pStyle w:val="FootnoteText"/>
        <w:rPr>
          <w:rFonts w:cs="Times New Roman"/>
          <w:sz w:val="20"/>
          <w:szCs w:val="20"/>
        </w:rPr>
      </w:pPr>
      <w:r w:rsidRPr="00411921">
        <w:rPr>
          <w:rStyle w:val="FootnoteReference"/>
          <w:rFonts w:cs="Times New Roman"/>
          <w:sz w:val="20"/>
          <w:szCs w:val="20"/>
        </w:rPr>
        <w:footnoteRef/>
      </w:r>
      <w:r>
        <w:rPr>
          <w:rFonts w:cs="Times New Roman"/>
          <w:sz w:val="20"/>
          <w:szCs w:val="20"/>
        </w:rPr>
        <w:t xml:space="preserve"> See Part  III</w:t>
      </w:r>
      <w:r w:rsidRPr="00411921">
        <w:rPr>
          <w:rFonts w:cs="Times New Roman"/>
          <w:sz w:val="20"/>
          <w:szCs w:val="20"/>
        </w:rPr>
        <w:t>.C.</w:t>
      </w:r>
    </w:p>
  </w:footnote>
  <w:footnote w:id="187">
    <w:p w14:paraId="486C8F15" w14:textId="4658A29C" w:rsidR="0017002A" w:rsidRPr="00005491" w:rsidRDefault="0017002A" w:rsidP="00411921">
      <w:pPr>
        <w:pStyle w:val="FootnoteText"/>
        <w:rPr>
          <w:rFonts w:cs="Times New Roman"/>
          <w:sz w:val="20"/>
          <w:szCs w:val="20"/>
        </w:rPr>
      </w:pPr>
      <w:r w:rsidRPr="00411921">
        <w:rPr>
          <w:rStyle w:val="FootnoteReference"/>
          <w:sz w:val="20"/>
          <w:szCs w:val="20"/>
        </w:rPr>
        <w:footnoteRef/>
      </w:r>
      <w:r w:rsidRPr="00411921">
        <w:rPr>
          <w:sz w:val="20"/>
          <w:szCs w:val="20"/>
        </w:rPr>
        <w:t xml:space="preserve"> </w:t>
      </w:r>
      <w:r w:rsidRPr="00411921">
        <w:rPr>
          <w:rFonts w:cs="Times New Roman"/>
          <w:sz w:val="20"/>
          <w:szCs w:val="20"/>
        </w:rPr>
        <w:t xml:space="preserve">Recall also the disagreements over the discount rate and prejudgment interest rate in </w:t>
      </w:r>
      <w:r w:rsidRPr="00411921">
        <w:rPr>
          <w:rFonts w:cs="Times New Roman"/>
          <w:i/>
          <w:sz w:val="20"/>
          <w:szCs w:val="20"/>
        </w:rPr>
        <w:t>Guaracachi  America</w:t>
      </w:r>
      <w:r w:rsidRPr="00411921">
        <w:rPr>
          <w:rFonts w:cs="Times New Roman"/>
          <w:sz w:val="20"/>
          <w:szCs w:val="20"/>
        </w:rPr>
        <w:t xml:space="preserve">. </w:t>
      </w:r>
      <w:r>
        <w:rPr>
          <w:rFonts w:cs="Times New Roman"/>
          <w:sz w:val="20"/>
          <w:szCs w:val="20"/>
        </w:rPr>
        <w:t xml:space="preserve">See </w:t>
      </w:r>
      <w:r>
        <w:rPr>
          <w:rFonts w:cs="Times New Roman"/>
          <w:i/>
          <w:sz w:val="20"/>
          <w:szCs w:val="20"/>
        </w:rPr>
        <w:t>supra</w:t>
      </w:r>
      <w:r>
        <w:rPr>
          <w:rFonts w:cs="Times New Roman"/>
          <w:sz w:val="20"/>
          <w:szCs w:val="20"/>
        </w:rPr>
        <w:t xml:space="preserve"> note 171.</w:t>
      </w:r>
    </w:p>
  </w:footnote>
  <w:footnote w:id="188">
    <w:p w14:paraId="4BAE2E49" w14:textId="77777777" w:rsidR="0017002A" w:rsidRPr="00411921" w:rsidRDefault="0017002A" w:rsidP="00411921">
      <w:pPr>
        <w:widowControl w:val="0"/>
        <w:autoSpaceDE w:val="0"/>
        <w:autoSpaceDN w:val="0"/>
        <w:adjustRightInd w:val="0"/>
        <w:jc w:val="both"/>
        <w:rPr>
          <w:rFonts w:cs="Times New Roman"/>
          <w:color w:val="000000"/>
          <w:sz w:val="20"/>
          <w:szCs w:val="20"/>
        </w:rPr>
      </w:pPr>
      <w:r w:rsidRPr="00411921">
        <w:rPr>
          <w:rStyle w:val="FootnoteReference"/>
          <w:rFonts w:cs="Times New Roman"/>
          <w:sz w:val="20"/>
          <w:szCs w:val="20"/>
        </w:rPr>
        <w:footnoteRef/>
      </w:r>
      <w:r w:rsidRPr="00411921">
        <w:rPr>
          <w:rFonts w:cs="Times New Roman"/>
          <w:sz w:val="20"/>
          <w:szCs w:val="20"/>
        </w:rPr>
        <w:t xml:space="preserve"> Barry Wertheimer, </w:t>
      </w:r>
      <w:r w:rsidRPr="00411921">
        <w:rPr>
          <w:rFonts w:cs="Times New Roman"/>
          <w:i/>
          <w:iCs/>
          <w:sz w:val="20"/>
          <w:szCs w:val="20"/>
        </w:rPr>
        <w:t xml:space="preserve">The </w:t>
      </w:r>
      <w:hyperlink r:id="rId5" w:anchor="co_pp_sp_1133_614" w:history="1">
        <w:r w:rsidRPr="00411921">
          <w:rPr>
            <w:rFonts w:cs="Times New Roman"/>
            <w:i/>
            <w:iCs/>
            <w:sz w:val="20"/>
            <w:szCs w:val="20"/>
          </w:rPr>
          <w:t>Shareholder’s Appraisal Remedy and How Courts Determine Fair Value</w:t>
        </w:r>
        <w:r w:rsidRPr="00411921">
          <w:rPr>
            <w:rFonts w:cs="Times New Roman"/>
            <w:sz w:val="20"/>
            <w:szCs w:val="20"/>
          </w:rPr>
          <w:t>, 47 DUKE L.J. 613, 702 (1998)</w:t>
        </w:r>
      </w:hyperlink>
      <w:r w:rsidRPr="00411921">
        <w:rPr>
          <w:rFonts w:cs="Times New Roman"/>
          <w:sz w:val="20"/>
          <w:szCs w:val="20"/>
        </w:rPr>
        <w:t>.</w:t>
      </w:r>
    </w:p>
  </w:footnote>
  <w:footnote w:id="189">
    <w:p w14:paraId="48547085" w14:textId="208ACD79" w:rsidR="006D49CB" w:rsidRPr="006D49CB" w:rsidRDefault="006D49CB" w:rsidP="006D49CB">
      <w:pPr>
        <w:rPr>
          <w:rFonts w:cs="Times New Roman"/>
          <w:sz w:val="20"/>
          <w:szCs w:val="20"/>
        </w:rPr>
      </w:pPr>
      <w:r>
        <w:rPr>
          <w:rStyle w:val="FootnoteReference"/>
        </w:rPr>
        <w:footnoteRef/>
      </w:r>
      <w:r>
        <w:t xml:space="preserve"> </w:t>
      </w:r>
      <w:r w:rsidRPr="00CB3AA7">
        <w:rPr>
          <w:rFonts w:cs="Times New Roman"/>
          <w:bCs/>
          <w:sz w:val="20"/>
          <w:szCs w:val="20"/>
        </w:rPr>
        <w:t>A</w:t>
      </w:r>
      <w:r>
        <w:rPr>
          <w:rFonts w:cs="Times New Roman"/>
          <w:bCs/>
          <w:sz w:val="20"/>
          <w:szCs w:val="20"/>
        </w:rPr>
        <w:t>lbert Choi and Eric Talley, A</w:t>
      </w:r>
      <w:r w:rsidRPr="00CB3AA7">
        <w:rPr>
          <w:rFonts w:cs="Times New Roman"/>
          <w:bCs/>
          <w:sz w:val="20"/>
          <w:szCs w:val="20"/>
        </w:rPr>
        <w:t>ppraising the “Merger Price” Appraisal Rule</w:t>
      </w:r>
      <w:r>
        <w:rPr>
          <w:rFonts w:cs="Times New Roman"/>
          <w:bCs/>
          <w:sz w:val="20"/>
          <w:szCs w:val="20"/>
        </w:rPr>
        <w:t>, working paper.</w:t>
      </w:r>
    </w:p>
  </w:footnote>
  <w:footnote w:id="190">
    <w:p w14:paraId="74328F91" w14:textId="77777777" w:rsidR="0017002A" w:rsidRPr="00411921" w:rsidRDefault="0017002A" w:rsidP="00411921">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w:t>
      </w:r>
      <w:r w:rsidRPr="00411921">
        <w:rPr>
          <w:rFonts w:cs="Times New Roman"/>
          <w:i/>
          <w:iCs/>
          <w:color w:val="000000"/>
          <w:sz w:val="20"/>
          <w:szCs w:val="20"/>
        </w:rPr>
        <w:t>Cede &amp; Co. v. Technicolor, Inc.</w:t>
      </w:r>
      <w:r w:rsidRPr="00411921">
        <w:rPr>
          <w:rFonts w:cs="Times New Roman"/>
          <w:color w:val="000000"/>
          <w:sz w:val="20"/>
          <w:szCs w:val="20"/>
        </w:rPr>
        <w:t>, No. CIV.A. 7129, 1990 Del. Ch. LEXIS 259 (Del. Ch. Oct. 19, 1990).</w:t>
      </w:r>
    </w:p>
  </w:footnote>
  <w:footnote w:id="191">
    <w:p w14:paraId="741E4A3F" w14:textId="3CCCA93F" w:rsidR="0017002A" w:rsidRPr="00411921" w:rsidRDefault="0017002A" w:rsidP="00411921">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In </w:t>
      </w:r>
      <w:r w:rsidRPr="00411921">
        <w:rPr>
          <w:rFonts w:cs="Times New Roman"/>
          <w:i/>
          <w:sz w:val="20"/>
          <w:szCs w:val="20"/>
        </w:rPr>
        <w:t>Guaracachi  America</w:t>
      </w:r>
      <w:r w:rsidRPr="00411921">
        <w:rPr>
          <w:rFonts w:cs="Times New Roman"/>
          <w:sz w:val="20"/>
          <w:szCs w:val="20"/>
        </w:rPr>
        <w:t xml:space="preserve">, Bolivia’s expert argued implausibly that there would be no damages; see </w:t>
      </w:r>
      <w:r w:rsidRPr="00875F75">
        <w:rPr>
          <w:rFonts w:cs="Times New Roman"/>
          <w:sz w:val="20"/>
          <w:szCs w:val="20"/>
        </w:rPr>
        <w:t xml:space="preserve">Jonathan A. </w:t>
      </w:r>
      <w:r w:rsidRPr="002C326B">
        <w:rPr>
          <w:rFonts w:cs="Times New Roman"/>
          <w:sz w:val="20"/>
          <w:szCs w:val="20"/>
        </w:rPr>
        <w:t>Lesser</w:t>
      </w:r>
      <w:r>
        <w:rPr>
          <w:rFonts w:cs="Times New Roman"/>
          <w:sz w:val="20"/>
          <w:szCs w:val="20"/>
        </w:rPr>
        <w:t xml:space="preserve">, </w:t>
      </w:r>
      <w:r>
        <w:rPr>
          <w:rFonts w:cs="Times New Roman"/>
          <w:i/>
          <w:sz w:val="20"/>
          <w:szCs w:val="20"/>
        </w:rPr>
        <w:t xml:space="preserve">supra </w:t>
      </w:r>
      <w:r>
        <w:rPr>
          <w:rFonts w:cs="Times New Roman"/>
          <w:sz w:val="20"/>
          <w:szCs w:val="20"/>
        </w:rPr>
        <w:t>note 171</w:t>
      </w:r>
      <w:r w:rsidRPr="00411921">
        <w:rPr>
          <w:rFonts w:cs="Times New Roman"/>
          <w:sz w:val="20"/>
          <w:szCs w:val="20"/>
        </w:rPr>
        <w:t xml:space="preserve">, at 116. The defendant’s claim of no harm in </w:t>
      </w:r>
      <w:r w:rsidRPr="00411921">
        <w:rPr>
          <w:rFonts w:cs="Times New Roman"/>
          <w:i/>
          <w:sz w:val="20"/>
          <w:szCs w:val="20"/>
        </w:rPr>
        <w:t>Tractebel</w:t>
      </w:r>
      <w:r w:rsidRPr="00411921">
        <w:rPr>
          <w:rFonts w:cs="Times New Roman"/>
          <w:sz w:val="20"/>
          <w:szCs w:val="20"/>
        </w:rPr>
        <w:t xml:space="preserve"> was equally flawed.</w:t>
      </w:r>
    </w:p>
  </w:footnote>
  <w:footnote w:id="192">
    <w:p w14:paraId="3AF494CB" w14:textId="2D27E19D" w:rsidR="0017002A" w:rsidRPr="00411921" w:rsidRDefault="0017002A" w:rsidP="00411921">
      <w:pPr>
        <w:widowControl w:val="0"/>
        <w:autoSpaceDE w:val="0"/>
        <w:autoSpaceDN w:val="0"/>
        <w:adjustRightInd w:val="0"/>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See Frances P. Kao, et al, Into the Hot Tub . . . A Practical Guide to Alternative Expert Witness Procedures in International Arbitration, 44 The International Lawyer, 1035 (2010).</w:t>
      </w:r>
    </w:p>
  </w:footnote>
  <w:footnote w:id="193">
    <w:p w14:paraId="37420416" w14:textId="52A0119D" w:rsidR="0017002A" w:rsidRDefault="0017002A" w:rsidP="00411921">
      <w:pPr>
        <w:pStyle w:val="FootnoteText"/>
      </w:pPr>
      <w:r w:rsidRPr="00411921">
        <w:rPr>
          <w:rStyle w:val="FootnoteReference"/>
          <w:rFonts w:cs="Times New Roman"/>
          <w:sz w:val="20"/>
          <w:szCs w:val="20"/>
        </w:rPr>
        <w:footnoteRef/>
      </w:r>
      <w:r w:rsidRPr="00411921">
        <w:rPr>
          <w:rFonts w:cs="Times New Roman"/>
          <w:sz w:val="20"/>
          <w:szCs w:val="20"/>
        </w:rPr>
        <w:t xml:space="preserve"> This is sometimes referred to as “baseball arbitration” because of its use in salary arbitrations</w:t>
      </w:r>
      <w:r>
        <w:rPr>
          <w:rFonts w:cs="Times New Roman"/>
          <w:sz w:val="20"/>
          <w:szCs w:val="20"/>
        </w:rPr>
        <w:t xml:space="preserve"> between Major League baseball teams and players</w:t>
      </w:r>
      <w:r w:rsidRPr="00411921">
        <w:rPr>
          <w:rFonts w:cs="Times New Roman"/>
          <w:sz w:val="20"/>
          <w:szCs w:val="20"/>
        </w:rPr>
        <w:t>.</w:t>
      </w:r>
    </w:p>
  </w:footnote>
  <w:footnote w:id="194">
    <w:p w14:paraId="2CE88985" w14:textId="41174018" w:rsidR="0017002A" w:rsidRPr="00411921" w:rsidRDefault="0017002A">
      <w:pPr>
        <w:pStyle w:val="FootnoteText"/>
        <w:rPr>
          <w:rFonts w:cs="Times New Roman"/>
          <w:sz w:val="20"/>
          <w:szCs w:val="20"/>
        </w:rPr>
      </w:pPr>
      <w:r w:rsidRPr="00411921">
        <w:rPr>
          <w:rStyle w:val="FootnoteReference"/>
          <w:rFonts w:cs="Times New Roman"/>
          <w:sz w:val="20"/>
          <w:szCs w:val="20"/>
        </w:rPr>
        <w:footnoteRef/>
      </w:r>
      <w:r w:rsidRPr="00411921">
        <w:rPr>
          <w:rFonts w:cs="Times New Roman"/>
          <w:sz w:val="20"/>
          <w:szCs w:val="20"/>
        </w:rPr>
        <w:t xml:space="preserve"> </w:t>
      </w:r>
      <w:r w:rsidRPr="00411921">
        <w:rPr>
          <w:rFonts w:cs="Times New Roman"/>
          <w:bCs/>
          <w:i/>
          <w:color w:val="555555"/>
          <w:sz w:val="20"/>
          <w:szCs w:val="20"/>
        </w:rPr>
        <w:t>Gonsalves v. Straight Arrow Publishers, Inc.,</w:t>
      </w:r>
      <w:r w:rsidRPr="00411921">
        <w:rPr>
          <w:rFonts w:cs="Times New Roman"/>
          <w:bCs/>
          <w:color w:val="555555"/>
          <w:sz w:val="20"/>
          <w:szCs w:val="20"/>
        </w:rPr>
        <w:t xml:space="preserve"> </w:t>
      </w:r>
      <w:r w:rsidRPr="00411921">
        <w:rPr>
          <w:rFonts w:cs="Times New Roman"/>
          <w:color w:val="000000"/>
          <w:sz w:val="20"/>
          <w:szCs w:val="20"/>
        </w:rPr>
        <w:t>No. CIV.A.8474, 1996 Del. Ch. LEXIS 144 (Del. Ch. Nov. 27, 1996). For more on the use of final offer arbitration in appraisal</w:t>
      </w:r>
      <w:r w:rsidRPr="00C457E4">
        <w:rPr>
          <w:rFonts w:cs="Times New Roman"/>
          <w:color w:val="000000"/>
        </w:rPr>
        <w:t xml:space="preserve"> </w:t>
      </w:r>
      <w:r w:rsidRPr="00411921">
        <w:rPr>
          <w:rFonts w:cs="Times New Roman"/>
          <w:color w:val="000000"/>
          <w:sz w:val="20"/>
          <w:szCs w:val="20"/>
        </w:rPr>
        <w:t xml:space="preserve">cases, see </w:t>
      </w:r>
      <w:hyperlink r:id="rId6" w:history="1">
        <w:r w:rsidRPr="00411921">
          <w:rPr>
            <w:rFonts w:cs="Times New Roman"/>
            <w:sz w:val="20"/>
            <w:szCs w:val="20"/>
          </w:rPr>
          <w:t>Christian J. Henrich</w:t>
        </w:r>
      </w:hyperlink>
      <w:bookmarkStart w:id="13" w:name="co_footnoteReference_Fa1283326768_ID0EEB"/>
      <w:bookmarkEnd w:id="13"/>
      <w:r w:rsidRPr="00C457E4">
        <w:rPr>
          <w:rFonts w:cs="Times New Roman"/>
        </w:rPr>
        <w:t xml:space="preserve">, </w:t>
      </w:r>
      <w:r w:rsidRPr="00411921">
        <w:rPr>
          <w:rFonts w:cs="Times New Roman"/>
          <w:sz w:val="20"/>
          <w:szCs w:val="20"/>
        </w:rPr>
        <w:t>Game Theory And Gonsalves: A Recommendation For Reforming Stockholder Appraisal Actions, 56 Bus. Law. 697 (2001).</w:t>
      </w:r>
    </w:p>
  </w:footnote>
  <w:footnote w:id="195">
    <w:p w14:paraId="0C0FCE4B" w14:textId="77777777" w:rsidR="0017002A" w:rsidRPr="00411921" w:rsidRDefault="0017002A" w:rsidP="00122035">
      <w:pPr>
        <w:widowControl w:val="0"/>
        <w:autoSpaceDE w:val="0"/>
        <w:autoSpaceDN w:val="0"/>
        <w:adjustRightInd w:val="0"/>
        <w:rPr>
          <w:rFonts w:cs="Times New Roman"/>
          <w:bCs/>
          <w:color w:val="555555"/>
          <w:sz w:val="20"/>
          <w:szCs w:val="20"/>
        </w:rPr>
      </w:pPr>
      <w:r w:rsidRPr="00411921">
        <w:rPr>
          <w:rStyle w:val="FootnoteReference"/>
          <w:rFonts w:cs="Times New Roman"/>
          <w:sz w:val="20"/>
          <w:szCs w:val="20"/>
        </w:rPr>
        <w:footnoteRef/>
      </w:r>
      <w:r w:rsidRPr="00411921">
        <w:rPr>
          <w:rFonts w:cs="Times New Roman"/>
          <w:sz w:val="20"/>
          <w:szCs w:val="20"/>
        </w:rPr>
        <w:t xml:space="preserve"> In this particular case it did not work very well, perhaps because the parties believed that the Delaware Supreme Court would reject the method. The corporation’s valuation was $131.60 while the shareholder proposed $1059. Indeed, </w:t>
      </w:r>
      <w:r w:rsidRPr="00411921">
        <w:rPr>
          <w:rFonts w:cs="Times New Roman"/>
          <w:color w:val="000000"/>
          <w:sz w:val="20"/>
          <w:szCs w:val="20"/>
        </w:rPr>
        <w:t xml:space="preserve">the Delaware Supreme Court did reject, holding that “the Court of Chancery’s pretrial decision to adhere to, and rely upon, the methodology and valuation factors of one expert to the exclusion of other relevant evidence and the implementation of that mind-set in the appraisal process was error as a matter of law.” </w:t>
      </w:r>
      <w:r w:rsidRPr="00411921">
        <w:rPr>
          <w:rFonts w:cs="Times New Roman"/>
          <w:bCs/>
          <w:i/>
          <w:color w:val="555555"/>
          <w:sz w:val="20"/>
          <w:szCs w:val="20"/>
        </w:rPr>
        <w:t>Gonsalves v. Straight Arrow Publishers, Inc.,</w:t>
      </w:r>
      <w:r w:rsidRPr="00411921">
        <w:rPr>
          <w:rFonts w:cs="Times New Roman"/>
          <w:bCs/>
          <w:color w:val="555555"/>
          <w:sz w:val="20"/>
          <w:szCs w:val="20"/>
        </w:rPr>
        <w:t xml:space="preserve"> 701 A.2d 357, 358 (1997).</w:t>
      </w:r>
    </w:p>
    <w:p w14:paraId="5569CF0A" w14:textId="77777777" w:rsidR="0017002A" w:rsidRPr="00707C44" w:rsidRDefault="0017002A" w:rsidP="00122035">
      <w:pPr>
        <w:pStyle w:val="FootnoteText"/>
        <w:rPr>
          <w:rFonts w:cs="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D10"/>
    <w:multiLevelType w:val="hybridMultilevel"/>
    <w:tmpl w:val="568C96E0"/>
    <w:lvl w:ilvl="0" w:tplc="77DE05E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06FF5"/>
    <w:multiLevelType w:val="hybridMultilevel"/>
    <w:tmpl w:val="96B641B8"/>
    <w:lvl w:ilvl="0" w:tplc="C31EDF0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60089"/>
    <w:multiLevelType w:val="hybridMultilevel"/>
    <w:tmpl w:val="0E927664"/>
    <w:lvl w:ilvl="0" w:tplc="F950F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831D3"/>
    <w:multiLevelType w:val="hybridMultilevel"/>
    <w:tmpl w:val="FD5AEC22"/>
    <w:lvl w:ilvl="0" w:tplc="97063A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87C30"/>
    <w:multiLevelType w:val="hybridMultilevel"/>
    <w:tmpl w:val="FD4015FA"/>
    <w:lvl w:ilvl="0" w:tplc="96F483F6">
      <w:start w:val="1"/>
      <w:numFmt w:val="decimal"/>
      <w:lvlText w:val="%1."/>
      <w:lvlJc w:val="left"/>
      <w:pPr>
        <w:ind w:left="1680" w:hanging="9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FD5669"/>
    <w:multiLevelType w:val="hybridMultilevel"/>
    <w:tmpl w:val="4B5A2956"/>
    <w:lvl w:ilvl="0" w:tplc="05BA0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9310BD"/>
    <w:multiLevelType w:val="hybridMultilevel"/>
    <w:tmpl w:val="7596927C"/>
    <w:lvl w:ilvl="0" w:tplc="14AEAB3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1F"/>
    <w:rsid w:val="00003CBB"/>
    <w:rsid w:val="00005197"/>
    <w:rsid w:val="00005491"/>
    <w:rsid w:val="00006145"/>
    <w:rsid w:val="00007C54"/>
    <w:rsid w:val="000131CD"/>
    <w:rsid w:val="000135FF"/>
    <w:rsid w:val="00020CEB"/>
    <w:rsid w:val="00024FF4"/>
    <w:rsid w:val="00030584"/>
    <w:rsid w:val="00032CA6"/>
    <w:rsid w:val="00042451"/>
    <w:rsid w:val="0004303F"/>
    <w:rsid w:val="00044A00"/>
    <w:rsid w:val="000455ED"/>
    <w:rsid w:val="0004742E"/>
    <w:rsid w:val="0005110C"/>
    <w:rsid w:val="00052A5D"/>
    <w:rsid w:val="00053E4C"/>
    <w:rsid w:val="000575B7"/>
    <w:rsid w:val="000578CC"/>
    <w:rsid w:val="00077346"/>
    <w:rsid w:val="000822B1"/>
    <w:rsid w:val="00083949"/>
    <w:rsid w:val="000971A9"/>
    <w:rsid w:val="000A37DD"/>
    <w:rsid w:val="000A3B8A"/>
    <w:rsid w:val="000A62D5"/>
    <w:rsid w:val="000B12FD"/>
    <w:rsid w:val="000C0270"/>
    <w:rsid w:val="000D0568"/>
    <w:rsid w:val="000D4324"/>
    <w:rsid w:val="000E41E5"/>
    <w:rsid w:val="000E4798"/>
    <w:rsid w:val="000F0835"/>
    <w:rsid w:val="000F278F"/>
    <w:rsid w:val="000F3B79"/>
    <w:rsid w:val="000F716B"/>
    <w:rsid w:val="00105600"/>
    <w:rsid w:val="001128A1"/>
    <w:rsid w:val="00122035"/>
    <w:rsid w:val="00123773"/>
    <w:rsid w:val="00140EC6"/>
    <w:rsid w:val="00141147"/>
    <w:rsid w:val="001525E1"/>
    <w:rsid w:val="00157875"/>
    <w:rsid w:val="001621C1"/>
    <w:rsid w:val="00164600"/>
    <w:rsid w:val="0017002A"/>
    <w:rsid w:val="00173C8A"/>
    <w:rsid w:val="0017577F"/>
    <w:rsid w:val="00182D92"/>
    <w:rsid w:val="00187446"/>
    <w:rsid w:val="0019053C"/>
    <w:rsid w:val="00193FE3"/>
    <w:rsid w:val="00197F5A"/>
    <w:rsid w:val="001A6FB1"/>
    <w:rsid w:val="001B5BE8"/>
    <w:rsid w:val="001C12A8"/>
    <w:rsid w:val="001C4FB0"/>
    <w:rsid w:val="001C50A1"/>
    <w:rsid w:val="001C5A16"/>
    <w:rsid w:val="001D12C5"/>
    <w:rsid w:val="001D447A"/>
    <w:rsid w:val="001E00D8"/>
    <w:rsid w:val="001E2F20"/>
    <w:rsid w:val="001E315C"/>
    <w:rsid w:val="001F012C"/>
    <w:rsid w:val="001F1FEF"/>
    <w:rsid w:val="001F3AD3"/>
    <w:rsid w:val="0020621F"/>
    <w:rsid w:val="0021105F"/>
    <w:rsid w:val="0021394A"/>
    <w:rsid w:val="00220579"/>
    <w:rsid w:val="00225EDA"/>
    <w:rsid w:val="0022774C"/>
    <w:rsid w:val="002342B5"/>
    <w:rsid w:val="00235148"/>
    <w:rsid w:val="002410DF"/>
    <w:rsid w:val="0024524F"/>
    <w:rsid w:val="00245D5B"/>
    <w:rsid w:val="00251613"/>
    <w:rsid w:val="0025588A"/>
    <w:rsid w:val="0027024D"/>
    <w:rsid w:val="002717E3"/>
    <w:rsid w:val="00271A6A"/>
    <w:rsid w:val="00272C05"/>
    <w:rsid w:val="0027307F"/>
    <w:rsid w:val="0027490C"/>
    <w:rsid w:val="0027666A"/>
    <w:rsid w:val="0027764A"/>
    <w:rsid w:val="00282830"/>
    <w:rsid w:val="00283457"/>
    <w:rsid w:val="0028471F"/>
    <w:rsid w:val="00286607"/>
    <w:rsid w:val="00292C1E"/>
    <w:rsid w:val="00295AD6"/>
    <w:rsid w:val="002A1E7C"/>
    <w:rsid w:val="002A3666"/>
    <w:rsid w:val="002B0079"/>
    <w:rsid w:val="002B3282"/>
    <w:rsid w:val="002C251F"/>
    <w:rsid w:val="002C7FF5"/>
    <w:rsid w:val="002D0D8E"/>
    <w:rsid w:val="002D76CA"/>
    <w:rsid w:val="002E0FAA"/>
    <w:rsid w:val="002E24C5"/>
    <w:rsid w:val="002F36FB"/>
    <w:rsid w:val="00303063"/>
    <w:rsid w:val="0030696B"/>
    <w:rsid w:val="00310FD7"/>
    <w:rsid w:val="00311060"/>
    <w:rsid w:val="0031222C"/>
    <w:rsid w:val="0031745E"/>
    <w:rsid w:val="00320C9E"/>
    <w:rsid w:val="00320EA1"/>
    <w:rsid w:val="0032492E"/>
    <w:rsid w:val="00325634"/>
    <w:rsid w:val="0033063B"/>
    <w:rsid w:val="003314FD"/>
    <w:rsid w:val="00331A6E"/>
    <w:rsid w:val="00331EBB"/>
    <w:rsid w:val="00332A8C"/>
    <w:rsid w:val="00335212"/>
    <w:rsid w:val="003368D6"/>
    <w:rsid w:val="00337055"/>
    <w:rsid w:val="00340AAB"/>
    <w:rsid w:val="00345F0E"/>
    <w:rsid w:val="0035113A"/>
    <w:rsid w:val="00357FA7"/>
    <w:rsid w:val="0036000C"/>
    <w:rsid w:val="003601D4"/>
    <w:rsid w:val="00362816"/>
    <w:rsid w:val="00371E2F"/>
    <w:rsid w:val="00372DD5"/>
    <w:rsid w:val="00372FD0"/>
    <w:rsid w:val="0037431D"/>
    <w:rsid w:val="00375913"/>
    <w:rsid w:val="00377683"/>
    <w:rsid w:val="00380968"/>
    <w:rsid w:val="00380C00"/>
    <w:rsid w:val="00383C0C"/>
    <w:rsid w:val="0038505A"/>
    <w:rsid w:val="00392B81"/>
    <w:rsid w:val="00392CE9"/>
    <w:rsid w:val="00393E76"/>
    <w:rsid w:val="00394695"/>
    <w:rsid w:val="003953F8"/>
    <w:rsid w:val="00396C0A"/>
    <w:rsid w:val="003A0AFB"/>
    <w:rsid w:val="003A2815"/>
    <w:rsid w:val="003B0E5B"/>
    <w:rsid w:val="003B637F"/>
    <w:rsid w:val="003C36BC"/>
    <w:rsid w:val="003D08CE"/>
    <w:rsid w:val="003D1EA7"/>
    <w:rsid w:val="003D3812"/>
    <w:rsid w:val="003D475D"/>
    <w:rsid w:val="003D6073"/>
    <w:rsid w:val="003E03DB"/>
    <w:rsid w:val="003E2CFD"/>
    <w:rsid w:val="003F27B2"/>
    <w:rsid w:val="003F6867"/>
    <w:rsid w:val="003F7A70"/>
    <w:rsid w:val="004041A9"/>
    <w:rsid w:val="004107C6"/>
    <w:rsid w:val="00411921"/>
    <w:rsid w:val="00413EE4"/>
    <w:rsid w:val="00417637"/>
    <w:rsid w:val="00423926"/>
    <w:rsid w:val="0043407B"/>
    <w:rsid w:val="00435DA5"/>
    <w:rsid w:val="0043758E"/>
    <w:rsid w:val="00437AD7"/>
    <w:rsid w:val="004457D4"/>
    <w:rsid w:val="004463A7"/>
    <w:rsid w:val="00446D0C"/>
    <w:rsid w:val="00451105"/>
    <w:rsid w:val="00465A5E"/>
    <w:rsid w:val="0046744D"/>
    <w:rsid w:val="00470B80"/>
    <w:rsid w:val="00473354"/>
    <w:rsid w:val="00474DF6"/>
    <w:rsid w:val="0047722B"/>
    <w:rsid w:val="00480163"/>
    <w:rsid w:val="00480BC9"/>
    <w:rsid w:val="00483515"/>
    <w:rsid w:val="00485933"/>
    <w:rsid w:val="00487294"/>
    <w:rsid w:val="00492917"/>
    <w:rsid w:val="00494669"/>
    <w:rsid w:val="004A01B1"/>
    <w:rsid w:val="004A0DD7"/>
    <w:rsid w:val="004A2B6A"/>
    <w:rsid w:val="004A70D1"/>
    <w:rsid w:val="004B4616"/>
    <w:rsid w:val="004B620D"/>
    <w:rsid w:val="004B74AC"/>
    <w:rsid w:val="004B78A4"/>
    <w:rsid w:val="004C4E5D"/>
    <w:rsid w:val="004D1118"/>
    <w:rsid w:val="004D2013"/>
    <w:rsid w:val="004D6022"/>
    <w:rsid w:val="004E49EA"/>
    <w:rsid w:val="004E6C27"/>
    <w:rsid w:val="004F6F64"/>
    <w:rsid w:val="005054CF"/>
    <w:rsid w:val="00505F5D"/>
    <w:rsid w:val="00507591"/>
    <w:rsid w:val="005121E5"/>
    <w:rsid w:val="00517F1C"/>
    <w:rsid w:val="00521AAE"/>
    <w:rsid w:val="005279AF"/>
    <w:rsid w:val="00527DDA"/>
    <w:rsid w:val="00532188"/>
    <w:rsid w:val="00535919"/>
    <w:rsid w:val="00544C4B"/>
    <w:rsid w:val="00546373"/>
    <w:rsid w:val="00551FAF"/>
    <w:rsid w:val="00552709"/>
    <w:rsid w:val="005665C4"/>
    <w:rsid w:val="00575468"/>
    <w:rsid w:val="00575703"/>
    <w:rsid w:val="005772F4"/>
    <w:rsid w:val="00592582"/>
    <w:rsid w:val="005934B0"/>
    <w:rsid w:val="005A2A60"/>
    <w:rsid w:val="005B3D1D"/>
    <w:rsid w:val="005B4F35"/>
    <w:rsid w:val="005B616A"/>
    <w:rsid w:val="005B6E0F"/>
    <w:rsid w:val="005C6B1F"/>
    <w:rsid w:val="005C7141"/>
    <w:rsid w:val="005D4B0C"/>
    <w:rsid w:val="005D6A8D"/>
    <w:rsid w:val="005E178A"/>
    <w:rsid w:val="005E48DD"/>
    <w:rsid w:val="005E773B"/>
    <w:rsid w:val="005F4372"/>
    <w:rsid w:val="006024B2"/>
    <w:rsid w:val="0060533F"/>
    <w:rsid w:val="006176CE"/>
    <w:rsid w:val="00617902"/>
    <w:rsid w:val="00620A84"/>
    <w:rsid w:val="00623F1E"/>
    <w:rsid w:val="006253D6"/>
    <w:rsid w:val="006270F3"/>
    <w:rsid w:val="00633BD1"/>
    <w:rsid w:val="0063614C"/>
    <w:rsid w:val="0065053C"/>
    <w:rsid w:val="00657C3E"/>
    <w:rsid w:val="006674E2"/>
    <w:rsid w:val="006724C2"/>
    <w:rsid w:val="00673135"/>
    <w:rsid w:val="00673D9A"/>
    <w:rsid w:val="006761B1"/>
    <w:rsid w:val="00677020"/>
    <w:rsid w:val="00680E47"/>
    <w:rsid w:val="00690B90"/>
    <w:rsid w:val="00695B3C"/>
    <w:rsid w:val="006A696D"/>
    <w:rsid w:val="006C26D2"/>
    <w:rsid w:val="006C3A27"/>
    <w:rsid w:val="006C4665"/>
    <w:rsid w:val="006C646D"/>
    <w:rsid w:val="006C68B0"/>
    <w:rsid w:val="006C6FE2"/>
    <w:rsid w:val="006D1D72"/>
    <w:rsid w:val="006D3348"/>
    <w:rsid w:val="006D49CB"/>
    <w:rsid w:val="006D783F"/>
    <w:rsid w:val="006E178C"/>
    <w:rsid w:val="006E1F45"/>
    <w:rsid w:val="006E489D"/>
    <w:rsid w:val="006E6FDA"/>
    <w:rsid w:val="006E6FFF"/>
    <w:rsid w:val="006F5A05"/>
    <w:rsid w:val="006F7FB8"/>
    <w:rsid w:val="007043DC"/>
    <w:rsid w:val="00707C44"/>
    <w:rsid w:val="007109B2"/>
    <w:rsid w:val="00712D4B"/>
    <w:rsid w:val="007132F0"/>
    <w:rsid w:val="00716601"/>
    <w:rsid w:val="007179D5"/>
    <w:rsid w:val="0072000B"/>
    <w:rsid w:val="00727C59"/>
    <w:rsid w:val="00730823"/>
    <w:rsid w:val="00733B28"/>
    <w:rsid w:val="00733C45"/>
    <w:rsid w:val="0075565A"/>
    <w:rsid w:val="0076180F"/>
    <w:rsid w:val="00764A31"/>
    <w:rsid w:val="00772889"/>
    <w:rsid w:val="007750F0"/>
    <w:rsid w:val="00775536"/>
    <w:rsid w:val="00780095"/>
    <w:rsid w:val="00780C4D"/>
    <w:rsid w:val="00780DD2"/>
    <w:rsid w:val="00785D5C"/>
    <w:rsid w:val="007950AE"/>
    <w:rsid w:val="007A70BF"/>
    <w:rsid w:val="007B0EA6"/>
    <w:rsid w:val="007B20F5"/>
    <w:rsid w:val="007B3F02"/>
    <w:rsid w:val="007B4B27"/>
    <w:rsid w:val="007B5E35"/>
    <w:rsid w:val="007B6B2B"/>
    <w:rsid w:val="007C0946"/>
    <w:rsid w:val="007C1E0B"/>
    <w:rsid w:val="007C474E"/>
    <w:rsid w:val="007D1A34"/>
    <w:rsid w:val="007D2724"/>
    <w:rsid w:val="007E07FB"/>
    <w:rsid w:val="007E3DB4"/>
    <w:rsid w:val="007E4374"/>
    <w:rsid w:val="007E691C"/>
    <w:rsid w:val="007E70EF"/>
    <w:rsid w:val="007E7BBF"/>
    <w:rsid w:val="007E7F84"/>
    <w:rsid w:val="007F2EDE"/>
    <w:rsid w:val="007F3B63"/>
    <w:rsid w:val="0080299C"/>
    <w:rsid w:val="00802C93"/>
    <w:rsid w:val="008053F2"/>
    <w:rsid w:val="0081256F"/>
    <w:rsid w:val="008130A6"/>
    <w:rsid w:val="0082141C"/>
    <w:rsid w:val="00835E9E"/>
    <w:rsid w:val="0084460F"/>
    <w:rsid w:val="00844A5F"/>
    <w:rsid w:val="00850DE1"/>
    <w:rsid w:val="00861A04"/>
    <w:rsid w:val="00863884"/>
    <w:rsid w:val="00866C6A"/>
    <w:rsid w:val="008708E3"/>
    <w:rsid w:val="00875809"/>
    <w:rsid w:val="00875E74"/>
    <w:rsid w:val="008762A0"/>
    <w:rsid w:val="008802EA"/>
    <w:rsid w:val="008843E5"/>
    <w:rsid w:val="008A2BAF"/>
    <w:rsid w:val="008A3F5B"/>
    <w:rsid w:val="008A5D87"/>
    <w:rsid w:val="008A614B"/>
    <w:rsid w:val="008A6386"/>
    <w:rsid w:val="008B2AED"/>
    <w:rsid w:val="008B372F"/>
    <w:rsid w:val="008B4101"/>
    <w:rsid w:val="008C78A5"/>
    <w:rsid w:val="008D06AD"/>
    <w:rsid w:val="008D3156"/>
    <w:rsid w:val="008D3996"/>
    <w:rsid w:val="008D48AE"/>
    <w:rsid w:val="008D4F39"/>
    <w:rsid w:val="008E0F72"/>
    <w:rsid w:val="008E46DB"/>
    <w:rsid w:val="008F33A0"/>
    <w:rsid w:val="008F6290"/>
    <w:rsid w:val="008F7F60"/>
    <w:rsid w:val="00900CC7"/>
    <w:rsid w:val="009026AB"/>
    <w:rsid w:val="0090286D"/>
    <w:rsid w:val="0090758B"/>
    <w:rsid w:val="00907BA1"/>
    <w:rsid w:val="00911145"/>
    <w:rsid w:val="009159C1"/>
    <w:rsid w:val="0092332A"/>
    <w:rsid w:val="00927068"/>
    <w:rsid w:val="00927471"/>
    <w:rsid w:val="009328EB"/>
    <w:rsid w:val="0093490E"/>
    <w:rsid w:val="00943AC7"/>
    <w:rsid w:val="009453A9"/>
    <w:rsid w:val="00950D15"/>
    <w:rsid w:val="00953D6E"/>
    <w:rsid w:val="00956D6E"/>
    <w:rsid w:val="009637E9"/>
    <w:rsid w:val="00972FCD"/>
    <w:rsid w:val="00982C06"/>
    <w:rsid w:val="00984B6A"/>
    <w:rsid w:val="00986F5F"/>
    <w:rsid w:val="00986F86"/>
    <w:rsid w:val="00991DF1"/>
    <w:rsid w:val="009952D8"/>
    <w:rsid w:val="00997378"/>
    <w:rsid w:val="009A516C"/>
    <w:rsid w:val="009A58B7"/>
    <w:rsid w:val="009A7054"/>
    <w:rsid w:val="009A7363"/>
    <w:rsid w:val="009A7FCD"/>
    <w:rsid w:val="009B3788"/>
    <w:rsid w:val="009B5236"/>
    <w:rsid w:val="009C45D0"/>
    <w:rsid w:val="009E0861"/>
    <w:rsid w:val="009E477E"/>
    <w:rsid w:val="009E683A"/>
    <w:rsid w:val="009F3EC5"/>
    <w:rsid w:val="009F6272"/>
    <w:rsid w:val="00A01CA4"/>
    <w:rsid w:val="00A03A84"/>
    <w:rsid w:val="00A057D0"/>
    <w:rsid w:val="00A15320"/>
    <w:rsid w:val="00A17E1E"/>
    <w:rsid w:val="00A20040"/>
    <w:rsid w:val="00A209A5"/>
    <w:rsid w:val="00A32592"/>
    <w:rsid w:val="00A32A2F"/>
    <w:rsid w:val="00A332E8"/>
    <w:rsid w:val="00A34B72"/>
    <w:rsid w:val="00A40A5C"/>
    <w:rsid w:val="00A4384B"/>
    <w:rsid w:val="00A51AF1"/>
    <w:rsid w:val="00A6003A"/>
    <w:rsid w:val="00A61805"/>
    <w:rsid w:val="00A6439A"/>
    <w:rsid w:val="00A730D9"/>
    <w:rsid w:val="00A74358"/>
    <w:rsid w:val="00A768B0"/>
    <w:rsid w:val="00A87ECF"/>
    <w:rsid w:val="00A91398"/>
    <w:rsid w:val="00A94019"/>
    <w:rsid w:val="00AA0B6F"/>
    <w:rsid w:val="00AB2C07"/>
    <w:rsid w:val="00AB3BC0"/>
    <w:rsid w:val="00AB4787"/>
    <w:rsid w:val="00AC1767"/>
    <w:rsid w:val="00AC58EF"/>
    <w:rsid w:val="00AC6591"/>
    <w:rsid w:val="00AD48E4"/>
    <w:rsid w:val="00AD67F0"/>
    <w:rsid w:val="00AD7435"/>
    <w:rsid w:val="00AE3F80"/>
    <w:rsid w:val="00AF0146"/>
    <w:rsid w:val="00AF2289"/>
    <w:rsid w:val="00AF3A0B"/>
    <w:rsid w:val="00AF4F4B"/>
    <w:rsid w:val="00AF73D9"/>
    <w:rsid w:val="00B02B13"/>
    <w:rsid w:val="00B02CC6"/>
    <w:rsid w:val="00B04E50"/>
    <w:rsid w:val="00B065AF"/>
    <w:rsid w:val="00B12BD3"/>
    <w:rsid w:val="00B133A6"/>
    <w:rsid w:val="00B14B57"/>
    <w:rsid w:val="00B16CC7"/>
    <w:rsid w:val="00B20338"/>
    <w:rsid w:val="00B232D7"/>
    <w:rsid w:val="00B232FB"/>
    <w:rsid w:val="00B318B4"/>
    <w:rsid w:val="00B34BE7"/>
    <w:rsid w:val="00B43A62"/>
    <w:rsid w:val="00B44BB1"/>
    <w:rsid w:val="00B44CD8"/>
    <w:rsid w:val="00B551B9"/>
    <w:rsid w:val="00B56FDD"/>
    <w:rsid w:val="00B57C61"/>
    <w:rsid w:val="00B61D2D"/>
    <w:rsid w:val="00B64862"/>
    <w:rsid w:val="00B73824"/>
    <w:rsid w:val="00B73F6F"/>
    <w:rsid w:val="00B75025"/>
    <w:rsid w:val="00B759CB"/>
    <w:rsid w:val="00B92819"/>
    <w:rsid w:val="00B93F01"/>
    <w:rsid w:val="00B95A01"/>
    <w:rsid w:val="00B964E4"/>
    <w:rsid w:val="00BA1358"/>
    <w:rsid w:val="00BA2136"/>
    <w:rsid w:val="00BA3EB3"/>
    <w:rsid w:val="00BA5FD4"/>
    <w:rsid w:val="00BB2A04"/>
    <w:rsid w:val="00BC0F07"/>
    <w:rsid w:val="00BC4AAC"/>
    <w:rsid w:val="00BD2BF3"/>
    <w:rsid w:val="00BD6962"/>
    <w:rsid w:val="00BE0545"/>
    <w:rsid w:val="00BE136C"/>
    <w:rsid w:val="00BE3104"/>
    <w:rsid w:val="00BE6EF0"/>
    <w:rsid w:val="00BF0B71"/>
    <w:rsid w:val="00BF1D9A"/>
    <w:rsid w:val="00BF529F"/>
    <w:rsid w:val="00BF79DB"/>
    <w:rsid w:val="00C01B2E"/>
    <w:rsid w:val="00C11A9C"/>
    <w:rsid w:val="00C27AA3"/>
    <w:rsid w:val="00C338A8"/>
    <w:rsid w:val="00C36A25"/>
    <w:rsid w:val="00C43835"/>
    <w:rsid w:val="00C44B20"/>
    <w:rsid w:val="00C457E4"/>
    <w:rsid w:val="00C461B8"/>
    <w:rsid w:val="00C47A40"/>
    <w:rsid w:val="00C516F1"/>
    <w:rsid w:val="00C53393"/>
    <w:rsid w:val="00C55CA8"/>
    <w:rsid w:val="00C63035"/>
    <w:rsid w:val="00C70B6F"/>
    <w:rsid w:val="00C73812"/>
    <w:rsid w:val="00C77432"/>
    <w:rsid w:val="00C77CA1"/>
    <w:rsid w:val="00C85119"/>
    <w:rsid w:val="00C90C32"/>
    <w:rsid w:val="00C91AED"/>
    <w:rsid w:val="00C96FE9"/>
    <w:rsid w:val="00CA5CB8"/>
    <w:rsid w:val="00CB052C"/>
    <w:rsid w:val="00CB33B1"/>
    <w:rsid w:val="00CB5B4A"/>
    <w:rsid w:val="00CB6A2B"/>
    <w:rsid w:val="00CC14A4"/>
    <w:rsid w:val="00CE49F8"/>
    <w:rsid w:val="00CE50DD"/>
    <w:rsid w:val="00CF4C93"/>
    <w:rsid w:val="00D0058E"/>
    <w:rsid w:val="00D06AFE"/>
    <w:rsid w:val="00D23ABD"/>
    <w:rsid w:val="00D24B4F"/>
    <w:rsid w:val="00D25467"/>
    <w:rsid w:val="00D313D3"/>
    <w:rsid w:val="00D367ED"/>
    <w:rsid w:val="00D4149E"/>
    <w:rsid w:val="00D4604C"/>
    <w:rsid w:val="00D55807"/>
    <w:rsid w:val="00D60E2B"/>
    <w:rsid w:val="00D63095"/>
    <w:rsid w:val="00D65887"/>
    <w:rsid w:val="00D66D2E"/>
    <w:rsid w:val="00D701B1"/>
    <w:rsid w:val="00D7111A"/>
    <w:rsid w:val="00D75D2F"/>
    <w:rsid w:val="00D77B1F"/>
    <w:rsid w:val="00D8298B"/>
    <w:rsid w:val="00D975BE"/>
    <w:rsid w:val="00DB2851"/>
    <w:rsid w:val="00DB51C4"/>
    <w:rsid w:val="00DC4100"/>
    <w:rsid w:val="00DC41A5"/>
    <w:rsid w:val="00DC4502"/>
    <w:rsid w:val="00DD1892"/>
    <w:rsid w:val="00DD2058"/>
    <w:rsid w:val="00DD26DB"/>
    <w:rsid w:val="00DE2CE7"/>
    <w:rsid w:val="00DE49AC"/>
    <w:rsid w:val="00DE523B"/>
    <w:rsid w:val="00DE5FE2"/>
    <w:rsid w:val="00DF0CB5"/>
    <w:rsid w:val="00E0144D"/>
    <w:rsid w:val="00E05C03"/>
    <w:rsid w:val="00E14581"/>
    <w:rsid w:val="00E15AE8"/>
    <w:rsid w:val="00E171BF"/>
    <w:rsid w:val="00E226F2"/>
    <w:rsid w:val="00E26126"/>
    <w:rsid w:val="00E310D8"/>
    <w:rsid w:val="00E40E4A"/>
    <w:rsid w:val="00E51331"/>
    <w:rsid w:val="00E5440D"/>
    <w:rsid w:val="00E60B95"/>
    <w:rsid w:val="00E61247"/>
    <w:rsid w:val="00E61775"/>
    <w:rsid w:val="00E7187B"/>
    <w:rsid w:val="00E76014"/>
    <w:rsid w:val="00E76A49"/>
    <w:rsid w:val="00E81A49"/>
    <w:rsid w:val="00E82B6E"/>
    <w:rsid w:val="00EA2A9E"/>
    <w:rsid w:val="00EA3A04"/>
    <w:rsid w:val="00EA7B76"/>
    <w:rsid w:val="00EB45E6"/>
    <w:rsid w:val="00EB5414"/>
    <w:rsid w:val="00EC0357"/>
    <w:rsid w:val="00EC653D"/>
    <w:rsid w:val="00ED4ECA"/>
    <w:rsid w:val="00ED5E1C"/>
    <w:rsid w:val="00EE2B70"/>
    <w:rsid w:val="00EE34B3"/>
    <w:rsid w:val="00EE4D8F"/>
    <w:rsid w:val="00EE63E6"/>
    <w:rsid w:val="00EF27A1"/>
    <w:rsid w:val="00EF6D1B"/>
    <w:rsid w:val="00F04818"/>
    <w:rsid w:val="00F13E4D"/>
    <w:rsid w:val="00F15A36"/>
    <w:rsid w:val="00F167C9"/>
    <w:rsid w:val="00F2386E"/>
    <w:rsid w:val="00F3158E"/>
    <w:rsid w:val="00F36086"/>
    <w:rsid w:val="00F41C34"/>
    <w:rsid w:val="00F438B5"/>
    <w:rsid w:val="00F43CB1"/>
    <w:rsid w:val="00F47F60"/>
    <w:rsid w:val="00F5070A"/>
    <w:rsid w:val="00F51697"/>
    <w:rsid w:val="00F57777"/>
    <w:rsid w:val="00F73AF2"/>
    <w:rsid w:val="00F758FD"/>
    <w:rsid w:val="00F75EA7"/>
    <w:rsid w:val="00F77D1F"/>
    <w:rsid w:val="00F80851"/>
    <w:rsid w:val="00F9412B"/>
    <w:rsid w:val="00F94F94"/>
    <w:rsid w:val="00F95038"/>
    <w:rsid w:val="00FA6C99"/>
    <w:rsid w:val="00FB2A23"/>
    <w:rsid w:val="00FB55CC"/>
    <w:rsid w:val="00FC1D8A"/>
    <w:rsid w:val="00FC3113"/>
    <w:rsid w:val="00FC359A"/>
    <w:rsid w:val="00FC6965"/>
    <w:rsid w:val="00FD0030"/>
    <w:rsid w:val="00FD15E4"/>
    <w:rsid w:val="00FE6657"/>
    <w:rsid w:val="00FF0469"/>
    <w:rsid w:val="00FF0830"/>
    <w:rsid w:val="00FF1167"/>
    <w:rsid w:val="00FF66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15D8F"/>
  <w15:docId w15:val="{2539C9E0-BC29-431D-9D93-D3847A40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A49"/>
  </w:style>
  <w:style w:type="paragraph" w:styleId="Heading1">
    <w:name w:val="heading 1"/>
    <w:basedOn w:val="Normal"/>
    <w:link w:val="Heading1Char"/>
    <w:uiPriority w:val="9"/>
    <w:qFormat/>
    <w:rsid w:val="00950D15"/>
    <w:pPr>
      <w:spacing w:before="100" w:beforeAutospacing="1" w:after="100" w:afterAutospacing="1"/>
      <w:outlineLvl w:val="0"/>
    </w:pPr>
    <w:rPr>
      <w:rFonts w:ascii="Times"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3949"/>
  </w:style>
  <w:style w:type="character" w:customStyle="1" w:styleId="FootnoteTextChar">
    <w:name w:val="Footnote Text Char"/>
    <w:basedOn w:val="DefaultParagraphFont"/>
    <w:link w:val="FootnoteText"/>
    <w:uiPriority w:val="99"/>
    <w:rsid w:val="00083949"/>
    <w:rPr>
      <w:rFonts w:asciiTheme="minorHAnsi" w:hAnsiTheme="minorHAnsi"/>
    </w:rPr>
  </w:style>
  <w:style w:type="character" w:styleId="FootnoteReference">
    <w:name w:val="footnote reference"/>
    <w:basedOn w:val="DefaultParagraphFont"/>
    <w:uiPriority w:val="99"/>
    <w:unhideWhenUsed/>
    <w:rsid w:val="00083949"/>
    <w:rPr>
      <w:vertAlign w:val="superscript"/>
    </w:rPr>
  </w:style>
  <w:style w:type="paragraph" w:styleId="ListParagraph">
    <w:name w:val="List Paragraph"/>
    <w:basedOn w:val="Normal"/>
    <w:uiPriority w:val="34"/>
    <w:qFormat/>
    <w:rsid w:val="00083949"/>
    <w:pPr>
      <w:ind w:left="720"/>
      <w:contextualSpacing/>
    </w:pPr>
  </w:style>
  <w:style w:type="paragraph" w:styleId="Footer">
    <w:name w:val="footer"/>
    <w:basedOn w:val="Normal"/>
    <w:link w:val="FooterChar"/>
    <w:uiPriority w:val="99"/>
    <w:unhideWhenUsed/>
    <w:rsid w:val="008D4F39"/>
    <w:pPr>
      <w:tabs>
        <w:tab w:val="center" w:pos="4320"/>
        <w:tab w:val="right" w:pos="8640"/>
      </w:tabs>
    </w:pPr>
  </w:style>
  <w:style w:type="character" w:customStyle="1" w:styleId="FooterChar">
    <w:name w:val="Footer Char"/>
    <w:basedOn w:val="DefaultParagraphFont"/>
    <w:link w:val="Footer"/>
    <w:uiPriority w:val="99"/>
    <w:rsid w:val="008D4F39"/>
    <w:rPr>
      <w:rFonts w:asciiTheme="minorHAnsi" w:hAnsiTheme="minorHAnsi"/>
    </w:rPr>
  </w:style>
  <w:style w:type="character" w:styleId="PageNumber">
    <w:name w:val="page number"/>
    <w:basedOn w:val="DefaultParagraphFont"/>
    <w:uiPriority w:val="99"/>
    <w:semiHidden/>
    <w:unhideWhenUsed/>
    <w:rsid w:val="008D4F39"/>
  </w:style>
  <w:style w:type="character" w:styleId="Hyperlink">
    <w:name w:val="Hyperlink"/>
    <w:basedOn w:val="DefaultParagraphFont"/>
    <w:uiPriority w:val="99"/>
    <w:semiHidden/>
    <w:unhideWhenUsed/>
    <w:rsid w:val="0076180F"/>
    <w:rPr>
      <w:color w:val="0000FF"/>
      <w:u w:val="single"/>
    </w:rPr>
  </w:style>
  <w:style w:type="paragraph" w:styleId="NormalWeb">
    <w:name w:val="Normal (Web)"/>
    <w:basedOn w:val="Normal"/>
    <w:uiPriority w:val="99"/>
    <w:unhideWhenUsed/>
    <w:rsid w:val="00A01CA4"/>
    <w:pPr>
      <w:spacing w:before="100" w:beforeAutospacing="1" w:after="115"/>
    </w:pPr>
    <w:rPr>
      <w:rFonts w:ascii="Times" w:hAnsi="Times" w:cs="Times New Roman"/>
      <w:sz w:val="20"/>
      <w:szCs w:val="20"/>
    </w:rPr>
  </w:style>
  <w:style w:type="character" w:styleId="CommentReference">
    <w:name w:val="annotation reference"/>
    <w:basedOn w:val="DefaultParagraphFont"/>
    <w:uiPriority w:val="99"/>
    <w:semiHidden/>
    <w:unhideWhenUsed/>
    <w:rsid w:val="00CE50DD"/>
    <w:rPr>
      <w:sz w:val="18"/>
      <w:szCs w:val="18"/>
    </w:rPr>
  </w:style>
  <w:style w:type="paragraph" w:styleId="CommentText">
    <w:name w:val="annotation text"/>
    <w:basedOn w:val="Normal"/>
    <w:link w:val="CommentTextChar"/>
    <w:uiPriority w:val="99"/>
    <w:semiHidden/>
    <w:unhideWhenUsed/>
    <w:rsid w:val="00CE50DD"/>
    <w:rPr>
      <w:rFonts w:eastAsia="Times New Roman" w:cs="Times New Roman"/>
    </w:rPr>
  </w:style>
  <w:style w:type="character" w:customStyle="1" w:styleId="CommentTextChar">
    <w:name w:val="Comment Text Char"/>
    <w:basedOn w:val="DefaultParagraphFont"/>
    <w:link w:val="CommentText"/>
    <w:uiPriority w:val="99"/>
    <w:semiHidden/>
    <w:rsid w:val="00CE50DD"/>
    <w:rPr>
      <w:rFonts w:eastAsia="Times New Roman" w:cs="Times New Roman"/>
    </w:rPr>
  </w:style>
  <w:style w:type="paragraph" w:styleId="BalloonText">
    <w:name w:val="Balloon Text"/>
    <w:basedOn w:val="Normal"/>
    <w:link w:val="BalloonTextChar"/>
    <w:uiPriority w:val="99"/>
    <w:semiHidden/>
    <w:unhideWhenUsed/>
    <w:rsid w:val="00CE50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0DD"/>
    <w:rPr>
      <w:rFonts w:ascii="Lucida Grande" w:hAnsi="Lucida Grande" w:cs="Lucida Grande"/>
      <w:sz w:val="18"/>
      <w:szCs w:val="18"/>
    </w:rPr>
  </w:style>
  <w:style w:type="paragraph" w:styleId="BodyText">
    <w:name w:val="Body Text"/>
    <w:basedOn w:val="Normal"/>
    <w:link w:val="BodyTextChar"/>
    <w:rsid w:val="00C11A9C"/>
    <w:rPr>
      <w:rFonts w:ascii="Courier New" w:eastAsia="Times New Roman" w:hAnsi="Courier New" w:cs="Courier New"/>
    </w:rPr>
  </w:style>
  <w:style w:type="character" w:customStyle="1" w:styleId="BodyTextChar">
    <w:name w:val="Body Text Char"/>
    <w:basedOn w:val="DefaultParagraphFont"/>
    <w:link w:val="BodyText"/>
    <w:rsid w:val="00C11A9C"/>
    <w:rPr>
      <w:rFonts w:ascii="Courier New" w:eastAsia="Times New Roman" w:hAnsi="Courier New" w:cs="Courier New"/>
    </w:rPr>
  </w:style>
  <w:style w:type="character" w:customStyle="1" w:styleId="Heading1Char">
    <w:name w:val="Heading 1 Char"/>
    <w:basedOn w:val="DefaultParagraphFont"/>
    <w:link w:val="Heading1"/>
    <w:uiPriority w:val="9"/>
    <w:rsid w:val="00950D15"/>
    <w:rPr>
      <w:rFonts w:ascii="Times" w:hAnsi="Times" w:cs="Times New Roman"/>
      <w:b/>
      <w:bCs/>
      <w:kern w:val="36"/>
      <w:sz w:val="48"/>
      <w:szCs w:val="48"/>
    </w:rPr>
  </w:style>
  <w:style w:type="character" w:styleId="Emphasis">
    <w:name w:val="Emphasis"/>
    <w:basedOn w:val="DefaultParagraphFont"/>
    <w:uiPriority w:val="20"/>
    <w:qFormat/>
    <w:rsid w:val="006E6FFF"/>
    <w:rPr>
      <w:i/>
      <w:iCs/>
    </w:rPr>
  </w:style>
  <w:style w:type="paragraph" w:styleId="CommentSubject">
    <w:name w:val="annotation subject"/>
    <w:basedOn w:val="CommentText"/>
    <w:next w:val="CommentText"/>
    <w:link w:val="CommentSubjectChar"/>
    <w:uiPriority w:val="99"/>
    <w:semiHidden/>
    <w:unhideWhenUsed/>
    <w:rsid w:val="002342B5"/>
    <w:rPr>
      <w:rFonts w:eastAsiaTheme="minorEastAsia" w:cstheme="minorBidi"/>
      <w:b/>
      <w:bCs/>
      <w:sz w:val="20"/>
      <w:szCs w:val="20"/>
    </w:rPr>
  </w:style>
  <w:style w:type="character" w:customStyle="1" w:styleId="CommentSubjectChar">
    <w:name w:val="Comment Subject Char"/>
    <w:basedOn w:val="CommentTextChar"/>
    <w:link w:val="CommentSubject"/>
    <w:uiPriority w:val="99"/>
    <w:semiHidden/>
    <w:rsid w:val="002342B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36820">
      <w:bodyDiv w:val="1"/>
      <w:marLeft w:val="0"/>
      <w:marRight w:val="0"/>
      <w:marTop w:val="0"/>
      <w:marBottom w:val="0"/>
      <w:divBdr>
        <w:top w:val="none" w:sz="0" w:space="0" w:color="auto"/>
        <w:left w:val="none" w:sz="0" w:space="0" w:color="auto"/>
        <w:bottom w:val="none" w:sz="0" w:space="0" w:color="auto"/>
        <w:right w:val="none" w:sz="0" w:space="0" w:color="auto"/>
      </w:divBdr>
    </w:div>
    <w:div w:id="1872254881">
      <w:bodyDiv w:val="1"/>
      <w:marLeft w:val="0"/>
      <w:marRight w:val="0"/>
      <w:marTop w:val="0"/>
      <w:marBottom w:val="0"/>
      <w:divBdr>
        <w:top w:val="none" w:sz="0" w:space="0" w:color="auto"/>
        <w:left w:val="none" w:sz="0" w:space="0" w:color="auto"/>
        <w:bottom w:val="none" w:sz="0" w:space="0" w:color="auto"/>
        <w:right w:val="none" w:sz="0" w:space="0" w:color="auto"/>
      </w:divBdr>
      <w:divsChild>
        <w:div w:id="1188525474">
          <w:marLeft w:val="0"/>
          <w:marRight w:val="0"/>
          <w:marTop w:val="0"/>
          <w:marBottom w:val="0"/>
          <w:divBdr>
            <w:top w:val="none" w:sz="0" w:space="0" w:color="auto"/>
            <w:left w:val="none" w:sz="0" w:space="0" w:color="auto"/>
            <w:bottom w:val="none" w:sz="0" w:space="0" w:color="auto"/>
            <w:right w:val="none" w:sz="0" w:space="0" w:color="auto"/>
          </w:divBdr>
        </w:div>
      </w:divsChild>
    </w:div>
    <w:div w:id="196399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2112&amp;cite=ULUCCS2-723&amp;originatingDoc=I1fcb2f04960611d9a707f4371c9c34f0&amp;refType=LQ&amp;originationContext=document&amp;vr=3.0&amp;rs=cblt1.0&amp;transitionType=DocumentItem&amp;contextData=(sc.Doc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stlaw.com/Link/Document/FullText?findType=L&amp;pubNum=1002112&amp;cite=ULUCCS2-723&amp;originatingDoc=I1fcb2f04960611d9a707f4371c9c34f0&amp;refType=LQ&amp;originationContext=document&amp;vr=3.0&amp;rs=cblt1.0&amp;transitionType=DocumentItem&amp;contextData=(sc.DocLi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Link/Document/FullText?findType=h&amp;pubNum=176284&amp;cite=0222197801&amp;originatingDoc=I788c3091229011dbbab99dfb880c57ae&amp;refType=RQ&amp;originationContext=document&amp;vr=3.0&amp;rs=cblt1.0&amp;transitionType=DocumentItem&amp;contextData=(sc.Search)" TargetMode="External"/><Relationship Id="rId2" Type="http://schemas.openxmlformats.org/officeDocument/2006/relationships/hyperlink" Target="http://www.westlaw.com/Link/Document/FullText?findType=L&amp;pubNum=1000154&amp;cite=NYUCS2-708&amp;originatingDoc=I0590497f94af11d9bc61beebb95be672&amp;refType=LQ&amp;originationContext=document&amp;vr=3.0&amp;rs=cblt1.0&amp;transitionType=DocumentItem&amp;contextData=(sc.DocLink)" TargetMode="External"/><Relationship Id="rId1" Type="http://schemas.openxmlformats.org/officeDocument/2006/relationships/hyperlink" Target="http://www.westlaw.com/Link/Document/FullText?findType=L&amp;pubNum=1000154&amp;cite=NYUCS2-723&amp;originatingDoc=I0590497f94af11d9bc61beebb95be672&amp;refType=LQ&amp;originationContext=document&amp;vr=3.0&amp;rs=cblt1.0&amp;transitionType=DocumentItem&amp;contextData=(sc.DocLink)" TargetMode="External"/><Relationship Id="rId6" Type="http://schemas.openxmlformats.org/officeDocument/2006/relationships/hyperlink" Target="http://www.westlaw.com/Link/Document/FullText?findType=h&amp;pubNum=176284&amp;cite=0331157601&amp;originatingDoc=I4b1d4581637311dbbd2dfa5ce1d08a25&amp;refType=RQ&amp;originationContext=document&amp;vr=3.0&amp;rs=cblt1.0&amp;transitionType=DocumentItem&amp;contextData=(sc.Keycite)" TargetMode="External"/><Relationship Id="rId5" Type="http://schemas.openxmlformats.org/officeDocument/2006/relationships/hyperlink" Target="http://www.westlaw.com/Link/Document/FullText?findType=Y&amp;serNum=0109067932&amp;pubNum=1133&amp;originatingDoc=I4b1d4581637311dbbd2dfa5ce1d08a25&amp;refType=LR&amp;fi=co_pp_sp_1133_614&amp;originationContext=document&amp;vr=3.0&amp;rs=cblt1.0&amp;transitionType=DocumentItem&amp;contextData=(sc.Keycite)" TargetMode="External"/><Relationship Id="rId4" Type="http://schemas.openxmlformats.org/officeDocument/2006/relationships/hyperlink" Target="http://www.westlaw.com/Link/Document/FullText?findType=h&amp;pubNum=176284&amp;cite=0222197801&amp;originatingDoc=I788c3091229011dbbab99dfb880c57ae&amp;refType=RQ&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9EED-3FF1-4511-9676-86218725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41</Pages>
  <Words>15888</Words>
  <Characters>90563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Manager/>
  <Company>Columbia Law School</Company>
  <LinksUpToDate>false</LinksUpToDate>
  <CharactersWithSpaces>106239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Goldberg</dc:creator>
  <cp:keywords/>
  <dc:description/>
  <cp:lastModifiedBy>Victor Goldberg</cp:lastModifiedBy>
  <cp:revision>17</cp:revision>
  <cp:lastPrinted>2016-08-01T02:16:00Z</cp:lastPrinted>
  <dcterms:created xsi:type="dcterms:W3CDTF">2016-12-10T21:25:00Z</dcterms:created>
  <dcterms:modified xsi:type="dcterms:W3CDTF">2017-03-27T13:59:00Z</dcterms:modified>
  <cp:category/>
</cp:coreProperties>
</file>