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0C9E4" w14:textId="77777777" w:rsidR="00B24922" w:rsidRPr="00FC5729" w:rsidRDefault="00B24922" w:rsidP="00B24922">
      <w:pPr>
        <w:spacing w:line="240" w:lineRule="auto"/>
        <w:jc w:val="center"/>
        <w:rPr>
          <w:rFonts w:ascii="Times New Roman" w:hAnsi="Times New Roman"/>
          <w:b/>
          <w:sz w:val="32"/>
          <w:szCs w:val="24"/>
        </w:rPr>
      </w:pPr>
      <w:r w:rsidRPr="00FC5729">
        <w:rPr>
          <w:rFonts w:ascii="Times New Roman" w:hAnsi="Times New Roman"/>
          <w:b/>
          <w:sz w:val="32"/>
          <w:szCs w:val="24"/>
        </w:rPr>
        <w:t>Fiduciary Law and Entrepreneurial Action</w:t>
      </w:r>
    </w:p>
    <w:p w14:paraId="14682070" w14:textId="0C305606" w:rsidR="00B24922" w:rsidRPr="00FC5729" w:rsidRDefault="00B24922" w:rsidP="00E812ED">
      <w:pPr>
        <w:spacing w:after="120" w:line="240" w:lineRule="auto"/>
        <w:jc w:val="center"/>
        <w:rPr>
          <w:rFonts w:ascii="Times New Roman" w:hAnsi="Times New Roman"/>
          <w:sz w:val="24"/>
          <w:szCs w:val="24"/>
        </w:rPr>
      </w:pPr>
      <w:r w:rsidRPr="00FC5729">
        <w:rPr>
          <w:rFonts w:ascii="Times New Roman" w:hAnsi="Times New Roman"/>
          <w:sz w:val="24"/>
          <w:szCs w:val="24"/>
        </w:rPr>
        <w:t>D. Gordon Smith</w:t>
      </w:r>
      <w:r w:rsidRPr="00FC5729">
        <w:rPr>
          <w:rStyle w:val="FootnoteReference"/>
          <w:rFonts w:ascii="Times New Roman" w:hAnsi="Times New Roman"/>
          <w:sz w:val="24"/>
          <w:szCs w:val="24"/>
        </w:rPr>
        <w:footnoteReference w:customMarkFollows="1" w:id="1"/>
        <w:t>†</w:t>
      </w:r>
    </w:p>
    <w:p w14:paraId="160F60E5" w14:textId="77777777" w:rsidR="00BF3196" w:rsidRPr="00FC5729" w:rsidRDefault="00BF3196" w:rsidP="003A09E8">
      <w:pPr>
        <w:spacing w:line="240" w:lineRule="auto"/>
        <w:jc w:val="center"/>
        <w:rPr>
          <w:rFonts w:ascii="Times New Roman" w:hAnsi="Times New Roman"/>
          <w:b/>
          <w:sz w:val="24"/>
          <w:szCs w:val="24"/>
        </w:rPr>
      </w:pPr>
    </w:p>
    <w:p w14:paraId="6826B565" w14:textId="586B19B5" w:rsidR="003A09E8" w:rsidRPr="00FC5729" w:rsidRDefault="003A09E8" w:rsidP="003A09E8">
      <w:pPr>
        <w:spacing w:line="240" w:lineRule="auto"/>
        <w:jc w:val="center"/>
        <w:rPr>
          <w:rFonts w:ascii="Times New Roman" w:hAnsi="Times New Roman"/>
          <w:b/>
          <w:sz w:val="24"/>
          <w:szCs w:val="24"/>
        </w:rPr>
      </w:pPr>
      <w:r w:rsidRPr="00FC5729">
        <w:rPr>
          <w:rFonts w:ascii="Times New Roman" w:hAnsi="Times New Roman"/>
          <w:b/>
          <w:sz w:val="24"/>
          <w:szCs w:val="24"/>
        </w:rPr>
        <w:t>PRELIMINARY AND INCOMPLETE DRAFT</w:t>
      </w:r>
    </w:p>
    <w:p w14:paraId="3009DD00" w14:textId="77777777" w:rsidR="003A09E8" w:rsidRPr="00FC5729" w:rsidRDefault="003A09E8" w:rsidP="003A09E8">
      <w:pPr>
        <w:spacing w:after="120" w:line="240" w:lineRule="auto"/>
        <w:jc w:val="center"/>
        <w:rPr>
          <w:rFonts w:ascii="Times New Roman" w:hAnsi="Times New Roman"/>
          <w:b/>
          <w:sz w:val="24"/>
          <w:szCs w:val="24"/>
        </w:rPr>
      </w:pPr>
      <w:r w:rsidRPr="00FC5729">
        <w:rPr>
          <w:rFonts w:ascii="Times New Roman" w:hAnsi="Times New Roman"/>
          <w:b/>
          <w:sz w:val="24"/>
          <w:szCs w:val="24"/>
        </w:rPr>
        <w:t>For discussion purposes only</w:t>
      </w:r>
    </w:p>
    <w:p w14:paraId="1384142F" w14:textId="47C192BA" w:rsidR="00B24922" w:rsidRPr="00FC5729" w:rsidRDefault="00E812ED" w:rsidP="00B24922">
      <w:pPr>
        <w:spacing w:line="240" w:lineRule="auto"/>
        <w:jc w:val="center"/>
        <w:rPr>
          <w:rFonts w:ascii="Times New Roman" w:hAnsi="Times New Roman"/>
          <w:b/>
          <w:sz w:val="24"/>
          <w:szCs w:val="24"/>
        </w:rPr>
      </w:pPr>
      <w:r w:rsidRPr="00FC5729">
        <w:rPr>
          <w:rFonts w:ascii="Times New Roman" w:hAnsi="Times New Roman"/>
          <w:b/>
          <w:sz w:val="24"/>
          <w:szCs w:val="24"/>
        </w:rPr>
        <w:t>Please Do Not Cite</w:t>
      </w:r>
    </w:p>
    <w:p w14:paraId="489F9896" w14:textId="3218F2DE" w:rsidR="00B24922" w:rsidRPr="00FC5729" w:rsidRDefault="00B24922" w:rsidP="00E812ED">
      <w:pPr>
        <w:spacing w:after="120" w:line="240" w:lineRule="auto"/>
        <w:jc w:val="center"/>
        <w:rPr>
          <w:rFonts w:ascii="Times New Roman" w:hAnsi="Times New Roman"/>
          <w:b/>
          <w:sz w:val="24"/>
          <w:szCs w:val="24"/>
        </w:rPr>
      </w:pPr>
      <w:r w:rsidRPr="00FC5729">
        <w:rPr>
          <w:rFonts w:ascii="Times New Roman" w:hAnsi="Times New Roman"/>
          <w:b/>
          <w:sz w:val="24"/>
          <w:szCs w:val="24"/>
        </w:rPr>
        <w:t>Without Prior Permission of Author</w:t>
      </w:r>
    </w:p>
    <w:p w14:paraId="07035E49" w14:textId="77777777" w:rsidR="00BF3196" w:rsidRPr="00FC5729" w:rsidRDefault="00BF3196" w:rsidP="00E812ED">
      <w:pPr>
        <w:spacing w:after="120" w:line="240" w:lineRule="auto"/>
        <w:jc w:val="center"/>
        <w:rPr>
          <w:rFonts w:ascii="Times New Roman" w:hAnsi="Times New Roman"/>
          <w:sz w:val="24"/>
          <w:szCs w:val="24"/>
        </w:rPr>
      </w:pPr>
    </w:p>
    <w:p w14:paraId="5697D857" w14:textId="77777777" w:rsidR="005C34B0" w:rsidRDefault="00F01FCE">
      <w:pPr>
        <w:pStyle w:val="TOC10"/>
        <w:rPr>
          <w:rFonts w:asciiTheme="minorHAnsi" w:eastAsiaTheme="minorEastAsia" w:hAnsiTheme="minorHAnsi" w:cstheme="minorBidi"/>
          <w:smallCaps w:val="0"/>
          <w:noProof/>
          <w:sz w:val="22"/>
          <w:szCs w:val="22"/>
        </w:rPr>
      </w:pPr>
      <w:r w:rsidRPr="00FC5729">
        <w:rPr>
          <w:szCs w:val="24"/>
        </w:rPr>
        <w:fldChar w:fldCharType="begin"/>
      </w:r>
      <w:r w:rsidRPr="00FC5729">
        <w:rPr>
          <w:szCs w:val="24"/>
        </w:rPr>
        <w:instrText xml:space="preserve"> TOC \h \z \t "Table of Contents 1,1,Table of Contents 2,2,Table of Contents 3,3" </w:instrText>
      </w:r>
      <w:r w:rsidRPr="00FC5729">
        <w:rPr>
          <w:szCs w:val="24"/>
        </w:rPr>
        <w:fldChar w:fldCharType="separate"/>
      </w:r>
      <w:hyperlink w:anchor="_Toc418778890" w:history="1">
        <w:r w:rsidR="005C34B0" w:rsidRPr="000E6250">
          <w:rPr>
            <w:rStyle w:val="Hyperlink"/>
            <w:noProof/>
          </w:rPr>
          <w:t>Introduction</w:t>
        </w:r>
        <w:r w:rsidR="005C34B0">
          <w:rPr>
            <w:noProof/>
            <w:webHidden/>
          </w:rPr>
          <w:tab/>
        </w:r>
        <w:r w:rsidR="005C34B0">
          <w:rPr>
            <w:noProof/>
            <w:webHidden/>
          </w:rPr>
          <w:fldChar w:fldCharType="begin"/>
        </w:r>
        <w:r w:rsidR="005C34B0">
          <w:rPr>
            <w:noProof/>
            <w:webHidden/>
          </w:rPr>
          <w:instrText xml:space="preserve"> PAGEREF _Toc418778890 \h </w:instrText>
        </w:r>
        <w:r w:rsidR="005C34B0">
          <w:rPr>
            <w:noProof/>
            <w:webHidden/>
          </w:rPr>
        </w:r>
        <w:r w:rsidR="005C34B0">
          <w:rPr>
            <w:noProof/>
            <w:webHidden/>
          </w:rPr>
          <w:fldChar w:fldCharType="separate"/>
        </w:r>
        <w:r w:rsidR="005C34B0">
          <w:rPr>
            <w:noProof/>
            <w:webHidden/>
          </w:rPr>
          <w:t>1</w:t>
        </w:r>
        <w:r w:rsidR="005C34B0">
          <w:rPr>
            <w:noProof/>
            <w:webHidden/>
          </w:rPr>
          <w:fldChar w:fldCharType="end"/>
        </w:r>
      </w:hyperlink>
    </w:p>
    <w:p w14:paraId="1A535587" w14:textId="77777777" w:rsidR="005C34B0" w:rsidRDefault="00E32993">
      <w:pPr>
        <w:pStyle w:val="TOC10"/>
        <w:rPr>
          <w:rFonts w:asciiTheme="minorHAnsi" w:eastAsiaTheme="minorEastAsia" w:hAnsiTheme="minorHAnsi" w:cstheme="minorBidi"/>
          <w:smallCaps w:val="0"/>
          <w:noProof/>
          <w:sz w:val="22"/>
          <w:szCs w:val="22"/>
        </w:rPr>
      </w:pPr>
      <w:hyperlink w:anchor="_Toc418778891" w:history="1">
        <w:r w:rsidR="005C34B0" w:rsidRPr="000E6250">
          <w:rPr>
            <w:rStyle w:val="Hyperlink"/>
            <w:noProof/>
          </w:rPr>
          <w:t>I.</w:t>
        </w:r>
        <w:r w:rsidR="005C34B0">
          <w:rPr>
            <w:rFonts w:asciiTheme="minorHAnsi" w:eastAsiaTheme="minorEastAsia" w:hAnsiTheme="minorHAnsi" w:cstheme="minorBidi"/>
            <w:smallCaps w:val="0"/>
            <w:noProof/>
            <w:sz w:val="22"/>
            <w:szCs w:val="22"/>
          </w:rPr>
          <w:tab/>
        </w:r>
        <w:r w:rsidR="005C34B0" w:rsidRPr="000E6250">
          <w:rPr>
            <w:rStyle w:val="Hyperlink"/>
            <w:noProof/>
          </w:rPr>
          <w:t>Entrepreneurial Action</w:t>
        </w:r>
        <w:r w:rsidR="005C34B0">
          <w:rPr>
            <w:noProof/>
            <w:webHidden/>
          </w:rPr>
          <w:tab/>
        </w:r>
        <w:r w:rsidR="005C34B0">
          <w:rPr>
            <w:noProof/>
            <w:webHidden/>
          </w:rPr>
          <w:fldChar w:fldCharType="begin"/>
        </w:r>
        <w:r w:rsidR="005C34B0">
          <w:rPr>
            <w:noProof/>
            <w:webHidden/>
          </w:rPr>
          <w:instrText xml:space="preserve"> PAGEREF _Toc418778891 \h </w:instrText>
        </w:r>
        <w:r w:rsidR="005C34B0">
          <w:rPr>
            <w:noProof/>
            <w:webHidden/>
          </w:rPr>
        </w:r>
        <w:r w:rsidR="005C34B0">
          <w:rPr>
            <w:noProof/>
            <w:webHidden/>
          </w:rPr>
          <w:fldChar w:fldCharType="separate"/>
        </w:r>
        <w:r w:rsidR="005C34B0">
          <w:rPr>
            <w:noProof/>
            <w:webHidden/>
          </w:rPr>
          <w:t>4</w:t>
        </w:r>
        <w:r w:rsidR="005C34B0">
          <w:rPr>
            <w:noProof/>
            <w:webHidden/>
          </w:rPr>
          <w:fldChar w:fldCharType="end"/>
        </w:r>
      </w:hyperlink>
    </w:p>
    <w:p w14:paraId="0A04E04E" w14:textId="77777777" w:rsidR="005C34B0" w:rsidRDefault="00E32993">
      <w:pPr>
        <w:pStyle w:val="TOC10"/>
        <w:rPr>
          <w:rFonts w:asciiTheme="minorHAnsi" w:eastAsiaTheme="minorEastAsia" w:hAnsiTheme="minorHAnsi" w:cstheme="minorBidi"/>
          <w:smallCaps w:val="0"/>
          <w:noProof/>
          <w:sz w:val="22"/>
          <w:szCs w:val="22"/>
        </w:rPr>
      </w:pPr>
      <w:hyperlink w:anchor="_Toc418778892" w:history="1">
        <w:r w:rsidR="005C34B0" w:rsidRPr="000E6250">
          <w:rPr>
            <w:rStyle w:val="Hyperlink"/>
            <w:noProof/>
          </w:rPr>
          <w:t>II.</w:t>
        </w:r>
        <w:r w:rsidR="005C34B0">
          <w:rPr>
            <w:rFonts w:asciiTheme="minorHAnsi" w:eastAsiaTheme="minorEastAsia" w:hAnsiTheme="minorHAnsi" w:cstheme="minorBidi"/>
            <w:smallCaps w:val="0"/>
            <w:noProof/>
            <w:sz w:val="22"/>
            <w:szCs w:val="22"/>
          </w:rPr>
          <w:tab/>
        </w:r>
        <w:r w:rsidR="005C34B0" w:rsidRPr="000E6250">
          <w:rPr>
            <w:rStyle w:val="Hyperlink"/>
            <w:noProof/>
          </w:rPr>
          <w:t>Conflict Transactions</w:t>
        </w:r>
        <w:r w:rsidR="005C34B0">
          <w:rPr>
            <w:noProof/>
            <w:webHidden/>
          </w:rPr>
          <w:tab/>
        </w:r>
        <w:r w:rsidR="005C34B0">
          <w:rPr>
            <w:noProof/>
            <w:webHidden/>
          </w:rPr>
          <w:fldChar w:fldCharType="begin"/>
        </w:r>
        <w:r w:rsidR="005C34B0">
          <w:rPr>
            <w:noProof/>
            <w:webHidden/>
          </w:rPr>
          <w:instrText xml:space="preserve"> PAGEREF _Toc418778892 \h </w:instrText>
        </w:r>
        <w:r w:rsidR="005C34B0">
          <w:rPr>
            <w:noProof/>
            <w:webHidden/>
          </w:rPr>
        </w:r>
        <w:r w:rsidR="005C34B0">
          <w:rPr>
            <w:noProof/>
            <w:webHidden/>
          </w:rPr>
          <w:fldChar w:fldCharType="separate"/>
        </w:r>
        <w:r w:rsidR="005C34B0">
          <w:rPr>
            <w:noProof/>
            <w:webHidden/>
          </w:rPr>
          <w:t>7</w:t>
        </w:r>
        <w:r w:rsidR="005C34B0">
          <w:rPr>
            <w:noProof/>
            <w:webHidden/>
          </w:rPr>
          <w:fldChar w:fldCharType="end"/>
        </w:r>
      </w:hyperlink>
    </w:p>
    <w:p w14:paraId="781DD604" w14:textId="77777777" w:rsidR="005C34B0" w:rsidRDefault="00E32993">
      <w:pPr>
        <w:pStyle w:val="TOC20"/>
        <w:tabs>
          <w:tab w:val="left" w:pos="1311"/>
        </w:tabs>
        <w:rPr>
          <w:rFonts w:asciiTheme="minorHAnsi" w:eastAsiaTheme="minorEastAsia" w:hAnsiTheme="minorHAnsi" w:cstheme="minorBidi"/>
          <w:noProof/>
          <w:sz w:val="22"/>
          <w:szCs w:val="22"/>
        </w:rPr>
      </w:pPr>
      <w:hyperlink w:anchor="_Toc418778893" w:history="1">
        <w:r w:rsidR="005C34B0" w:rsidRPr="000E6250">
          <w:rPr>
            <w:rStyle w:val="Hyperlink"/>
            <w:noProof/>
          </w:rPr>
          <w:t>A.</w:t>
        </w:r>
        <w:r w:rsidR="005C34B0">
          <w:rPr>
            <w:rFonts w:asciiTheme="minorHAnsi" w:eastAsiaTheme="minorEastAsia" w:hAnsiTheme="minorHAnsi" w:cstheme="minorBidi"/>
            <w:noProof/>
            <w:sz w:val="22"/>
            <w:szCs w:val="22"/>
          </w:rPr>
          <w:tab/>
        </w:r>
        <w:r w:rsidR="005C34B0" w:rsidRPr="000E6250">
          <w:rPr>
            <w:rStyle w:val="Hyperlink"/>
            <w:noProof/>
          </w:rPr>
          <w:t>Inevitability of Conflict</w:t>
        </w:r>
        <w:r w:rsidR="005C34B0">
          <w:rPr>
            <w:noProof/>
            <w:webHidden/>
          </w:rPr>
          <w:tab/>
        </w:r>
        <w:r w:rsidR="005C34B0">
          <w:rPr>
            <w:noProof/>
            <w:webHidden/>
          </w:rPr>
          <w:fldChar w:fldCharType="begin"/>
        </w:r>
        <w:r w:rsidR="005C34B0">
          <w:rPr>
            <w:noProof/>
            <w:webHidden/>
          </w:rPr>
          <w:instrText xml:space="preserve"> PAGEREF _Toc418778893 \h </w:instrText>
        </w:r>
        <w:r w:rsidR="005C34B0">
          <w:rPr>
            <w:noProof/>
            <w:webHidden/>
          </w:rPr>
        </w:r>
        <w:r w:rsidR="005C34B0">
          <w:rPr>
            <w:noProof/>
            <w:webHidden/>
          </w:rPr>
          <w:fldChar w:fldCharType="separate"/>
        </w:r>
        <w:r w:rsidR="005C34B0">
          <w:rPr>
            <w:noProof/>
            <w:webHidden/>
          </w:rPr>
          <w:t>8</w:t>
        </w:r>
        <w:r w:rsidR="005C34B0">
          <w:rPr>
            <w:noProof/>
            <w:webHidden/>
          </w:rPr>
          <w:fldChar w:fldCharType="end"/>
        </w:r>
      </w:hyperlink>
    </w:p>
    <w:p w14:paraId="2BA854CF" w14:textId="77777777" w:rsidR="005C34B0" w:rsidRDefault="00E32993">
      <w:pPr>
        <w:pStyle w:val="TOC20"/>
        <w:tabs>
          <w:tab w:val="left" w:pos="1311"/>
        </w:tabs>
        <w:rPr>
          <w:rFonts w:asciiTheme="minorHAnsi" w:eastAsiaTheme="minorEastAsia" w:hAnsiTheme="minorHAnsi" w:cstheme="minorBidi"/>
          <w:noProof/>
          <w:sz w:val="22"/>
          <w:szCs w:val="22"/>
        </w:rPr>
      </w:pPr>
      <w:hyperlink w:anchor="_Toc418778894" w:history="1">
        <w:r w:rsidR="005C34B0" w:rsidRPr="000E6250">
          <w:rPr>
            <w:rStyle w:val="Hyperlink"/>
            <w:noProof/>
          </w:rPr>
          <w:t>B.</w:t>
        </w:r>
        <w:r w:rsidR="005C34B0">
          <w:rPr>
            <w:rFonts w:asciiTheme="minorHAnsi" w:eastAsiaTheme="minorEastAsia" w:hAnsiTheme="minorHAnsi" w:cstheme="minorBidi"/>
            <w:noProof/>
            <w:sz w:val="22"/>
            <w:szCs w:val="22"/>
          </w:rPr>
          <w:tab/>
        </w:r>
        <w:r w:rsidR="005C34B0" w:rsidRPr="000E6250">
          <w:rPr>
            <w:rStyle w:val="Hyperlink"/>
            <w:noProof/>
          </w:rPr>
          <w:t>Displacement and Advancement</w:t>
        </w:r>
        <w:r w:rsidR="005C34B0">
          <w:rPr>
            <w:noProof/>
            <w:webHidden/>
          </w:rPr>
          <w:tab/>
        </w:r>
        <w:r w:rsidR="005C34B0">
          <w:rPr>
            <w:noProof/>
            <w:webHidden/>
          </w:rPr>
          <w:fldChar w:fldCharType="begin"/>
        </w:r>
        <w:r w:rsidR="005C34B0">
          <w:rPr>
            <w:noProof/>
            <w:webHidden/>
          </w:rPr>
          <w:instrText xml:space="preserve"> PAGEREF _Toc418778894 \h </w:instrText>
        </w:r>
        <w:r w:rsidR="005C34B0">
          <w:rPr>
            <w:noProof/>
            <w:webHidden/>
          </w:rPr>
        </w:r>
        <w:r w:rsidR="005C34B0">
          <w:rPr>
            <w:noProof/>
            <w:webHidden/>
          </w:rPr>
          <w:fldChar w:fldCharType="separate"/>
        </w:r>
        <w:r w:rsidR="005C34B0">
          <w:rPr>
            <w:noProof/>
            <w:webHidden/>
          </w:rPr>
          <w:t>9</w:t>
        </w:r>
        <w:r w:rsidR="005C34B0">
          <w:rPr>
            <w:noProof/>
            <w:webHidden/>
          </w:rPr>
          <w:fldChar w:fldCharType="end"/>
        </w:r>
      </w:hyperlink>
    </w:p>
    <w:p w14:paraId="73CA5EB1" w14:textId="77777777" w:rsidR="005C34B0" w:rsidRDefault="00E32993">
      <w:pPr>
        <w:pStyle w:val="TOC10"/>
        <w:rPr>
          <w:rFonts w:asciiTheme="minorHAnsi" w:eastAsiaTheme="minorEastAsia" w:hAnsiTheme="minorHAnsi" w:cstheme="minorBidi"/>
          <w:smallCaps w:val="0"/>
          <w:noProof/>
          <w:sz w:val="22"/>
          <w:szCs w:val="22"/>
        </w:rPr>
      </w:pPr>
      <w:hyperlink w:anchor="_Toc418778895" w:history="1">
        <w:r w:rsidR="005C34B0" w:rsidRPr="000E6250">
          <w:rPr>
            <w:rStyle w:val="Hyperlink"/>
            <w:noProof/>
          </w:rPr>
          <w:t>III.</w:t>
        </w:r>
        <w:r w:rsidR="005C34B0">
          <w:rPr>
            <w:rFonts w:asciiTheme="minorHAnsi" w:eastAsiaTheme="minorEastAsia" w:hAnsiTheme="minorHAnsi" w:cstheme="minorBidi"/>
            <w:smallCaps w:val="0"/>
            <w:noProof/>
            <w:sz w:val="22"/>
            <w:szCs w:val="22"/>
          </w:rPr>
          <w:tab/>
        </w:r>
        <w:r w:rsidR="005C34B0" w:rsidRPr="000E6250">
          <w:rPr>
            <w:rStyle w:val="Hyperlink"/>
            <w:noProof/>
          </w:rPr>
          <w:t>Conflict Regulation</w:t>
        </w:r>
        <w:r w:rsidR="005C34B0">
          <w:rPr>
            <w:noProof/>
            <w:webHidden/>
          </w:rPr>
          <w:tab/>
        </w:r>
        <w:r w:rsidR="005C34B0">
          <w:rPr>
            <w:noProof/>
            <w:webHidden/>
          </w:rPr>
          <w:fldChar w:fldCharType="begin"/>
        </w:r>
        <w:r w:rsidR="005C34B0">
          <w:rPr>
            <w:noProof/>
            <w:webHidden/>
          </w:rPr>
          <w:instrText xml:space="preserve"> PAGEREF _Toc418778895 \h </w:instrText>
        </w:r>
        <w:r w:rsidR="005C34B0">
          <w:rPr>
            <w:noProof/>
            <w:webHidden/>
          </w:rPr>
        </w:r>
        <w:r w:rsidR="005C34B0">
          <w:rPr>
            <w:noProof/>
            <w:webHidden/>
          </w:rPr>
          <w:fldChar w:fldCharType="separate"/>
        </w:r>
        <w:r w:rsidR="005C34B0">
          <w:rPr>
            <w:noProof/>
            <w:webHidden/>
          </w:rPr>
          <w:t>11</w:t>
        </w:r>
        <w:r w:rsidR="005C34B0">
          <w:rPr>
            <w:noProof/>
            <w:webHidden/>
          </w:rPr>
          <w:fldChar w:fldCharType="end"/>
        </w:r>
      </w:hyperlink>
    </w:p>
    <w:p w14:paraId="359F8FCE" w14:textId="77777777" w:rsidR="005C34B0" w:rsidRDefault="00E32993">
      <w:pPr>
        <w:pStyle w:val="TOC20"/>
        <w:tabs>
          <w:tab w:val="left" w:pos="1311"/>
        </w:tabs>
        <w:rPr>
          <w:rFonts w:asciiTheme="minorHAnsi" w:eastAsiaTheme="minorEastAsia" w:hAnsiTheme="minorHAnsi" w:cstheme="minorBidi"/>
          <w:noProof/>
          <w:sz w:val="22"/>
          <w:szCs w:val="22"/>
        </w:rPr>
      </w:pPr>
      <w:hyperlink w:anchor="_Toc418778896" w:history="1">
        <w:r w:rsidR="005C34B0" w:rsidRPr="000E6250">
          <w:rPr>
            <w:rStyle w:val="Hyperlink"/>
            <w:noProof/>
          </w:rPr>
          <w:t>A.</w:t>
        </w:r>
        <w:r w:rsidR="005C34B0">
          <w:rPr>
            <w:rFonts w:asciiTheme="minorHAnsi" w:eastAsiaTheme="minorEastAsia" w:hAnsiTheme="minorHAnsi" w:cstheme="minorBidi"/>
            <w:noProof/>
            <w:sz w:val="22"/>
            <w:szCs w:val="22"/>
          </w:rPr>
          <w:tab/>
        </w:r>
        <w:r w:rsidR="005C34B0" w:rsidRPr="000E6250">
          <w:rPr>
            <w:rStyle w:val="Hyperlink"/>
            <w:noProof/>
          </w:rPr>
          <w:t>Rationale For Conflict Regulation</w:t>
        </w:r>
        <w:r w:rsidR="005C34B0">
          <w:rPr>
            <w:noProof/>
            <w:webHidden/>
          </w:rPr>
          <w:tab/>
        </w:r>
        <w:r w:rsidR="005C34B0">
          <w:rPr>
            <w:noProof/>
            <w:webHidden/>
          </w:rPr>
          <w:fldChar w:fldCharType="begin"/>
        </w:r>
        <w:r w:rsidR="005C34B0">
          <w:rPr>
            <w:noProof/>
            <w:webHidden/>
          </w:rPr>
          <w:instrText xml:space="preserve"> PAGEREF _Toc418778896 \h </w:instrText>
        </w:r>
        <w:r w:rsidR="005C34B0">
          <w:rPr>
            <w:noProof/>
            <w:webHidden/>
          </w:rPr>
        </w:r>
        <w:r w:rsidR="005C34B0">
          <w:rPr>
            <w:noProof/>
            <w:webHidden/>
          </w:rPr>
          <w:fldChar w:fldCharType="separate"/>
        </w:r>
        <w:r w:rsidR="005C34B0">
          <w:rPr>
            <w:noProof/>
            <w:webHidden/>
          </w:rPr>
          <w:t>11</w:t>
        </w:r>
        <w:r w:rsidR="005C34B0">
          <w:rPr>
            <w:noProof/>
            <w:webHidden/>
          </w:rPr>
          <w:fldChar w:fldCharType="end"/>
        </w:r>
      </w:hyperlink>
    </w:p>
    <w:p w14:paraId="455CB411" w14:textId="77777777" w:rsidR="005C34B0" w:rsidRDefault="00E32993">
      <w:pPr>
        <w:pStyle w:val="TOC20"/>
        <w:tabs>
          <w:tab w:val="left" w:pos="1311"/>
        </w:tabs>
        <w:rPr>
          <w:rFonts w:asciiTheme="minorHAnsi" w:eastAsiaTheme="minorEastAsia" w:hAnsiTheme="minorHAnsi" w:cstheme="minorBidi"/>
          <w:noProof/>
          <w:sz w:val="22"/>
          <w:szCs w:val="22"/>
        </w:rPr>
      </w:pPr>
      <w:hyperlink w:anchor="_Toc418778897" w:history="1">
        <w:r w:rsidR="005C34B0" w:rsidRPr="000E6250">
          <w:rPr>
            <w:rStyle w:val="Hyperlink"/>
            <w:noProof/>
          </w:rPr>
          <w:t>B.</w:t>
        </w:r>
        <w:r w:rsidR="005C34B0">
          <w:rPr>
            <w:rFonts w:asciiTheme="minorHAnsi" w:eastAsiaTheme="minorEastAsia" w:hAnsiTheme="minorHAnsi" w:cstheme="minorBidi"/>
            <w:noProof/>
            <w:sz w:val="22"/>
            <w:szCs w:val="22"/>
          </w:rPr>
          <w:tab/>
        </w:r>
        <w:r w:rsidR="005C34B0" w:rsidRPr="000E6250">
          <w:rPr>
            <w:rStyle w:val="Hyperlink"/>
            <w:noProof/>
          </w:rPr>
          <w:t>Conflict Regulation Four Ways</w:t>
        </w:r>
        <w:r w:rsidR="005C34B0">
          <w:rPr>
            <w:noProof/>
            <w:webHidden/>
          </w:rPr>
          <w:tab/>
        </w:r>
        <w:r w:rsidR="005C34B0">
          <w:rPr>
            <w:noProof/>
            <w:webHidden/>
          </w:rPr>
          <w:fldChar w:fldCharType="begin"/>
        </w:r>
        <w:r w:rsidR="005C34B0">
          <w:rPr>
            <w:noProof/>
            <w:webHidden/>
          </w:rPr>
          <w:instrText xml:space="preserve"> PAGEREF _Toc418778897 \h </w:instrText>
        </w:r>
        <w:r w:rsidR="005C34B0">
          <w:rPr>
            <w:noProof/>
            <w:webHidden/>
          </w:rPr>
        </w:r>
        <w:r w:rsidR="005C34B0">
          <w:rPr>
            <w:noProof/>
            <w:webHidden/>
          </w:rPr>
          <w:fldChar w:fldCharType="separate"/>
        </w:r>
        <w:r w:rsidR="005C34B0">
          <w:rPr>
            <w:noProof/>
            <w:webHidden/>
          </w:rPr>
          <w:t>12</w:t>
        </w:r>
        <w:r w:rsidR="005C34B0">
          <w:rPr>
            <w:noProof/>
            <w:webHidden/>
          </w:rPr>
          <w:fldChar w:fldCharType="end"/>
        </w:r>
      </w:hyperlink>
    </w:p>
    <w:p w14:paraId="1074CF0A" w14:textId="77777777" w:rsidR="005C34B0" w:rsidRDefault="00E32993">
      <w:pPr>
        <w:pStyle w:val="TOC30"/>
        <w:rPr>
          <w:rFonts w:asciiTheme="minorHAnsi" w:eastAsiaTheme="minorEastAsia" w:hAnsiTheme="minorHAnsi" w:cstheme="minorBidi"/>
          <w:noProof/>
          <w:sz w:val="22"/>
          <w:szCs w:val="22"/>
        </w:rPr>
      </w:pPr>
      <w:hyperlink w:anchor="_Toc418778898" w:history="1">
        <w:r w:rsidR="005C34B0" w:rsidRPr="000E6250">
          <w:rPr>
            <w:rStyle w:val="Hyperlink"/>
            <w:noProof/>
          </w:rPr>
          <w:t>1.</w:t>
        </w:r>
        <w:r w:rsidR="005C34B0">
          <w:rPr>
            <w:rFonts w:asciiTheme="minorHAnsi" w:eastAsiaTheme="minorEastAsia" w:hAnsiTheme="minorHAnsi" w:cstheme="minorBidi"/>
            <w:noProof/>
            <w:sz w:val="22"/>
            <w:szCs w:val="22"/>
          </w:rPr>
          <w:tab/>
        </w:r>
        <w:r w:rsidR="005C34B0" w:rsidRPr="000E6250">
          <w:rPr>
            <w:rStyle w:val="Hyperlink"/>
            <w:noProof/>
          </w:rPr>
          <w:t>Prohibition</w:t>
        </w:r>
        <w:r w:rsidR="005C34B0">
          <w:rPr>
            <w:noProof/>
            <w:webHidden/>
          </w:rPr>
          <w:tab/>
        </w:r>
        <w:r w:rsidR="005C34B0">
          <w:rPr>
            <w:noProof/>
            <w:webHidden/>
          </w:rPr>
          <w:fldChar w:fldCharType="begin"/>
        </w:r>
        <w:r w:rsidR="005C34B0">
          <w:rPr>
            <w:noProof/>
            <w:webHidden/>
          </w:rPr>
          <w:instrText xml:space="preserve"> PAGEREF _Toc418778898 \h </w:instrText>
        </w:r>
        <w:r w:rsidR="005C34B0">
          <w:rPr>
            <w:noProof/>
            <w:webHidden/>
          </w:rPr>
        </w:r>
        <w:r w:rsidR="005C34B0">
          <w:rPr>
            <w:noProof/>
            <w:webHidden/>
          </w:rPr>
          <w:fldChar w:fldCharType="separate"/>
        </w:r>
        <w:r w:rsidR="005C34B0">
          <w:rPr>
            <w:noProof/>
            <w:webHidden/>
          </w:rPr>
          <w:t>13</w:t>
        </w:r>
        <w:r w:rsidR="005C34B0">
          <w:rPr>
            <w:noProof/>
            <w:webHidden/>
          </w:rPr>
          <w:fldChar w:fldCharType="end"/>
        </w:r>
      </w:hyperlink>
    </w:p>
    <w:p w14:paraId="6C376475" w14:textId="77777777" w:rsidR="005C34B0" w:rsidRDefault="00E32993">
      <w:pPr>
        <w:pStyle w:val="TOC30"/>
        <w:rPr>
          <w:rFonts w:asciiTheme="minorHAnsi" w:eastAsiaTheme="minorEastAsia" w:hAnsiTheme="minorHAnsi" w:cstheme="minorBidi"/>
          <w:noProof/>
          <w:sz w:val="22"/>
          <w:szCs w:val="22"/>
        </w:rPr>
      </w:pPr>
      <w:hyperlink w:anchor="_Toc418778899" w:history="1">
        <w:r w:rsidR="005C34B0" w:rsidRPr="000E6250">
          <w:rPr>
            <w:rStyle w:val="Hyperlink"/>
            <w:noProof/>
          </w:rPr>
          <w:t>2.</w:t>
        </w:r>
        <w:r w:rsidR="005C34B0">
          <w:rPr>
            <w:rFonts w:asciiTheme="minorHAnsi" w:eastAsiaTheme="minorEastAsia" w:hAnsiTheme="minorHAnsi" w:cstheme="minorBidi"/>
            <w:noProof/>
            <w:sz w:val="22"/>
            <w:szCs w:val="22"/>
          </w:rPr>
          <w:tab/>
        </w:r>
        <w:r w:rsidR="005C34B0" w:rsidRPr="000E6250">
          <w:rPr>
            <w:rStyle w:val="Hyperlink"/>
            <w:noProof/>
          </w:rPr>
          <w:t>Disclosure and Approval</w:t>
        </w:r>
        <w:r w:rsidR="005C34B0">
          <w:rPr>
            <w:noProof/>
            <w:webHidden/>
          </w:rPr>
          <w:tab/>
        </w:r>
        <w:r w:rsidR="005C34B0">
          <w:rPr>
            <w:noProof/>
            <w:webHidden/>
          </w:rPr>
          <w:fldChar w:fldCharType="begin"/>
        </w:r>
        <w:r w:rsidR="005C34B0">
          <w:rPr>
            <w:noProof/>
            <w:webHidden/>
          </w:rPr>
          <w:instrText xml:space="preserve"> PAGEREF _Toc418778899 \h </w:instrText>
        </w:r>
        <w:r w:rsidR="005C34B0">
          <w:rPr>
            <w:noProof/>
            <w:webHidden/>
          </w:rPr>
        </w:r>
        <w:r w:rsidR="005C34B0">
          <w:rPr>
            <w:noProof/>
            <w:webHidden/>
          </w:rPr>
          <w:fldChar w:fldCharType="separate"/>
        </w:r>
        <w:r w:rsidR="005C34B0">
          <w:rPr>
            <w:noProof/>
            <w:webHidden/>
          </w:rPr>
          <w:t>16</w:t>
        </w:r>
        <w:r w:rsidR="005C34B0">
          <w:rPr>
            <w:noProof/>
            <w:webHidden/>
          </w:rPr>
          <w:fldChar w:fldCharType="end"/>
        </w:r>
      </w:hyperlink>
    </w:p>
    <w:p w14:paraId="2415D4B1" w14:textId="77777777" w:rsidR="005C34B0" w:rsidRDefault="00E32993">
      <w:pPr>
        <w:pStyle w:val="TOC30"/>
        <w:rPr>
          <w:rFonts w:asciiTheme="minorHAnsi" w:eastAsiaTheme="minorEastAsia" w:hAnsiTheme="minorHAnsi" w:cstheme="minorBidi"/>
          <w:noProof/>
          <w:sz w:val="22"/>
          <w:szCs w:val="22"/>
        </w:rPr>
      </w:pPr>
      <w:hyperlink w:anchor="_Toc418778900" w:history="1">
        <w:r w:rsidR="005C34B0" w:rsidRPr="000E6250">
          <w:rPr>
            <w:rStyle w:val="Hyperlink"/>
            <w:noProof/>
          </w:rPr>
          <w:t>3.</w:t>
        </w:r>
        <w:r w:rsidR="005C34B0">
          <w:rPr>
            <w:rFonts w:asciiTheme="minorHAnsi" w:eastAsiaTheme="minorEastAsia" w:hAnsiTheme="minorHAnsi" w:cstheme="minorBidi"/>
            <w:noProof/>
            <w:sz w:val="22"/>
            <w:szCs w:val="22"/>
          </w:rPr>
          <w:tab/>
        </w:r>
        <w:r w:rsidR="005C34B0" w:rsidRPr="000E6250">
          <w:rPr>
            <w:rStyle w:val="Hyperlink"/>
            <w:noProof/>
          </w:rPr>
          <w:t>Administrative Approval</w:t>
        </w:r>
        <w:r w:rsidR="005C34B0">
          <w:rPr>
            <w:noProof/>
            <w:webHidden/>
          </w:rPr>
          <w:tab/>
        </w:r>
        <w:r w:rsidR="005C34B0">
          <w:rPr>
            <w:noProof/>
            <w:webHidden/>
          </w:rPr>
          <w:fldChar w:fldCharType="begin"/>
        </w:r>
        <w:r w:rsidR="005C34B0">
          <w:rPr>
            <w:noProof/>
            <w:webHidden/>
          </w:rPr>
          <w:instrText xml:space="preserve"> PAGEREF _Toc418778900 \h </w:instrText>
        </w:r>
        <w:r w:rsidR="005C34B0">
          <w:rPr>
            <w:noProof/>
            <w:webHidden/>
          </w:rPr>
        </w:r>
        <w:r w:rsidR="005C34B0">
          <w:rPr>
            <w:noProof/>
            <w:webHidden/>
          </w:rPr>
          <w:fldChar w:fldCharType="separate"/>
        </w:r>
        <w:r w:rsidR="005C34B0">
          <w:rPr>
            <w:noProof/>
            <w:webHidden/>
          </w:rPr>
          <w:t>18</w:t>
        </w:r>
        <w:r w:rsidR="005C34B0">
          <w:rPr>
            <w:noProof/>
            <w:webHidden/>
          </w:rPr>
          <w:fldChar w:fldCharType="end"/>
        </w:r>
      </w:hyperlink>
    </w:p>
    <w:p w14:paraId="748D4B43" w14:textId="77777777" w:rsidR="005C34B0" w:rsidRDefault="00E32993">
      <w:pPr>
        <w:pStyle w:val="TOC30"/>
        <w:rPr>
          <w:rFonts w:asciiTheme="minorHAnsi" w:eastAsiaTheme="minorEastAsia" w:hAnsiTheme="minorHAnsi" w:cstheme="minorBidi"/>
          <w:noProof/>
          <w:sz w:val="22"/>
          <w:szCs w:val="22"/>
        </w:rPr>
      </w:pPr>
      <w:hyperlink w:anchor="_Toc418778901" w:history="1">
        <w:r w:rsidR="005C34B0" w:rsidRPr="000E6250">
          <w:rPr>
            <w:rStyle w:val="Hyperlink"/>
            <w:noProof/>
          </w:rPr>
          <w:t>4.</w:t>
        </w:r>
        <w:r w:rsidR="005C34B0">
          <w:rPr>
            <w:rFonts w:asciiTheme="minorHAnsi" w:eastAsiaTheme="minorEastAsia" w:hAnsiTheme="minorHAnsi" w:cstheme="minorBidi"/>
            <w:noProof/>
            <w:sz w:val="22"/>
            <w:szCs w:val="22"/>
          </w:rPr>
          <w:tab/>
        </w:r>
        <w:r w:rsidR="005C34B0" w:rsidRPr="000E6250">
          <w:rPr>
            <w:rStyle w:val="Hyperlink"/>
            <w:noProof/>
          </w:rPr>
          <w:t>Substantive Fairness Review</w:t>
        </w:r>
        <w:r w:rsidR="005C34B0">
          <w:rPr>
            <w:noProof/>
            <w:webHidden/>
          </w:rPr>
          <w:tab/>
        </w:r>
        <w:r w:rsidR="005C34B0">
          <w:rPr>
            <w:noProof/>
            <w:webHidden/>
          </w:rPr>
          <w:fldChar w:fldCharType="begin"/>
        </w:r>
        <w:r w:rsidR="005C34B0">
          <w:rPr>
            <w:noProof/>
            <w:webHidden/>
          </w:rPr>
          <w:instrText xml:space="preserve"> PAGEREF _Toc418778901 \h </w:instrText>
        </w:r>
        <w:r w:rsidR="005C34B0">
          <w:rPr>
            <w:noProof/>
            <w:webHidden/>
          </w:rPr>
        </w:r>
        <w:r w:rsidR="005C34B0">
          <w:rPr>
            <w:noProof/>
            <w:webHidden/>
          </w:rPr>
          <w:fldChar w:fldCharType="separate"/>
        </w:r>
        <w:r w:rsidR="005C34B0">
          <w:rPr>
            <w:noProof/>
            <w:webHidden/>
          </w:rPr>
          <w:t>18</w:t>
        </w:r>
        <w:r w:rsidR="005C34B0">
          <w:rPr>
            <w:noProof/>
            <w:webHidden/>
          </w:rPr>
          <w:fldChar w:fldCharType="end"/>
        </w:r>
      </w:hyperlink>
    </w:p>
    <w:p w14:paraId="6B8D35AF" w14:textId="77777777" w:rsidR="005C34B0" w:rsidRDefault="00E32993">
      <w:pPr>
        <w:pStyle w:val="TOC10"/>
        <w:rPr>
          <w:rFonts w:asciiTheme="minorHAnsi" w:eastAsiaTheme="minorEastAsia" w:hAnsiTheme="minorHAnsi" w:cstheme="minorBidi"/>
          <w:smallCaps w:val="0"/>
          <w:noProof/>
          <w:sz w:val="22"/>
          <w:szCs w:val="22"/>
        </w:rPr>
      </w:pPr>
      <w:hyperlink w:anchor="_Toc418778902" w:history="1">
        <w:r w:rsidR="005C34B0" w:rsidRPr="000E6250">
          <w:rPr>
            <w:rStyle w:val="Hyperlink"/>
            <w:noProof/>
          </w:rPr>
          <w:t>IV.</w:t>
        </w:r>
        <w:r w:rsidR="005C34B0">
          <w:rPr>
            <w:rFonts w:asciiTheme="minorHAnsi" w:eastAsiaTheme="minorEastAsia" w:hAnsiTheme="minorHAnsi" w:cstheme="minorBidi"/>
            <w:smallCaps w:val="0"/>
            <w:noProof/>
            <w:sz w:val="22"/>
            <w:szCs w:val="22"/>
          </w:rPr>
          <w:tab/>
        </w:r>
        <w:r w:rsidR="005C34B0" w:rsidRPr="000E6250">
          <w:rPr>
            <w:rStyle w:val="Hyperlink"/>
            <w:noProof/>
          </w:rPr>
          <w:t>Comparative Advantage of U.S. Fiduciary Law</w:t>
        </w:r>
        <w:r w:rsidR="005C34B0">
          <w:rPr>
            <w:noProof/>
            <w:webHidden/>
          </w:rPr>
          <w:tab/>
        </w:r>
        <w:r w:rsidR="005C34B0">
          <w:rPr>
            <w:noProof/>
            <w:webHidden/>
          </w:rPr>
          <w:fldChar w:fldCharType="begin"/>
        </w:r>
        <w:r w:rsidR="005C34B0">
          <w:rPr>
            <w:noProof/>
            <w:webHidden/>
          </w:rPr>
          <w:instrText xml:space="preserve"> PAGEREF _Toc418778902 \h </w:instrText>
        </w:r>
        <w:r w:rsidR="005C34B0">
          <w:rPr>
            <w:noProof/>
            <w:webHidden/>
          </w:rPr>
        </w:r>
        <w:r w:rsidR="005C34B0">
          <w:rPr>
            <w:noProof/>
            <w:webHidden/>
          </w:rPr>
          <w:fldChar w:fldCharType="separate"/>
        </w:r>
        <w:r w:rsidR="005C34B0">
          <w:rPr>
            <w:noProof/>
            <w:webHidden/>
          </w:rPr>
          <w:t>20</w:t>
        </w:r>
        <w:r w:rsidR="005C34B0">
          <w:rPr>
            <w:noProof/>
            <w:webHidden/>
          </w:rPr>
          <w:fldChar w:fldCharType="end"/>
        </w:r>
      </w:hyperlink>
    </w:p>
    <w:p w14:paraId="23516D97" w14:textId="77777777" w:rsidR="005C34B0" w:rsidRDefault="00E32993">
      <w:pPr>
        <w:pStyle w:val="TOC10"/>
        <w:rPr>
          <w:rFonts w:asciiTheme="minorHAnsi" w:eastAsiaTheme="minorEastAsia" w:hAnsiTheme="minorHAnsi" w:cstheme="minorBidi"/>
          <w:smallCaps w:val="0"/>
          <w:noProof/>
          <w:sz w:val="22"/>
          <w:szCs w:val="22"/>
        </w:rPr>
      </w:pPr>
      <w:hyperlink w:anchor="_Toc418778903" w:history="1">
        <w:r w:rsidR="005C34B0" w:rsidRPr="000E6250">
          <w:rPr>
            <w:rStyle w:val="Hyperlink"/>
            <w:noProof/>
          </w:rPr>
          <w:t>Conclusion</w:t>
        </w:r>
        <w:r w:rsidR="005C34B0">
          <w:rPr>
            <w:noProof/>
            <w:webHidden/>
          </w:rPr>
          <w:tab/>
        </w:r>
        <w:r w:rsidR="005C34B0">
          <w:rPr>
            <w:noProof/>
            <w:webHidden/>
          </w:rPr>
          <w:fldChar w:fldCharType="begin"/>
        </w:r>
        <w:r w:rsidR="005C34B0">
          <w:rPr>
            <w:noProof/>
            <w:webHidden/>
          </w:rPr>
          <w:instrText xml:space="preserve"> PAGEREF _Toc418778903 \h </w:instrText>
        </w:r>
        <w:r w:rsidR="005C34B0">
          <w:rPr>
            <w:noProof/>
            <w:webHidden/>
          </w:rPr>
        </w:r>
        <w:r w:rsidR="005C34B0">
          <w:rPr>
            <w:noProof/>
            <w:webHidden/>
          </w:rPr>
          <w:fldChar w:fldCharType="separate"/>
        </w:r>
        <w:r w:rsidR="005C34B0">
          <w:rPr>
            <w:noProof/>
            <w:webHidden/>
          </w:rPr>
          <w:t>22</w:t>
        </w:r>
        <w:r w:rsidR="005C34B0">
          <w:rPr>
            <w:noProof/>
            <w:webHidden/>
          </w:rPr>
          <w:fldChar w:fldCharType="end"/>
        </w:r>
      </w:hyperlink>
    </w:p>
    <w:p w14:paraId="630DD76F" w14:textId="77777777" w:rsidR="00F01FCE" w:rsidRPr="00FC5729" w:rsidRDefault="00F01FCE" w:rsidP="00F01FCE">
      <w:pPr>
        <w:spacing w:line="240" w:lineRule="auto"/>
        <w:jc w:val="center"/>
        <w:rPr>
          <w:rFonts w:ascii="Times New Roman" w:hAnsi="Times New Roman"/>
          <w:sz w:val="24"/>
          <w:szCs w:val="24"/>
        </w:rPr>
      </w:pPr>
      <w:r w:rsidRPr="00FC5729">
        <w:rPr>
          <w:rFonts w:ascii="Times New Roman" w:hAnsi="Times New Roman"/>
          <w:b/>
          <w:sz w:val="24"/>
          <w:szCs w:val="24"/>
        </w:rPr>
        <w:fldChar w:fldCharType="end"/>
      </w:r>
    </w:p>
    <w:p w14:paraId="7E01E6CD" w14:textId="1FF4AD81" w:rsidR="00BF3196" w:rsidRPr="00FC5729" w:rsidRDefault="00BF3196">
      <w:pPr>
        <w:spacing w:line="240" w:lineRule="auto"/>
        <w:rPr>
          <w:rFonts w:ascii="Times New Roman" w:hAnsi="Times New Roman"/>
          <w:sz w:val="24"/>
          <w:szCs w:val="24"/>
        </w:rPr>
      </w:pPr>
      <w:r w:rsidRPr="00FC5729">
        <w:rPr>
          <w:rFonts w:ascii="Times New Roman" w:hAnsi="Times New Roman"/>
          <w:sz w:val="24"/>
          <w:szCs w:val="24"/>
        </w:rPr>
        <w:br w:type="page"/>
      </w:r>
    </w:p>
    <w:p w14:paraId="3917EDD6" w14:textId="4925F764" w:rsidR="00837A31" w:rsidRPr="00FC5729" w:rsidRDefault="00AE6DA8" w:rsidP="008D5259">
      <w:pPr>
        <w:pStyle w:val="TableofContents1"/>
        <w:numPr>
          <w:ilvl w:val="0"/>
          <w:numId w:val="0"/>
        </w:numPr>
      </w:pPr>
      <w:bookmarkStart w:id="0" w:name="_Toc418778890"/>
      <w:r w:rsidRPr="00FC5729">
        <w:lastRenderedPageBreak/>
        <w:t>Introduction</w:t>
      </w:r>
      <w:bookmarkEnd w:id="0"/>
    </w:p>
    <w:p w14:paraId="048CCEF8" w14:textId="1D08989E" w:rsidR="00676526" w:rsidRDefault="00BF3196" w:rsidP="00D223E0">
      <w:pPr>
        <w:spacing w:after="120" w:line="240" w:lineRule="auto"/>
        <w:ind w:firstLine="720"/>
        <w:jc w:val="both"/>
        <w:rPr>
          <w:rFonts w:ascii="Times New Roman" w:hAnsi="Times New Roman"/>
          <w:sz w:val="24"/>
          <w:szCs w:val="24"/>
        </w:rPr>
      </w:pPr>
      <w:r w:rsidRPr="00FC5729">
        <w:rPr>
          <w:rFonts w:ascii="Times New Roman" w:hAnsi="Times New Roman"/>
          <w:sz w:val="24"/>
          <w:szCs w:val="24"/>
        </w:rPr>
        <w:t xml:space="preserve">When evaluating claims involving the duty of loyalty in a business organization, modern judges in the United States do something routinely that would have seemed improper to judges a century ago, something that still astonishes judges </w:t>
      </w:r>
      <w:r w:rsidR="00D223E0">
        <w:rPr>
          <w:rFonts w:ascii="Times New Roman" w:hAnsi="Times New Roman"/>
          <w:sz w:val="24"/>
          <w:szCs w:val="24"/>
        </w:rPr>
        <w:t xml:space="preserve">and commentators </w:t>
      </w:r>
      <w:r w:rsidRPr="00FC5729">
        <w:rPr>
          <w:rFonts w:ascii="Times New Roman" w:hAnsi="Times New Roman"/>
          <w:sz w:val="24"/>
          <w:szCs w:val="24"/>
        </w:rPr>
        <w:t xml:space="preserve">in other countries. In deciding whether </w:t>
      </w:r>
      <w:r w:rsidR="00D223E0">
        <w:rPr>
          <w:rFonts w:ascii="Times New Roman" w:hAnsi="Times New Roman"/>
          <w:sz w:val="24"/>
          <w:szCs w:val="24"/>
        </w:rPr>
        <w:t xml:space="preserve">business managers or other fiduciaries </w:t>
      </w:r>
      <w:r w:rsidR="00610682">
        <w:rPr>
          <w:rFonts w:ascii="Times New Roman" w:hAnsi="Times New Roman"/>
          <w:sz w:val="24"/>
          <w:szCs w:val="24"/>
        </w:rPr>
        <w:t>have breached the</w:t>
      </w:r>
      <w:r w:rsidRPr="00FC5729">
        <w:rPr>
          <w:rFonts w:ascii="Times New Roman" w:hAnsi="Times New Roman"/>
          <w:sz w:val="24"/>
          <w:szCs w:val="24"/>
        </w:rPr>
        <w:t xml:space="preserve"> duty of loyalty,</w:t>
      </w:r>
      <w:r w:rsidR="00004C18">
        <w:rPr>
          <w:rFonts w:ascii="Times New Roman" w:hAnsi="Times New Roman"/>
          <w:sz w:val="24"/>
          <w:szCs w:val="24"/>
        </w:rPr>
        <w:t xml:space="preserve"> </w:t>
      </w:r>
      <w:r w:rsidRPr="00FC5729">
        <w:rPr>
          <w:rFonts w:ascii="Times New Roman" w:hAnsi="Times New Roman"/>
          <w:sz w:val="24"/>
          <w:szCs w:val="24"/>
        </w:rPr>
        <w:t xml:space="preserve">modern judges in the U.S. </w:t>
      </w:r>
      <w:r w:rsidR="00004C18">
        <w:rPr>
          <w:rFonts w:ascii="Times New Roman" w:hAnsi="Times New Roman"/>
          <w:sz w:val="24"/>
          <w:szCs w:val="24"/>
        </w:rPr>
        <w:t xml:space="preserve">evaluate </w:t>
      </w:r>
      <w:r w:rsidRPr="00FC5729">
        <w:rPr>
          <w:rFonts w:ascii="Times New Roman" w:hAnsi="Times New Roman"/>
          <w:sz w:val="24"/>
          <w:szCs w:val="24"/>
        </w:rPr>
        <w:t>the substantive fair</w:t>
      </w:r>
      <w:r w:rsidR="00004C18">
        <w:rPr>
          <w:rFonts w:ascii="Times New Roman" w:hAnsi="Times New Roman"/>
          <w:sz w:val="24"/>
          <w:szCs w:val="24"/>
        </w:rPr>
        <w:t xml:space="preserve">ness of </w:t>
      </w:r>
      <w:r w:rsidR="00676526">
        <w:rPr>
          <w:rFonts w:ascii="Times New Roman" w:hAnsi="Times New Roman"/>
          <w:sz w:val="24"/>
          <w:szCs w:val="24"/>
        </w:rPr>
        <w:t>challenged transactions</w:t>
      </w:r>
      <w:r w:rsidR="00004C18">
        <w:rPr>
          <w:rFonts w:ascii="Times New Roman" w:hAnsi="Times New Roman"/>
          <w:sz w:val="24"/>
          <w:szCs w:val="24"/>
        </w:rPr>
        <w:t>, and i</w:t>
      </w:r>
      <w:r w:rsidRPr="00FC5729">
        <w:rPr>
          <w:rFonts w:ascii="Times New Roman" w:hAnsi="Times New Roman"/>
          <w:sz w:val="24"/>
          <w:szCs w:val="24"/>
        </w:rPr>
        <w:t>f the transaction</w:t>
      </w:r>
      <w:r w:rsidR="00676526">
        <w:rPr>
          <w:rFonts w:ascii="Times New Roman" w:hAnsi="Times New Roman"/>
          <w:sz w:val="24"/>
          <w:szCs w:val="24"/>
        </w:rPr>
        <w:t>s</w:t>
      </w:r>
      <w:r w:rsidRPr="00FC5729">
        <w:rPr>
          <w:rFonts w:ascii="Times New Roman" w:hAnsi="Times New Roman"/>
          <w:sz w:val="24"/>
          <w:szCs w:val="24"/>
        </w:rPr>
        <w:t xml:space="preserve"> </w:t>
      </w:r>
      <w:r w:rsidR="00676526">
        <w:rPr>
          <w:rFonts w:ascii="Times New Roman" w:hAnsi="Times New Roman"/>
          <w:sz w:val="24"/>
          <w:szCs w:val="24"/>
        </w:rPr>
        <w:t xml:space="preserve">are </w:t>
      </w:r>
      <w:r w:rsidRPr="00FC5729">
        <w:rPr>
          <w:rFonts w:ascii="Times New Roman" w:hAnsi="Times New Roman"/>
          <w:sz w:val="24"/>
          <w:szCs w:val="24"/>
        </w:rPr>
        <w:t xml:space="preserve">deemed to be fair, </w:t>
      </w:r>
      <w:r w:rsidR="00676526">
        <w:rPr>
          <w:rFonts w:ascii="Times New Roman" w:hAnsi="Times New Roman"/>
          <w:sz w:val="24"/>
          <w:szCs w:val="24"/>
        </w:rPr>
        <w:t xml:space="preserve">the fiduciaries are </w:t>
      </w:r>
      <w:r w:rsidRPr="00FC5729">
        <w:rPr>
          <w:rFonts w:ascii="Times New Roman" w:hAnsi="Times New Roman"/>
          <w:sz w:val="24"/>
          <w:szCs w:val="24"/>
        </w:rPr>
        <w:t>not liable.</w:t>
      </w:r>
      <w:r w:rsidR="00942A9E" w:rsidRPr="00FC5729">
        <w:rPr>
          <w:rStyle w:val="FootnoteReference"/>
          <w:rFonts w:ascii="Times New Roman" w:hAnsi="Times New Roman"/>
          <w:sz w:val="24"/>
          <w:szCs w:val="24"/>
        </w:rPr>
        <w:footnoteReference w:id="2"/>
      </w:r>
      <w:r w:rsidR="00004C18">
        <w:rPr>
          <w:rFonts w:ascii="Times New Roman" w:hAnsi="Times New Roman"/>
          <w:sz w:val="24"/>
          <w:szCs w:val="24"/>
        </w:rPr>
        <w:t xml:space="preserve"> </w:t>
      </w:r>
      <w:r w:rsidR="00F86203">
        <w:rPr>
          <w:rFonts w:ascii="Times New Roman" w:hAnsi="Times New Roman"/>
          <w:sz w:val="24"/>
          <w:szCs w:val="24"/>
        </w:rPr>
        <w:t>S</w:t>
      </w:r>
      <w:r w:rsidR="00004C18">
        <w:rPr>
          <w:rFonts w:ascii="Times New Roman" w:hAnsi="Times New Roman"/>
          <w:sz w:val="24"/>
          <w:szCs w:val="24"/>
        </w:rPr>
        <w:t xml:space="preserve">ubstantive fairness review </w:t>
      </w:r>
      <w:r w:rsidR="00004C18" w:rsidRPr="00FB6323">
        <w:rPr>
          <w:rFonts w:ascii="Times New Roman" w:hAnsi="Times New Roman"/>
          <w:sz w:val="24"/>
          <w:szCs w:val="24"/>
        </w:rPr>
        <w:t xml:space="preserve">offers an alternative </w:t>
      </w:r>
      <w:r w:rsidR="00D223E0">
        <w:rPr>
          <w:rFonts w:ascii="Times New Roman" w:hAnsi="Times New Roman"/>
          <w:sz w:val="24"/>
          <w:szCs w:val="24"/>
        </w:rPr>
        <w:t>path to transactional validity</w:t>
      </w:r>
      <w:r w:rsidR="003632CE">
        <w:rPr>
          <w:rFonts w:ascii="Times New Roman" w:hAnsi="Times New Roman"/>
          <w:sz w:val="24"/>
          <w:szCs w:val="24"/>
        </w:rPr>
        <w:t xml:space="preserve"> not available in most countries</w:t>
      </w:r>
      <w:r w:rsidR="00D223E0">
        <w:rPr>
          <w:rFonts w:ascii="Times New Roman" w:hAnsi="Times New Roman"/>
          <w:sz w:val="24"/>
          <w:szCs w:val="24"/>
        </w:rPr>
        <w:t xml:space="preserve">, reflecting a </w:t>
      </w:r>
      <w:r w:rsidR="00D223E0" w:rsidRPr="00FC5729">
        <w:rPr>
          <w:rFonts w:ascii="Times New Roman" w:hAnsi="Times New Roman"/>
          <w:sz w:val="24"/>
          <w:szCs w:val="24"/>
        </w:rPr>
        <w:t>fundamental</w:t>
      </w:r>
      <w:r w:rsidR="003632CE" w:rsidRPr="00FC5729">
        <w:rPr>
          <w:rFonts w:ascii="Times New Roman" w:hAnsi="Times New Roman"/>
          <w:sz w:val="24"/>
          <w:szCs w:val="24"/>
        </w:rPr>
        <w:t xml:space="preserve"> </w:t>
      </w:r>
      <w:r w:rsidR="00D223E0" w:rsidRPr="00FC5729">
        <w:rPr>
          <w:rFonts w:ascii="Times New Roman" w:hAnsi="Times New Roman"/>
          <w:sz w:val="24"/>
          <w:szCs w:val="24"/>
        </w:rPr>
        <w:t xml:space="preserve">policy </w:t>
      </w:r>
      <w:r w:rsidR="003632CE">
        <w:rPr>
          <w:rFonts w:ascii="Times New Roman" w:hAnsi="Times New Roman"/>
          <w:sz w:val="24"/>
          <w:szCs w:val="24"/>
        </w:rPr>
        <w:t xml:space="preserve">in the U.S. of </w:t>
      </w:r>
      <w:r w:rsidR="00D223E0" w:rsidRPr="00FC5729">
        <w:rPr>
          <w:rFonts w:ascii="Times New Roman" w:hAnsi="Times New Roman"/>
          <w:sz w:val="24"/>
          <w:szCs w:val="24"/>
        </w:rPr>
        <w:t>promoting action</w:t>
      </w:r>
      <w:r w:rsidR="003632CE">
        <w:rPr>
          <w:rFonts w:ascii="Times New Roman" w:hAnsi="Times New Roman"/>
          <w:sz w:val="24"/>
          <w:szCs w:val="24"/>
        </w:rPr>
        <w:t xml:space="preserve">, </w:t>
      </w:r>
      <w:r w:rsidR="003F1BD3">
        <w:rPr>
          <w:rFonts w:ascii="Times New Roman" w:hAnsi="Times New Roman"/>
          <w:sz w:val="24"/>
          <w:szCs w:val="24"/>
        </w:rPr>
        <w:t xml:space="preserve">sometimes </w:t>
      </w:r>
      <w:r w:rsidR="003632CE">
        <w:rPr>
          <w:rFonts w:ascii="Times New Roman" w:hAnsi="Times New Roman"/>
          <w:sz w:val="24"/>
          <w:szCs w:val="24"/>
        </w:rPr>
        <w:t>even at the expense of vulnerable parties.</w:t>
      </w:r>
    </w:p>
    <w:p w14:paraId="19811EC3" w14:textId="0417E558" w:rsidR="00F21E92" w:rsidRDefault="00676526" w:rsidP="00F21E92">
      <w:pPr>
        <w:spacing w:after="120" w:line="240" w:lineRule="auto"/>
        <w:ind w:firstLine="720"/>
        <w:jc w:val="both"/>
        <w:rPr>
          <w:rFonts w:ascii="Times New Roman" w:hAnsi="Times New Roman"/>
          <w:sz w:val="24"/>
          <w:szCs w:val="24"/>
        </w:rPr>
      </w:pPr>
      <w:r>
        <w:rPr>
          <w:rFonts w:ascii="Times New Roman" w:hAnsi="Times New Roman"/>
          <w:sz w:val="24"/>
          <w:szCs w:val="24"/>
        </w:rPr>
        <w:t>The preferred path to transactional validity for conflict transaction</w:t>
      </w:r>
      <w:r w:rsidR="003632CE">
        <w:rPr>
          <w:rFonts w:ascii="Times New Roman" w:hAnsi="Times New Roman"/>
          <w:sz w:val="24"/>
          <w:szCs w:val="24"/>
        </w:rPr>
        <w:t>s</w:t>
      </w:r>
      <w:r>
        <w:rPr>
          <w:rFonts w:ascii="Times New Roman" w:hAnsi="Times New Roman"/>
          <w:sz w:val="24"/>
          <w:szCs w:val="24"/>
        </w:rPr>
        <w:t xml:space="preserve"> </w:t>
      </w:r>
      <w:r w:rsidR="003632CE">
        <w:rPr>
          <w:rFonts w:ascii="Times New Roman" w:hAnsi="Times New Roman"/>
          <w:sz w:val="24"/>
          <w:szCs w:val="24"/>
        </w:rPr>
        <w:t xml:space="preserve">involves </w:t>
      </w:r>
      <w:r w:rsidR="00F86203">
        <w:rPr>
          <w:rFonts w:ascii="Times New Roman" w:hAnsi="Times New Roman"/>
          <w:i/>
          <w:sz w:val="24"/>
          <w:szCs w:val="24"/>
        </w:rPr>
        <w:t xml:space="preserve">ex ante </w:t>
      </w:r>
      <w:r>
        <w:rPr>
          <w:rFonts w:ascii="Times New Roman" w:hAnsi="Times New Roman"/>
          <w:sz w:val="24"/>
          <w:szCs w:val="24"/>
        </w:rPr>
        <w:t>disclosure of relevant conflict</w:t>
      </w:r>
      <w:r w:rsidR="003632CE">
        <w:rPr>
          <w:rFonts w:ascii="Times New Roman" w:hAnsi="Times New Roman"/>
          <w:sz w:val="24"/>
          <w:szCs w:val="24"/>
        </w:rPr>
        <w:t>s</w:t>
      </w:r>
      <w:r>
        <w:rPr>
          <w:rFonts w:ascii="Times New Roman" w:hAnsi="Times New Roman"/>
          <w:sz w:val="24"/>
          <w:szCs w:val="24"/>
        </w:rPr>
        <w:t xml:space="preserve"> and </w:t>
      </w:r>
      <w:r w:rsidR="003632CE">
        <w:rPr>
          <w:rFonts w:ascii="Times New Roman" w:hAnsi="Times New Roman"/>
          <w:sz w:val="24"/>
          <w:szCs w:val="24"/>
        </w:rPr>
        <w:t xml:space="preserve">approvals by </w:t>
      </w:r>
      <w:r>
        <w:rPr>
          <w:rFonts w:ascii="Times New Roman" w:hAnsi="Times New Roman"/>
          <w:sz w:val="24"/>
          <w:szCs w:val="24"/>
        </w:rPr>
        <w:t xml:space="preserve">disinterested </w:t>
      </w:r>
      <w:r w:rsidR="003632CE">
        <w:rPr>
          <w:rFonts w:ascii="Times New Roman" w:hAnsi="Times New Roman"/>
          <w:sz w:val="24"/>
          <w:szCs w:val="24"/>
        </w:rPr>
        <w:t>decision</w:t>
      </w:r>
      <w:r>
        <w:rPr>
          <w:rFonts w:ascii="Times New Roman" w:hAnsi="Times New Roman"/>
          <w:sz w:val="24"/>
          <w:szCs w:val="24"/>
        </w:rPr>
        <w:t>maker</w:t>
      </w:r>
      <w:r w:rsidR="003632CE">
        <w:rPr>
          <w:rFonts w:ascii="Times New Roman" w:hAnsi="Times New Roman"/>
          <w:sz w:val="24"/>
          <w:szCs w:val="24"/>
        </w:rPr>
        <w:t xml:space="preserve">s, either </w:t>
      </w:r>
      <w:r w:rsidR="003F1BD3">
        <w:rPr>
          <w:rFonts w:ascii="Times New Roman" w:hAnsi="Times New Roman"/>
          <w:sz w:val="24"/>
          <w:szCs w:val="24"/>
        </w:rPr>
        <w:t>co-</w:t>
      </w:r>
      <w:r w:rsidR="00F86203">
        <w:rPr>
          <w:rFonts w:ascii="Times New Roman" w:hAnsi="Times New Roman"/>
          <w:sz w:val="24"/>
          <w:szCs w:val="24"/>
        </w:rPr>
        <w:t xml:space="preserve">fiduciaries </w:t>
      </w:r>
      <w:r>
        <w:rPr>
          <w:rFonts w:ascii="Times New Roman" w:hAnsi="Times New Roman"/>
          <w:sz w:val="24"/>
          <w:szCs w:val="24"/>
        </w:rPr>
        <w:t xml:space="preserve">or </w:t>
      </w:r>
      <w:r w:rsidR="003632CE">
        <w:rPr>
          <w:rFonts w:ascii="Times New Roman" w:hAnsi="Times New Roman"/>
          <w:sz w:val="24"/>
          <w:szCs w:val="24"/>
        </w:rPr>
        <w:t>the beneficiaries</w:t>
      </w:r>
      <w:r>
        <w:rPr>
          <w:rFonts w:ascii="Times New Roman" w:hAnsi="Times New Roman"/>
          <w:sz w:val="24"/>
          <w:szCs w:val="24"/>
        </w:rPr>
        <w:t xml:space="preserve"> of </w:t>
      </w:r>
      <w:r w:rsidR="003632CE">
        <w:rPr>
          <w:rFonts w:ascii="Times New Roman" w:hAnsi="Times New Roman"/>
          <w:sz w:val="24"/>
          <w:szCs w:val="24"/>
        </w:rPr>
        <w:t>fiduciary duties</w:t>
      </w:r>
      <w:r>
        <w:rPr>
          <w:rFonts w:ascii="Times New Roman" w:hAnsi="Times New Roman"/>
          <w:sz w:val="24"/>
          <w:szCs w:val="24"/>
        </w:rPr>
        <w:t>.</w:t>
      </w:r>
      <w:r w:rsidR="003632CE">
        <w:rPr>
          <w:rFonts w:ascii="Times New Roman" w:hAnsi="Times New Roman"/>
          <w:sz w:val="24"/>
          <w:szCs w:val="24"/>
        </w:rPr>
        <w:t xml:space="preserve"> When </w:t>
      </w:r>
      <w:r w:rsidR="00F86203">
        <w:rPr>
          <w:rFonts w:ascii="Times New Roman" w:hAnsi="Times New Roman"/>
          <w:sz w:val="24"/>
          <w:szCs w:val="24"/>
        </w:rPr>
        <w:t xml:space="preserve">contemplating </w:t>
      </w:r>
      <w:r w:rsidR="003632CE">
        <w:rPr>
          <w:rFonts w:ascii="Times New Roman" w:hAnsi="Times New Roman"/>
          <w:sz w:val="24"/>
          <w:szCs w:val="24"/>
        </w:rPr>
        <w:t>a conflict</w:t>
      </w:r>
      <w:r w:rsidR="00F86203">
        <w:rPr>
          <w:rFonts w:ascii="Times New Roman" w:hAnsi="Times New Roman"/>
          <w:sz w:val="24"/>
          <w:szCs w:val="24"/>
        </w:rPr>
        <w:t xml:space="preserve"> transaction</w:t>
      </w:r>
      <w:r w:rsidR="003632CE">
        <w:rPr>
          <w:rFonts w:ascii="Times New Roman" w:hAnsi="Times New Roman"/>
          <w:sz w:val="24"/>
          <w:szCs w:val="24"/>
        </w:rPr>
        <w:t xml:space="preserve">, most fiduciaries </w:t>
      </w:r>
      <w:r w:rsidR="00E05375">
        <w:rPr>
          <w:rFonts w:ascii="Times New Roman" w:hAnsi="Times New Roman"/>
          <w:sz w:val="24"/>
          <w:szCs w:val="24"/>
        </w:rPr>
        <w:t xml:space="preserve">in the U.S. </w:t>
      </w:r>
      <w:r w:rsidR="003632CE">
        <w:rPr>
          <w:rFonts w:ascii="Times New Roman" w:hAnsi="Times New Roman"/>
          <w:sz w:val="24"/>
          <w:szCs w:val="24"/>
        </w:rPr>
        <w:t xml:space="preserve">attempt to follow this path, but it is not free from litigation risk, as beneficiaries frequently challenge the appropriateness of the disclosures or the quality of the approvals. Faced </w:t>
      </w:r>
      <w:r w:rsidR="00F86203">
        <w:rPr>
          <w:rFonts w:ascii="Times New Roman" w:hAnsi="Times New Roman"/>
          <w:sz w:val="24"/>
          <w:szCs w:val="24"/>
        </w:rPr>
        <w:t>with this uncertaint</w:t>
      </w:r>
      <w:r w:rsidR="003632CE">
        <w:rPr>
          <w:rFonts w:ascii="Times New Roman" w:hAnsi="Times New Roman"/>
          <w:sz w:val="24"/>
          <w:szCs w:val="24"/>
        </w:rPr>
        <w:t xml:space="preserve">y, fiduciaries </w:t>
      </w:r>
      <w:r w:rsidR="00E05375">
        <w:rPr>
          <w:rFonts w:ascii="Times New Roman" w:hAnsi="Times New Roman"/>
          <w:sz w:val="24"/>
          <w:szCs w:val="24"/>
        </w:rPr>
        <w:t xml:space="preserve">may </w:t>
      </w:r>
      <w:r w:rsidR="003632CE">
        <w:rPr>
          <w:rFonts w:ascii="Times New Roman" w:hAnsi="Times New Roman"/>
          <w:sz w:val="24"/>
          <w:szCs w:val="24"/>
        </w:rPr>
        <w:t xml:space="preserve">obtain an extra measure of comfort from </w:t>
      </w:r>
      <w:r w:rsidR="00F86203">
        <w:rPr>
          <w:rFonts w:ascii="Times New Roman" w:hAnsi="Times New Roman"/>
          <w:sz w:val="24"/>
          <w:szCs w:val="24"/>
        </w:rPr>
        <w:t xml:space="preserve">the possibility of </w:t>
      </w:r>
      <w:r w:rsidR="003632CE">
        <w:rPr>
          <w:rFonts w:ascii="Times New Roman" w:hAnsi="Times New Roman"/>
          <w:sz w:val="24"/>
          <w:szCs w:val="24"/>
        </w:rPr>
        <w:t>substantive fairness re</w:t>
      </w:r>
      <w:r w:rsidR="003632CE" w:rsidRPr="00F21E92">
        <w:rPr>
          <w:rFonts w:ascii="Times New Roman" w:hAnsi="Times New Roman"/>
          <w:sz w:val="24"/>
          <w:szCs w:val="24"/>
        </w:rPr>
        <w:t>view</w:t>
      </w:r>
      <w:r w:rsidR="00F21E92" w:rsidRPr="00F21E92">
        <w:rPr>
          <w:rFonts w:ascii="Times New Roman" w:hAnsi="Times New Roman"/>
          <w:sz w:val="24"/>
          <w:szCs w:val="24"/>
        </w:rPr>
        <w:t>.</w:t>
      </w:r>
    </w:p>
    <w:p w14:paraId="28200B41" w14:textId="23C61C64" w:rsidR="00E05375" w:rsidRDefault="00F86203" w:rsidP="00AC3805">
      <w:pPr>
        <w:spacing w:after="120" w:line="240" w:lineRule="auto"/>
        <w:ind w:firstLine="720"/>
        <w:jc w:val="both"/>
        <w:rPr>
          <w:rFonts w:ascii="Times New Roman" w:hAnsi="Times New Roman"/>
          <w:sz w:val="24"/>
          <w:szCs w:val="24"/>
        </w:rPr>
      </w:pPr>
      <w:r>
        <w:rPr>
          <w:rFonts w:ascii="Times New Roman" w:hAnsi="Times New Roman"/>
          <w:sz w:val="24"/>
          <w:szCs w:val="24"/>
        </w:rPr>
        <w:t xml:space="preserve">Outside the U.S., </w:t>
      </w:r>
      <w:r>
        <w:rPr>
          <w:rFonts w:ascii="Times New Roman" w:hAnsi="Times New Roman"/>
          <w:i/>
          <w:sz w:val="24"/>
          <w:szCs w:val="24"/>
        </w:rPr>
        <w:t xml:space="preserve">ex ante </w:t>
      </w:r>
      <w:r>
        <w:rPr>
          <w:rFonts w:ascii="Times New Roman" w:hAnsi="Times New Roman"/>
          <w:sz w:val="24"/>
          <w:szCs w:val="24"/>
        </w:rPr>
        <w:t xml:space="preserve">disclosure and </w:t>
      </w:r>
      <w:r w:rsidR="00E05375">
        <w:rPr>
          <w:rFonts w:ascii="Times New Roman" w:hAnsi="Times New Roman"/>
          <w:sz w:val="24"/>
          <w:szCs w:val="24"/>
        </w:rPr>
        <w:t xml:space="preserve">approval </w:t>
      </w:r>
      <w:r>
        <w:rPr>
          <w:rFonts w:ascii="Times New Roman" w:hAnsi="Times New Roman"/>
          <w:sz w:val="24"/>
          <w:szCs w:val="24"/>
        </w:rPr>
        <w:t>is not only the preferred path</w:t>
      </w:r>
      <w:r w:rsidR="00E05375">
        <w:rPr>
          <w:rFonts w:ascii="Times New Roman" w:hAnsi="Times New Roman"/>
          <w:sz w:val="24"/>
          <w:szCs w:val="24"/>
        </w:rPr>
        <w:t xml:space="preserve"> to transactional validity for conflict transactions</w:t>
      </w:r>
      <w:r>
        <w:rPr>
          <w:rFonts w:ascii="Times New Roman" w:hAnsi="Times New Roman"/>
          <w:sz w:val="24"/>
          <w:szCs w:val="24"/>
        </w:rPr>
        <w:t xml:space="preserve">, but generally the exclusive path. </w:t>
      </w:r>
      <w:r w:rsidR="00E05375">
        <w:rPr>
          <w:rFonts w:ascii="Times New Roman" w:hAnsi="Times New Roman"/>
          <w:sz w:val="24"/>
          <w:szCs w:val="24"/>
        </w:rPr>
        <w:t xml:space="preserve">Like the U.S., other common law countries rely heavily on fiduciary law to regulate conflict transactions, but unapproved action in the face of conflict is generally considered a breach of the duty of loyalty, even if the action is substantively fair. Civil law countries rely less on fiduciary law to regulate conflict transactions, but the rules of engagement are quite similar to </w:t>
      </w:r>
      <w:r w:rsidR="003F1BD3">
        <w:rPr>
          <w:rFonts w:ascii="Times New Roman" w:hAnsi="Times New Roman"/>
          <w:sz w:val="24"/>
          <w:szCs w:val="24"/>
        </w:rPr>
        <w:t xml:space="preserve">these </w:t>
      </w:r>
      <w:r w:rsidR="00E05375">
        <w:rPr>
          <w:rFonts w:ascii="Times New Roman" w:hAnsi="Times New Roman"/>
          <w:sz w:val="24"/>
          <w:szCs w:val="24"/>
        </w:rPr>
        <w:t>common law jurisdictions, specifying the need for disclosure and approval in advance. In both common law and civil law countries, the usual remedy for una</w:t>
      </w:r>
      <w:r w:rsidR="009152B5">
        <w:rPr>
          <w:rFonts w:ascii="Times New Roman" w:hAnsi="Times New Roman"/>
          <w:sz w:val="24"/>
          <w:szCs w:val="24"/>
        </w:rPr>
        <w:t>pproved conflict transactions is</w:t>
      </w:r>
      <w:r w:rsidR="00E05375">
        <w:rPr>
          <w:rFonts w:ascii="Times New Roman" w:hAnsi="Times New Roman"/>
          <w:sz w:val="24"/>
          <w:szCs w:val="24"/>
        </w:rPr>
        <w:t xml:space="preserve"> avoidance.</w:t>
      </w:r>
    </w:p>
    <w:p w14:paraId="01ECAB45" w14:textId="52B08645" w:rsidR="00621C48" w:rsidRDefault="00E05375" w:rsidP="00621C48">
      <w:pPr>
        <w:spacing w:after="120" w:line="240" w:lineRule="auto"/>
        <w:ind w:firstLine="720"/>
        <w:jc w:val="both"/>
        <w:rPr>
          <w:rFonts w:ascii="Times New Roman" w:hAnsi="Times New Roman"/>
          <w:sz w:val="24"/>
          <w:szCs w:val="24"/>
        </w:rPr>
      </w:pPr>
      <w:r>
        <w:rPr>
          <w:rFonts w:ascii="Times New Roman" w:hAnsi="Times New Roman"/>
          <w:sz w:val="24"/>
          <w:szCs w:val="24"/>
        </w:rPr>
        <w:t xml:space="preserve">The regulation of conflict transactions in most </w:t>
      </w:r>
      <w:r w:rsidR="00F86203">
        <w:rPr>
          <w:rFonts w:ascii="Times New Roman" w:hAnsi="Times New Roman"/>
          <w:sz w:val="24"/>
          <w:szCs w:val="24"/>
        </w:rPr>
        <w:t>common law</w:t>
      </w:r>
      <w:r>
        <w:rPr>
          <w:rFonts w:ascii="Times New Roman" w:hAnsi="Times New Roman"/>
          <w:sz w:val="24"/>
          <w:szCs w:val="24"/>
        </w:rPr>
        <w:t xml:space="preserve"> countries and in civil law systems reflects a deep </w:t>
      </w:r>
      <w:r w:rsidR="00F86203">
        <w:rPr>
          <w:rFonts w:ascii="Times New Roman" w:hAnsi="Times New Roman"/>
          <w:sz w:val="24"/>
          <w:szCs w:val="24"/>
        </w:rPr>
        <w:t xml:space="preserve">skepticism of </w:t>
      </w:r>
      <w:r w:rsidR="00F86203">
        <w:rPr>
          <w:rFonts w:ascii="Times New Roman" w:hAnsi="Times New Roman"/>
          <w:sz w:val="24"/>
          <w:szCs w:val="24"/>
        </w:rPr>
        <w:lastRenderedPageBreak/>
        <w:t>conflict transactions</w:t>
      </w:r>
      <w:r>
        <w:rPr>
          <w:rFonts w:ascii="Times New Roman" w:hAnsi="Times New Roman"/>
          <w:sz w:val="24"/>
          <w:szCs w:val="24"/>
        </w:rPr>
        <w:t>.</w:t>
      </w:r>
      <w:r w:rsidR="00C0232A">
        <w:rPr>
          <w:rStyle w:val="FootnoteReference"/>
          <w:sz w:val="24"/>
          <w:szCs w:val="24"/>
        </w:rPr>
        <w:footnoteReference w:id="3"/>
      </w:r>
      <w:r w:rsidR="00621C48">
        <w:rPr>
          <w:rFonts w:ascii="Times New Roman" w:hAnsi="Times New Roman"/>
          <w:sz w:val="24"/>
          <w:szCs w:val="24"/>
        </w:rPr>
        <w:t xml:space="preserve"> The voidability regime holds that fiduciaries should not gain from conflict transactions, unless beneficiaries expressly approve the gain. This same skepticism of conflict transactions appears in trust law and other trust-like circumstances in the U.S. In the context of business organizations, however, concerns about self-interested actions by fiduciaries are counterbalanced to some extent by a preference for action.</w:t>
      </w:r>
    </w:p>
    <w:p w14:paraId="6D42A71D" w14:textId="4806C6EC" w:rsidR="009152B5" w:rsidRDefault="009152B5" w:rsidP="00B56781">
      <w:pPr>
        <w:spacing w:after="120" w:line="240" w:lineRule="auto"/>
        <w:ind w:firstLine="720"/>
        <w:jc w:val="both"/>
        <w:rPr>
          <w:rFonts w:ascii="Times New Roman" w:hAnsi="Times New Roman"/>
          <w:sz w:val="24"/>
          <w:szCs w:val="24"/>
        </w:rPr>
      </w:pPr>
      <w:r>
        <w:rPr>
          <w:rFonts w:ascii="Times New Roman" w:hAnsi="Times New Roman"/>
          <w:sz w:val="24"/>
          <w:szCs w:val="24"/>
        </w:rPr>
        <w:t xml:space="preserve">Courts and commentators </w:t>
      </w:r>
      <w:r w:rsidR="003F1BD3">
        <w:rPr>
          <w:rFonts w:ascii="Times New Roman" w:hAnsi="Times New Roman"/>
          <w:sz w:val="24"/>
          <w:szCs w:val="24"/>
        </w:rPr>
        <w:t xml:space="preserve">on business organizations law </w:t>
      </w:r>
      <w:r>
        <w:rPr>
          <w:rFonts w:ascii="Times New Roman" w:hAnsi="Times New Roman"/>
          <w:sz w:val="24"/>
          <w:szCs w:val="24"/>
        </w:rPr>
        <w:t>generally miss this comparison because substantive fairness review is embedded within the more expansive “entire fairness” standard of review, which is usually compared to the more lenient business judgment rule. The sophisticated judicial opinions of the Delaware Supreme Court and the Delaware Court of Chancery, which are widely cited and followed by courts in other jurisdictions,</w:t>
      </w:r>
      <w:r w:rsidR="00401A47">
        <w:rPr>
          <w:rStyle w:val="FootnoteReference"/>
          <w:sz w:val="24"/>
          <w:szCs w:val="24"/>
        </w:rPr>
        <w:footnoteReference w:id="4"/>
      </w:r>
      <w:r>
        <w:rPr>
          <w:rFonts w:ascii="Times New Roman" w:hAnsi="Times New Roman"/>
          <w:sz w:val="24"/>
          <w:szCs w:val="24"/>
        </w:rPr>
        <w:t xml:space="preserve"> refer</w:t>
      </w:r>
      <w:r w:rsidRPr="00FC5729">
        <w:rPr>
          <w:rFonts w:ascii="Times New Roman" w:hAnsi="Times New Roman"/>
          <w:sz w:val="24"/>
          <w:szCs w:val="24"/>
        </w:rPr>
        <w:t xml:space="preserve"> to </w:t>
      </w:r>
      <w:r>
        <w:rPr>
          <w:rFonts w:ascii="Times New Roman" w:hAnsi="Times New Roman"/>
          <w:sz w:val="24"/>
          <w:szCs w:val="24"/>
        </w:rPr>
        <w:t xml:space="preserve">the entire fairness </w:t>
      </w:r>
      <w:r w:rsidRPr="00FC5729">
        <w:rPr>
          <w:rFonts w:ascii="Times New Roman" w:hAnsi="Times New Roman"/>
          <w:sz w:val="24"/>
          <w:szCs w:val="24"/>
        </w:rPr>
        <w:t xml:space="preserve">standard as </w:t>
      </w:r>
      <w:r>
        <w:rPr>
          <w:rFonts w:ascii="Times New Roman" w:hAnsi="Times New Roman"/>
          <w:sz w:val="24"/>
          <w:szCs w:val="24"/>
        </w:rPr>
        <w:t>“exacting,”</w:t>
      </w:r>
      <w:r>
        <w:rPr>
          <w:rStyle w:val="FootnoteReference"/>
          <w:sz w:val="24"/>
          <w:szCs w:val="24"/>
        </w:rPr>
        <w:footnoteReference w:id="5"/>
      </w:r>
      <w:r>
        <w:rPr>
          <w:rFonts w:ascii="Times New Roman" w:hAnsi="Times New Roman"/>
          <w:sz w:val="24"/>
          <w:szCs w:val="24"/>
        </w:rPr>
        <w:t xml:space="preserve"> “rigorous,”</w:t>
      </w:r>
      <w:r>
        <w:rPr>
          <w:rStyle w:val="FootnoteReference"/>
          <w:sz w:val="24"/>
          <w:szCs w:val="24"/>
        </w:rPr>
        <w:footnoteReference w:id="6"/>
      </w:r>
      <w:r>
        <w:rPr>
          <w:rFonts w:ascii="Times New Roman" w:hAnsi="Times New Roman"/>
          <w:sz w:val="24"/>
          <w:szCs w:val="24"/>
        </w:rPr>
        <w:t xml:space="preserve"> </w:t>
      </w:r>
      <w:r w:rsidRPr="00FC5729">
        <w:rPr>
          <w:rFonts w:ascii="Times New Roman" w:hAnsi="Times New Roman"/>
          <w:sz w:val="24"/>
          <w:szCs w:val="24"/>
        </w:rPr>
        <w:t>“onerous</w:t>
      </w:r>
      <w:r>
        <w:rPr>
          <w:rFonts w:ascii="Times New Roman" w:hAnsi="Times New Roman"/>
          <w:sz w:val="24"/>
          <w:szCs w:val="24"/>
        </w:rPr>
        <w:t>,</w:t>
      </w:r>
      <w:r w:rsidRPr="00FC5729">
        <w:rPr>
          <w:rFonts w:ascii="Times New Roman" w:hAnsi="Times New Roman"/>
          <w:sz w:val="24"/>
          <w:szCs w:val="24"/>
        </w:rPr>
        <w:t>”</w:t>
      </w:r>
      <w:r w:rsidRPr="00FC5729">
        <w:rPr>
          <w:rStyle w:val="FootnoteReference"/>
          <w:sz w:val="24"/>
          <w:szCs w:val="24"/>
        </w:rPr>
        <w:footnoteReference w:id="7"/>
      </w:r>
      <w:r w:rsidRPr="00FC5729">
        <w:rPr>
          <w:rFonts w:ascii="Times New Roman" w:hAnsi="Times New Roman"/>
          <w:sz w:val="24"/>
          <w:szCs w:val="24"/>
        </w:rPr>
        <w:t xml:space="preserve"> </w:t>
      </w:r>
      <w:r>
        <w:rPr>
          <w:rFonts w:ascii="Times New Roman" w:hAnsi="Times New Roman"/>
          <w:sz w:val="24"/>
          <w:szCs w:val="24"/>
        </w:rPr>
        <w:t>or “demanding,”</w:t>
      </w:r>
      <w:r>
        <w:rPr>
          <w:rStyle w:val="FootnoteReference"/>
          <w:sz w:val="24"/>
          <w:szCs w:val="24"/>
        </w:rPr>
        <w:footnoteReference w:id="8"/>
      </w:r>
      <w:r>
        <w:rPr>
          <w:rFonts w:ascii="Times New Roman" w:hAnsi="Times New Roman"/>
          <w:sz w:val="24"/>
          <w:szCs w:val="24"/>
        </w:rPr>
        <w:t xml:space="preserve"> but all of these adjectives are inspired by reference to </w:t>
      </w:r>
      <w:r w:rsidRPr="00FB6323">
        <w:rPr>
          <w:rFonts w:ascii="Times New Roman" w:hAnsi="Times New Roman"/>
          <w:sz w:val="24"/>
          <w:szCs w:val="24"/>
        </w:rPr>
        <w:t>the business judgment rule</w:t>
      </w:r>
      <w:r>
        <w:rPr>
          <w:rFonts w:ascii="Times New Roman" w:hAnsi="Times New Roman"/>
          <w:sz w:val="24"/>
          <w:szCs w:val="24"/>
        </w:rPr>
        <w:t xml:space="preserve">, which </w:t>
      </w:r>
      <w:r w:rsidRPr="00FB6323">
        <w:rPr>
          <w:rFonts w:ascii="Times New Roman" w:hAnsi="Times New Roman"/>
          <w:sz w:val="24"/>
          <w:szCs w:val="24"/>
        </w:rPr>
        <w:t xml:space="preserve">is not available for conflict transactions. </w:t>
      </w:r>
      <w:r>
        <w:rPr>
          <w:rFonts w:ascii="Times New Roman" w:hAnsi="Times New Roman"/>
          <w:sz w:val="24"/>
          <w:szCs w:val="24"/>
        </w:rPr>
        <w:t xml:space="preserve">In evaluating the </w:t>
      </w:r>
      <w:r w:rsidR="0011639F">
        <w:rPr>
          <w:rFonts w:ascii="Times New Roman" w:hAnsi="Times New Roman"/>
          <w:sz w:val="24"/>
          <w:szCs w:val="24"/>
        </w:rPr>
        <w:t xml:space="preserve">comparative </w:t>
      </w:r>
      <w:r>
        <w:rPr>
          <w:rFonts w:ascii="Times New Roman" w:hAnsi="Times New Roman"/>
          <w:sz w:val="24"/>
          <w:szCs w:val="24"/>
        </w:rPr>
        <w:t xml:space="preserve">effect of substantive </w:t>
      </w:r>
      <w:r w:rsidRPr="00FB6323">
        <w:rPr>
          <w:rFonts w:ascii="Times New Roman" w:hAnsi="Times New Roman"/>
          <w:sz w:val="24"/>
          <w:szCs w:val="24"/>
        </w:rPr>
        <w:t>fairness review</w:t>
      </w:r>
      <w:r>
        <w:rPr>
          <w:rFonts w:ascii="Times New Roman" w:hAnsi="Times New Roman"/>
          <w:sz w:val="24"/>
          <w:szCs w:val="24"/>
        </w:rPr>
        <w:t xml:space="preserve"> on economic action, t</w:t>
      </w:r>
      <w:r w:rsidRPr="00FB6323">
        <w:rPr>
          <w:rFonts w:ascii="Times New Roman" w:hAnsi="Times New Roman"/>
          <w:sz w:val="24"/>
          <w:szCs w:val="24"/>
        </w:rPr>
        <w:t xml:space="preserve">he </w:t>
      </w:r>
      <w:r w:rsidR="003F1BD3">
        <w:rPr>
          <w:rFonts w:ascii="Times New Roman" w:hAnsi="Times New Roman"/>
          <w:sz w:val="24"/>
          <w:szCs w:val="24"/>
        </w:rPr>
        <w:t xml:space="preserve">more </w:t>
      </w:r>
      <w:r w:rsidRPr="00FB6323">
        <w:rPr>
          <w:rFonts w:ascii="Times New Roman" w:hAnsi="Times New Roman"/>
          <w:sz w:val="24"/>
          <w:szCs w:val="24"/>
        </w:rPr>
        <w:t>appropriate baseline for comparison</w:t>
      </w:r>
      <w:r>
        <w:rPr>
          <w:rFonts w:ascii="Times New Roman" w:hAnsi="Times New Roman"/>
          <w:sz w:val="24"/>
          <w:szCs w:val="24"/>
        </w:rPr>
        <w:t xml:space="preserve"> is not the business judgment rule, but the</w:t>
      </w:r>
      <w:r w:rsidRPr="00FB6323">
        <w:rPr>
          <w:rFonts w:ascii="Times New Roman" w:hAnsi="Times New Roman"/>
          <w:sz w:val="24"/>
          <w:szCs w:val="24"/>
        </w:rPr>
        <w:t xml:space="preserve"> voidability </w:t>
      </w:r>
      <w:r>
        <w:rPr>
          <w:rFonts w:ascii="Times New Roman" w:hAnsi="Times New Roman"/>
          <w:sz w:val="24"/>
          <w:szCs w:val="24"/>
        </w:rPr>
        <w:t>regime</w:t>
      </w:r>
      <w:r w:rsidR="003F1BD3">
        <w:rPr>
          <w:rFonts w:ascii="Times New Roman" w:hAnsi="Times New Roman"/>
          <w:sz w:val="24"/>
          <w:szCs w:val="24"/>
        </w:rPr>
        <w:t xml:space="preserve"> embraced by almost all countries outside the U.S</w:t>
      </w:r>
      <w:r>
        <w:rPr>
          <w:rFonts w:ascii="Times New Roman" w:hAnsi="Times New Roman"/>
          <w:sz w:val="24"/>
          <w:szCs w:val="24"/>
        </w:rPr>
        <w:t>.</w:t>
      </w:r>
    </w:p>
    <w:p w14:paraId="1366C148" w14:textId="3F802D64" w:rsidR="003F1BD3" w:rsidRDefault="007156C5" w:rsidP="00A0259E">
      <w:pPr>
        <w:spacing w:after="120" w:line="240" w:lineRule="auto"/>
        <w:ind w:firstLine="720"/>
        <w:jc w:val="both"/>
        <w:rPr>
          <w:rFonts w:ascii="Times New Roman" w:hAnsi="Times New Roman"/>
          <w:sz w:val="24"/>
          <w:szCs w:val="24"/>
        </w:rPr>
      </w:pPr>
      <w:r>
        <w:rPr>
          <w:rFonts w:ascii="Times New Roman" w:hAnsi="Times New Roman"/>
          <w:sz w:val="24"/>
          <w:szCs w:val="24"/>
        </w:rPr>
        <w:t>D</w:t>
      </w:r>
      <w:r w:rsidR="009152B5">
        <w:rPr>
          <w:rFonts w:ascii="Times New Roman" w:hAnsi="Times New Roman"/>
          <w:sz w:val="24"/>
          <w:szCs w:val="24"/>
        </w:rPr>
        <w:t xml:space="preserve">eveloped largely in cases involving large corporations, </w:t>
      </w:r>
      <w:r>
        <w:rPr>
          <w:rFonts w:ascii="Times New Roman" w:hAnsi="Times New Roman"/>
          <w:sz w:val="24"/>
          <w:szCs w:val="24"/>
        </w:rPr>
        <w:t xml:space="preserve">substantive fairness review </w:t>
      </w:r>
      <w:r w:rsidR="009152B5">
        <w:rPr>
          <w:rFonts w:ascii="Times New Roman" w:hAnsi="Times New Roman"/>
          <w:sz w:val="24"/>
          <w:szCs w:val="24"/>
        </w:rPr>
        <w:t>may be particularly helpful to e</w:t>
      </w:r>
      <w:r w:rsidR="009152B5" w:rsidRPr="009152B5">
        <w:rPr>
          <w:rFonts w:ascii="Times New Roman" w:hAnsi="Times New Roman"/>
          <w:sz w:val="24"/>
          <w:szCs w:val="24"/>
        </w:rPr>
        <w:t>ntrepreneurial startups</w:t>
      </w:r>
      <w:r w:rsidR="009152B5">
        <w:rPr>
          <w:rFonts w:ascii="Times New Roman" w:hAnsi="Times New Roman"/>
          <w:sz w:val="24"/>
          <w:szCs w:val="24"/>
        </w:rPr>
        <w:t>, which</w:t>
      </w:r>
      <w:r w:rsidR="009152B5" w:rsidRPr="009152B5">
        <w:rPr>
          <w:rFonts w:ascii="Times New Roman" w:hAnsi="Times New Roman"/>
          <w:sz w:val="24"/>
          <w:szCs w:val="24"/>
        </w:rPr>
        <w:t xml:space="preserve"> rely heavily on conflict transactions. In this setting, conflict</w:t>
      </w:r>
      <w:r w:rsidR="003F1BD3">
        <w:rPr>
          <w:rFonts w:ascii="Times New Roman" w:hAnsi="Times New Roman"/>
          <w:sz w:val="24"/>
          <w:szCs w:val="24"/>
        </w:rPr>
        <w:t>s of interest often arise</w:t>
      </w:r>
      <w:r w:rsidR="009152B5" w:rsidRPr="009152B5">
        <w:rPr>
          <w:rFonts w:ascii="Times New Roman" w:hAnsi="Times New Roman"/>
          <w:sz w:val="24"/>
          <w:szCs w:val="24"/>
        </w:rPr>
        <w:t xml:space="preserve"> from a desire to </w:t>
      </w:r>
      <w:r w:rsidR="003F1BD3">
        <w:rPr>
          <w:rFonts w:ascii="Times New Roman" w:hAnsi="Times New Roman"/>
          <w:sz w:val="24"/>
          <w:szCs w:val="24"/>
        </w:rPr>
        <w:t xml:space="preserve">further the interests of </w:t>
      </w:r>
      <w:r w:rsidR="009152B5" w:rsidRPr="009152B5">
        <w:rPr>
          <w:rFonts w:ascii="Times New Roman" w:hAnsi="Times New Roman"/>
          <w:sz w:val="24"/>
          <w:szCs w:val="24"/>
        </w:rPr>
        <w:t>the firm</w:t>
      </w:r>
      <w:r w:rsidR="003F1BD3">
        <w:rPr>
          <w:rFonts w:ascii="Times New Roman" w:hAnsi="Times New Roman"/>
          <w:sz w:val="24"/>
          <w:szCs w:val="24"/>
        </w:rPr>
        <w:t>,</w:t>
      </w:r>
      <w:r w:rsidR="009152B5" w:rsidRPr="009152B5">
        <w:rPr>
          <w:rFonts w:ascii="Times New Roman" w:hAnsi="Times New Roman"/>
          <w:sz w:val="24"/>
          <w:szCs w:val="24"/>
        </w:rPr>
        <w:t xml:space="preserve"> rather than a desire to </w:t>
      </w:r>
      <w:r w:rsidR="003F1BD3">
        <w:rPr>
          <w:rFonts w:ascii="Times New Roman" w:hAnsi="Times New Roman"/>
          <w:sz w:val="24"/>
          <w:szCs w:val="24"/>
        </w:rPr>
        <w:lastRenderedPageBreak/>
        <w:t xml:space="preserve">engage in </w:t>
      </w:r>
      <w:r w:rsidR="009152B5" w:rsidRPr="009152B5">
        <w:rPr>
          <w:rFonts w:ascii="Times New Roman" w:hAnsi="Times New Roman"/>
          <w:sz w:val="24"/>
          <w:szCs w:val="24"/>
        </w:rPr>
        <w:t>self deal</w:t>
      </w:r>
      <w:r w:rsidR="003F1BD3">
        <w:rPr>
          <w:rFonts w:ascii="Times New Roman" w:hAnsi="Times New Roman"/>
          <w:sz w:val="24"/>
          <w:szCs w:val="24"/>
        </w:rPr>
        <w:t>ing</w:t>
      </w:r>
      <w:r w:rsidR="009152B5" w:rsidRPr="009152B5">
        <w:rPr>
          <w:rFonts w:ascii="Times New Roman" w:hAnsi="Times New Roman"/>
          <w:sz w:val="24"/>
          <w:szCs w:val="24"/>
        </w:rPr>
        <w:t>.</w:t>
      </w:r>
      <w:r w:rsidR="003F1BD3">
        <w:rPr>
          <w:rFonts w:ascii="Times New Roman" w:hAnsi="Times New Roman"/>
          <w:sz w:val="24"/>
          <w:szCs w:val="24"/>
        </w:rPr>
        <w:t xml:space="preserve"> Consider, for example, the venture capitalist who is invested in a number of firms in a single industry. Surrounded by a web of conflicts, the venture capitalist would tend to be cautious in most legal systems, but the venture capitalist is emboldened by conflict regulation in the U.S.</w:t>
      </w:r>
    </w:p>
    <w:p w14:paraId="4FF9CD93" w14:textId="335A2773" w:rsidR="00FB6323" w:rsidRPr="009152B5" w:rsidRDefault="009152B5" w:rsidP="009152B5">
      <w:pPr>
        <w:spacing w:after="120" w:line="240" w:lineRule="auto"/>
        <w:ind w:firstLine="720"/>
        <w:jc w:val="both"/>
        <w:rPr>
          <w:rFonts w:ascii="Times New Roman" w:hAnsi="Times New Roman"/>
          <w:sz w:val="24"/>
          <w:szCs w:val="24"/>
        </w:rPr>
      </w:pPr>
      <w:r w:rsidRPr="009152B5">
        <w:rPr>
          <w:rFonts w:ascii="Times New Roman" w:hAnsi="Times New Roman"/>
          <w:sz w:val="24"/>
          <w:szCs w:val="24"/>
        </w:rPr>
        <w:t> </w:t>
      </w:r>
      <w:r>
        <w:rPr>
          <w:rFonts w:ascii="Times New Roman" w:hAnsi="Times New Roman"/>
          <w:sz w:val="24"/>
          <w:szCs w:val="24"/>
        </w:rPr>
        <w:t>The</w:t>
      </w:r>
      <w:r w:rsidR="00434917">
        <w:rPr>
          <w:rFonts w:ascii="Times New Roman" w:hAnsi="Times New Roman"/>
          <w:sz w:val="24"/>
          <w:szCs w:val="24"/>
        </w:rPr>
        <w:t xml:space="preserve"> preference for action is easy to perceive when comparing substantive </w:t>
      </w:r>
      <w:r w:rsidR="00F86203" w:rsidRPr="00FB6323">
        <w:rPr>
          <w:rFonts w:ascii="Times New Roman" w:hAnsi="Times New Roman"/>
          <w:sz w:val="24"/>
          <w:szCs w:val="24"/>
        </w:rPr>
        <w:t xml:space="preserve">fairness review </w:t>
      </w:r>
      <w:r w:rsidR="00434917">
        <w:rPr>
          <w:rFonts w:ascii="Times New Roman" w:hAnsi="Times New Roman"/>
          <w:sz w:val="24"/>
          <w:szCs w:val="24"/>
        </w:rPr>
        <w:t>to voidability</w:t>
      </w:r>
      <w:r w:rsidR="00C113EF">
        <w:rPr>
          <w:rFonts w:ascii="Times New Roman" w:hAnsi="Times New Roman"/>
          <w:sz w:val="24"/>
          <w:szCs w:val="24"/>
        </w:rPr>
        <w:t xml:space="preserve"> – </w:t>
      </w:r>
      <w:r w:rsidR="00C0232A">
        <w:rPr>
          <w:rFonts w:ascii="Times New Roman" w:hAnsi="Times New Roman"/>
          <w:sz w:val="24"/>
          <w:szCs w:val="24"/>
        </w:rPr>
        <w:t xml:space="preserve">after all, </w:t>
      </w:r>
      <w:r w:rsidR="00C113EF">
        <w:rPr>
          <w:rFonts w:ascii="Times New Roman" w:hAnsi="Times New Roman"/>
          <w:sz w:val="24"/>
          <w:szCs w:val="24"/>
        </w:rPr>
        <w:t xml:space="preserve">substantive </w:t>
      </w:r>
      <w:r w:rsidR="00C113EF" w:rsidRPr="00FB6323">
        <w:rPr>
          <w:rFonts w:ascii="Times New Roman" w:hAnsi="Times New Roman"/>
          <w:sz w:val="24"/>
          <w:szCs w:val="24"/>
        </w:rPr>
        <w:t>fairness review</w:t>
      </w:r>
      <w:r w:rsidR="00C113EF">
        <w:rPr>
          <w:rFonts w:ascii="Times New Roman" w:hAnsi="Times New Roman"/>
          <w:sz w:val="24"/>
          <w:szCs w:val="24"/>
        </w:rPr>
        <w:t xml:space="preserve"> offers another bite at the apple that is simply not available in</w:t>
      </w:r>
      <w:bookmarkStart w:id="1" w:name="_GoBack"/>
      <w:bookmarkEnd w:id="1"/>
      <w:r w:rsidR="00C113EF">
        <w:rPr>
          <w:rFonts w:ascii="Times New Roman" w:hAnsi="Times New Roman"/>
          <w:sz w:val="24"/>
          <w:szCs w:val="24"/>
        </w:rPr>
        <w:t xml:space="preserve"> the voidability regime</w:t>
      </w:r>
      <w:r w:rsidR="00C0232A">
        <w:rPr>
          <w:rStyle w:val="FootnoteReference"/>
          <w:sz w:val="24"/>
          <w:szCs w:val="24"/>
        </w:rPr>
        <w:footnoteReference w:id="9"/>
      </w:r>
      <w:r w:rsidR="00C113EF">
        <w:rPr>
          <w:rFonts w:ascii="Times New Roman" w:hAnsi="Times New Roman"/>
          <w:sz w:val="24"/>
          <w:szCs w:val="24"/>
        </w:rPr>
        <w:t xml:space="preserve"> – </w:t>
      </w:r>
      <w:r w:rsidR="00434917">
        <w:rPr>
          <w:rFonts w:ascii="Times New Roman" w:hAnsi="Times New Roman"/>
          <w:sz w:val="24"/>
          <w:szCs w:val="24"/>
        </w:rPr>
        <w:t xml:space="preserve">but </w:t>
      </w:r>
      <w:r w:rsidR="00F21E92">
        <w:rPr>
          <w:rFonts w:ascii="Times New Roman" w:hAnsi="Times New Roman"/>
          <w:sz w:val="24"/>
          <w:szCs w:val="24"/>
        </w:rPr>
        <w:t xml:space="preserve">the motivation for action </w:t>
      </w:r>
      <w:r w:rsidR="00135DB1">
        <w:rPr>
          <w:rFonts w:ascii="Times New Roman" w:hAnsi="Times New Roman"/>
          <w:sz w:val="24"/>
          <w:szCs w:val="24"/>
        </w:rPr>
        <w:t>may come</w:t>
      </w:r>
      <w:r w:rsidR="00B56781">
        <w:rPr>
          <w:rFonts w:ascii="Times New Roman" w:hAnsi="Times New Roman"/>
          <w:sz w:val="24"/>
          <w:szCs w:val="24"/>
        </w:rPr>
        <w:t xml:space="preserve"> at a cost to </w:t>
      </w:r>
      <w:r w:rsidR="00135DB1">
        <w:rPr>
          <w:rFonts w:ascii="Times New Roman" w:hAnsi="Times New Roman"/>
          <w:sz w:val="24"/>
          <w:szCs w:val="24"/>
        </w:rPr>
        <w:t xml:space="preserve">some </w:t>
      </w:r>
      <w:r w:rsidR="00B56781">
        <w:rPr>
          <w:rFonts w:ascii="Times New Roman" w:hAnsi="Times New Roman"/>
          <w:sz w:val="24"/>
          <w:szCs w:val="24"/>
        </w:rPr>
        <w:t>beneficiaries.</w:t>
      </w:r>
      <w:r w:rsidR="00135DB1">
        <w:rPr>
          <w:rFonts w:ascii="Times New Roman" w:hAnsi="Times New Roman"/>
          <w:sz w:val="24"/>
          <w:szCs w:val="24"/>
        </w:rPr>
        <w:t xml:space="preserve"> For example, </w:t>
      </w:r>
      <w:r w:rsidR="00135DB1">
        <w:rPr>
          <w:rFonts w:ascii="Times New Roman" w:hAnsi="Times New Roman"/>
          <w:i/>
          <w:sz w:val="24"/>
          <w:szCs w:val="24"/>
        </w:rPr>
        <w:t>e</w:t>
      </w:r>
      <w:r w:rsidR="00F21E92" w:rsidRPr="00F21E92">
        <w:rPr>
          <w:rFonts w:ascii="Times New Roman" w:hAnsi="Times New Roman"/>
          <w:i/>
          <w:sz w:val="24"/>
          <w:szCs w:val="24"/>
        </w:rPr>
        <w:t>x post</w:t>
      </w:r>
      <w:r w:rsidR="00F21E92" w:rsidRPr="00F21E92">
        <w:rPr>
          <w:rFonts w:ascii="Times New Roman" w:hAnsi="Times New Roman"/>
          <w:sz w:val="24"/>
          <w:szCs w:val="24"/>
        </w:rPr>
        <w:t xml:space="preserve"> review </w:t>
      </w:r>
      <w:r w:rsidR="00F21E92">
        <w:rPr>
          <w:rFonts w:ascii="Times New Roman" w:hAnsi="Times New Roman"/>
          <w:sz w:val="24"/>
          <w:szCs w:val="24"/>
        </w:rPr>
        <w:t xml:space="preserve">of </w:t>
      </w:r>
      <w:r w:rsidR="00F21E92" w:rsidRPr="00F21E92">
        <w:rPr>
          <w:rFonts w:ascii="Times New Roman" w:hAnsi="Times New Roman"/>
          <w:sz w:val="24"/>
          <w:szCs w:val="24"/>
        </w:rPr>
        <w:t xml:space="preserve">conflicted </w:t>
      </w:r>
      <w:r w:rsidR="00F21E92">
        <w:rPr>
          <w:rFonts w:ascii="Times New Roman" w:hAnsi="Times New Roman"/>
          <w:sz w:val="24"/>
          <w:szCs w:val="24"/>
        </w:rPr>
        <w:t xml:space="preserve">transactions </w:t>
      </w:r>
      <w:r w:rsidR="00F21E92" w:rsidRPr="00F21E92">
        <w:rPr>
          <w:rFonts w:ascii="Times New Roman" w:hAnsi="Times New Roman"/>
          <w:sz w:val="24"/>
          <w:szCs w:val="24"/>
        </w:rPr>
        <w:t xml:space="preserve">allows </w:t>
      </w:r>
      <w:r w:rsidR="00F21E92">
        <w:rPr>
          <w:rFonts w:ascii="Times New Roman" w:hAnsi="Times New Roman"/>
          <w:sz w:val="24"/>
          <w:szCs w:val="24"/>
        </w:rPr>
        <w:t>fiduciaries</w:t>
      </w:r>
      <w:r w:rsidR="00F21E92" w:rsidRPr="00F21E92">
        <w:rPr>
          <w:rFonts w:ascii="Times New Roman" w:hAnsi="Times New Roman"/>
          <w:sz w:val="24"/>
          <w:szCs w:val="24"/>
        </w:rPr>
        <w:t xml:space="preserve"> to postpone the </w:t>
      </w:r>
      <w:r w:rsidR="00B56781">
        <w:rPr>
          <w:rFonts w:ascii="Times New Roman" w:hAnsi="Times New Roman"/>
          <w:sz w:val="24"/>
          <w:szCs w:val="24"/>
        </w:rPr>
        <w:t xml:space="preserve">ultimate </w:t>
      </w:r>
      <w:r w:rsidR="00F21E92" w:rsidRPr="00F21E92">
        <w:rPr>
          <w:rFonts w:ascii="Times New Roman" w:hAnsi="Times New Roman"/>
          <w:sz w:val="24"/>
          <w:szCs w:val="24"/>
        </w:rPr>
        <w:t>resolution of difficu</w:t>
      </w:r>
      <w:r w:rsidR="00B56781">
        <w:rPr>
          <w:rFonts w:ascii="Times New Roman" w:hAnsi="Times New Roman"/>
          <w:sz w:val="24"/>
          <w:szCs w:val="24"/>
        </w:rPr>
        <w:t>lt structural or pricing issues, and</w:t>
      </w:r>
      <w:r w:rsidR="00135DB1">
        <w:rPr>
          <w:rFonts w:ascii="Times New Roman" w:hAnsi="Times New Roman"/>
          <w:sz w:val="24"/>
          <w:szCs w:val="24"/>
        </w:rPr>
        <w:t>,</w:t>
      </w:r>
      <w:r w:rsidR="00B56781">
        <w:rPr>
          <w:rFonts w:ascii="Times New Roman" w:hAnsi="Times New Roman"/>
          <w:sz w:val="24"/>
          <w:szCs w:val="24"/>
        </w:rPr>
        <w:t xml:space="preserve"> i</w:t>
      </w:r>
      <w:r w:rsidR="00F21E92" w:rsidRPr="00F21E92">
        <w:rPr>
          <w:rFonts w:ascii="Times New Roman" w:hAnsi="Times New Roman"/>
          <w:sz w:val="24"/>
          <w:szCs w:val="24"/>
        </w:rPr>
        <w:t xml:space="preserve">f </w:t>
      </w:r>
      <w:r w:rsidR="00B56781">
        <w:rPr>
          <w:rFonts w:ascii="Times New Roman" w:hAnsi="Times New Roman"/>
          <w:sz w:val="24"/>
          <w:szCs w:val="24"/>
        </w:rPr>
        <w:t xml:space="preserve">a </w:t>
      </w:r>
      <w:r w:rsidR="00F21E92" w:rsidRPr="00F21E92">
        <w:rPr>
          <w:rFonts w:ascii="Times New Roman" w:hAnsi="Times New Roman"/>
          <w:sz w:val="24"/>
          <w:szCs w:val="24"/>
        </w:rPr>
        <w:t xml:space="preserve">transaction is never challenged, the fiduciary may never need to </w:t>
      </w:r>
      <w:r w:rsidR="00B56781">
        <w:rPr>
          <w:rFonts w:ascii="Times New Roman" w:hAnsi="Times New Roman"/>
          <w:sz w:val="24"/>
          <w:szCs w:val="24"/>
        </w:rPr>
        <w:t xml:space="preserve">fully </w:t>
      </w:r>
      <w:r w:rsidR="00F21E92" w:rsidRPr="00F21E92">
        <w:rPr>
          <w:rFonts w:ascii="Times New Roman" w:hAnsi="Times New Roman"/>
          <w:sz w:val="24"/>
          <w:szCs w:val="24"/>
        </w:rPr>
        <w:t>grapple with these issues.</w:t>
      </w:r>
      <w:r w:rsidR="00B56781">
        <w:rPr>
          <w:rFonts w:ascii="Times New Roman" w:hAnsi="Times New Roman"/>
          <w:sz w:val="24"/>
          <w:szCs w:val="24"/>
        </w:rPr>
        <w:t xml:space="preserve"> Even if </w:t>
      </w:r>
      <w:r w:rsidR="00135DB1">
        <w:rPr>
          <w:rFonts w:ascii="Times New Roman" w:hAnsi="Times New Roman"/>
          <w:sz w:val="24"/>
          <w:szCs w:val="24"/>
        </w:rPr>
        <w:t xml:space="preserve">a </w:t>
      </w:r>
      <w:r w:rsidR="00B56781">
        <w:rPr>
          <w:rFonts w:ascii="Times New Roman" w:hAnsi="Times New Roman"/>
          <w:sz w:val="24"/>
          <w:szCs w:val="24"/>
        </w:rPr>
        <w:t xml:space="preserve">transaction is challenged, </w:t>
      </w:r>
      <w:r>
        <w:rPr>
          <w:rFonts w:ascii="Times New Roman" w:hAnsi="Times New Roman"/>
          <w:sz w:val="24"/>
          <w:szCs w:val="24"/>
        </w:rPr>
        <w:t xml:space="preserve">judges </w:t>
      </w:r>
      <w:r w:rsidRPr="00FC5729">
        <w:rPr>
          <w:rFonts w:ascii="Times New Roman" w:hAnsi="Times New Roman"/>
          <w:sz w:val="24"/>
          <w:szCs w:val="24"/>
        </w:rPr>
        <w:t>are not well equipped to evaluate substantive fairness</w:t>
      </w:r>
      <w:r>
        <w:rPr>
          <w:rFonts w:ascii="Times New Roman" w:hAnsi="Times New Roman"/>
          <w:sz w:val="24"/>
          <w:szCs w:val="24"/>
        </w:rPr>
        <w:t>, and, i</w:t>
      </w:r>
      <w:r w:rsidRPr="00FC5729">
        <w:rPr>
          <w:rFonts w:ascii="Times New Roman" w:hAnsi="Times New Roman"/>
          <w:sz w:val="24"/>
          <w:szCs w:val="24"/>
        </w:rPr>
        <w:t xml:space="preserve">n the face of uncertainty, </w:t>
      </w:r>
      <w:r>
        <w:rPr>
          <w:rFonts w:ascii="Times New Roman" w:hAnsi="Times New Roman"/>
          <w:sz w:val="24"/>
          <w:szCs w:val="24"/>
        </w:rPr>
        <w:t xml:space="preserve">they </w:t>
      </w:r>
      <w:r w:rsidRPr="00FC5729">
        <w:rPr>
          <w:rFonts w:ascii="Times New Roman" w:hAnsi="Times New Roman"/>
          <w:sz w:val="24"/>
          <w:szCs w:val="24"/>
        </w:rPr>
        <w:t>often defer to outcomes</w:t>
      </w:r>
      <w:r>
        <w:rPr>
          <w:rFonts w:ascii="Times New Roman" w:hAnsi="Times New Roman"/>
          <w:sz w:val="24"/>
          <w:szCs w:val="24"/>
        </w:rPr>
        <w:t xml:space="preserve"> determined by the parties</w:t>
      </w:r>
      <w:r w:rsidRPr="00FC5729">
        <w:rPr>
          <w:rFonts w:ascii="Times New Roman" w:hAnsi="Times New Roman"/>
          <w:sz w:val="24"/>
          <w:szCs w:val="24"/>
        </w:rPr>
        <w:t>.</w:t>
      </w:r>
      <w:r>
        <w:rPr>
          <w:rFonts w:ascii="Times New Roman" w:hAnsi="Times New Roman"/>
          <w:sz w:val="24"/>
          <w:szCs w:val="24"/>
        </w:rPr>
        <w:t xml:space="preserve"> Even when judges find </w:t>
      </w:r>
      <w:r w:rsidR="00F21E92" w:rsidRPr="00F21E92">
        <w:rPr>
          <w:rFonts w:ascii="Times New Roman" w:hAnsi="Times New Roman"/>
          <w:sz w:val="24"/>
          <w:szCs w:val="24"/>
        </w:rPr>
        <w:t>unfairness</w:t>
      </w:r>
      <w:r>
        <w:rPr>
          <w:rFonts w:ascii="Times New Roman" w:hAnsi="Times New Roman"/>
          <w:sz w:val="24"/>
          <w:szCs w:val="24"/>
        </w:rPr>
        <w:t>, the remedy</w:t>
      </w:r>
      <w:r w:rsidR="00F21E92" w:rsidRPr="00F21E92">
        <w:rPr>
          <w:rFonts w:ascii="Times New Roman" w:hAnsi="Times New Roman"/>
          <w:sz w:val="24"/>
          <w:szCs w:val="24"/>
        </w:rPr>
        <w:t xml:space="preserve"> is the difference between the fair value </w:t>
      </w:r>
      <w:r w:rsidR="00B56781">
        <w:rPr>
          <w:rFonts w:ascii="Times New Roman" w:hAnsi="Times New Roman"/>
          <w:sz w:val="24"/>
          <w:szCs w:val="24"/>
        </w:rPr>
        <w:t xml:space="preserve">determined by the court and the value actually conveyed, so a conflicted fiduciary loses little from </w:t>
      </w:r>
      <w:r w:rsidR="00135DB1">
        <w:rPr>
          <w:rFonts w:ascii="Times New Roman" w:hAnsi="Times New Roman"/>
          <w:sz w:val="24"/>
          <w:szCs w:val="24"/>
        </w:rPr>
        <w:t xml:space="preserve">being aggressive on price and </w:t>
      </w:r>
      <w:r w:rsidR="00B56781">
        <w:rPr>
          <w:rFonts w:ascii="Times New Roman" w:hAnsi="Times New Roman"/>
          <w:sz w:val="24"/>
          <w:szCs w:val="24"/>
        </w:rPr>
        <w:t>pressing forward.</w:t>
      </w:r>
      <w:r w:rsidR="00B56781">
        <w:rPr>
          <w:rStyle w:val="FootnoteReference"/>
          <w:sz w:val="24"/>
          <w:szCs w:val="24"/>
        </w:rPr>
        <w:footnoteReference w:id="10"/>
      </w:r>
    </w:p>
    <w:p w14:paraId="40D0AA79" w14:textId="29E6E75D" w:rsidR="00355B1E" w:rsidRPr="00FC5729" w:rsidRDefault="00BF3196" w:rsidP="00FB6323">
      <w:pPr>
        <w:spacing w:after="120" w:line="240" w:lineRule="auto"/>
        <w:ind w:firstLine="720"/>
        <w:jc w:val="both"/>
        <w:rPr>
          <w:rFonts w:ascii="Times New Roman" w:hAnsi="Times New Roman"/>
          <w:sz w:val="24"/>
          <w:szCs w:val="24"/>
        </w:rPr>
      </w:pPr>
      <w:r w:rsidRPr="009152B5">
        <w:rPr>
          <w:rFonts w:ascii="Times New Roman" w:hAnsi="Times New Roman"/>
          <w:sz w:val="24"/>
          <w:szCs w:val="24"/>
        </w:rPr>
        <w:t>Most commenta</w:t>
      </w:r>
      <w:r w:rsidRPr="00FC5729">
        <w:rPr>
          <w:rFonts w:ascii="Times New Roman" w:hAnsi="Times New Roman"/>
          <w:sz w:val="24"/>
          <w:szCs w:val="24"/>
        </w:rPr>
        <w:t xml:space="preserve">tors </w:t>
      </w:r>
      <w:r w:rsidR="00FB6323" w:rsidRPr="00FC5729">
        <w:rPr>
          <w:rFonts w:ascii="Times New Roman" w:hAnsi="Times New Roman"/>
          <w:sz w:val="24"/>
          <w:szCs w:val="24"/>
        </w:rPr>
        <w:t xml:space="preserve">on substantive fairness review </w:t>
      </w:r>
      <w:r w:rsidRPr="00FC5729">
        <w:rPr>
          <w:rFonts w:ascii="Times New Roman" w:hAnsi="Times New Roman"/>
          <w:sz w:val="24"/>
          <w:szCs w:val="24"/>
        </w:rPr>
        <w:t>do not recognize U.S. exceptionalism in this area, and those who do generally describe this development as an erosion of the fiduciary principle.</w:t>
      </w:r>
      <w:r w:rsidR="002B5355" w:rsidRPr="00FC5729">
        <w:rPr>
          <w:rStyle w:val="FootnoteReference"/>
          <w:sz w:val="24"/>
          <w:szCs w:val="24"/>
        </w:rPr>
        <w:footnoteReference w:id="11"/>
      </w:r>
      <w:r w:rsidRPr="00FC5729">
        <w:rPr>
          <w:rFonts w:ascii="Times New Roman" w:hAnsi="Times New Roman"/>
          <w:sz w:val="24"/>
          <w:szCs w:val="24"/>
        </w:rPr>
        <w:t xml:space="preserve"> Powerful fiduciaries are portrayed as rapacious opportunists, taking advantage of vulnerable counterparties. This Article takes a contrary position, arguing that the content of fiduciary law in the U.S. balances the desire to protect vulnerable parties with a fundamental policy of promoting entrepreneurial action.</w:t>
      </w:r>
      <w:r w:rsidR="00FB6323" w:rsidRPr="00FC5729">
        <w:rPr>
          <w:rFonts w:ascii="Times New Roman" w:hAnsi="Times New Roman"/>
          <w:sz w:val="24"/>
          <w:szCs w:val="24"/>
        </w:rPr>
        <w:t xml:space="preserve"> S</w:t>
      </w:r>
      <w:r w:rsidR="007E0CCC" w:rsidRPr="00FC5729">
        <w:rPr>
          <w:rFonts w:ascii="Times New Roman" w:hAnsi="Times New Roman"/>
          <w:sz w:val="24"/>
          <w:szCs w:val="24"/>
        </w:rPr>
        <w:t xml:space="preserve">ubstantive fairness review of conflict transactions is part </w:t>
      </w:r>
      <w:r w:rsidR="007E0CCC" w:rsidRPr="00FC5729">
        <w:rPr>
          <w:rFonts w:ascii="Times New Roman" w:hAnsi="Times New Roman"/>
          <w:sz w:val="24"/>
          <w:szCs w:val="24"/>
        </w:rPr>
        <w:lastRenderedPageBreak/>
        <w:t xml:space="preserve">of the institutional </w:t>
      </w:r>
      <w:r w:rsidR="00E834EE" w:rsidRPr="00FC5729">
        <w:rPr>
          <w:rFonts w:ascii="Times New Roman" w:hAnsi="Times New Roman"/>
          <w:sz w:val="24"/>
          <w:szCs w:val="24"/>
        </w:rPr>
        <w:t>configuration</w:t>
      </w:r>
      <w:r w:rsidR="007E0CCC" w:rsidRPr="00FC5729">
        <w:rPr>
          <w:rFonts w:ascii="Times New Roman" w:hAnsi="Times New Roman"/>
          <w:sz w:val="24"/>
          <w:szCs w:val="24"/>
        </w:rPr>
        <w:t xml:space="preserve"> that facilitates entrepreneurial action.</w:t>
      </w:r>
      <w:r w:rsidR="00D112C5" w:rsidRPr="00FC5729">
        <w:rPr>
          <w:rStyle w:val="FootnoteReference"/>
          <w:sz w:val="24"/>
          <w:szCs w:val="24"/>
        </w:rPr>
        <w:footnoteReference w:id="12"/>
      </w:r>
      <w:r w:rsidR="007E0CCC" w:rsidRPr="00FC5729">
        <w:rPr>
          <w:rFonts w:ascii="Times New Roman" w:hAnsi="Times New Roman"/>
          <w:sz w:val="24"/>
          <w:szCs w:val="24"/>
        </w:rPr>
        <w:t xml:space="preserve"> </w:t>
      </w:r>
    </w:p>
    <w:p w14:paraId="48CBF385" w14:textId="19138BD5" w:rsidR="00B745E7" w:rsidRPr="00FC5729" w:rsidRDefault="006F0572" w:rsidP="00D355DA">
      <w:pPr>
        <w:spacing w:after="120" w:line="240" w:lineRule="auto"/>
        <w:ind w:firstLine="720"/>
        <w:jc w:val="both"/>
        <w:rPr>
          <w:rFonts w:ascii="Times New Roman" w:hAnsi="Times New Roman"/>
          <w:sz w:val="24"/>
          <w:szCs w:val="24"/>
        </w:rPr>
      </w:pPr>
      <w:r w:rsidRPr="00FC5729">
        <w:rPr>
          <w:rFonts w:ascii="Times New Roman" w:hAnsi="Times New Roman"/>
          <w:sz w:val="24"/>
          <w:szCs w:val="24"/>
        </w:rPr>
        <w:t xml:space="preserve">In </w:t>
      </w:r>
      <w:r w:rsidR="00A644F3" w:rsidRPr="00FC5729">
        <w:rPr>
          <w:rFonts w:ascii="Times New Roman" w:hAnsi="Times New Roman"/>
          <w:sz w:val="24"/>
          <w:szCs w:val="24"/>
        </w:rPr>
        <w:t>Part I</w:t>
      </w:r>
      <w:r w:rsidRPr="00FC5729">
        <w:rPr>
          <w:rFonts w:ascii="Times New Roman" w:hAnsi="Times New Roman"/>
          <w:sz w:val="24"/>
          <w:szCs w:val="24"/>
        </w:rPr>
        <w:t xml:space="preserve"> </w:t>
      </w:r>
      <w:r w:rsidR="00BF3196" w:rsidRPr="00FC5729">
        <w:rPr>
          <w:rFonts w:ascii="Times New Roman" w:hAnsi="Times New Roman"/>
          <w:sz w:val="24"/>
          <w:szCs w:val="24"/>
        </w:rPr>
        <w:t xml:space="preserve">defines “entrepreneurial action” </w:t>
      </w:r>
      <w:r w:rsidR="008932D5" w:rsidRPr="00FC5729">
        <w:rPr>
          <w:rFonts w:ascii="Times New Roman" w:hAnsi="Times New Roman"/>
          <w:sz w:val="24"/>
          <w:szCs w:val="24"/>
        </w:rPr>
        <w:t xml:space="preserve">for purposes of this paper </w:t>
      </w:r>
      <w:r w:rsidR="00BF3196" w:rsidRPr="00FC5729">
        <w:rPr>
          <w:rFonts w:ascii="Times New Roman" w:hAnsi="Times New Roman"/>
          <w:sz w:val="24"/>
          <w:szCs w:val="24"/>
        </w:rPr>
        <w:t>in term</w:t>
      </w:r>
      <w:r w:rsidR="008932D5" w:rsidRPr="00FC5729">
        <w:rPr>
          <w:rFonts w:ascii="Times New Roman" w:hAnsi="Times New Roman"/>
          <w:sz w:val="24"/>
          <w:szCs w:val="24"/>
        </w:rPr>
        <w:t>s of startup formation. Part II</w:t>
      </w:r>
      <w:r w:rsidR="00BF3196" w:rsidRPr="00FC5729">
        <w:rPr>
          <w:rFonts w:ascii="Times New Roman" w:hAnsi="Times New Roman"/>
          <w:sz w:val="24"/>
          <w:szCs w:val="24"/>
        </w:rPr>
        <w:t xml:space="preserve"> </w:t>
      </w:r>
      <w:r w:rsidR="00D355DA">
        <w:rPr>
          <w:rFonts w:ascii="Times New Roman" w:hAnsi="Times New Roman"/>
          <w:sz w:val="24"/>
          <w:szCs w:val="24"/>
        </w:rPr>
        <w:t xml:space="preserve">describes the inevitability of conflict transactions in entrepreneurial firms and offers a simple typology of conflict transactions for closer analysis. Part III then provides this closer analysis, examining four </w:t>
      </w:r>
      <w:r w:rsidR="00BF3196" w:rsidRPr="00FC5729">
        <w:rPr>
          <w:rFonts w:ascii="Times New Roman" w:hAnsi="Times New Roman"/>
          <w:sz w:val="24"/>
          <w:szCs w:val="24"/>
        </w:rPr>
        <w:t xml:space="preserve">regulatory strategies for conflict transactions: prohibition, disclosure and </w:t>
      </w:r>
      <w:r w:rsidR="00D355DA">
        <w:rPr>
          <w:rFonts w:ascii="Times New Roman" w:hAnsi="Times New Roman"/>
          <w:sz w:val="24"/>
          <w:szCs w:val="24"/>
        </w:rPr>
        <w:t>waiver</w:t>
      </w:r>
      <w:r w:rsidR="00BF3196" w:rsidRPr="00FC5729">
        <w:rPr>
          <w:rFonts w:ascii="Times New Roman" w:hAnsi="Times New Roman"/>
          <w:sz w:val="24"/>
          <w:szCs w:val="24"/>
        </w:rPr>
        <w:t xml:space="preserve">, </w:t>
      </w:r>
      <w:r w:rsidR="00D355DA">
        <w:rPr>
          <w:rFonts w:ascii="Times New Roman" w:hAnsi="Times New Roman"/>
          <w:sz w:val="24"/>
          <w:szCs w:val="24"/>
        </w:rPr>
        <w:t xml:space="preserve">adminstrative approval, </w:t>
      </w:r>
      <w:r w:rsidR="00BF3196" w:rsidRPr="00FC5729">
        <w:rPr>
          <w:rFonts w:ascii="Times New Roman" w:hAnsi="Times New Roman"/>
          <w:sz w:val="24"/>
          <w:szCs w:val="24"/>
        </w:rPr>
        <w:t xml:space="preserve">and </w:t>
      </w:r>
      <w:r w:rsidR="00E834EE" w:rsidRPr="00FC5729">
        <w:rPr>
          <w:rFonts w:ascii="Times New Roman" w:hAnsi="Times New Roman"/>
          <w:sz w:val="24"/>
          <w:szCs w:val="24"/>
        </w:rPr>
        <w:t>substantive</w:t>
      </w:r>
      <w:r w:rsidR="00D355DA">
        <w:rPr>
          <w:rFonts w:ascii="Times New Roman" w:hAnsi="Times New Roman"/>
          <w:sz w:val="24"/>
          <w:szCs w:val="24"/>
        </w:rPr>
        <w:t xml:space="preserve"> fairness review. Part IV</w:t>
      </w:r>
      <w:r w:rsidR="00BF3196" w:rsidRPr="00FC5729">
        <w:rPr>
          <w:rFonts w:ascii="Times New Roman" w:hAnsi="Times New Roman"/>
          <w:sz w:val="24"/>
          <w:szCs w:val="24"/>
        </w:rPr>
        <w:t xml:space="preserve"> connects </w:t>
      </w:r>
      <w:r w:rsidR="00E834EE" w:rsidRPr="00FC5729">
        <w:rPr>
          <w:rFonts w:ascii="Times New Roman" w:hAnsi="Times New Roman"/>
          <w:sz w:val="24"/>
          <w:szCs w:val="24"/>
        </w:rPr>
        <w:t>substantive</w:t>
      </w:r>
      <w:r w:rsidR="00BF3196" w:rsidRPr="00FC5729">
        <w:rPr>
          <w:rFonts w:ascii="Times New Roman" w:hAnsi="Times New Roman"/>
          <w:sz w:val="24"/>
          <w:szCs w:val="24"/>
        </w:rPr>
        <w:t xml:space="preserve"> fairness review with the policy of promoting entrepreneurial action.</w:t>
      </w:r>
    </w:p>
    <w:p w14:paraId="6D950BD1" w14:textId="77777777" w:rsidR="00FA1183" w:rsidRPr="00FC5729" w:rsidRDefault="00FA1183" w:rsidP="00A644F3">
      <w:pPr>
        <w:spacing w:after="120" w:line="240" w:lineRule="auto"/>
        <w:ind w:firstLine="720"/>
        <w:jc w:val="both"/>
        <w:rPr>
          <w:rFonts w:ascii="Times New Roman" w:hAnsi="Times New Roman"/>
          <w:sz w:val="24"/>
          <w:szCs w:val="24"/>
        </w:rPr>
      </w:pPr>
    </w:p>
    <w:p w14:paraId="05D43E48" w14:textId="73AA2136" w:rsidR="00A95DEE" w:rsidRPr="00720D7D" w:rsidRDefault="00BC4D0E" w:rsidP="00720D7D">
      <w:pPr>
        <w:pStyle w:val="TableofContents1"/>
      </w:pPr>
      <w:bookmarkStart w:id="2" w:name="_Toc418778891"/>
      <w:r w:rsidRPr="00FC5729">
        <w:t>Entrepreneurial Action</w:t>
      </w:r>
      <w:bookmarkEnd w:id="2"/>
    </w:p>
    <w:p w14:paraId="07322C25" w14:textId="74EBB1F2" w:rsidR="00720D7D" w:rsidRPr="00FC5729" w:rsidRDefault="008019A6" w:rsidP="008019A6">
      <w:pPr>
        <w:spacing w:after="120" w:line="240" w:lineRule="auto"/>
        <w:ind w:firstLine="720"/>
        <w:jc w:val="both"/>
        <w:rPr>
          <w:rFonts w:ascii="Times New Roman" w:hAnsi="Times New Roman"/>
          <w:sz w:val="24"/>
          <w:szCs w:val="24"/>
        </w:rPr>
      </w:pPr>
      <w:r w:rsidRPr="00FC5729">
        <w:rPr>
          <w:rFonts w:ascii="Times New Roman" w:hAnsi="Times New Roman"/>
          <w:sz w:val="24"/>
          <w:szCs w:val="24"/>
        </w:rPr>
        <w:t xml:space="preserve">Entrepreneurs </w:t>
      </w:r>
      <w:r w:rsidR="00FB6323" w:rsidRPr="00FC5729">
        <w:rPr>
          <w:rFonts w:ascii="Times New Roman" w:hAnsi="Times New Roman"/>
          <w:sz w:val="24"/>
          <w:szCs w:val="24"/>
        </w:rPr>
        <w:t>challenge incumbency</w:t>
      </w:r>
      <w:r w:rsidRPr="00FC5729">
        <w:rPr>
          <w:rFonts w:ascii="Times New Roman" w:hAnsi="Times New Roman"/>
          <w:sz w:val="24"/>
          <w:szCs w:val="24"/>
        </w:rPr>
        <w:t>,</w:t>
      </w:r>
      <w:r w:rsidR="00FB6323" w:rsidRPr="00FC5729">
        <w:rPr>
          <w:rStyle w:val="FootnoteReference"/>
          <w:sz w:val="24"/>
          <w:szCs w:val="24"/>
        </w:rPr>
        <w:footnoteReference w:id="13"/>
      </w:r>
      <w:r w:rsidRPr="00FC5729">
        <w:rPr>
          <w:rFonts w:ascii="Times New Roman" w:hAnsi="Times New Roman"/>
          <w:sz w:val="24"/>
          <w:szCs w:val="24"/>
        </w:rPr>
        <w:t xml:space="preserve"> and, contrary to popular perception, entrepreneurs </w:t>
      </w:r>
      <w:r w:rsidR="00431D9B">
        <w:rPr>
          <w:rFonts w:ascii="Times New Roman" w:hAnsi="Times New Roman"/>
          <w:sz w:val="24"/>
          <w:szCs w:val="24"/>
        </w:rPr>
        <w:t xml:space="preserve">rarely </w:t>
      </w:r>
      <w:r w:rsidRPr="00FC5729">
        <w:rPr>
          <w:rFonts w:ascii="Times New Roman" w:hAnsi="Times New Roman"/>
          <w:sz w:val="24"/>
          <w:szCs w:val="24"/>
        </w:rPr>
        <w:t>act alone.</w:t>
      </w:r>
      <w:r w:rsidRPr="00FC5729">
        <w:rPr>
          <w:rStyle w:val="FootnoteReference"/>
          <w:rFonts w:ascii="Times New Roman" w:hAnsi="Times New Roman"/>
          <w:sz w:val="24"/>
          <w:szCs w:val="24"/>
        </w:rPr>
        <w:footnoteReference w:id="14"/>
      </w:r>
      <w:r w:rsidRPr="00FC5729">
        <w:rPr>
          <w:rFonts w:ascii="Times New Roman" w:hAnsi="Times New Roman"/>
          <w:sz w:val="24"/>
          <w:szCs w:val="24"/>
        </w:rPr>
        <w:t xml:space="preserve"> Even “sole proprietorships” rely on many people, including customers, financiers, suppliers, production or manufacturing personnel, marketing or sales personnel, and financial or accounting personnel. The entrepreneur can attempt to forge all of these relationships through independent contracts, but at some moment in the development of the business, it often makes economic sense to form a business organization, or “firm,” by taking on investors and employees.</w:t>
      </w:r>
      <w:r w:rsidRPr="00FC5729">
        <w:rPr>
          <w:rStyle w:val="FootnoteReference"/>
          <w:rFonts w:ascii="Times New Roman" w:hAnsi="Times New Roman"/>
          <w:sz w:val="24"/>
          <w:szCs w:val="24"/>
        </w:rPr>
        <w:footnoteReference w:id="15"/>
      </w:r>
      <w:r w:rsidR="00720D7D">
        <w:rPr>
          <w:rFonts w:ascii="Times New Roman" w:hAnsi="Times New Roman"/>
          <w:sz w:val="24"/>
          <w:szCs w:val="24"/>
        </w:rPr>
        <w:t xml:space="preserve"> The formation of a firm gives rise to fiduciary </w:t>
      </w:r>
      <w:r w:rsidR="00720D7D">
        <w:rPr>
          <w:rFonts w:ascii="Times New Roman" w:hAnsi="Times New Roman"/>
          <w:sz w:val="24"/>
          <w:szCs w:val="24"/>
        </w:rPr>
        <w:lastRenderedPageBreak/>
        <w:t>obligations,</w:t>
      </w:r>
      <w:r w:rsidR="00720D7D">
        <w:rPr>
          <w:rStyle w:val="FootnoteReference"/>
          <w:sz w:val="24"/>
          <w:szCs w:val="24"/>
        </w:rPr>
        <w:footnoteReference w:id="16"/>
      </w:r>
      <w:r w:rsidR="00720D7D">
        <w:rPr>
          <w:rFonts w:ascii="Times New Roman" w:hAnsi="Times New Roman"/>
          <w:sz w:val="24"/>
          <w:szCs w:val="24"/>
        </w:rPr>
        <w:t xml:space="preserve"> inspiring our examination of</w:t>
      </w:r>
      <w:r w:rsidR="00720D7D" w:rsidRPr="00FC5729">
        <w:rPr>
          <w:rFonts w:ascii="Times New Roman" w:hAnsi="Times New Roman"/>
          <w:sz w:val="24"/>
          <w:szCs w:val="24"/>
        </w:rPr>
        <w:t xml:space="preserve"> the heretofore largely unexplored connection between fiduciary law and entrepreneurial action.</w:t>
      </w:r>
    </w:p>
    <w:p w14:paraId="212D0973" w14:textId="77777777" w:rsidR="004C5950" w:rsidRDefault="00254019" w:rsidP="008932D5">
      <w:pPr>
        <w:spacing w:after="120" w:line="240" w:lineRule="auto"/>
        <w:ind w:firstLine="720"/>
        <w:jc w:val="both"/>
        <w:rPr>
          <w:rFonts w:ascii="Times New Roman" w:hAnsi="Times New Roman"/>
          <w:sz w:val="24"/>
          <w:szCs w:val="24"/>
        </w:rPr>
      </w:pPr>
      <w:r w:rsidRPr="00FC5729">
        <w:rPr>
          <w:rFonts w:ascii="Times New Roman" w:hAnsi="Times New Roman"/>
          <w:sz w:val="24"/>
          <w:szCs w:val="24"/>
        </w:rPr>
        <w:t>Entrepreneurial action occurs when an entrepreneur</w:t>
      </w:r>
      <w:r w:rsidR="004C5950">
        <w:rPr>
          <w:rFonts w:ascii="Times New Roman" w:hAnsi="Times New Roman"/>
          <w:sz w:val="24"/>
          <w:szCs w:val="24"/>
        </w:rPr>
        <w:t>ial team</w:t>
      </w:r>
      <w:r w:rsidRPr="00FC5729">
        <w:rPr>
          <w:rFonts w:ascii="Times New Roman" w:hAnsi="Times New Roman"/>
          <w:sz w:val="24"/>
          <w:szCs w:val="24"/>
        </w:rPr>
        <w:t xml:space="preserve"> uses existing resources (including natural resources, financial resources, intellectual property, etc.) to exploit an opportunity.</w:t>
      </w:r>
      <w:r w:rsidRPr="00FC5729">
        <w:rPr>
          <w:rStyle w:val="FootnoteReference"/>
          <w:rFonts w:ascii="Times New Roman" w:hAnsi="Times New Roman"/>
          <w:sz w:val="24"/>
          <w:szCs w:val="24"/>
        </w:rPr>
        <w:footnoteReference w:id="17"/>
      </w:r>
      <w:r w:rsidRPr="00FC5729">
        <w:rPr>
          <w:rFonts w:ascii="Times New Roman" w:hAnsi="Times New Roman"/>
          <w:sz w:val="24"/>
          <w:szCs w:val="24"/>
        </w:rPr>
        <w:t xml:space="preserve"> Entrepreneurial action may be manifest in various ways.</w:t>
      </w:r>
      <w:r w:rsidRPr="00FC5729">
        <w:rPr>
          <w:rStyle w:val="FootnoteReference"/>
          <w:rFonts w:ascii="Times New Roman" w:hAnsi="Times New Roman"/>
          <w:sz w:val="24"/>
          <w:szCs w:val="24"/>
        </w:rPr>
        <w:footnoteReference w:id="18"/>
      </w:r>
      <w:r w:rsidRPr="00FC5729">
        <w:rPr>
          <w:rFonts w:ascii="Times New Roman" w:hAnsi="Times New Roman"/>
          <w:sz w:val="24"/>
          <w:szCs w:val="24"/>
        </w:rPr>
        <w:t xml:space="preserve"> For example, Joseph Schumpeter offered a typology of five forms of entrepreneurial opportunities – new goods, new methods of production, new geographical markets, new raw materials, and new ways of organizing – and the exploitation of any of these would constitute entrepreneurial action.</w:t>
      </w:r>
      <w:r w:rsidRPr="00FC5729">
        <w:rPr>
          <w:rStyle w:val="FootnoteReference"/>
          <w:rFonts w:ascii="Times New Roman" w:hAnsi="Times New Roman"/>
          <w:sz w:val="24"/>
          <w:szCs w:val="24"/>
        </w:rPr>
        <w:footnoteReference w:id="19"/>
      </w:r>
      <w:r w:rsidRPr="00FC5729">
        <w:rPr>
          <w:rFonts w:ascii="Times New Roman" w:hAnsi="Times New Roman"/>
          <w:sz w:val="24"/>
          <w:szCs w:val="24"/>
        </w:rPr>
        <w:t xml:space="preserve"> </w:t>
      </w:r>
    </w:p>
    <w:p w14:paraId="04F92E42" w14:textId="2B5CCF81" w:rsidR="00A95DEE" w:rsidRDefault="00254019" w:rsidP="008932D5">
      <w:pPr>
        <w:spacing w:after="120" w:line="240" w:lineRule="auto"/>
        <w:ind w:firstLine="720"/>
        <w:jc w:val="both"/>
        <w:rPr>
          <w:rFonts w:ascii="Times New Roman" w:hAnsi="Times New Roman"/>
          <w:sz w:val="24"/>
          <w:szCs w:val="24"/>
        </w:rPr>
      </w:pPr>
      <w:r w:rsidRPr="00FC5729">
        <w:rPr>
          <w:rFonts w:ascii="Times New Roman" w:hAnsi="Times New Roman"/>
          <w:sz w:val="24"/>
          <w:szCs w:val="24"/>
        </w:rPr>
        <w:t>Generally speaking, however, researchers equate entrepreneurship with startup activity, even though this measure of entrepreneurial action captures only a fraction of what might fall within the term “entrepreneurial action,” as defined above.</w:t>
      </w:r>
      <w:r w:rsidRPr="00FC5729">
        <w:rPr>
          <w:rStyle w:val="FootnoteReference"/>
          <w:rFonts w:ascii="Times New Roman" w:hAnsi="Times New Roman"/>
          <w:sz w:val="24"/>
          <w:szCs w:val="24"/>
        </w:rPr>
        <w:footnoteReference w:id="20"/>
      </w:r>
      <w:r w:rsidRPr="00FC5729">
        <w:rPr>
          <w:rFonts w:ascii="Times New Roman" w:hAnsi="Times New Roman"/>
          <w:sz w:val="24"/>
          <w:szCs w:val="24"/>
        </w:rPr>
        <w:t xml:space="preserve"> While </w:t>
      </w:r>
      <w:r w:rsidRPr="00FC5729">
        <w:rPr>
          <w:rFonts w:ascii="Times New Roman" w:hAnsi="Times New Roman"/>
          <w:sz w:val="24"/>
          <w:szCs w:val="24"/>
        </w:rPr>
        <w:lastRenderedPageBreak/>
        <w:t xml:space="preserve">in most instances we would prefer a broader measure of entrepreneurship, in this </w:t>
      </w:r>
      <w:r w:rsidR="004C5950">
        <w:rPr>
          <w:rFonts w:ascii="Times New Roman" w:hAnsi="Times New Roman"/>
          <w:sz w:val="24"/>
          <w:szCs w:val="24"/>
        </w:rPr>
        <w:t xml:space="preserve">Article </w:t>
      </w:r>
      <w:r w:rsidRPr="00FC5729">
        <w:rPr>
          <w:rFonts w:ascii="Times New Roman" w:hAnsi="Times New Roman"/>
          <w:sz w:val="24"/>
          <w:szCs w:val="24"/>
        </w:rPr>
        <w:t>we are concerned with ways in which fiduciary law relates to entrepreneurial action</w:t>
      </w:r>
      <w:r w:rsidR="0098546A">
        <w:rPr>
          <w:rFonts w:ascii="Times New Roman" w:hAnsi="Times New Roman"/>
          <w:sz w:val="24"/>
          <w:szCs w:val="24"/>
        </w:rPr>
        <w:t>. F</w:t>
      </w:r>
      <w:r w:rsidRPr="00FC5729">
        <w:rPr>
          <w:rFonts w:ascii="Times New Roman" w:hAnsi="Times New Roman"/>
          <w:sz w:val="24"/>
          <w:szCs w:val="24"/>
        </w:rPr>
        <w:t xml:space="preserve">ocusing on </w:t>
      </w:r>
      <w:r w:rsidR="0098546A">
        <w:rPr>
          <w:rFonts w:ascii="Times New Roman" w:hAnsi="Times New Roman"/>
          <w:sz w:val="24"/>
          <w:szCs w:val="24"/>
        </w:rPr>
        <w:t>startup formation</w:t>
      </w:r>
      <w:r w:rsidRPr="00FC5729">
        <w:rPr>
          <w:rFonts w:ascii="Times New Roman" w:hAnsi="Times New Roman"/>
          <w:sz w:val="24"/>
          <w:szCs w:val="24"/>
        </w:rPr>
        <w:t xml:space="preserve"> </w:t>
      </w:r>
      <w:r w:rsidR="0098546A">
        <w:rPr>
          <w:rFonts w:ascii="Times New Roman" w:hAnsi="Times New Roman"/>
          <w:sz w:val="24"/>
          <w:szCs w:val="24"/>
        </w:rPr>
        <w:t xml:space="preserve">offers </w:t>
      </w:r>
      <w:r w:rsidRPr="00FC5729">
        <w:rPr>
          <w:rFonts w:ascii="Times New Roman" w:hAnsi="Times New Roman"/>
          <w:sz w:val="24"/>
          <w:szCs w:val="24"/>
        </w:rPr>
        <w:t>meaningf</w:t>
      </w:r>
      <w:r w:rsidR="004C5950">
        <w:rPr>
          <w:rFonts w:ascii="Times New Roman" w:hAnsi="Times New Roman"/>
          <w:sz w:val="24"/>
          <w:szCs w:val="24"/>
        </w:rPr>
        <w:t xml:space="preserve">ul </w:t>
      </w:r>
      <w:r w:rsidR="0098546A">
        <w:rPr>
          <w:rFonts w:ascii="Times New Roman" w:hAnsi="Times New Roman"/>
          <w:sz w:val="24"/>
          <w:szCs w:val="24"/>
        </w:rPr>
        <w:t xml:space="preserve">insights </w:t>
      </w:r>
      <w:r w:rsidR="004C5950">
        <w:rPr>
          <w:rFonts w:ascii="Times New Roman" w:hAnsi="Times New Roman"/>
          <w:sz w:val="24"/>
          <w:szCs w:val="24"/>
        </w:rPr>
        <w:t xml:space="preserve">for such an inquiry because </w:t>
      </w:r>
      <w:r w:rsidR="0098546A">
        <w:rPr>
          <w:rFonts w:ascii="Times New Roman" w:hAnsi="Times New Roman"/>
          <w:sz w:val="24"/>
          <w:szCs w:val="24"/>
        </w:rPr>
        <w:t xml:space="preserve">the formation of a </w:t>
      </w:r>
      <w:r w:rsidR="004C5950">
        <w:rPr>
          <w:rFonts w:ascii="Times New Roman" w:hAnsi="Times New Roman"/>
          <w:sz w:val="24"/>
          <w:szCs w:val="24"/>
        </w:rPr>
        <w:t>startup</w:t>
      </w:r>
      <w:r w:rsidR="0098546A">
        <w:rPr>
          <w:rFonts w:ascii="Times New Roman" w:hAnsi="Times New Roman"/>
          <w:sz w:val="24"/>
          <w:szCs w:val="24"/>
        </w:rPr>
        <w:t xml:space="preserve"> represents an early step in the process of taking </w:t>
      </w:r>
      <w:r w:rsidR="00A95DEE">
        <w:rPr>
          <w:rFonts w:ascii="Times New Roman" w:hAnsi="Times New Roman"/>
          <w:sz w:val="24"/>
          <w:szCs w:val="24"/>
        </w:rPr>
        <w:t>entrepreneurial action</w:t>
      </w:r>
      <w:r w:rsidR="0098546A">
        <w:rPr>
          <w:rFonts w:ascii="Times New Roman" w:hAnsi="Times New Roman"/>
          <w:sz w:val="24"/>
          <w:szCs w:val="24"/>
        </w:rPr>
        <w:t>,</w:t>
      </w:r>
      <w:r w:rsidR="00A95DEE">
        <w:rPr>
          <w:rFonts w:ascii="Times New Roman" w:hAnsi="Times New Roman"/>
          <w:sz w:val="24"/>
          <w:szCs w:val="24"/>
        </w:rPr>
        <w:t xml:space="preserve"> and </w:t>
      </w:r>
      <w:r w:rsidR="0098546A">
        <w:rPr>
          <w:rFonts w:ascii="Times New Roman" w:hAnsi="Times New Roman"/>
          <w:sz w:val="24"/>
          <w:szCs w:val="24"/>
        </w:rPr>
        <w:t xml:space="preserve">startups </w:t>
      </w:r>
      <w:r w:rsidR="00A95DEE">
        <w:rPr>
          <w:rFonts w:ascii="Times New Roman" w:hAnsi="Times New Roman"/>
          <w:sz w:val="24"/>
          <w:szCs w:val="24"/>
        </w:rPr>
        <w:t xml:space="preserve">are </w:t>
      </w:r>
      <w:r w:rsidR="004C5950">
        <w:rPr>
          <w:rFonts w:ascii="Times New Roman" w:hAnsi="Times New Roman"/>
          <w:sz w:val="24"/>
          <w:szCs w:val="24"/>
        </w:rPr>
        <w:t>abundant with fiduciary obligations.</w:t>
      </w:r>
    </w:p>
    <w:p w14:paraId="2D7BF975" w14:textId="7A5665AA" w:rsidR="00BC4D0E" w:rsidRDefault="0098546A" w:rsidP="008019A6">
      <w:pPr>
        <w:spacing w:after="120" w:line="240" w:lineRule="auto"/>
        <w:ind w:firstLine="720"/>
        <w:jc w:val="both"/>
        <w:rPr>
          <w:rFonts w:ascii="Times New Roman" w:hAnsi="Times New Roman"/>
          <w:sz w:val="24"/>
          <w:szCs w:val="24"/>
        </w:rPr>
      </w:pPr>
      <w:r w:rsidRPr="00E834EE">
        <w:rPr>
          <w:rFonts w:ascii="Times New Roman" w:hAnsi="Times New Roman"/>
          <w:sz w:val="24"/>
          <w:szCs w:val="24"/>
        </w:rPr>
        <w:t>The issue that motivates this Article is whether fiduc</w:t>
      </w:r>
      <w:r>
        <w:rPr>
          <w:rFonts w:ascii="Times New Roman" w:hAnsi="Times New Roman"/>
          <w:sz w:val="24"/>
          <w:szCs w:val="24"/>
        </w:rPr>
        <w:t xml:space="preserve">iary law facilitates or impedes </w:t>
      </w:r>
      <w:r w:rsidRPr="00E834EE">
        <w:rPr>
          <w:rFonts w:ascii="Times New Roman" w:hAnsi="Times New Roman"/>
          <w:sz w:val="24"/>
          <w:szCs w:val="24"/>
        </w:rPr>
        <w:t>entrepreneurial action</w:t>
      </w:r>
      <w:r>
        <w:rPr>
          <w:rFonts w:ascii="Times New Roman" w:hAnsi="Times New Roman"/>
          <w:sz w:val="24"/>
          <w:szCs w:val="24"/>
        </w:rPr>
        <w:t xml:space="preserve">, but establishing causation of this sort is problematic. One basic obstacle is defining the dependant variable. </w:t>
      </w:r>
      <w:r w:rsidR="00C87EAA" w:rsidRPr="00FC5729">
        <w:rPr>
          <w:rFonts w:ascii="Times New Roman" w:hAnsi="Times New Roman"/>
          <w:sz w:val="24"/>
          <w:szCs w:val="24"/>
        </w:rPr>
        <w:t xml:space="preserve">There are at least two ways one can conceive of a business startup, both of which are reflected in the most important datasets in entrepreneurship research. The World Bank Entrepreneurship Database measures startup activity in 139 countries by reference to formal business registrations, which includes only </w:t>
      </w:r>
      <w:r w:rsidR="00C87EAA" w:rsidRPr="00FC5729">
        <w:rPr>
          <w:rFonts w:ascii="Times New Roman" w:hAnsi="Times New Roman"/>
          <w:sz w:val="24"/>
          <w:szCs w:val="24"/>
          <w:shd w:val="clear" w:color="auto" w:fill="FFFFFF"/>
        </w:rPr>
        <w:t>“newly registered companies with limited liability (or its equivalent).”</w:t>
      </w:r>
      <w:r w:rsidR="00C87EAA" w:rsidRPr="00FC5729">
        <w:rPr>
          <w:rStyle w:val="FootnoteReference"/>
          <w:rFonts w:ascii="Times New Roman" w:hAnsi="Times New Roman"/>
          <w:sz w:val="24"/>
          <w:szCs w:val="24"/>
        </w:rPr>
        <w:footnoteReference w:id="21"/>
      </w:r>
      <w:r w:rsidR="00C87EAA" w:rsidRPr="00FC5729">
        <w:rPr>
          <w:rFonts w:ascii="Times New Roman" w:hAnsi="Times New Roman"/>
          <w:sz w:val="24"/>
          <w:szCs w:val="24"/>
        </w:rPr>
        <w:t xml:space="preserve"> Thus, partnerships and sole proprietorships are excluded. By contrast the Global Entrepreneurship Monitor (“GEM”) relies on a survey to measure business formations, even when those do not include formal business registrations.</w:t>
      </w:r>
      <w:r w:rsidR="00C87EAA" w:rsidRPr="00FC5729">
        <w:rPr>
          <w:rStyle w:val="FootnoteReference"/>
          <w:rFonts w:ascii="Times New Roman" w:hAnsi="Times New Roman"/>
          <w:sz w:val="24"/>
          <w:szCs w:val="24"/>
        </w:rPr>
        <w:footnoteReference w:id="22"/>
      </w:r>
      <w:r w:rsidR="00C87EAA" w:rsidRPr="00FC5729">
        <w:rPr>
          <w:rFonts w:ascii="Times New Roman" w:hAnsi="Times New Roman"/>
          <w:sz w:val="24"/>
          <w:szCs w:val="24"/>
        </w:rPr>
        <w:t xml:space="preserve"> Perhaps not surprisingly, studies relying on these datasets sometimes lead to contradictory results, as one dataset measures “rates of entry into the formal economy” while the other measures “entrepreneurial intent.”</w:t>
      </w:r>
      <w:r w:rsidR="00C87EAA" w:rsidRPr="00FC5729">
        <w:rPr>
          <w:rStyle w:val="FootnoteReference"/>
          <w:rFonts w:ascii="Times New Roman" w:hAnsi="Times New Roman"/>
          <w:sz w:val="24"/>
          <w:szCs w:val="24"/>
        </w:rPr>
        <w:footnoteReference w:id="23"/>
      </w:r>
      <w:r w:rsidR="00C87EAA" w:rsidRPr="00FC5729">
        <w:rPr>
          <w:rFonts w:ascii="Times New Roman" w:hAnsi="Times New Roman"/>
          <w:sz w:val="24"/>
          <w:szCs w:val="24"/>
        </w:rPr>
        <w:t xml:space="preserve"> Given the difference in focus, it is not surprising that the World Bank dataset shows significantly higher levels of entrepreneurship in developed countries, while the GEM dataset reports significantly higher levels of entrepreneurship in developing countries.</w:t>
      </w:r>
    </w:p>
    <w:p w14:paraId="6D5D65D4" w14:textId="4B455E9F" w:rsidR="0098546A" w:rsidRPr="002A5D06" w:rsidRDefault="0098546A" w:rsidP="002A5D06">
      <w:pPr>
        <w:spacing w:after="12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Given the difficulties in isolating and measuring the effect of fiduciary law</w:t>
      </w:r>
      <w:r w:rsidR="002A5D06">
        <w:rPr>
          <w:rFonts w:ascii="Times New Roman" w:hAnsi="Times New Roman"/>
          <w:sz w:val="24"/>
          <w:szCs w:val="24"/>
          <w:shd w:val="clear" w:color="auto" w:fill="FFFFFF"/>
        </w:rPr>
        <w:t xml:space="preserve">, we </w:t>
      </w:r>
      <w:r w:rsidR="00F270D4">
        <w:rPr>
          <w:rFonts w:ascii="Times New Roman" w:hAnsi="Times New Roman"/>
          <w:sz w:val="24"/>
          <w:szCs w:val="24"/>
          <w:shd w:val="clear" w:color="auto" w:fill="FFFFFF"/>
        </w:rPr>
        <w:t xml:space="preserve">approach the task of </w:t>
      </w:r>
      <w:r w:rsidR="00F270D4">
        <w:rPr>
          <w:rFonts w:ascii="Times New Roman" w:hAnsi="Times New Roman"/>
          <w:sz w:val="24"/>
          <w:szCs w:val="24"/>
        </w:rPr>
        <w:t xml:space="preserve">examining </w:t>
      </w:r>
      <w:r w:rsidR="00F270D4" w:rsidRPr="00FC5729">
        <w:rPr>
          <w:rFonts w:ascii="Times New Roman" w:hAnsi="Times New Roman"/>
          <w:sz w:val="24"/>
          <w:szCs w:val="24"/>
        </w:rPr>
        <w:t>the connection between fiduciary</w:t>
      </w:r>
      <w:r w:rsidR="00F270D4">
        <w:rPr>
          <w:rFonts w:ascii="Times New Roman" w:hAnsi="Times New Roman"/>
          <w:sz w:val="24"/>
          <w:szCs w:val="24"/>
        </w:rPr>
        <w:t xml:space="preserve"> law and entrepreneurial action from the other direction. </w:t>
      </w:r>
      <w:r w:rsidR="002A5D06">
        <w:rPr>
          <w:rFonts w:ascii="Times New Roman" w:hAnsi="Times New Roman"/>
          <w:sz w:val="24"/>
          <w:szCs w:val="24"/>
          <w:shd w:val="clear" w:color="auto" w:fill="FFFFFF"/>
        </w:rPr>
        <w:t>Our thesis is that t</w:t>
      </w:r>
      <w:r w:rsidR="002A5D06" w:rsidRPr="00FC5729">
        <w:rPr>
          <w:rFonts w:ascii="Times New Roman" w:hAnsi="Times New Roman"/>
          <w:sz w:val="24"/>
          <w:szCs w:val="24"/>
          <w:shd w:val="clear" w:color="auto" w:fill="FFFFFF"/>
        </w:rPr>
        <w:t xml:space="preserve">he </w:t>
      </w:r>
      <w:r w:rsidR="002A5D06" w:rsidRPr="00FC5729">
        <w:rPr>
          <w:rFonts w:ascii="Times New Roman" w:hAnsi="Times New Roman"/>
          <w:sz w:val="24"/>
          <w:szCs w:val="24"/>
        </w:rPr>
        <w:t>fundamental policy in U.S. law of promoting entrepreneurial action</w:t>
      </w:r>
      <w:r w:rsidR="002A5D06">
        <w:rPr>
          <w:rFonts w:ascii="Times New Roman" w:hAnsi="Times New Roman"/>
          <w:sz w:val="24"/>
          <w:szCs w:val="24"/>
          <w:shd w:val="clear" w:color="auto" w:fill="FFFFFF"/>
        </w:rPr>
        <w:t xml:space="preserve"> </w:t>
      </w:r>
      <w:r w:rsidRPr="00E834EE">
        <w:rPr>
          <w:rFonts w:ascii="Times New Roman" w:hAnsi="Times New Roman"/>
          <w:sz w:val="24"/>
          <w:szCs w:val="24"/>
          <w:shd w:val="clear" w:color="auto" w:fill="FFFFFF"/>
        </w:rPr>
        <w:t xml:space="preserve">has influenced the </w:t>
      </w:r>
      <w:r w:rsidR="00F270D4">
        <w:rPr>
          <w:rFonts w:ascii="Times New Roman" w:hAnsi="Times New Roman"/>
          <w:sz w:val="24"/>
          <w:szCs w:val="24"/>
          <w:shd w:val="clear" w:color="auto" w:fill="FFFFFF"/>
        </w:rPr>
        <w:t xml:space="preserve">structure </w:t>
      </w:r>
      <w:r w:rsidRPr="00E834EE">
        <w:rPr>
          <w:rFonts w:ascii="Times New Roman" w:hAnsi="Times New Roman"/>
          <w:sz w:val="24"/>
          <w:szCs w:val="24"/>
          <w:shd w:val="clear" w:color="auto" w:fill="FFFFFF"/>
        </w:rPr>
        <w:t xml:space="preserve">of </w:t>
      </w:r>
      <w:r w:rsidRPr="00E834EE">
        <w:rPr>
          <w:rFonts w:ascii="Times New Roman" w:hAnsi="Times New Roman"/>
          <w:sz w:val="24"/>
          <w:szCs w:val="24"/>
          <w:shd w:val="clear" w:color="auto" w:fill="FFFFFF"/>
        </w:rPr>
        <w:lastRenderedPageBreak/>
        <w:t>fiduciary law.</w:t>
      </w:r>
      <w:r w:rsidRPr="00E834EE">
        <w:rPr>
          <w:rStyle w:val="FootnoteReference"/>
          <w:rFonts w:ascii="Times New Roman" w:hAnsi="Times New Roman"/>
          <w:sz w:val="24"/>
          <w:szCs w:val="24"/>
          <w:shd w:val="clear" w:color="auto" w:fill="FFFFFF"/>
        </w:rPr>
        <w:footnoteReference w:id="24"/>
      </w:r>
      <w:r w:rsidRPr="00E834EE">
        <w:rPr>
          <w:rFonts w:ascii="Times New Roman" w:hAnsi="Times New Roman"/>
          <w:sz w:val="24"/>
          <w:szCs w:val="24"/>
          <w:shd w:val="clear" w:color="auto" w:fill="FFFFFF"/>
        </w:rPr>
        <w:t xml:space="preserve"> </w:t>
      </w:r>
      <w:r w:rsidR="002A5D06">
        <w:rPr>
          <w:rFonts w:ascii="Times New Roman" w:hAnsi="Times New Roman"/>
          <w:sz w:val="24"/>
          <w:szCs w:val="24"/>
          <w:shd w:val="clear" w:color="auto" w:fill="FFFFFF"/>
        </w:rPr>
        <w:t>In the argument that follows, we describe the structure of conflict regulation in various jurisdictions, establishing the uniqu</w:t>
      </w:r>
      <w:r w:rsidR="00F270D4">
        <w:rPr>
          <w:rFonts w:ascii="Times New Roman" w:hAnsi="Times New Roman"/>
          <w:sz w:val="24"/>
          <w:szCs w:val="24"/>
          <w:shd w:val="clear" w:color="auto" w:fill="FFFFFF"/>
        </w:rPr>
        <w:t>eness of the American approach, which seems designed to encourage entrepreneurial action.</w:t>
      </w:r>
    </w:p>
    <w:p w14:paraId="777E4C3B" w14:textId="77777777" w:rsidR="00B51DD0" w:rsidRPr="00FC5729" w:rsidRDefault="00B51DD0">
      <w:pPr>
        <w:spacing w:line="240" w:lineRule="auto"/>
        <w:rPr>
          <w:rFonts w:ascii="Times New Roman" w:hAnsi="Times New Roman"/>
          <w:sz w:val="24"/>
          <w:szCs w:val="24"/>
        </w:rPr>
      </w:pPr>
    </w:p>
    <w:p w14:paraId="081DB627" w14:textId="38E3B8BA" w:rsidR="00BC4D0E" w:rsidRPr="00FC5729" w:rsidRDefault="00BC4D0E" w:rsidP="00BC4D0E">
      <w:pPr>
        <w:pStyle w:val="TableofContents1"/>
      </w:pPr>
      <w:bookmarkStart w:id="6" w:name="_Toc418778892"/>
      <w:r w:rsidRPr="00FC5729">
        <w:t>Conflict</w:t>
      </w:r>
      <w:r w:rsidR="001D6CD2">
        <w:t xml:space="preserve"> Transactions</w:t>
      </w:r>
      <w:bookmarkEnd w:id="6"/>
    </w:p>
    <w:p w14:paraId="4AD41EFF" w14:textId="242519B0" w:rsidR="00254019" w:rsidRPr="00FC5729" w:rsidRDefault="00254019" w:rsidP="0042221D">
      <w:pPr>
        <w:spacing w:after="120" w:line="240" w:lineRule="auto"/>
        <w:ind w:firstLine="720"/>
        <w:jc w:val="both"/>
        <w:rPr>
          <w:rFonts w:ascii="Times New Roman" w:hAnsi="Times New Roman"/>
          <w:sz w:val="24"/>
          <w:szCs w:val="24"/>
        </w:rPr>
      </w:pPr>
      <w:r w:rsidRPr="00FC5729">
        <w:rPr>
          <w:rFonts w:ascii="Times New Roman" w:hAnsi="Times New Roman"/>
          <w:sz w:val="24"/>
          <w:szCs w:val="24"/>
        </w:rPr>
        <w:t>Firms are legal instruments that grease the wheels of entrepreneurial action by defining the roles of the various participants.</w:t>
      </w:r>
      <w:r w:rsidRPr="00FC5729">
        <w:rPr>
          <w:rStyle w:val="FootnoteReference"/>
          <w:rFonts w:ascii="Times New Roman" w:hAnsi="Times New Roman"/>
          <w:sz w:val="24"/>
          <w:szCs w:val="24"/>
        </w:rPr>
        <w:footnoteReference w:id="25"/>
      </w:r>
      <w:r w:rsidRPr="00FC5729">
        <w:rPr>
          <w:rFonts w:ascii="Times New Roman" w:hAnsi="Times New Roman"/>
          <w:sz w:val="24"/>
          <w:szCs w:val="24"/>
        </w:rPr>
        <w:t xml:space="preserve"> In this Article, we are particularly interested in circumstances when one participant acts on behalf of the firm or another participant in the firm. Although these circumstances </w:t>
      </w:r>
      <w:r w:rsidR="0042221D">
        <w:rPr>
          <w:rFonts w:ascii="Times New Roman" w:hAnsi="Times New Roman"/>
          <w:sz w:val="24"/>
          <w:szCs w:val="24"/>
        </w:rPr>
        <w:t xml:space="preserve">exist in </w:t>
      </w:r>
      <w:r w:rsidRPr="00FC5729">
        <w:rPr>
          <w:rFonts w:ascii="Times New Roman" w:hAnsi="Times New Roman"/>
          <w:sz w:val="24"/>
          <w:szCs w:val="24"/>
        </w:rPr>
        <w:t>a wide variety a legal forms</w:t>
      </w:r>
      <w:r w:rsidR="0042221D">
        <w:rPr>
          <w:rFonts w:ascii="Times New Roman" w:hAnsi="Times New Roman"/>
          <w:sz w:val="24"/>
          <w:szCs w:val="24"/>
        </w:rPr>
        <w:t>,</w:t>
      </w:r>
      <w:r w:rsidRPr="00FC5729">
        <w:rPr>
          <w:rFonts w:ascii="Times New Roman" w:hAnsi="Times New Roman"/>
          <w:sz w:val="24"/>
          <w:szCs w:val="24"/>
        </w:rPr>
        <w:t xml:space="preserve"> </w:t>
      </w:r>
      <w:r w:rsidR="0042221D">
        <w:rPr>
          <w:rFonts w:ascii="Times New Roman" w:hAnsi="Times New Roman"/>
          <w:sz w:val="24"/>
          <w:szCs w:val="24"/>
        </w:rPr>
        <w:t xml:space="preserve">we focus most of our attention on </w:t>
      </w:r>
      <w:r w:rsidR="0042221D" w:rsidRPr="00FC5729">
        <w:rPr>
          <w:rFonts w:ascii="Times New Roman" w:hAnsi="Times New Roman"/>
          <w:sz w:val="24"/>
          <w:szCs w:val="24"/>
        </w:rPr>
        <w:t xml:space="preserve">conflicts involving equity owners </w:t>
      </w:r>
      <w:r w:rsidR="0042221D">
        <w:rPr>
          <w:rFonts w:ascii="Times New Roman" w:hAnsi="Times New Roman"/>
          <w:sz w:val="24"/>
          <w:szCs w:val="24"/>
        </w:rPr>
        <w:t xml:space="preserve">of the most common business organizations. </w:t>
      </w:r>
      <w:r w:rsidR="0042221D" w:rsidRPr="00FC5729">
        <w:rPr>
          <w:rFonts w:ascii="Times New Roman" w:hAnsi="Times New Roman"/>
          <w:sz w:val="24"/>
          <w:szCs w:val="24"/>
        </w:rPr>
        <w:t xml:space="preserve">In the corporate context, these are conflicts among shareholders, but we also include conflicts among members of limited liability companies, </w:t>
      </w:r>
      <w:r w:rsidR="0042221D">
        <w:rPr>
          <w:rFonts w:ascii="Times New Roman" w:hAnsi="Times New Roman"/>
          <w:sz w:val="24"/>
          <w:szCs w:val="24"/>
        </w:rPr>
        <w:t xml:space="preserve">and conflicts among partners. These conflicts are sometimes mediated by </w:t>
      </w:r>
      <w:r w:rsidR="0042221D" w:rsidRPr="00FC5729">
        <w:rPr>
          <w:rFonts w:ascii="Times New Roman" w:hAnsi="Times New Roman"/>
          <w:sz w:val="24"/>
          <w:szCs w:val="24"/>
        </w:rPr>
        <w:t>a board of directors or comparable body</w:t>
      </w:r>
      <w:r w:rsidR="0042221D">
        <w:rPr>
          <w:rFonts w:ascii="Times New Roman" w:hAnsi="Times New Roman"/>
          <w:sz w:val="24"/>
          <w:szCs w:val="24"/>
        </w:rPr>
        <w:t xml:space="preserve"> of centralized managers</w:t>
      </w:r>
      <w:r w:rsidR="0042221D" w:rsidRPr="00FC5729">
        <w:rPr>
          <w:rFonts w:ascii="Times New Roman" w:hAnsi="Times New Roman"/>
          <w:sz w:val="24"/>
          <w:szCs w:val="24"/>
        </w:rPr>
        <w:t xml:space="preserve">, </w:t>
      </w:r>
      <w:r w:rsidR="0042221D">
        <w:rPr>
          <w:rFonts w:ascii="Times New Roman" w:hAnsi="Times New Roman"/>
          <w:sz w:val="24"/>
          <w:szCs w:val="24"/>
        </w:rPr>
        <w:t xml:space="preserve">so </w:t>
      </w:r>
      <w:r w:rsidR="0042221D" w:rsidRPr="00FC5729">
        <w:rPr>
          <w:rFonts w:ascii="Times New Roman" w:hAnsi="Times New Roman"/>
          <w:sz w:val="24"/>
          <w:szCs w:val="24"/>
        </w:rPr>
        <w:t xml:space="preserve">conflicts between the central manager and the </w:t>
      </w:r>
      <w:r w:rsidR="0042221D">
        <w:rPr>
          <w:rFonts w:ascii="Times New Roman" w:hAnsi="Times New Roman"/>
          <w:sz w:val="24"/>
          <w:szCs w:val="24"/>
        </w:rPr>
        <w:t xml:space="preserve">equity </w:t>
      </w:r>
      <w:r w:rsidR="0042221D" w:rsidRPr="00FC5729">
        <w:rPr>
          <w:rFonts w:ascii="Times New Roman" w:hAnsi="Times New Roman"/>
          <w:sz w:val="24"/>
          <w:szCs w:val="24"/>
        </w:rPr>
        <w:t>owners are also governed by conflict regulation.</w:t>
      </w:r>
      <w:r w:rsidR="0042221D" w:rsidRPr="00FC5729">
        <w:rPr>
          <w:rStyle w:val="FootnoteReference"/>
          <w:rFonts w:ascii="Times New Roman" w:hAnsi="Times New Roman"/>
          <w:sz w:val="24"/>
          <w:szCs w:val="24"/>
        </w:rPr>
        <w:footnoteReference w:id="26"/>
      </w:r>
      <w:r w:rsidR="0042221D">
        <w:rPr>
          <w:rFonts w:ascii="Times New Roman" w:hAnsi="Times New Roman"/>
          <w:sz w:val="24"/>
          <w:szCs w:val="24"/>
        </w:rPr>
        <w:t xml:space="preserve"> S</w:t>
      </w:r>
      <w:r w:rsidRPr="00FC5729">
        <w:rPr>
          <w:rFonts w:ascii="Times New Roman" w:hAnsi="Times New Roman"/>
          <w:sz w:val="24"/>
          <w:szCs w:val="24"/>
        </w:rPr>
        <w:t xml:space="preserve">cholars in all disciplines conceptualize </w:t>
      </w:r>
      <w:r w:rsidR="0042221D">
        <w:rPr>
          <w:rFonts w:ascii="Times New Roman" w:hAnsi="Times New Roman"/>
          <w:sz w:val="24"/>
          <w:szCs w:val="24"/>
        </w:rPr>
        <w:t xml:space="preserve">these </w:t>
      </w:r>
      <w:r w:rsidRPr="00FC5729">
        <w:rPr>
          <w:rFonts w:ascii="Times New Roman" w:hAnsi="Times New Roman"/>
          <w:sz w:val="24"/>
          <w:szCs w:val="24"/>
        </w:rPr>
        <w:lastRenderedPageBreak/>
        <w:t>interaction</w:t>
      </w:r>
      <w:r w:rsidR="0042221D">
        <w:rPr>
          <w:rFonts w:ascii="Times New Roman" w:hAnsi="Times New Roman"/>
          <w:sz w:val="24"/>
          <w:szCs w:val="24"/>
        </w:rPr>
        <w:t>s</w:t>
      </w:r>
      <w:r w:rsidRPr="00FC5729">
        <w:rPr>
          <w:rFonts w:ascii="Times New Roman" w:hAnsi="Times New Roman"/>
          <w:sz w:val="24"/>
          <w:szCs w:val="24"/>
        </w:rPr>
        <w:t xml:space="preserve"> as “agency relationship</w:t>
      </w:r>
      <w:r w:rsidR="0042221D">
        <w:rPr>
          <w:rFonts w:ascii="Times New Roman" w:hAnsi="Times New Roman"/>
          <w:sz w:val="24"/>
          <w:szCs w:val="24"/>
        </w:rPr>
        <w:t>s</w:t>
      </w:r>
      <w:r w:rsidRPr="00FC5729">
        <w:rPr>
          <w:rFonts w:ascii="Times New Roman" w:hAnsi="Times New Roman"/>
          <w:sz w:val="24"/>
          <w:szCs w:val="24"/>
        </w:rPr>
        <w:t>,”</w:t>
      </w:r>
      <w:r w:rsidRPr="00FC5729">
        <w:rPr>
          <w:rStyle w:val="FootnoteReference"/>
          <w:rFonts w:ascii="Times New Roman" w:hAnsi="Times New Roman"/>
          <w:sz w:val="24"/>
          <w:szCs w:val="24"/>
        </w:rPr>
        <w:footnoteReference w:id="27"/>
      </w:r>
      <w:r w:rsidRPr="00FC5729">
        <w:rPr>
          <w:rFonts w:ascii="Times New Roman" w:hAnsi="Times New Roman"/>
          <w:sz w:val="24"/>
          <w:szCs w:val="24"/>
        </w:rPr>
        <w:t xml:space="preserve"> analogizing to the law of agency.</w:t>
      </w:r>
      <w:r w:rsidRPr="00FC5729">
        <w:rPr>
          <w:rStyle w:val="FootnoteReference"/>
          <w:rFonts w:ascii="Times New Roman" w:hAnsi="Times New Roman"/>
          <w:sz w:val="24"/>
          <w:szCs w:val="24"/>
        </w:rPr>
        <w:footnoteReference w:id="28"/>
      </w:r>
    </w:p>
    <w:p w14:paraId="4399765C" w14:textId="77777777" w:rsidR="008932D5" w:rsidRPr="00FC5729" w:rsidRDefault="008932D5" w:rsidP="00254019">
      <w:pPr>
        <w:spacing w:after="120" w:line="240" w:lineRule="auto"/>
        <w:ind w:firstLine="720"/>
        <w:jc w:val="both"/>
        <w:rPr>
          <w:rFonts w:ascii="Times New Roman" w:hAnsi="Times New Roman"/>
          <w:sz w:val="24"/>
          <w:szCs w:val="24"/>
        </w:rPr>
      </w:pPr>
    </w:p>
    <w:p w14:paraId="506609E5" w14:textId="18C5767C" w:rsidR="004634E8" w:rsidRPr="00FC5729" w:rsidRDefault="004634E8" w:rsidP="005142D2">
      <w:pPr>
        <w:pStyle w:val="TableofContents2"/>
        <w:numPr>
          <w:ilvl w:val="0"/>
          <w:numId w:val="23"/>
        </w:numPr>
      </w:pPr>
      <w:bookmarkStart w:id="7" w:name="_Toc418778893"/>
      <w:r w:rsidRPr="00FC5729">
        <w:t>Inevitability of Conflict</w:t>
      </w:r>
      <w:bookmarkEnd w:id="7"/>
    </w:p>
    <w:p w14:paraId="2AA5D1BA" w14:textId="3690AE64" w:rsidR="00A66D83" w:rsidRPr="00FC5729" w:rsidRDefault="00A66D83" w:rsidP="002D13A9">
      <w:pPr>
        <w:spacing w:after="120" w:line="240" w:lineRule="auto"/>
        <w:ind w:firstLine="720"/>
        <w:jc w:val="both"/>
        <w:rPr>
          <w:rFonts w:ascii="Times New Roman" w:hAnsi="Times New Roman"/>
          <w:sz w:val="24"/>
          <w:szCs w:val="24"/>
        </w:rPr>
      </w:pPr>
      <w:r w:rsidRPr="00FC5729">
        <w:rPr>
          <w:rFonts w:ascii="Times New Roman" w:hAnsi="Times New Roman"/>
          <w:sz w:val="24"/>
          <w:szCs w:val="24"/>
        </w:rPr>
        <w:t>Implicit in the representative structure of an agency relationship is a grant of discretion by the principal to the agent. Thus, embedded within the decision to create a firm is a (</w:t>
      </w:r>
      <w:r w:rsidR="00544B5A" w:rsidRPr="00FC5729">
        <w:rPr>
          <w:rFonts w:ascii="Times New Roman" w:hAnsi="Times New Roman"/>
          <w:sz w:val="24"/>
          <w:szCs w:val="24"/>
        </w:rPr>
        <w:t xml:space="preserve">sometimes </w:t>
      </w:r>
      <w:r w:rsidRPr="00FC5729">
        <w:rPr>
          <w:rFonts w:ascii="Times New Roman" w:hAnsi="Times New Roman"/>
          <w:sz w:val="24"/>
          <w:szCs w:val="24"/>
        </w:rPr>
        <w:t>unconscious) decision to yield some control to other participants in the firm and to accept responsibility for their actions.</w:t>
      </w:r>
      <w:r w:rsidRPr="00FC5729">
        <w:rPr>
          <w:rStyle w:val="FootnoteReference"/>
          <w:rFonts w:ascii="Times New Roman" w:hAnsi="Times New Roman"/>
          <w:sz w:val="24"/>
          <w:szCs w:val="24"/>
        </w:rPr>
        <w:footnoteReference w:id="29"/>
      </w:r>
      <w:r w:rsidRPr="00FC5729">
        <w:rPr>
          <w:rFonts w:ascii="Times New Roman" w:hAnsi="Times New Roman"/>
          <w:sz w:val="24"/>
          <w:szCs w:val="24"/>
        </w:rPr>
        <w:t xml:space="preserve"> Although the agent’s discretion creates the potential for conflict between the principal and the agent, the grant of discretion is useful to the principal because it allows the principal to manage uncertainty. Therefore, the agent’s discretion “is not a bug, it’s a feature.”</w:t>
      </w:r>
      <w:r w:rsidRPr="00FC5729">
        <w:rPr>
          <w:rStyle w:val="FootnoteReference"/>
          <w:rFonts w:ascii="Times New Roman" w:hAnsi="Times New Roman"/>
          <w:sz w:val="24"/>
          <w:szCs w:val="24"/>
        </w:rPr>
        <w:footnoteReference w:id="30"/>
      </w:r>
    </w:p>
    <w:p w14:paraId="6854C9FE" w14:textId="306A1B32" w:rsidR="008019A6" w:rsidRDefault="00544B5A" w:rsidP="008019A6">
      <w:pPr>
        <w:spacing w:after="120" w:line="240" w:lineRule="auto"/>
        <w:ind w:firstLine="720"/>
        <w:jc w:val="both"/>
        <w:rPr>
          <w:rFonts w:ascii="Times New Roman" w:hAnsi="Times New Roman"/>
          <w:sz w:val="24"/>
          <w:szCs w:val="24"/>
        </w:rPr>
      </w:pPr>
      <w:r w:rsidRPr="00FC5729">
        <w:rPr>
          <w:rFonts w:ascii="Times New Roman" w:hAnsi="Times New Roman"/>
          <w:sz w:val="24"/>
          <w:szCs w:val="24"/>
        </w:rPr>
        <w:t>Legal rules and practices can facilitate the creation of agency relationships by constraining the agent’s discretion. Regulations expressly define the terms under which agency relationships are formed and establish default rules to govern interactions within those relationships, as well as interactions between agents and third parties.</w:t>
      </w:r>
      <w:r w:rsidRPr="00FC5729">
        <w:rPr>
          <w:rStyle w:val="FootnoteReference"/>
          <w:rFonts w:ascii="Times New Roman" w:hAnsi="Times New Roman"/>
          <w:sz w:val="24"/>
          <w:szCs w:val="24"/>
        </w:rPr>
        <w:footnoteReference w:id="31"/>
      </w:r>
      <w:r w:rsidRPr="00FC5729">
        <w:rPr>
          <w:rFonts w:ascii="Times New Roman" w:hAnsi="Times New Roman"/>
          <w:sz w:val="24"/>
          <w:szCs w:val="24"/>
        </w:rPr>
        <w:t xml:space="preserve"> In addition, the parties to an agency relationship may enter into contracts overriding the regulatory default rules or lending clarity to their execution. Even </w:t>
      </w:r>
      <w:r w:rsidRPr="00FC5729">
        <w:rPr>
          <w:rFonts w:ascii="Times New Roman" w:hAnsi="Times New Roman"/>
          <w:sz w:val="24"/>
          <w:szCs w:val="24"/>
        </w:rPr>
        <w:lastRenderedPageBreak/>
        <w:t xml:space="preserve">after accounting for regulatory and contractual constraints, the agent will necessarily retain some residual discretion. This discretion is the </w:t>
      </w:r>
      <w:r w:rsidR="00E77946" w:rsidRPr="00FC5729">
        <w:rPr>
          <w:rFonts w:ascii="Times New Roman" w:hAnsi="Times New Roman"/>
          <w:sz w:val="24"/>
          <w:szCs w:val="24"/>
        </w:rPr>
        <w:t xml:space="preserve">incubator for conflict transactions. </w:t>
      </w:r>
    </w:p>
    <w:p w14:paraId="19513C94" w14:textId="0FD066A4" w:rsidR="00405718" w:rsidRPr="00FC5729" w:rsidRDefault="00405718" w:rsidP="008019A6">
      <w:pPr>
        <w:spacing w:after="120" w:line="240" w:lineRule="auto"/>
        <w:ind w:firstLine="720"/>
        <w:jc w:val="both"/>
        <w:rPr>
          <w:rFonts w:ascii="Times New Roman" w:hAnsi="Times New Roman"/>
          <w:sz w:val="24"/>
          <w:szCs w:val="24"/>
        </w:rPr>
      </w:pPr>
      <w:r w:rsidRPr="00FC5729">
        <w:rPr>
          <w:rFonts w:ascii="Times New Roman" w:hAnsi="Times New Roman"/>
          <w:sz w:val="24"/>
          <w:szCs w:val="24"/>
        </w:rPr>
        <w:t>Conflict transactions are viewed with varying degrees of skepticism by courts and commentators, but all agree that some conflict transactions are inevitable.</w:t>
      </w:r>
      <w:r w:rsidRPr="00FC5729">
        <w:rPr>
          <w:rStyle w:val="FootnoteReference"/>
          <w:rFonts w:ascii="Times New Roman" w:hAnsi="Times New Roman"/>
          <w:sz w:val="24"/>
          <w:szCs w:val="24"/>
        </w:rPr>
        <w:footnoteReference w:id="32"/>
      </w:r>
      <w:r w:rsidRPr="00FC5729">
        <w:rPr>
          <w:rFonts w:ascii="Times New Roman" w:hAnsi="Times New Roman"/>
          <w:sz w:val="24"/>
          <w:szCs w:val="24"/>
        </w:rPr>
        <w:t xml:space="preserve"> In addition, many conflict transactions are valuable to the companies,</w:t>
      </w:r>
      <w:r w:rsidRPr="00FC5729">
        <w:rPr>
          <w:rStyle w:val="FootnoteReference"/>
          <w:rFonts w:ascii="Times New Roman" w:hAnsi="Times New Roman"/>
          <w:sz w:val="24"/>
          <w:szCs w:val="24"/>
        </w:rPr>
        <w:footnoteReference w:id="33"/>
      </w:r>
      <w:r w:rsidRPr="00FC5729">
        <w:rPr>
          <w:rFonts w:ascii="Times New Roman" w:hAnsi="Times New Roman"/>
          <w:sz w:val="24"/>
          <w:szCs w:val="24"/>
        </w:rPr>
        <w:t xml:space="preserve"> especially small firms.</w:t>
      </w:r>
      <w:r w:rsidRPr="00FC5729">
        <w:rPr>
          <w:rStyle w:val="FootnoteReference"/>
          <w:rFonts w:ascii="Times New Roman" w:hAnsi="Times New Roman"/>
          <w:sz w:val="24"/>
          <w:szCs w:val="24"/>
        </w:rPr>
        <w:footnoteReference w:id="34"/>
      </w:r>
      <w:r w:rsidRPr="00FC5729">
        <w:rPr>
          <w:rFonts w:ascii="Times New Roman" w:hAnsi="Times New Roman"/>
          <w:sz w:val="24"/>
          <w:szCs w:val="24"/>
        </w:rPr>
        <w:t xml:space="preserve"> And in a startup environment like Silicon Valley, conflict transactions may be essential to the health of the ecosystem.</w:t>
      </w:r>
      <w:r w:rsidRPr="00FC5729">
        <w:rPr>
          <w:rStyle w:val="FootnoteReference"/>
          <w:rFonts w:ascii="Times New Roman" w:hAnsi="Times New Roman"/>
          <w:sz w:val="24"/>
          <w:szCs w:val="24"/>
        </w:rPr>
        <w:footnoteReference w:id="35"/>
      </w:r>
    </w:p>
    <w:p w14:paraId="42FF0F0F" w14:textId="050DEBB9" w:rsidR="002700B9" w:rsidRPr="00FC5729" w:rsidRDefault="002700B9">
      <w:pPr>
        <w:spacing w:line="240" w:lineRule="auto"/>
        <w:rPr>
          <w:rFonts w:ascii="Times New Roman" w:hAnsi="Times New Roman"/>
          <w:sz w:val="24"/>
          <w:szCs w:val="24"/>
        </w:rPr>
      </w:pPr>
    </w:p>
    <w:p w14:paraId="75FC5B26" w14:textId="18190239" w:rsidR="004634E8" w:rsidRPr="00FC5729" w:rsidRDefault="001D6CD2" w:rsidP="005142D2">
      <w:pPr>
        <w:pStyle w:val="TableofContents2"/>
      </w:pPr>
      <w:bookmarkStart w:id="8" w:name="_Toc418778894"/>
      <w:r>
        <w:t>Displacement and Advancement</w:t>
      </w:r>
      <w:bookmarkEnd w:id="8"/>
    </w:p>
    <w:p w14:paraId="2E17AB08" w14:textId="2AD7B51E" w:rsidR="00E77946" w:rsidRPr="001D6CD2" w:rsidRDefault="00950F2E" w:rsidP="0095108F">
      <w:pPr>
        <w:spacing w:after="120" w:line="240" w:lineRule="auto"/>
        <w:ind w:firstLine="720"/>
        <w:jc w:val="both"/>
        <w:rPr>
          <w:rFonts w:ascii="Times New Roman" w:hAnsi="Times New Roman"/>
          <w:sz w:val="24"/>
          <w:szCs w:val="24"/>
        </w:rPr>
      </w:pPr>
      <w:r>
        <w:rPr>
          <w:rFonts w:ascii="Times New Roman" w:hAnsi="Times New Roman"/>
          <w:sz w:val="24"/>
          <w:szCs w:val="24"/>
        </w:rPr>
        <w:t>C</w:t>
      </w:r>
      <w:r w:rsidR="004D5AF2" w:rsidRPr="00FC5729">
        <w:rPr>
          <w:rFonts w:ascii="Times New Roman" w:hAnsi="Times New Roman"/>
          <w:sz w:val="24"/>
          <w:szCs w:val="24"/>
        </w:rPr>
        <w:t>onflicts between principals and agents</w:t>
      </w:r>
      <w:r w:rsidR="008C05A9">
        <w:rPr>
          <w:rFonts w:ascii="Times New Roman" w:hAnsi="Times New Roman"/>
          <w:sz w:val="24"/>
          <w:szCs w:val="24"/>
        </w:rPr>
        <w:t xml:space="preserve"> can be classified along several dimensions. The most common scheme distinguishes </w:t>
      </w:r>
      <w:r w:rsidR="00267806">
        <w:rPr>
          <w:rFonts w:ascii="Times New Roman" w:hAnsi="Times New Roman"/>
          <w:sz w:val="24"/>
          <w:szCs w:val="24"/>
        </w:rPr>
        <w:t xml:space="preserve">broadly between </w:t>
      </w:r>
      <w:r w:rsidR="008C05A9">
        <w:rPr>
          <w:rFonts w:ascii="Times New Roman" w:hAnsi="Times New Roman"/>
          <w:sz w:val="24"/>
          <w:szCs w:val="24"/>
        </w:rPr>
        <w:t>issues of loyalty and performance</w:t>
      </w:r>
      <w:r w:rsidR="002B7FAE">
        <w:rPr>
          <w:rFonts w:ascii="Times New Roman" w:hAnsi="Times New Roman"/>
          <w:sz w:val="24"/>
          <w:szCs w:val="24"/>
        </w:rPr>
        <w:t>, with the former being regulated by fiduciary law and the latter primarily by contract law or the duty of care.</w:t>
      </w:r>
      <w:r w:rsidR="008C05A9">
        <w:rPr>
          <w:rStyle w:val="FootnoteReference"/>
          <w:sz w:val="24"/>
          <w:szCs w:val="24"/>
        </w:rPr>
        <w:footnoteReference w:id="36"/>
      </w:r>
      <w:r w:rsidR="008C05A9">
        <w:rPr>
          <w:rFonts w:ascii="Times New Roman" w:hAnsi="Times New Roman"/>
          <w:sz w:val="24"/>
          <w:szCs w:val="24"/>
        </w:rPr>
        <w:t xml:space="preserve"> </w:t>
      </w:r>
      <w:r w:rsidR="00E77946" w:rsidRPr="00FC5729">
        <w:rPr>
          <w:rFonts w:ascii="Times New Roman" w:hAnsi="Times New Roman"/>
          <w:sz w:val="24"/>
          <w:szCs w:val="24"/>
        </w:rPr>
        <w:t>C</w:t>
      </w:r>
      <w:r w:rsidR="00A25406" w:rsidRPr="00FC5729">
        <w:rPr>
          <w:rFonts w:ascii="Times New Roman" w:hAnsi="Times New Roman"/>
          <w:sz w:val="24"/>
          <w:szCs w:val="24"/>
        </w:rPr>
        <w:t>ourts and c</w:t>
      </w:r>
      <w:r w:rsidR="00E77946" w:rsidRPr="00FC5729">
        <w:rPr>
          <w:rFonts w:ascii="Times New Roman" w:hAnsi="Times New Roman"/>
          <w:sz w:val="24"/>
          <w:szCs w:val="24"/>
        </w:rPr>
        <w:t>ommentators</w:t>
      </w:r>
      <w:r w:rsidR="00846BE7" w:rsidRPr="00FC5729">
        <w:rPr>
          <w:rFonts w:ascii="Times New Roman" w:hAnsi="Times New Roman"/>
          <w:sz w:val="24"/>
          <w:szCs w:val="24"/>
        </w:rPr>
        <w:t xml:space="preserve"> in Commonwealth jurisdictions</w:t>
      </w:r>
      <w:r w:rsidR="001B6F80" w:rsidRPr="00FC5729">
        <w:rPr>
          <w:rFonts w:ascii="Times New Roman" w:hAnsi="Times New Roman"/>
          <w:sz w:val="24"/>
          <w:szCs w:val="24"/>
        </w:rPr>
        <w:t xml:space="preserve"> sometimes </w:t>
      </w:r>
      <w:r w:rsidR="00E77946" w:rsidRPr="00FC5729">
        <w:rPr>
          <w:rFonts w:ascii="Times New Roman" w:hAnsi="Times New Roman"/>
          <w:sz w:val="24"/>
          <w:szCs w:val="24"/>
        </w:rPr>
        <w:t>distinguish conflict of duty and interest</w:t>
      </w:r>
      <w:r w:rsidR="00F270D4">
        <w:rPr>
          <w:rFonts w:ascii="Times New Roman" w:hAnsi="Times New Roman"/>
          <w:sz w:val="24"/>
          <w:szCs w:val="24"/>
        </w:rPr>
        <w:t>, one the one hand,</w:t>
      </w:r>
      <w:r w:rsidR="002B7FAE">
        <w:rPr>
          <w:rFonts w:ascii="Times New Roman" w:hAnsi="Times New Roman"/>
          <w:sz w:val="24"/>
          <w:szCs w:val="24"/>
        </w:rPr>
        <w:t xml:space="preserve"> and</w:t>
      </w:r>
      <w:r w:rsidR="002B7FAE" w:rsidRPr="00FC5729">
        <w:rPr>
          <w:rFonts w:ascii="Times New Roman" w:hAnsi="Times New Roman"/>
          <w:sz w:val="24"/>
          <w:szCs w:val="24"/>
        </w:rPr>
        <w:t xml:space="preserve"> </w:t>
      </w:r>
      <w:r w:rsidR="00E77946" w:rsidRPr="00FC5729">
        <w:rPr>
          <w:rFonts w:ascii="Times New Roman" w:hAnsi="Times New Roman"/>
          <w:sz w:val="24"/>
          <w:szCs w:val="24"/>
        </w:rPr>
        <w:t>conflict of duty and duty</w:t>
      </w:r>
      <w:r w:rsidR="00F270D4">
        <w:rPr>
          <w:rFonts w:ascii="Times New Roman" w:hAnsi="Times New Roman"/>
          <w:sz w:val="24"/>
          <w:szCs w:val="24"/>
        </w:rPr>
        <w:t xml:space="preserve">, </w:t>
      </w:r>
      <w:r w:rsidR="00F270D4">
        <w:rPr>
          <w:rFonts w:ascii="Times New Roman" w:hAnsi="Times New Roman"/>
          <w:sz w:val="24"/>
          <w:szCs w:val="24"/>
        </w:rPr>
        <w:lastRenderedPageBreak/>
        <w:t>on the other</w:t>
      </w:r>
      <w:r w:rsidR="00E77946" w:rsidRPr="00FC5729">
        <w:rPr>
          <w:rFonts w:ascii="Times New Roman" w:hAnsi="Times New Roman"/>
          <w:sz w:val="24"/>
          <w:szCs w:val="24"/>
        </w:rPr>
        <w:t>.</w:t>
      </w:r>
      <w:r w:rsidR="00A25406" w:rsidRPr="00FC5729">
        <w:rPr>
          <w:rStyle w:val="FootnoteReference"/>
          <w:rFonts w:ascii="Times New Roman" w:hAnsi="Times New Roman"/>
          <w:sz w:val="24"/>
          <w:szCs w:val="24"/>
        </w:rPr>
        <w:footnoteReference w:id="37"/>
      </w:r>
      <w:r w:rsidR="00E77946" w:rsidRPr="00FC5729">
        <w:rPr>
          <w:rFonts w:ascii="Times New Roman" w:hAnsi="Times New Roman"/>
          <w:sz w:val="24"/>
          <w:szCs w:val="24"/>
        </w:rPr>
        <w:t xml:space="preserve"> Conflicts of duty and interest include traditional self-dealing</w:t>
      </w:r>
      <w:r w:rsidR="0086520B" w:rsidRPr="00FC5729">
        <w:rPr>
          <w:rFonts w:ascii="Times New Roman" w:hAnsi="Times New Roman"/>
          <w:sz w:val="24"/>
          <w:szCs w:val="24"/>
        </w:rPr>
        <w:t xml:space="preserve"> (the purchase or sale of services or assets by related parties)</w:t>
      </w:r>
      <w:r w:rsidR="00E77946" w:rsidRPr="00FC5729">
        <w:rPr>
          <w:rFonts w:ascii="Times New Roman" w:hAnsi="Times New Roman"/>
          <w:sz w:val="24"/>
          <w:szCs w:val="24"/>
        </w:rPr>
        <w:t xml:space="preserve">, </w:t>
      </w:r>
      <w:r w:rsidR="0095108F" w:rsidRPr="00FC5729">
        <w:rPr>
          <w:rFonts w:ascii="Times New Roman" w:hAnsi="Times New Roman"/>
          <w:sz w:val="24"/>
          <w:szCs w:val="24"/>
        </w:rPr>
        <w:t>minority oppression,</w:t>
      </w:r>
      <w:r w:rsidR="0095108F" w:rsidRPr="00FC5729">
        <w:rPr>
          <w:rStyle w:val="FootnoteReference"/>
          <w:rFonts w:ascii="Times New Roman" w:hAnsi="Times New Roman"/>
          <w:sz w:val="24"/>
          <w:szCs w:val="24"/>
        </w:rPr>
        <w:footnoteReference w:id="38"/>
      </w:r>
      <w:r w:rsidR="0095108F" w:rsidRPr="00FC5729">
        <w:rPr>
          <w:rFonts w:ascii="Times New Roman" w:hAnsi="Times New Roman"/>
          <w:sz w:val="24"/>
          <w:szCs w:val="24"/>
        </w:rPr>
        <w:t xml:space="preserve"> </w:t>
      </w:r>
      <w:r w:rsidR="0086520B" w:rsidRPr="00FC5729">
        <w:rPr>
          <w:rFonts w:ascii="Times New Roman" w:hAnsi="Times New Roman"/>
          <w:sz w:val="24"/>
          <w:szCs w:val="24"/>
        </w:rPr>
        <w:t>appropriation of company opportunities, and various forms of misconduct collected under the label “tunneling.”</w:t>
      </w:r>
      <w:r w:rsidR="0086520B" w:rsidRPr="00FC5729">
        <w:rPr>
          <w:rStyle w:val="FootnoteReference"/>
          <w:rFonts w:ascii="Times New Roman" w:hAnsi="Times New Roman"/>
          <w:sz w:val="24"/>
          <w:szCs w:val="24"/>
        </w:rPr>
        <w:footnoteReference w:id="39"/>
      </w:r>
      <w:r w:rsidR="00BC4D0E" w:rsidRPr="00FC5729">
        <w:rPr>
          <w:rFonts w:ascii="Times New Roman" w:hAnsi="Times New Roman"/>
          <w:sz w:val="24"/>
          <w:szCs w:val="24"/>
        </w:rPr>
        <w:t xml:space="preserve"> Conflic</w:t>
      </w:r>
      <w:r w:rsidR="00537381" w:rsidRPr="00FC5729">
        <w:rPr>
          <w:rFonts w:ascii="Times New Roman" w:hAnsi="Times New Roman"/>
          <w:sz w:val="24"/>
          <w:szCs w:val="24"/>
        </w:rPr>
        <w:t>ts of duty and duty occur when a fiduciary is serving heterogeneous beneficiaries or when fiduciary duty conflicts with a non-fiduciary duty, such as a contractual duty.</w:t>
      </w:r>
      <w:r w:rsidR="002B7FAE" w:rsidRPr="00FC5729">
        <w:rPr>
          <w:rStyle w:val="FootnoteReference"/>
          <w:rFonts w:ascii="Times New Roman" w:hAnsi="Times New Roman"/>
          <w:sz w:val="24"/>
          <w:szCs w:val="24"/>
        </w:rPr>
        <w:footnoteReference w:id="40"/>
      </w:r>
      <w:r w:rsidR="00537381" w:rsidRPr="00FC5729">
        <w:rPr>
          <w:rFonts w:ascii="Times New Roman" w:hAnsi="Times New Roman"/>
          <w:sz w:val="24"/>
          <w:szCs w:val="24"/>
        </w:rPr>
        <w:t xml:space="preserve"> </w:t>
      </w:r>
      <w:r w:rsidR="00192CDF">
        <w:rPr>
          <w:rFonts w:ascii="Times New Roman" w:hAnsi="Times New Roman"/>
          <w:sz w:val="24"/>
          <w:szCs w:val="24"/>
        </w:rPr>
        <w:t>T</w:t>
      </w:r>
      <w:r w:rsidR="00E77946" w:rsidRPr="00FC5729">
        <w:rPr>
          <w:rFonts w:ascii="Times New Roman" w:hAnsi="Times New Roman"/>
          <w:sz w:val="24"/>
          <w:szCs w:val="24"/>
        </w:rPr>
        <w:t>his Article</w:t>
      </w:r>
      <w:r w:rsidR="00192CDF">
        <w:rPr>
          <w:rFonts w:ascii="Times New Roman" w:hAnsi="Times New Roman"/>
          <w:sz w:val="24"/>
          <w:szCs w:val="24"/>
        </w:rPr>
        <w:t xml:space="preserve"> focuses on issues of loyalty representing conflicts</w:t>
      </w:r>
      <w:r w:rsidR="00A537AC">
        <w:rPr>
          <w:rFonts w:ascii="Times New Roman" w:hAnsi="Times New Roman"/>
          <w:sz w:val="24"/>
          <w:szCs w:val="24"/>
        </w:rPr>
        <w:t xml:space="preserve"> of duty and interest, but w</w:t>
      </w:r>
      <w:r w:rsidR="00192CDF">
        <w:rPr>
          <w:rFonts w:ascii="Times New Roman" w:hAnsi="Times New Roman"/>
          <w:sz w:val="24"/>
          <w:szCs w:val="24"/>
        </w:rPr>
        <w:t xml:space="preserve">ithin this set of conflicts is a </w:t>
      </w:r>
      <w:r w:rsidR="001D6CD2">
        <w:rPr>
          <w:rFonts w:ascii="Times New Roman" w:hAnsi="Times New Roman"/>
          <w:sz w:val="24"/>
          <w:szCs w:val="24"/>
        </w:rPr>
        <w:t xml:space="preserve">further </w:t>
      </w:r>
      <w:r w:rsidR="00192CDF">
        <w:rPr>
          <w:rFonts w:ascii="Times New Roman" w:hAnsi="Times New Roman"/>
          <w:sz w:val="24"/>
          <w:szCs w:val="24"/>
        </w:rPr>
        <w:t xml:space="preserve">distinction that is revealed by approaching the subject from the perspective of entrepreneurial action, namely, the distinction between </w:t>
      </w:r>
      <w:r w:rsidR="00192CDF">
        <w:rPr>
          <w:rFonts w:ascii="Times New Roman" w:hAnsi="Times New Roman"/>
          <w:i/>
          <w:sz w:val="24"/>
          <w:szCs w:val="24"/>
        </w:rPr>
        <w:t>displacement</w:t>
      </w:r>
      <w:r w:rsidR="00192CDF">
        <w:rPr>
          <w:rFonts w:ascii="Times New Roman" w:hAnsi="Times New Roman"/>
          <w:sz w:val="24"/>
          <w:szCs w:val="24"/>
        </w:rPr>
        <w:t xml:space="preserve"> and </w:t>
      </w:r>
      <w:r w:rsidR="001D6CD2">
        <w:rPr>
          <w:rFonts w:ascii="Times New Roman" w:hAnsi="Times New Roman"/>
          <w:i/>
          <w:sz w:val="24"/>
          <w:szCs w:val="24"/>
        </w:rPr>
        <w:t>advancement</w:t>
      </w:r>
      <w:r w:rsidR="001D6CD2">
        <w:rPr>
          <w:rFonts w:ascii="Times New Roman" w:hAnsi="Times New Roman"/>
          <w:sz w:val="24"/>
          <w:szCs w:val="24"/>
        </w:rPr>
        <w:t>.</w:t>
      </w:r>
    </w:p>
    <w:p w14:paraId="052824C3" w14:textId="2C40905A" w:rsidR="00A537AC" w:rsidRDefault="001D6CD2" w:rsidP="005305DA">
      <w:pPr>
        <w:spacing w:after="120" w:line="240" w:lineRule="auto"/>
        <w:ind w:firstLine="720"/>
        <w:jc w:val="both"/>
        <w:rPr>
          <w:rFonts w:ascii="Times New Roman" w:hAnsi="Times New Roman"/>
          <w:sz w:val="24"/>
          <w:szCs w:val="24"/>
        </w:rPr>
      </w:pPr>
      <w:r>
        <w:rPr>
          <w:rFonts w:ascii="Times New Roman" w:hAnsi="Times New Roman"/>
          <w:sz w:val="24"/>
          <w:szCs w:val="24"/>
        </w:rPr>
        <w:t>D</w:t>
      </w:r>
      <w:r w:rsidRPr="001D6CD2">
        <w:rPr>
          <w:rFonts w:ascii="Times New Roman" w:hAnsi="Times New Roman"/>
          <w:sz w:val="24"/>
          <w:szCs w:val="24"/>
        </w:rPr>
        <w:t xml:space="preserve">isplacement </w:t>
      </w:r>
      <w:r>
        <w:rPr>
          <w:rFonts w:ascii="Times New Roman" w:hAnsi="Times New Roman"/>
          <w:sz w:val="24"/>
          <w:szCs w:val="24"/>
        </w:rPr>
        <w:t xml:space="preserve">occurs when a fiduciary appropriates something </w:t>
      </w:r>
      <w:r w:rsidR="00A537AC">
        <w:rPr>
          <w:rFonts w:ascii="Times New Roman" w:hAnsi="Times New Roman"/>
          <w:sz w:val="24"/>
          <w:szCs w:val="24"/>
        </w:rPr>
        <w:t xml:space="preserve">of value </w:t>
      </w:r>
      <w:r>
        <w:rPr>
          <w:rFonts w:ascii="Times New Roman" w:hAnsi="Times New Roman"/>
          <w:sz w:val="24"/>
          <w:szCs w:val="24"/>
        </w:rPr>
        <w:t xml:space="preserve">that belongs to a beneficiary, </w:t>
      </w:r>
      <w:r w:rsidR="008C7642">
        <w:rPr>
          <w:rFonts w:ascii="Times New Roman" w:hAnsi="Times New Roman"/>
          <w:sz w:val="24"/>
          <w:szCs w:val="24"/>
        </w:rPr>
        <w:t xml:space="preserve">including property, </w:t>
      </w:r>
      <w:r>
        <w:rPr>
          <w:rFonts w:ascii="Times New Roman" w:hAnsi="Times New Roman"/>
          <w:sz w:val="24"/>
          <w:szCs w:val="24"/>
        </w:rPr>
        <w:t>profits</w:t>
      </w:r>
      <w:r w:rsidR="008C7642">
        <w:rPr>
          <w:rFonts w:ascii="Times New Roman" w:hAnsi="Times New Roman"/>
          <w:sz w:val="24"/>
          <w:szCs w:val="24"/>
        </w:rPr>
        <w:t xml:space="preserve">, or opportunities. </w:t>
      </w:r>
      <w:r w:rsidR="00A537AC">
        <w:rPr>
          <w:rFonts w:ascii="Times New Roman" w:hAnsi="Times New Roman"/>
          <w:sz w:val="24"/>
          <w:szCs w:val="24"/>
        </w:rPr>
        <w:t xml:space="preserve">The key feature of a displacement transaction is that the fiduciary merely replaces the </w:t>
      </w:r>
      <w:r w:rsidR="00A537AC">
        <w:rPr>
          <w:rFonts w:ascii="Times New Roman" w:hAnsi="Times New Roman"/>
          <w:sz w:val="24"/>
          <w:szCs w:val="24"/>
        </w:rPr>
        <w:lastRenderedPageBreak/>
        <w:t>beneficiary as the recipient of value. The fiduciary’s appropriation does not, in itself, create additional value. By contrast a</w:t>
      </w:r>
      <w:r w:rsidRPr="001D6CD2">
        <w:rPr>
          <w:rFonts w:ascii="Times New Roman" w:hAnsi="Times New Roman"/>
          <w:sz w:val="24"/>
          <w:szCs w:val="24"/>
        </w:rPr>
        <w:t>dvancement</w:t>
      </w:r>
      <w:r w:rsidR="008C7642">
        <w:rPr>
          <w:rFonts w:ascii="Times New Roman" w:hAnsi="Times New Roman"/>
          <w:sz w:val="24"/>
          <w:szCs w:val="24"/>
        </w:rPr>
        <w:t xml:space="preserve"> occurs when a fiduciary engages in a transaction that otherwise </w:t>
      </w:r>
      <w:r w:rsidR="00D52F3F">
        <w:rPr>
          <w:rFonts w:ascii="Times New Roman" w:hAnsi="Times New Roman"/>
          <w:sz w:val="24"/>
          <w:szCs w:val="24"/>
        </w:rPr>
        <w:t xml:space="preserve">might </w:t>
      </w:r>
      <w:r w:rsidR="008C7642">
        <w:rPr>
          <w:rFonts w:ascii="Times New Roman" w:hAnsi="Times New Roman"/>
          <w:sz w:val="24"/>
          <w:szCs w:val="24"/>
        </w:rPr>
        <w:t xml:space="preserve">not </w:t>
      </w:r>
      <w:r w:rsidR="00D52F3F">
        <w:rPr>
          <w:rFonts w:ascii="Times New Roman" w:hAnsi="Times New Roman"/>
          <w:sz w:val="24"/>
          <w:szCs w:val="24"/>
        </w:rPr>
        <w:t xml:space="preserve">occur, </w:t>
      </w:r>
      <w:r w:rsidR="00A537AC">
        <w:rPr>
          <w:rFonts w:ascii="Times New Roman" w:hAnsi="Times New Roman"/>
          <w:sz w:val="24"/>
          <w:szCs w:val="24"/>
        </w:rPr>
        <w:t>but has the potential to create value for the beneficiary. C</w:t>
      </w:r>
      <w:r w:rsidR="00D52F3F">
        <w:rPr>
          <w:rFonts w:ascii="Times New Roman" w:hAnsi="Times New Roman"/>
          <w:sz w:val="24"/>
          <w:szCs w:val="24"/>
        </w:rPr>
        <w:t>la</w:t>
      </w:r>
      <w:r w:rsidR="00A537AC">
        <w:rPr>
          <w:rFonts w:ascii="Times New Roman" w:hAnsi="Times New Roman"/>
          <w:sz w:val="24"/>
          <w:szCs w:val="24"/>
        </w:rPr>
        <w:t>ssic self-dealing transactions have this feature.</w:t>
      </w:r>
    </w:p>
    <w:p w14:paraId="7CF25BD1" w14:textId="1CA871F2" w:rsidR="004634E8" w:rsidRPr="00D52F3F" w:rsidRDefault="00A537AC" w:rsidP="005305DA">
      <w:pPr>
        <w:spacing w:after="120" w:line="240" w:lineRule="auto"/>
        <w:ind w:firstLine="720"/>
        <w:jc w:val="both"/>
        <w:rPr>
          <w:rFonts w:ascii="Times New Roman" w:hAnsi="Times New Roman"/>
          <w:sz w:val="24"/>
          <w:szCs w:val="24"/>
        </w:rPr>
      </w:pPr>
      <w:r>
        <w:rPr>
          <w:rFonts w:ascii="Times New Roman" w:hAnsi="Times New Roman"/>
          <w:sz w:val="24"/>
          <w:szCs w:val="24"/>
        </w:rPr>
        <w:t>The</w:t>
      </w:r>
      <w:r w:rsidR="00D52F3F">
        <w:rPr>
          <w:rFonts w:ascii="Times New Roman" w:hAnsi="Times New Roman"/>
          <w:sz w:val="24"/>
          <w:szCs w:val="24"/>
        </w:rPr>
        <w:t xml:space="preserve"> dichotomy </w:t>
      </w:r>
      <w:r>
        <w:rPr>
          <w:rFonts w:ascii="Times New Roman" w:hAnsi="Times New Roman"/>
          <w:sz w:val="24"/>
          <w:szCs w:val="24"/>
        </w:rPr>
        <w:t xml:space="preserve">between displacement and advancement </w:t>
      </w:r>
      <w:r w:rsidR="00D52F3F">
        <w:rPr>
          <w:rFonts w:ascii="Times New Roman" w:hAnsi="Times New Roman"/>
          <w:sz w:val="24"/>
          <w:szCs w:val="24"/>
        </w:rPr>
        <w:t xml:space="preserve">is reflected in </w:t>
      </w:r>
      <w:r w:rsidR="00726B9D">
        <w:rPr>
          <w:rFonts w:ascii="Times New Roman" w:hAnsi="Times New Roman"/>
          <w:sz w:val="24"/>
          <w:szCs w:val="24"/>
        </w:rPr>
        <w:t xml:space="preserve">what Commonwealth lawyers describe as </w:t>
      </w:r>
      <w:r w:rsidR="00CF1F04" w:rsidRPr="00FC5729">
        <w:rPr>
          <w:rFonts w:ascii="Times New Roman" w:hAnsi="Times New Roman"/>
          <w:sz w:val="24"/>
          <w:szCs w:val="24"/>
        </w:rPr>
        <w:t xml:space="preserve">two </w:t>
      </w:r>
      <w:r w:rsidR="00D52F3F">
        <w:rPr>
          <w:rFonts w:ascii="Times New Roman" w:hAnsi="Times New Roman"/>
          <w:sz w:val="24"/>
          <w:szCs w:val="24"/>
        </w:rPr>
        <w:t>pillars of conflict regulation, the “</w:t>
      </w:r>
      <w:r w:rsidR="00D52F3F" w:rsidRPr="00FC5729">
        <w:rPr>
          <w:rFonts w:ascii="Times New Roman" w:hAnsi="Times New Roman"/>
          <w:sz w:val="24"/>
          <w:szCs w:val="24"/>
        </w:rPr>
        <w:t>no-profit rule</w:t>
      </w:r>
      <w:r w:rsidR="00D52F3F">
        <w:rPr>
          <w:rFonts w:ascii="Times New Roman" w:hAnsi="Times New Roman"/>
          <w:sz w:val="24"/>
          <w:szCs w:val="24"/>
        </w:rPr>
        <w:t>” and</w:t>
      </w:r>
      <w:r w:rsidR="00D52F3F" w:rsidRPr="00FC5729">
        <w:rPr>
          <w:rFonts w:ascii="Times New Roman" w:hAnsi="Times New Roman"/>
          <w:sz w:val="24"/>
          <w:szCs w:val="24"/>
        </w:rPr>
        <w:t xml:space="preserve"> </w:t>
      </w:r>
      <w:r w:rsidR="00CF1F04" w:rsidRPr="00FC5729">
        <w:rPr>
          <w:rFonts w:ascii="Times New Roman" w:hAnsi="Times New Roman"/>
          <w:sz w:val="24"/>
          <w:szCs w:val="24"/>
        </w:rPr>
        <w:t xml:space="preserve">the </w:t>
      </w:r>
      <w:r w:rsidR="00D52F3F">
        <w:rPr>
          <w:rFonts w:ascii="Times New Roman" w:hAnsi="Times New Roman"/>
          <w:sz w:val="24"/>
          <w:szCs w:val="24"/>
        </w:rPr>
        <w:t>“</w:t>
      </w:r>
      <w:r w:rsidR="00CF1F04" w:rsidRPr="00FC5729">
        <w:rPr>
          <w:rFonts w:ascii="Times New Roman" w:hAnsi="Times New Roman"/>
          <w:sz w:val="24"/>
          <w:szCs w:val="24"/>
        </w:rPr>
        <w:t>no-conflict rule.</w:t>
      </w:r>
      <w:r w:rsidR="00D52F3F">
        <w:rPr>
          <w:rFonts w:ascii="Times New Roman" w:hAnsi="Times New Roman"/>
          <w:sz w:val="24"/>
          <w:szCs w:val="24"/>
        </w:rPr>
        <w:t>”</w:t>
      </w:r>
      <w:r w:rsidR="00D52F3F">
        <w:rPr>
          <w:rStyle w:val="FootnoteReference"/>
          <w:sz w:val="24"/>
          <w:szCs w:val="24"/>
        </w:rPr>
        <w:footnoteReference w:id="41"/>
      </w:r>
      <w:r w:rsidR="00D52F3F">
        <w:rPr>
          <w:rFonts w:ascii="Times New Roman" w:hAnsi="Times New Roman"/>
          <w:sz w:val="24"/>
          <w:szCs w:val="24"/>
        </w:rPr>
        <w:t xml:space="preserve"> </w:t>
      </w:r>
      <w:r w:rsidR="00D52F3F" w:rsidRPr="00D52F3F">
        <w:rPr>
          <w:rFonts w:ascii="Times New Roman" w:hAnsi="Times New Roman"/>
          <w:sz w:val="24"/>
          <w:szCs w:val="24"/>
        </w:rPr>
        <w:t xml:space="preserve">Although these two rules are sometimes portrayed as operating together, they actually represent alternative tracks that a beneficiary may pursue </w:t>
      </w:r>
      <w:r w:rsidR="00D52F3F">
        <w:rPr>
          <w:rFonts w:ascii="Times New Roman" w:hAnsi="Times New Roman"/>
          <w:sz w:val="24"/>
          <w:szCs w:val="24"/>
        </w:rPr>
        <w:t xml:space="preserve">against a conflicted fiduciary, with different judicial standards </w:t>
      </w:r>
      <w:r w:rsidR="007005FF">
        <w:rPr>
          <w:rFonts w:ascii="Times New Roman" w:hAnsi="Times New Roman"/>
          <w:sz w:val="24"/>
          <w:szCs w:val="24"/>
        </w:rPr>
        <w:t>and remedies</w:t>
      </w:r>
      <w:r w:rsidR="00726B9D">
        <w:rPr>
          <w:rFonts w:ascii="Times New Roman" w:hAnsi="Times New Roman"/>
          <w:sz w:val="24"/>
          <w:szCs w:val="24"/>
        </w:rPr>
        <w:t>, explored in the next section.</w:t>
      </w:r>
    </w:p>
    <w:p w14:paraId="1E53C497" w14:textId="77777777" w:rsidR="009A0B97" w:rsidRPr="00FC5729" w:rsidRDefault="009A0B97" w:rsidP="009A0B97">
      <w:pPr>
        <w:spacing w:after="120" w:line="240" w:lineRule="auto"/>
        <w:ind w:firstLine="720"/>
        <w:jc w:val="both"/>
        <w:rPr>
          <w:rFonts w:ascii="Times New Roman" w:hAnsi="Times New Roman"/>
          <w:sz w:val="24"/>
          <w:szCs w:val="24"/>
        </w:rPr>
      </w:pPr>
    </w:p>
    <w:p w14:paraId="0EA98FC1" w14:textId="63ED8484" w:rsidR="009A0B97" w:rsidRPr="00FC5729" w:rsidRDefault="009A0B97" w:rsidP="009A0B97">
      <w:pPr>
        <w:pStyle w:val="TableofContents1"/>
      </w:pPr>
      <w:bookmarkStart w:id="9" w:name="_Toc418778895"/>
      <w:r>
        <w:t>Conflict Regulation</w:t>
      </w:r>
      <w:bookmarkEnd w:id="9"/>
    </w:p>
    <w:p w14:paraId="0741B96E" w14:textId="18F0CF4F" w:rsidR="00726B9D" w:rsidRDefault="00726B9D" w:rsidP="002677AA">
      <w:pPr>
        <w:spacing w:after="120" w:line="240" w:lineRule="auto"/>
        <w:ind w:firstLine="720"/>
        <w:jc w:val="both"/>
        <w:rPr>
          <w:rFonts w:ascii="Times New Roman" w:hAnsi="Times New Roman"/>
          <w:sz w:val="24"/>
          <w:szCs w:val="24"/>
        </w:rPr>
      </w:pPr>
      <w:r>
        <w:rPr>
          <w:rFonts w:ascii="Times New Roman" w:hAnsi="Times New Roman"/>
          <w:sz w:val="24"/>
          <w:szCs w:val="24"/>
        </w:rPr>
        <w:t xml:space="preserve">Courts review challenges under the no-profit rule by reference to </w:t>
      </w:r>
      <w:r w:rsidR="002677AA">
        <w:rPr>
          <w:rFonts w:ascii="Times New Roman" w:hAnsi="Times New Roman"/>
          <w:sz w:val="24"/>
          <w:szCs w:val="24"/>
        </w:rPr>
        <w:t xml:space="preserve">the logic of </w:t>
      </w:r>
      <w:r>
        <w:rPr>
          <w:rFonts w:ascii="Times New Roman" w:hAnsi="Times New Roman"/>
          <w:sz w:val="24"/>
          <w:szCs w:val="24"/>
        </w:rPr>
        <w:t xml:space="preserve">property rights – determining whether the property, profit, or opportunity belongs the fiduciary or the beneficiary – and an aggrieved </w:t>
      </w:r>
      <w:r w:rsidRPr="00D52F3F">
        <w:rPr>
          <w:rFonts w:ascii="Times New Roman" w:hAnsi="Times New Roman"/>
          <w:sz w:val="24"/>
          <w:szCs w:val="24"/>
        </w:rPr>
        <w:t xml:space="preserve">beneficiary may recover any </w:t>
      </w:r>
      <w:r>
        <w:rPr>
          <w:rFonts w:ascii="Times New Roman" w:hAnsi="Times New Roman"/>
          <w:sz w:val="24"/>
          <w:szCs w:val="24"/>
        </w:rPr>
        <w:t xml:space="preserve">gains of </w:t>
      </w:r>
      <w:r w:rsidRPr="00D52F3F">
        <w:rPr>
          <w:rFonts w:ascii="Times New Roman" w:hAnsi="Times New Roman"/>
          <w:sz w:val="24"/>
          <w:szCs w:val="24"/>
        </w:rPr>
        <w:t>the fiduciary</w:t>
      </w:r>
      <w:r w:rsidR="002677AA">
        <w:rPr>
          <w:rFonts w:ascii="Times New Roman" w:hAnsi="Times New Roman"/>
          <w:sz w:val="24"/>
          <w:szCs w:val="24"/>
        </w:rPr>
        <w:t xml:space="preserve"> in receiving a disgorgement remedy</w:t>
      </w:r>
      <w:r w:rsidRPr="00D52F3F">
        <w:rPr>
          <w:rFonts w:ascii="Times New Roman" w:hAnsi="Times New Roman"/>
          <w:sz w:val="24"/>
          <w:szCs w:val="24"/>
        </w:rPr>
        <w:t>.</w:t>
      </w:r>
      <w:r>
        <w:rPr>
          <w:rFonts w:ascii="Times New Roman" w:hAnsi="Times New Roman"/>
          <w:sz w:val="24"/>
          <w:szCs w:val="24"/>
        </w:rPr>
        <w:t xml:space="preserve"> By contrast courts review challenges under the no-conflict rule by reference to the </w:t>
      </w:r>
      <w:r w:rsidR="002677AA">
        <w:rPr>
          <w:rFonts w:ascii="Times New Roman" w:hAnsi="Times New Roman"/>
          <w:sz w:val="24"/>
          <w:szCs w:val="24"/>
        </w:rPr>
        <w:t xml:space="preserve">logic of tort action – asking whether the </w:t>
      </w:r>
      <w:r>
        <w:rPr>
          <w:rFonts w:ascii="Times New Roman" w:hAnsi="Times New Roman"/>
          <w:sz w:val="24"/>
          <w:szCs w:val="24"/>
        </w:rPr>
        <w:t>actions of the fiduciary</w:t>
      </w:r>
      <w:r w:rsidR="002677AA">
        <w:rPr>
          <w:rFonts w:ascii="Times New Roman" w:hAnsi="Times New Roman"/>
          <w:sz w:val="24"/>
          <w:szCs w:val="24"/>
        </w:rPr>
        <w:t xml:space="preserve"> are wrongful vis-à-vis the beneficiary – and </w:t>
      </w:r>
      <w:r>
        <w:rPr>
          <w:rFonts w:ascii="Times New Roman" w:hAnsi="Times New Roman"/>
          <w:sz w:val="24"/>
          <w:szCs w:val="24"/>
        </w:rPr>
        <w:t xml:space="preserve">an aggrieved </w:t>
      </w:r>
      <w:r w:rsidRPr="00D52F3F">
        <w:rPr>
          <w:rFonts w:ascii="Times New Roman" w:hAnsi="Times New Roman"/>
          <w:sz w:val="24"/>
          <w:szCs w:val="24"/>
        </w:rPr>
        <w:t xml:space="preserve">beneficiary may </w:t>
      </w:r>
      <w:r w:rsidR="002677AA">
        <w:rPr>
          <w:rFonts w:ascii="Times New Roman" w:hAnsi="Times New Roman"/>
          <w:sz w:val="24"/>
          <w:szCs w:val="24"/>
        </w:rPr>
        <w:t xml:space="preserve">obtain a compensatory remedy, either through </w:t>
      </w:r>
      <w:r w:rsidRPr="00D52F3F">
        <w:rPr>
          <w:rStyle w:val="apple-converted-space"/>
          <w:rFonts w:ascii="Times New Roman" w:hAnsi="Times New Roman"/>
          <w:sz w:val="24"/>
          <w:szCs w:val="24"/>
        </w:rPr>
        <w:t>av</w:t>
      </w:r>
      <w:r>
        <w:rPr>
          <w:rFonts w:ascii="Times New Roman" w:hAnsi="Times New Roman"/>
          <w:sz w:val="24"/>
          <w:szCs w:val="24"/>
        </w:rPr>
        <w:t xml:space="preserve">oidance </w:t>
      </w:r>
      <w:r w:rsidR="002677AA">
        <w:rPr>
          <w:rFonts w:ascii="Times New Roman" w:hAnsi="Times New Roman"/>
          <w:sz w:val="24"/>
          <w:szCs w:val="24"/>
        </w:rPr>
        <w:t xml:space="preserve">(recission) of the transaction or, in some cases in the U.S., by monetary damages equal to the difference between </w:t>
      </w:r>
      <w:r w:rsidR="007B1D12">
        <w:rPr>
          <w:rFonts w:ascii="Times New Roman" w:hAnsi="Times New Roman"/>
          <w:sz w:val="24"/>
          <w:szCs w:val="24"/>
        </w:rPr>
        <w:t>the fair value of the transaction and the negotiated value of the transaction. As explained below, these differences in treatment have much different incentive effects with regard to entrepreneurial action.</w:t>
      </w:r>
    </w:p>
    <w:p w14:paraId="7F7374C4" w14:textId="77777777" w:rsidR="00726B9D" w:rsidRPr="00FC5729" w:rsidRDefault="00726B9D" w:rsidP="009A0B97">
      <w:pPr>
        <w:spacing w:after="120" w:line="240" w:lineRule="auto"/>
        <w:ind w:firstLine="720"/>
        <w:rPr>
          <w:rFonts w:ascii="Times New Roman" w:hAnsi="Times New Roman"/>
          <w:sz w:val="24"/>
          <w:szCs w:val="24"/>
        </w:rPr>
      </w:pPr>
    </w:p>
    <w:p w14:paraId="5D8952A4" w14:textId="152BE1C8" w:rsidR="009A0B97" w:rsidRPr="00FC5729" w:rsidRDefault="009A0B97" w:rsidP="009A0B97">
      <w:pPr>
        <w:pStyle w:val="TableofContents2"/>
        <w:numPr>
          <w:ilvl w:val="0"/>
          <w:numId w:val="27"/>
        </w:numPr>
      </w:pPr>
      <w:bookmarkStart w:id="10" w:name="_Toc418778896"/>
      <w:r>
        <w:t xml:space="preserve">Rationale For </w:t>
      </w:r>
      <w:r w:rsidRPr="00FC5729">
        <w:t>Conflict Regulation</w:t>
      </w:r>
      <w:bookmarkEnd w:id="10"/>
      <w:r w:rsidRPr="00FC5729">
        <w:t xml:space="preserve"> </w:t>
      </w:r>
    </w:p>
    <w:p w14:paraId="3716DAC3" w14:textId="0E346B5C" w:rsidR="00546577" w:rsidRPr="00FC5729" w:rsidRDefault="00546577" w:rsidP="007B1D12">
      <w:pPr>
        <w:spacing w:after="120" w:line="240" w:lineRule="auto"/>
        <w:ind w:firstLine="720"/>
        <w:jc w:val="both"/>
        <w:rPr>
          <w:rFonts w:ascii="Times New Roman" w:hAnsi="Times New Roman"/>
          <w:sz w:val="24"/>
          <w:szCs w:val="24"/>
        </w:rPr>
      </w:pPr>
      <w:r w:rsidRPr="00FC5729">
        <w:rPr>
          <w:rFonts w:ascii="Times New Roman" w:hAnsi="Times New Roman"/>
          <w:sz w:val="24"/>
          <w:szCs w:val="24"/>
        </w:rPr>
        <w:t>In any business organization, an ideal decision maker is competent, informed, and disinterested. Generally speaking, courts defer to decision makers who possess these attributes, even when their decisions seem unwise in hindsight.</w:t>
      </w:r>
      <w:r w:rsidR="007B1D12">
        <w:rPr>
          <w:rFonts w:ascii="Times New Roman" w:hAnsi="Times New Roman"/>
          <w:sz w:val="24"/>
          <w:szCs w:val="24"/>
        </w:rPr>
        <w:t xml:space="preserve"> </w:t>
      </w:r>
      <w:r w:rsidRPr="00FC5729">
        <w:rPr>
          <w:rFonts w:ascii="Times New Roman" w:hAnsi="Times New Roman"/>
          <w:sz w:val="24"/>
          <w:szCs w:val="24"/>
        </w:rPr>
        <w:t>When a decision maker is incompetent, legal rules usually place the burden of any harm from the decision on those who have associated themselves with the decision maker, rather than requiring the decision maker to compensate others for mistaken judgments.</w:t>
      </w:r>
      <w:r w:rsidR="007B1D12">
        <w:rPr>
          <w:rFonts w:ascii="Times New Roman" w:hAnsi="Times New Roman"/>
          <w:sz w:val="24"/>
          <w:szCs w:val="24"/>
        </w:rPr>
        <w:t xml:space="preserve"> When a decision </w:t>
      </w:r>
      <w:r w:rsidR="007B1D12">
        <w:rPr>
          <w:rFonts w:ascii="Times New Roman" w:hAnsi="Times New Roman"/>
          <w:sz w:val="24"/>
          <w:szCs w:val="24"/>
        </w:rPr>
        <w:lastRenderedPageBreak/>
        <w:t>maker is</w:t>
      </w:r>
      <w:r w:rsidRPr="00FC5729">
        <w:rPr>
          <w:rFonts w:ascii="Times New Roman" w:hAnsi="Times New Roman"/>
          <w:sz w:val="24"/>
          <w:szCs w:val="24"/>
        </w:rPr>
        <w:t xml:space="preserve"> uninformed or misinformed, </w:t>
      </w:r>
      <w:r w:rsidR="007B1D12">
        <w:rPr>
          <w:rFonts w:ascii="Times New Roman" w:hAnsi="Times New Roman"/>
          <w:sz w:val="24"/>
          <w:szCs w:val="24"/>
        </w:rPr>
        <w:t xml:space="preserve">courts may be more sympathetic to claims by those who are harmed, but only if the lack of information gathering by the decision maker was self-interested. </w:t>
      </w:r>
      <w:r w:rsidRPr="00FC5729">
        <w:rPr>
          <w:rFonts w:ascii="Times New Roman" w:hAnsi="Times New Roman"/>
          <w:sz w:val="24"/>
          <w:szCs w:val="24"/>
        </w:rPr>
        <w:t>Conflicts of interest introduce the possibility of bias, and legal rules rarely give decision makers the benefit of the doubt when they confront a conflict of interest and duty.</w:t>
      </w:r>
      <w:r w:rsidRPr="00FC5729">
        <w:rPr>
          <w:rStyle w:val="FootnoteReference"/>
          <w:rFonts w:ascii="Times New Roman" w:hAnsi="Times New Roman"/>
          <w:sz w:val="24"/>
          <w:szCs w:val="24"/>
        </w:rPr>
        <w:footnoteReference w:id="42"/>
      </w:r>
    </w:p>
    <w:p w14:paraId="49F48C7C" w14:textId="11B0CB7B" w:rsidR="005142D2" w:rsidRPr="00FC5729" w:rsidRDefault="00546577" w:rsidP="00546577">
      <w:pPr>
        <w:spacing w:after="120" w:line="240" w:lineRule="auto"/>
        <w:ind w:firstLine="720"/>
        <w:rPr>
          <w:rFonts w:ascii="Times New Roman" w:hAnsi="Times New Roman"/>
          <w:sz w:val="24"/>
          <w:szCs w:val="24"/>
        </w:rPr>
      </w:pPr>
      <w:r w:rsidRPr="00FC5729">
        <w:rPr>
          <w:rFonts w:ascii="Times New Roman" w:hAnsi="Times New Roman"/>
          <w:sz w:val="24"/>
          <w:szCs w:val="24"/>
        </w:rPr>
        <w:t>The onus is usually on decision makers to avoid placing themselves in positions of conflict.</w:t>
      </w:r>
      <w:r w:rsidRPr="00FC5729">
        <w:rPr>
          <w:rStyle w:val="FootnoteReference"/>
          <w:rFonts w:ascii="Times New Roman" w:hAnsi="Times New Roman"/>
          <w:sz w:val="24"/>
          <w:szCs w:val="24"/>
        </w:rPr>
        <w:footnoteReference w:id="43"/>
      </w:r>
    </w:p>
    <w:p w14:paraId="2792721E" w14:textId="1FD88AEA" w:rsidR="00B80EA7" w:rsidRPr="00FC5729" w:rsidRDefault="00563AA1" w:rsidP="00B80EA7">
      <w:pPr>
        <w:pStyle w:val="TableofContents2"/>
      </w:pPr>
      <w:bookmarkStart w:id="11" w:name="_Toc418778897"/>
      <w:r w:rsidRPr="00FC5729">
        <w:t xml:space="preserve">Conflict </w:t>
      </w:r>
      <w:r w:rsidR="000D77FF" w:rsidRPr="00FC5729">
        <w:t>Regula</w:t>
      </w:r>
      <w:r w:rsidR="00747414" w:rsidRPr="00FC5729">
        <w:t>tion</w:t>
      </w:r>
      <w:r w:rsidR="00546577" w:rsidRPr="00FC5729">
        <w:t xml:space="preserve"> Four Ways</w:t>
      </w:r>
      <w:bookmarkEnd w:id="11"/>
    </w:p>
    <w:p w14:paraId="7DF201F5" w14:textId="0B35E4FA" w:rsidR="00C340DF" w:rsidRPr="00FC5729" w:rsidRDefault="00506854" w:rsidP="00C340DF">
      <w:pPr>
        <w:spacing w:after="120" w:line="240" w:lineRule="auto"/>
        <w:ind w:firstLine="720"/>
        <w:jc w:val="both"/>
        <w:rPr>
          <w:rFonts w:ascii="Times New Roman" w:hAnsi="Times New Roman"/>
          <w:sz w:val="24"/>
          <w:szCs w:val="24"/>
        </w:rPr>
      </w:pPr>
      <w:r w:rsidRPr="00FC5729">
        <w:rPr>
          <w:rFonts w:ascii="Times New Roman" w:hAnsi="Times New Roman"/>
          <w:sz w:val="24"/>
          <w:szCs w:val="24"/>
        </w:rPr>
        <w:t xml:space="preserve">In his decision in </w:t>
      </w:r>
      <w:r w:rsidRPr="00FC5729">
        <w:rPr>
          <w:rFonts w:ascii="Times New Roman" w:hAnsi="Times New Roman"/>
          <w:i/>
          <w:sz w:val="24"/>
          <w:szCs w:val="24"/>
        </w:rPr>
        <w:t>Meinhard v. Salmon</w:t>
      </w:r>
      <w:r w:rsidRPr="00FC5729">
        <w:rPr>
          <w:rFonts w:ascii="Times New Roman" w:hAnsi="Times New Roman"/>
          <w:sz w:val="24"/>
          <w:szCs w:val="24"/>
        </w:rPr>
        <w:t>, Justice Cardozo famously described the fiduciary obligation of a joint venturer in terms of unselfishness</w:t>
      </w:r>
      <w:r w:rsidR="00950F12" w:rsidRPr="00FC5729">
        <w:rPr>
          <w:rFonts w:ascii="Times New Roman" w:hAnsi="Times New Roman"/>
          <w:sz w:val="24"/>
          <w:szCs w:val="24"/>
        </w:rPr>
        <w:t>.</w:t>
      </w:r>
      <w:r w:rsidRPr="00FC5729">
        <w:rPr>
          <w:rStyle w:val="FootnoteReference"/>
          <w:sz w:val="24"/>
          <w:szCs w:val="24"/>
        </w:rPr>
        <w:footnoteReference w:id="44"/>
      </w:r>
      <w:r w:rsidRPr="00FC5729">
        <w:rPr>
          <w:rFonts w:ascii="Times New Roman" w:hAnsi="Times New Roman"/>
          <w:sz w:val="24"/>
          <w:szCs w:val="24"/>
        </w:rPr>
        <w:t xml:space="preserve"> Similar statements </w:t>
      </w:r>
      <w:r w:rsidR="00950F12" w:rsidRPr="00FC5729">
        <w:rPr>
          <w:rFonts w:ascii="Times New Roman" w:hAnsi="Times New Roman"/>
          <w:sz w:val="24"/>
          <w:szCs w:val="24"/>
        </w:rPr>
        <w:t xml:space="preserve">by judges </w:t>
      </w:r>
      <w:r w:rsidRPr="00FC5729">
        <w:rPr>
          <w:rFonts w:ascii="Times New Roman" w:hAnsi="Times New Roman"/>
          <w:sz w:val="24"/>
          <w:szCs w:val="24"/>
        </w:rPr>
        <w:t>can be found in other jurisdictions.</w:t>
      </w:r>
      <w:r w:rsidR="00950F12" w:rsidRPr="00FC5729">
        <w:rPr>
          <w:rStyle w:val="FootnoteReference"/>
          <w:sz w:val="24"/>
          <w:szCs w:val="24"/>
        </w:rPr>
        <w:footnoteReference w:id="45"/>
      </w:r>
      <w:r w:rsidRPr="00FC5729">
        <w:rPr>
          <w:rFonts w:ascii="Times New Roman" w:hAnsi="Times New Roman"/>
          <w:sz w:val="24"/>
          <w:szCs w:val="24"/>
        </w:rPr>
        <w:t xml:space="preserve"> </w:t>
      </w:r>
      <w:r w:rsidR="00950F12" w:rsidRPr="00FC5729">
        <w:rPr>
          <w:rFonts w:ascii="Times New Roman" w:hAnsi="Times New Roman"/>
          <w:sz w:val="24"/>
          <w:szCs w:val="24"/>
        </w:rPr>
        <w:t>Although many commentators have taken these statements at face value,</w:t>
      </w:r>
      <w:r w:rsidR="00950F12" w:rsidRPr="00FC5729">
        <w:rPr>
          <w:rStyle w:val="FootnoteReference"/>
          <w:sz w:val="24"/>
          <w:szCs w:val="24"/>
        </w:rPr>
        <w:footnoteReference w:id="46"/>
      </w:r>
      <w:r w:rsidR="00950F12" w:rsidRPr="00FC5729">
        <w:rPr>
          <w:rFonts w:ascii="Times New Roman" w:hAnsi="Times New Roman"/>
          <w:sz w:val="24"/>
          <w:szCs w:val="24"/>
        </w:rPr>
        <w:t xml:space="preserve"> </w:t>
      </w:r>
      <w:r w:rsidR="00B77B66" w:rsidRPr="00FC5729">
        <w:rPr>
          <w:rFonts w:ascii="Times New Roman" w:hAnsi="Times New Roman"/>
          <w:sz w:val="24"/>
          <w:szCs w:val="24"/>
        </w:rPr>
        <w:t xml:space="preserve">the duty of unselfishness is largely a </w:t>
      </w:r>
      <w:r w:rsidR="009617EC" w:rsidRPr="00FC5729">
        <w:rPr>
          <w:rFonts w:ascii="Times New Roman" w:hAnsi="Times New Roman"/>
          <w:sz w:val="24"/>
          <w:szCs w:val="24"/>
        </w:rPr>
        <w:t>rhetorical flourish</w:t>
      </w:r>
      <w:r w:rsidR="00B77B66" w:rsidRPr="00FC5729">
        <w:rPr>
          <w:rFonts w:ascii="Times New Roman" w:hAnsi="Times New Roman"/>
          <w:sz w:val="24"/>
          <w:szCs w:val="24"/>
        </w:rPr>
        <w:t>,</w:t>
      </w:r>
      <w:r w:rsidR="009617EC" w:rsidRPr="00FC5729">
        <w:rPr>
          <w:rFonts w:ascii="Times New Roman" w:hAnsi="Times New Roman"/>
          <w:sz w:val="24"/>
          <w:szCs w:val="24"/>
        </w:rPr>
        <w:t xml:space="preserve"> not a substantive standard,</w:t>
      </w:r>
      <w:r w:rsidR="00B77B66" w:rsidRPr="00FC5729">
        <w:rPr>
          <w:rFonts w:ascii="Times New Roman" w:hAnsi="Times New Roman"/>
          <w:sz w:val="24"/>
          <w:szCs w:val="24"/>
        </w:rPr>
        <w:t xml:space="preserve"> at least i</w:t>
      </w:r>
      <w:r w:rsidR="00C340DF" w:rsidRPr="00FC5729">
        <w:rPr>
          <w:rFonts w:ascii="Times New Roman" w:hAnsi="Times New Roman"/>
          <w:sz w:val="24"/>
          <w:szCs w:val="24"/>
        </w:rPr>
        <w:t xml:space="preserve">n the context of </w:t>
      </w:r>
      <w:r w:rsidRPr="00FC5729">
        <w:rPr>
          <w:rFonts w:ascii="Times New Roman" w:hAnsi="Times New Roman"/>
          <w:sz w:val="24"/>
          <w:szCs w:val="24"/>
        </w:rPr>
        <w:t xml:space="preserve">startup </w:t>
      </w:r>
      <w:r w:rsidR="00C340DF" w:rsidRPr="00FC5729">
        <w:rPr>
          <w:rFonts w:ascii="Times New Roman" w:hAnsi="Times New Roman"/>
          <w:sz w:val="24"/>
          <w:szCs w:val="24"/>
        </w:rPr>
        <w:t>business organizations</w:t>
      </w:r>
      <w:r w:rsidR="00B77B66" w:rsidRPr="00FC5729">
        <w:rPr>
          <w:rFonts w:ascii="Times New Roman" w:hAnsi="Times New Roman"/>
          <w:sz w:val="24"/>
          <w:szCs w:val="24"/>
        </w:rPr>
        <w:t>.</w:t>
      </w:r>
      <w:r w:rsidR="00C340DF" w:rsidRPr="00FC5729">
        <w:rPr>
          <w:rStyle w:val="FootnoteReference"/>
          <w:rFonts w:ascii="Times New Roman" w:hAnsi="Times New Roman"/>
          <w:sz w:val="24"/>
          <w:szCs w:val="24"/>
        </w:rPr>
        <w:footnoteReference w:id="47"/>
      </w:r>
      <w:r w:rsidR="00B77B66" w:rsidRPr="00FC5729">
        <w:rPr>
          <w:rFonts w:ascii="Times New Roman" w:hAnsi="Times New Roman"/>
          <w:sz w:val="24"/>
          <w:szCs w:val="24"/>
        </w:rPr>
        <w:t xml:space="preserve"> </w:t>
      </w:r>
      <w:r w:rsidR="0011639F">
        <w:rPr>
          <w:rFonts w:ascii="Times New Roman" w:hAnsi="Times New Roman"/>
          <w:sz w:val="24"/>
          <w:szCs w:val="24"/>
        </w:rPr>
        <w:t xml:space="preserve">In circumstances </w:t>
      </w:r>
      <w:r w:rsidR="009617EC" w:rsidRPr="00FC5729">
        <w:rPr>
          <w:rFonts w:ascii="Times New Roman" w:hAnsi="Times New Roman"/>
          <w:sz w:val="24"/>
          <w:szCs w:val="24"/>
        </w:rPr>
        <w:t xml:space="preserve">where the fiduciary is not only </w:t>
      </w:r>
      <w:r w:rsidR="0011639F">
        <w:rPr>
          <w:rFonts w:ascii="Times New Roman" w:hAnsi="Times New Roman"/>
          <w:sz w:val="24"/>
          <w:szCs w:val="24"/>
        </w:rPr>
        <w:t xml:space="preserve">an agent but also a principal, </w:t>
      </w:r>
      <w:r w:rsidR="007F311D" w:rsidRPr="00FC5729">
        <w:rPr>
          <w:rFonts w:ascii="Times New Roman" w:hAnsi="Times New Roman"/>
          <w:sz w:val="24"/>
          <w:szCs w:val="24"/>
        </w:rPr>
        <w:t>personal consideration</w:t>
      </w:r>
      <w:r w:rsidR="0011639F">
        <w:rPr>
          <w:rFonts w:ascii="Times New Roman" w:hAnsi="Times New Roman"/>
          <w:sz w:val="24"/>
          <w:szCs w:val="24"/>
        </w:rPr>
        <w:t>s</w:t>
      </w:r>
      <w:r w:rsidR="007F311D" w:rsidRPr="00FC5729">
        <w:rPr>
          <w:rFonts w:ascii="Times New Roman" w:hAnsi="Times New Roman"/>
          <w:sz w:val="24"/>
          <w:szCs w:val="24"/>
        </w:rPr>
        <w:t xml:space="preserve"> necessarily enter into the decision space.</w:t>
      </w:r>
      <w:r w:rsidR="007F311D" w:rsidRPr="00FC5729">
        <w:rPr>
          <w:rStyle w:val="FootnoteReference"/>
          <w:sz w:val="24"/>
          <w:szCs w:val="24"/>
        </w:rPr>
        <w:footnoteReference w:id="48"/>
      </w:r>
      <w:r w:rsidRPr="00FC5729">
        <w:rPr>
          <w:rFonts w:ascii="Times New Roman" w:hAnsi="Times New Roman"/>
          <w:sz w:val="24"/>
          <w:szCs w:val="24"/>
        </w:rPr>
        <w:t xml:space="preserve"> </w:t>
      </w:r>
    </w:p>
    <w:p w14:paraId="1D98557E" w14:textId="3971BA74" w:rsidR="009431B5" w:rsidRDefault="00577D54" w:rsidP="009431B5">
      <w:pPr>
        <w:spacing w:after="120" w:line="240" w:lineRule="auto"/>
        <w:ind w:firstLine="720"/>
        <w:jc w:val="both"/>
        <w:rPr>
          <w:rFonts w:ascii="Times New Roman" w:hAnsi="Times New Roman"/>
          <w:sz w:val="24"/>
          <w:szCs w:val="24"/>
        </w:rPr>
      </w:pPr>
      <w:r w:rsidRPr="00FC5729">
        <w:rPr>
          <w:rFonts w:ascii="Times New Roman" w:hAnsi="Times New Roman"/>
          <w:sz w:val="24"/>
          <w:szCs w:val="24"/>
        </w:rPr>
        <w:t xml:space="preserve">Lawmakers and courts are tasked with </w:t>
      </w:r>
      <w:r w:rsidR="00972EDA" w:rsidRPr="00FC5729">
        <w:rPr>
          <w:rFonts w:ascii="Times New Roman" w:hAnsi="Times New Roman"/>
          <w:sz w:val="24"/>
          <w:szCs w:val="24"/>
        </w:rPr>
        <w:t>sifting conflict transactions,</w:t>
      </w:r>
      <w:r w:rsidR="001C0732" w:rsidRPr="00FC5729">
        <w:rPr>
          <w:rFonts w:ascii="Times New Roman" w:hAnsi="Times New Roman"/>
          <w:sz w:val="24"/>
          <w:szCs w:val="24"/>
        </w:rPr>
        <w:t xml:space="preserve"> permitting</w:t>
      </w:r>
      <w:r w:rsidR="00972EDA" w:rsidRPr="00FC5729">
        <w:rPr>
          <w:rFonts w:ascii="Times New Roman" w:hAnsi="Times New Roman"/>
          <w:sz w:val="24"/>
          <w:szCs w:val="24"/>
        </w:rPr>
        <w:t xml:space="preserve"> the beneficial transactions </w:t>
      </w:r>
      <w:r w:rsidR="001C0732" w:rsidRPr="00FC5729">
        <w:rPr>
          <w:rFonts w:ascii="Times New Roman" w:hAnsi="Times New Roman"/>
          <w:sz w:val="24"/>
          <w:szCs w:val="24"/>
        </w:rPr>
        <w:t xml:space="preserve">to proceed </w:t>
      </w:r>
      <w:r w:rsidR="00972EDA" w:rsidRPr="00FC5729">
        <w:rPr>
          <w:rFonts w:ascii="Times New Roman" w:hAnsi="Times New Roman"/>
          <w:sz w:val="24"/>
          <w:szCs w:val="24"/>
        </w:rPr>
        <w:t xml:space="preserve">and </w:t>
      </w:r>
      <w:r w:rsidR="001C0732" w:rsidRPr="00FC5729">
        <w:rPr>
          <w:rFonts w:ascii="Times New Roman" w:hAnsi="Times New Roman"/>
          <w:sz w:val="24"/>
          <w:szCs w:val="24"/>
        </w:rPr>
        <w:t xml:space="preserve">halting or, if possible, undoing </w:t>
      </w:r>
      <w:r w:rsidR="00972EDA" w:rsidRPr="00FC5729">
        <w:rPr>
          <w:rFonts w:ascii="Times New Roman" w:hAnsi="Times New Roman"/>
          <w:sz w:val="24"/>
          <w:szCs w:val="24"/>
        </w:rPr>
        <w:t xml:space="preserve">the destructive transactions. </w:t>
      </w:r>
      <w:r w:rsidR="00E52065" w:rsidRPr="00FC5729">
        <w:rPr>
          <w:rFonts w:ascii="Times New Roman" w:hAnsi="Times New Roman"/>
          <w:sz w:val="24"/>
          <w:szCs w:val="24"/>
        </w:rPr>
        <w:t>Different national legal and market systems have developed somewhat different approaches to dealing with potential conflicts.</w:t>
      </w:r>
      <w:r w:rsidR="00E52065" w:rsidRPr="00FC5729">
        <w:rPr>
          <w:rStyle w:val="FootnoteReference"/>
          <w:rFonts w:ascii="Times New Roman" w:hAnsi="Times New Roman"/>
          <w:sz w:val="24"/>
          <w:szCs w:val="24"/>
        </w:rPr>
        <w:footnoteReference w:id="49"/>
      </w:r>
      <w:r w:rsidR="004C35FD" w:rsidRPr="00FC5729">
        <w:rPr>
          <w:rFonts w:ascii="Times New Roman" w:hAnsi="Times New Roman"/>
          <w:sz w:val="24"/>
          <w:szCs w:val="24"/>
        </w:rPr>
        <w:t xml:space="preserve"> These approaches are of </w:t>
      </w:r>
      <w:r w:rsidR="00C55159">
        <w:rPr>
          <w:rFonts w:ascii="Times New Roman" w:hAnsi="Times New Roman"/>
          <w:sz w:val="24"/>
          <w:szCs w:val="24"/>
        </w:rPr>
        <w:t xml:space="preserve">four </w:t>
      </w:r>
      <w:r w:rsidR="004C35FD" w:rsidRPr="00FC5729">
        <w:rPr>
          <w:rFonts w:ascii="Times New Roman" w:hAnsi="Times New Roman"/>
          <w:sz w:val="24"/>
          <w:szCs w:val="24"/>
        </w:rPr>
        <w:t xml:space="preserve">ideal types: (1) </w:t>
      </w:r>
      <w:r w:rsidR="004C35FD" w:rsidRPr="00FC5729">
        <w:rPr>
          <w:rFonts w:ascii="Times New Roman" w:hAnsi="Times New Roman"/>
          <w:sz w:val="24"/>
          <w:szCs w:val="24"/>
        </w:rPr>
        <w:lastRenderedPageBreak/>
        <w:t xml:space="preserve">prohibition of conflict transactions, (2) tolerance of conflict transactions, subject to prior disclosure and </w:t>
      </w:r>
      <w:r w:rsidR="00E05375">
        <w:rPr>
          <w:rFonts w:ascii="Times New Roman" w:hAnsi="Times New Roman"/>
          <w:sz w:val="24"/>
          <w:szCs w:val="24"/>
        </w:rPr>
        <w:t>approval</w:t>
      </w:r>
      <w:r w:rsidR="004C35FD" w:rsidRPr="00FC5729">
        <w:rPr>
          <w:rFonts w:ascii="Times New Roman" w:hAnsi="Times New Roman"/>
          <w:sz w:val="24"/>
          <w:szCs w:val="24"/>
        </w:rPr>
        <w:t xml:space="preserve">; (3) </w:t>
      </w:r>
      <w:r w:rsidR="009431B5" w:rsidRPr="00FC5729">
        <w:rPr>
          <w:rFonts w:ascii="Times New Roman" w:hAnsi="Times New Roman"/>
          <w:sz w:val="24"/>
          <w:szCs w:val="24"/>
        </w:rPr>
        <w:t xml:space="preserve">tolerance of conflict transactions, subject to prior administrative approval; and (4) </w:t>
      </w:r>
      <w:r w:rsidR="004C35FD" w:rsidRPr="00FC5729">
        <w:rPr>
          <w:rFonts w:ascii="Times New Roman" w:hAnsi="Times New Roman"/>
          <w:sz w:val="24"/>
          <w:szCs w:val="24"/>
        </w:rPr>
        <w:t>tolerance of conflict transactions, subject to evaluation for substantive fairne</w:t>
      </w:r>
      <w:r w:rsidR="009431B5" w:rsidRPr="00FC5729">
        <w:rPr>
          <w:rFonts w:ascii="Times New Roman" w:hAnsi="Times New Roman"/>
          <w:sz w:val="24"/>
          <w:szCs w:val="24"/>
        </w:rPr>
        <w:t>ss.</w:t>
      </w:r>
      <w:r w:rsidR="009431B5" w:rsidRPr="00FC5729">
        <w:rPr>
          <w:rStyle w:val="FootnoteReference"/>
          <w:sz w:val="24"/>
          <w:szCs w:val="24"/>
        </w:rPr>
        <w:footnoteReference w:id="50"/>
      </w:r>
      <w:r w:rsidR="00C55159">
        <w:rPr>
          <w:rFonts w:ascii="Times New Roman" w:hAnsi="Times New Roman"/>
          <w:sz w:val="24"/>
          <w:szCs w:val="24"/>
        </w:rPr>
        <w:t xml:space="preserve"> </w:t>
      </w:r>
      <w:r w:rsidR="009431B5" w:rsidRPr="00FC5729">
        <w:rPr>
          <w:rFonts w:ascii="Times New Roman" w:hAnsi="Times New Roman"/>
          <w:sz w:val="24"/>
          <w:szCs w:val="24"/>
        </w:rPr>
        <w:t>Many jurisdictions distinguish various types of conflict transactions, employing a variety of regulatory strategies depending on the perceived severity of the conflict.</w:t>
      </w:r>
      <w:r w:rsidR="009431B5" w:rsidRPr="00FC5729">
        <w:rPr>
          <w:rStyle w:val="FootnoteReference"/>
          <w:sz w:val="24"/>
          <w:szCs w:val="24"/>
        </w:rPr>
        <w:footnoteReference w:id="51"/>
      </w:r>
      <w:r w:rsidR="00C55159">
        <w:rPr>
          <w:rFonts w:ascii="Times New Roman" w:hAnsi="Times New Roman"/>
          <w:sz w:val="24"/>
          <w:szCs w:val="24"/>
        </w:rPr>
        <w:t xml:space="preserve"> We explore each of the ideal type of conflict regulation below.</w:t>
      </w:r>
    </w:p>
    <w:p w14:paraId="5B0ACBF5" w14:textId="77777777" w:rsidR="00C55159" w:rsidRPr="00FC5729" w:rsidRDefault="00C55159" w:rsidP="009431B5">
      <w:pPr>
        <w:spacing w:after="120" w:line="240" w:lineRule="auto"/>
        <w:ind w:firstLine="720"/>
        <w:jc w:val="both"/>
        <w:rPr>
          <w:rFonts w:ascii="Times New Roman" w:hAnsi="Times New Roman"/>
          <w:sz w:val="24"/>
          <w:szCs w:val="24"/>
        </w:rPr>
      </w:pPr>
    </w:p>
    <w:p w14:paraId="6FE9C54D" w14:textId="046172FE" w:rsidR="00071EEC" w:rsidRPr="00FC5729" w:rsidRDefault="00071EEC" w:rsidP="00AA52E0">
      <w:pPr>
        <w:pStyle w:val="TableofContents3"/>
      </w:pPr>
      <w:bookmarkStart w:id="12" w:name="_Toc418778898"/>
      <w:r w:rsidRPr="00FC5729">
        <w:t>Prohibition</w:t>
      </w:r>
      <w:bookmarkEnd w:id="12"/>
      <w:r w:rsidRPr="00FC5729">
        <w:t xml:space="preserve"> </w:t>
      </w:r>
    </w:p>
    <w:p w14:paraId="2C3EDF88" w14:textId="2004F7C1" w:rsidR="0079053C" w:rsidRPr="00FC5729" w:rsidRDefault="0079053C" w:rsidP="009F6558">
      <w:pPr>
        <w:spacing w:after="120" w:line="240" w:lineRule="auto"/>
        <w:ind w:firstLine="720"/>
        <w:jc w:val="both"/>
        <w:rPr>
          <w:rFonts w:ascii="Times New Roman" w:hAnsi="Times New Roman"/>
          <w:sz w:val="24"/>
          <w:szCs w:val="24"/>
        </w:rPr>
      </w:pPr>
      <w:r w:rsidRPr="00FC5729">
        <w:rPr>
          <w:rFonts w:ascii="Times New Roman" w:hAnsi="Times New Roman"/>
          <w:sz w:val="24"/>
          <w:szCs w:val="24"/>
        </w:rPr>
        <w:t xml:space="preserve">U.S. law does not prohibit conflict transactions in business organizations, invalidating such transactions only if they are substantively unfair. </w:t>
      </w:r>
      <w:r w:rsidR="00C93A66">
        <w:rPr>
          <w:rFonts w:ascii="Times New Roman" w:hAnsi="Times New Roman"/>
          <w:sz w:val="24"/>
          <w:szCs w:val="24"/>
        </w:rPr>
        <w:t>M</w:t>
      </w:r>
      <w:r w:rsidR="00C93A66" w:rsidRPr="00FC5729">
        <w:rPr>
          <w:rFonts w:ascii="Times New Roman" w:hAnsi="Times New Roman"/>
          <w:sz w:val="24"/>
          <w:szCs w:val="24"/>
        </w:rPr>
        <w:t>any jurisdictions</w:t>
      </w:r>
      <w:r w:rsidR="00C93A66">
        <w:rPr>
          <w:rFonts w:ascii="Times New Roman" w:hAnsi="Times New Roman"/>
          <w:sz w:val="24"/>
          <w:szCs w:val="24"/>
        </w:rPr>
        <w:t xml:space="preserve"> outside the U.S.</w:t>
      </w:r>
      <w:r w:rsidR="00C93A66" w:rsidRPr="00FC5729">
        <w:rPr>
          <w:rFonts w:ascii="Times New Roman" w:hAnsi="Times New Roman"/>
          <w:sz w:val="24"/>
          <w:szCs w:val="24"/>
        </w:rPr>
        <w:t>, particularly civil law countries, simply prohibit certain conflict transactions, such as competition</w:t>
      </w:r>
      <w:r w:rsidR="00C93A66" w:rsidRPr="00FC5729">
        <w:rPr>
          <w:rStyle w:val="FootnoteReference"/>
          <w:sz w:val="24"/>
          <w:szCs w:val="24"/>
        </w:rPr>
        <w:footnoteReference w:id="52"/>
      </w:r>
      <w:r w:rsidR="00C93A66" w:rsidRPr="00FC5729">
        <w:rPr>
          <w:rFonts w:ascii="Times New Roman" w:hAnsi="Times New Roman"/>
          <w:sz w:val="24"/>
          <w:szCs w:val="24"/>
        </w:rPr>
        <w:t xml:space="preserve"> or loans between a company and its officers. This </w:t>
      </w:r>
      <w:r w:rsidR="00C93A66">
        <w:rPr>
          <w:rFonts w:ascii="Times New Roman" w:hAnsi="Times New Roman"/>
          <w:sz w:val="24"/>
          <w:szCs w:val="24"/>
        </w:rPr>
        <w:t xml:space="preserve">sort of </w:t>
      </w:r>
      <w:r w:rsidR="00C93A66" w:rsidRPr="00FC5729">
        <w:rPr>
          <w:rFonts w:ascii="Times New Roman" w:hAnsi="Times New Roman"/>
          <w:sz w:val="24"/>
          <w:szCs w:val="24"/>
        </w:rPr>
        <w:t xml:space="preserve">blanket prohibition </w:t>
      </w:r>
      <w:r w:rsidR="00C93A66">
        <w:rPr>
          <w:rFonts w:ascii="Times New Roman" w:hAnsi="Times New Roman"/>
          <w:sz w:val="24"/>
          <w:szCs w:val="24"/>
        </w:rPr>
        <w:t xml:space="preserve">typically </w:t>
      </w:r>
      <w:r w:rsidR="00C93A66" w:rsidRPr="00FC5729">
        <w:rPr>
          <w:rFonts w:ascii="Times New Roman" w:hAnsi="Times New Roman"/>
          <w:sz w:val="24"/>
          <w:szCs w:val="24"/>
        </w:rPr>
        <w:t>is justified on the ground that the specified transactions are simply too fraught.</w:t>
      </w:r>
      <w:r w:rsidR="00C93A66" w:rsidRPr="00FC5729">
        <w:rPr>
          <w:rStyle w:val="FootnoteReference"/>
          <w:rFonts w:ascii="Times New Roman" w:hAnsi="Times New Roman"/>
          <w:sz w:val="24"/>
          <w:szCs w:val="24"/>
        </w:rPr>
        <w:footnoteReference w:id="53"/>
      </w:r>
      <w:r w:rsidR="00C93A66" w:rsidRPr="00FC5729">
        <w:rPr>
          <w:rFonts w:ascii="Times New Roman" w:hAnsi="Times New Roman"/>
          <w:sz w:val="24"/>
          <w:szCs w:val="24"/>
        </w:rPr>
        <w:t xml:space="preserve"> While prohibitions of this sort ease the burden of </w:t>
      </w:r>
      <w:r w:rsidR="00C93A66" w:rsidRPr="00FC5729">
        <w:rPr>
          <w:rFonts w:ascii="Times New Roman" w:hAnsi="Times New Roman"/>
          <w:i/>
          <w:sz w:val="24"/>
          <w:szCs w:val="24"/>
        </w:rPr>
        <w:t>ex post</w:t>
      </w:r>
      <w:r w:rsidR="00C93A66" w:rsidRPr="00FC5729">
        <w:rPr>
          <w:rFonts w:ascii="Times New Roman" w:hAnsi="Times New Roman"/>
          <w:sz w:val="24"/>
          <w:szCs w:val="24"/>
        </w:rPr>
        <w:t xml:space="preserve"> judicial or administrative review, they sacrifice any potential benefits to the business organizations from the specified conflict transactions.</w:t>
      </w:r>
      <w:r w:rsidR="00C93A66">
        <w:rPr>
          <w:rFonts w:ascii="Times New Roman" w:hAnsi="Times New Roman"/>
          <w:sz w:val="24"/>
          <w:szCs w:val="24"/>
        </w:rPr>
        <w:t xml:space="preserve"> More important for present purposes is </w:t>
      </w:r>
      <w:r w:rsidRPr="00FC5729">
        <w:rPr>
          <w:rFonts w:ascii="Times New Roman" w:hAnsi="Times New Roman"/>
          <w:sz w:val="24"/>
          <w:szCs w:val="24"/>
        </w:rPr>
        <w:t>the rule</w:t>
      </w:r>
      <w:r w:rsidR="00C93A66">
        <w:rPr>
          <w:rFonts w:ascii="Times New Roman" w:hAnsi="Times New Roman"/>
          <w:sz w:val="24"/>
          <w:szCs w:val="24"/>
        </w:rPr>
        <w:t xml:space="preserve"> – generally applicable outside the U.S. – </w:t>
      </w:r>
      <w:r w:rsidRPr="00FC5729">
        <w:rPr>
          <w:rFonts w:ascii="Times New Roman" w:hAnsi="Times New Roman"/>
          <w:sz w:val="24"/>
          <w:szCs w:val="24"/>
        </w:rPr>
        <w:t>that all conflict transactions are voidable without regard to fairness.</w:t>
      </w:r>
      <w:r w:rsidR="00C55159">
        <w:rPr>
          <w:rFonts w:ascii="Times New Roman" w:hAnsi="Times New Roman"/>
          <w:sz w:val="24"/>
          <w:szCs w:val="24"/>
        </w:rPr>
        <w:t xml:space="preserve"> </w:t>
      </w:r>
      <w:r w:rsidR="00C93A66">
        <w:rPr>
          <w:rFonts w:ascii="Times New Roman" w:hAnsi="Times New Roman"/>
          <w:sz w:val="24"/>
          <w:szCs w:val="24"/>
        </w:rPr>
        <w:t>As explained below, t</w:t>
      </w:r>
      <w:r w:rsidR="00C55159">
        <w:rPr>
          <w:rFonts w:ascii="Times New Roman" w:hAnsi="Times New Roman"/>
          <w:sz w:val="24"/>
          <w:szCs w:val="24"/>
        </w:rPr>
        <w:t>r</w:t>
      </w:r>
      <w:r w:rsidR="00C93A66">
        <w:rPr>
          <w:rFonts w:ascii="Times New Roman" w:hAnsi="Times New Roman"/>
          <w:sz w:val="24"/>
          <w:szCs w:val="24"/>
        </w:rPr>
        <w:t>ansactions typically can be cle</w:t>
      </w:r>
      <w:r w:rsidR="00C55159">
        <w:rPr>
          <w:rFonts w:ascii="Times New Roman" w:hAnsi="Times New Roman"/>
          <w:sz w:val="24"/>
          <w:szCs w:val="24"/>
        </w:rPr>
        <w:t>nsed of the taint of conflict via prior approval, but the voidability regime effectively prohibits</w:t>
      </w:r>
      <w:r w:rsidR="00C93A66">
        <w:rPr>
          <w:rFonts w:ascii="Times New Roman" w:hAnsi="Times New Roman"/>
          <w:sz w:val="24"/>
          <w:szCs w:val="24"/>
        </w:rPr>
        <w:t xml:space="preserve"> conflict transactions.</w:t>
      </w:r>
    </w:p>
    <w:p w14:paraId="188C17DE" w14:textId="7C79C955" w:rsidR="002F128D" w:rsidRPr="00FC5729" w:rsidRDefault="00A97ABE" w:rsidP="009F6558">
      <w:pPr>
        <w:spacing w:after="120" w:line="240" w:lineRule="auto"/>
        <w:ind w:firstLine="720"/>
        <w:jc w:val="both"/>
        <w:rPr>
          <w:rFonts w:ascii="Times New Roman" w:hAnsi="Times New Roman"/>
          <w:sz w:val="24"/>
          <w:szCs w:val="24"/>
        </w:rPr>
      </w:pPr>
      <w:r w:rsidRPr="00FC5729">
        <w:rPr>
          <w:rFonts w:ascii="Times New Roman" w:hAnsi="Times New Roman"/>
          <w:sz w:val="24"/>
          <w:szCs w:val="24"/>
        </w:rPr>
        <w:t xml:space="preserve">In a widely cited and </w:t>
      </w:r>
      <w:r w:rsidR="00E834EE" w:rsidRPr="00FC5729">
        <w:rPr>
          <w:rFonts w:ascii="Times New Roman" w:hAnsi="Times New Roman"/>
          <w:sz w:val="24"/>
          <w:szCs w:val="24"/>
        </w:rPr>
        <w:t>highly</w:t>
      </w:r>
      <w:r w:rsidRPr="00FC5729">
        <w:rPr>
          <w:rFonts w:ascii="Times New Roman" w:hAnsi="Times New Roman"/>
          <w:sz w:val="24"/>
          <w:szCs w:val="24"/>
        </w:rPr>
        <w:t xml:space="preserve"> influential article, Harold Marsh</w:t>
      </w:r>
      <w:r w:rsidR="00C919C5" w:rsidRPr="00FC5729">
        <w:rPr>
          <w:rFonts w:ascii="Times New Roman" w:hAnsi="Times New Roman"/>
          <w:sz w:val="24"/>
          <w:szCs w:val="24"/>
        </w:rPr>
        <w:t xml:space="preserve"> </w:t>
      </w:r>
      <w:r w:rsidRPr="00FC5729">
        <w:rPr>
          <w:rFonts w:ascii="Times New Roman" w:hAnsi="Times New Roman"/>
          <w:sz w:val="24"/>
          <w:szCs w:val="24"/>
        </w:rPr>
        <w:t xml:space="preserve">concluded that conflict transactions </w:t>
      </w:r>
      <w:r w:rsidR="001C2CE8" w:rsidRPr="00FC5729">
        <w:rPr>
          <w:rFonts w:ascii="Times New Roman" w:hAnsi="Times New Roman"/>
          <w:sz w:val="24"/>
          <w:szCs w:val="24"/>
        </w:rPr>
        <w:t xml:space="preserve">between a corporation and a director </w:t>
      </w:r>
      <w:r w:rsidRPr="00FC5729">
        <w:rPr>
          <w:rFonts w:ascii="Times New Roman" w:hAnsi="Times New Roman"/>
          <w:sz w:val="24"/>
          <w:szCs w:val="24"/>
        </w:rPr>
        <w:t>were prohibited by the common law</w:t>
      </w:r>
      <w:r w:rsidR="006E1856" w:rsidRPr="00FC5729">
        <w:rPr>
          <w:rFonts w:ascii="Times New Roman" w:hAnsi="Times New Roman"/>
          <w:sz w:val="24"/>
          <w:szCs w:val="24"/>
        </w:rPr>
        <w:t xml:space="preserve"> in the U.S.</w:t>
      </w:r>
      <w:r w:rsidRPr="00FC5729">
        <w:rPr>
          <w:rFonts w:ascii="Times New Roman" w:hAnsi="Times New Roman"/>
          <w:sz w:val="24"/>
          <w:szCs w:val="24"/>
        </w:rPr>
        <w:t>, meaning that “any contract between a director and his corporation was voidable at the instance of the corporation or its shareholders, without regard to the fairness or unfairness of the transaction.”</w:t>
      </w:r>
      <w:r w:rsidR="002F128D" w:rsidRPr="00FC5729">
        <w:rPr>
          <w:rStyle w:val="FootnoteReference"/>
          <w:rFonts w:ascii="Times New Roman" w:hAnsi="Times New Roman"/>
          <w:sz w:val="24"/>
          <w:szCs w:val="24"/>
        </w:rPr>
        <w:footnoteReference w:id="54"/>
      </w:r>
      <w:r w:rsidRPr="00FC5729">
        <w:rPr>
          <w:rFonts w:ascii="Times New Roman" w:hAnsi="Times New Roman"/>
          <w:sz w:val="24"/>
          <w:szCs w:val="24"/>
        </w:rPr>
        <w:t xml:space="preserve"> </w:t>
      </w:r>
      <w:r w:rsidR="00445B74" w:rsidRPr="00FC5729">
        <w:rPr>
          <w:rFonts w:ascii="Times New Roman" w:hAnsi="Times New Roman"/>
          <w:sz w:val="24"/>
          <w:szCs w:val="24"/>
        </w:rPr>
        <w:lastRenderedPageBreak/>
        <w:t>A</w:t>
      </w:r>
      <w:r w:rsidR="002F128D" w:rsidRPr="00FC5729">
        <w:rPr>
          <w:rFonts w:ascii="Times New Roman" w:hAnsi="Times New Roman"/>
          <w:sz w:val="24"/>
          <w:szCs w:val="24"/>
        </w:rPr>
        <w:t xml:space="preserve">ccording to Marsh, </w:t>
      </w:r>
      <w:r w:rsidR="00736B35" w:rsidRPr="00FC5729">
        <w:rPr>
          <w:rFonts w:ascii="Times New Roman" w:hAnsi="Times New Roman"/>
          <w:sz w:val="24"/>
          <w:szCs w:val="24"/>
        </w:rPr>
        <w:t xml:space="preserve">the taint of </w:t>
      </w:r>
      <w:r w:rsidR="002F128D" w:rsidRPr="00FC5729">
        <w:rPr>
          <w:rFonts w:ascii="Times New Roman" w:hAnsi="Times New Roman"/>
          <w:sz w:val="24"/>
          <w:szCs w:val="24"/>
        </w:rPr>
        <w:t>conflict could not be clensed by the approval of disinterested directors</w:t>
      </w:r>
      <w:r w:rsidR="00736B35" w:rsidRPr="00FC5729">
        <w:rPr>
          <w:rFonts w:ascii="Times New Roman" w:hAnsi="Times New Roman"/>
          <w:sz w:val="24"/>
          <w:szCs w:val="24"/>
        </w:rPr>
        <w:t>, as “the corporation was entitled to the unprejudiced judgment and advice of all of its directors.”</w:t>
      </w:r>
      <w:r w:rsidR="00736B35" w:rsidRPr="00FC5729">
        <w:rPr>
          <w:rStyle w:val="FootnoteReference"/>
          <w:rFonts w:ascii="Times New Roman" w:hAnsi="Times New Roman"/>
          <w:sz w:val="24"/>
          <w:szCs w:val="24"/>
        </w:rPr>
        <w:footnoteReference w:id="55"/>
      </w:r>
      <w:r w:rsidR="00736B35" w:rsidRPr="00FC5729">
        <w:rPr>
          <w:rFonts w:ascii="Times New Roman" w:hAnsi="Times New Roman"/>
          <w:sz w:val="24"/>
          <w:szCs w:val="24"/>
        </w:rPr>
        <w:t xml:space="preserve"> Perhaps</w:t>
      </w:r>
      <w:r w:rsidR="000D100A" w:rsidRPr="00FC5729">
        <w:rPr>
          <w:rFonts w:ascii="Times New Roman" w:hAnsi="Times New Roman"/>
          <w:sz w:val="24"/>
          <w:szCs w:val="24"/>
        </w:rPr>
        <w:t xml:space="preserve"> most surprisingly, Marsh claimed</w:t>
      </w:r>
      <w:r w:rsidR="00736B35" w:rsidRPr="00FC5729">
        <w:rPr>
          <w:rFonts w:ascii="Times New Roman" w:hAnsi="Times New Roman"/>
          <w:sz w:val="24"/>
          <w:szCs w:val="24"/>
        </w:rPr>
        <w:t xml:space="preserve"> that </w:t>
      </w:r>
      <w:r w:rsidR="002F128D" w:rsidRPr="00FC5729">
        <w:rPr>
          <w:rFonts w:ascii="Times New Roman" w:hAnsi="Times New Roman"/>
          <w:sz w:val="24"/>
          <w:szCs w:val="24"/>
        </w:rPr>
        <w:t xml:space="preserve">nineteenth century U.S. courts </w:t>
      </w:r>
      <w:r w:rsidR="00736B35" w:rsidRPr="00FC5729">
        <w:rPr>
          <w:rFonts w:ascii="Times New Roman" w:hAnsi="Times New Roman"/>
          <w:sz w:val="24"/>
          <w:szCs w:val="24"/>
        </w:rPr>
        <w:t>took claims of structural bias seriously,</w:t>
      </w:r>
      <w:r w:rsidR="00736B35" w:rsidRPr="00FC5729">
        <w:rPr>
          <w:rStyle w:val="FootnoteReference"/>
          <w:rFonts w:ascii="Times New Roman" w:hAnsi="Times New Roman"/>
          <w:sz w:val="24"/>
          <w:szCs w:val="24"/>
        </w:rPr>
        <w:footnoteReference w:id="56"/>
      </w:r>
      <w:r w:rsidR="00736B35" w:rsidRPr="00FC5729">
        <w:rPr>
          <w:rFonts w:ascii="Times New Roman" w:hAnsi="Times New Roman"/>
          <w:sz w:val="24"/>
          <w:szCs w:val="24"/>
        </w:rPr>
        <w:t xml:space="preserve"> reasoning, “The moment the directors permit one or more of their number to deal with the property of the stockholders, they surrender their own independence and self control.”</w:t>
      </w:r>
      <w:r w:rsidR="00736B35" w:rsidRPr="00FC5729">
        <w:rPr>
          <w:rStyle w:val="FootnoteReference"/>
          <w:rFonts w:ascii="Times New Roman" w:hAnsi="Times New Roman"/>
          <w:sz w:val="24"/>
          <w:szCs w:val="24"/>
        </w:rPr>
        <w:footnoteReference w:id="57"/>
      </w:r>
      <w:r w:rsidR="00445B74" w:rsidRPr="00FC5729">
        <w:rPr>
          <w:rFonts w:ascii="Times New Roman" w:hAnsi="Times New Roman"/>
          <w:sz w:val="24"/>
          <w:szCs w:val="24"/>
        </w:rPr>
        <w:t xml:space="preserve"> As a result, Marsh concluded, “This principle, absolutely inhibiting contracts between a corporation and its directors or any of them, appeared to be impregnable in 1880.”</w:t>
      </w:r>
      <w:r w:rsidR="00445B74" w:rsidRPr="00FC5729">
        <w:rPr>
          <w:rStyle w:val="FootnoteReference"/>
          <w:rFonts w:ascii="Times New Roman" w:hAnsi="Times New Roman"/>
          <w:sz w:val="24"/>
          <w:szCs w:val="24"/>
        </w:rPr>
        <w:footnoteReference w:id="58"/>
      </w:r>
    </w:p>
    <w:p w14:paraId="67A024D0" w14:textId="4D91A981" w:rsidR="00010855" w:rsidRPr="00FC5729" w:rsidRDefault="00445B74" w:rsidP="009F6558">
      <w:pPr>
        <w:spacing w:after="120" w:line="240" w:lineRule="auto"/>
        <w:ind w:firstLine="720"/>
        <w:jc w:val="both"/>
        <w:rPr>
          <w:rFonts w:ascii="Times New Roman" w:hAnsi="Times New Roman"/>
          <w:sz w:val="24"/>
          <w:szCs w:val="24"/>
        </w:rPr>
      </w:pPr>
      <w:r w:rsidRPr="00FC5729">
        <w:rPr>
          <w:rFonts w:ascii="Times New Roman" w:hAnsi="Times New Roman"/>
          <w:sz w:val="24"/>
          <w:szCs w:val="24"/>
        </w:rPr>
        <w:t xml:space="preserve">Within the next 30 years, </w:t>
      </w:r>
      <w:r w:rsidR="000D100A" w:rsidRPr="00FC5729">
        <w:rPr>
          <w:rFonts w:ascii="Times New Roman" w:hAnsi="Times New Roman"/>
          <w:sz w:val="24"/>
          <w:szCs w:val="24"/>
        </w:rPr>
        <w:t xml:space="preserve">Marsh argued, </w:t>
      </w:r>
      <w:r w:rsidRPr="00FC5729">
        <w:rPr>
          <w:rFonts w:ascii="Times New Roman" w:hAnsi="Times New Roman"/>
          <w:sz w:val="24"/>
          <w:szCs w:val="24"/>
        </w:rPr>
        <w:t>the general rule had cha</w:t>
      </w:r>
      <w:r w:rsidR="002A045F" w:rsidRPr="00FC5729">
        <w:rPr>
          <w:rFonts w:ascii="Times New Roman" w:hAnsi="Times New Roman"/>
          <w:sz w:val="24"/>
          <w:szCs w:val="24"/>
        </w:rPr>
        <w:t xml:space="preserve">nged </w:t>
      </w:r>
      <w:r w:rsidR="004535F3" w:rsidRPr="00FC5729">
        <w:rPr>
          <w:rFonts w:ascii="Times New Roman" w:hAnsi="Times New Roman"/>
          <w:sz w:val="24"/>
          <w:szCs w:val="24"/>
        </w:rPr>
        <w:t xml:space="preserve">in many jurisdictions, </w:t>
      </w:r>
      <w:r w:rsidR="002A045F" w:rsidRPr="00FC5729">
        <w:rPr>
          <w:rFonts w:ascii="Times New Roman" w:hAnsi="Times New Roman"/>
          <w:sz w:val="24"/>
          <w:szCs w:val="24"/>
        </w:rPr>
        <w:t xml:space="preserve">and conflict transactions were </w:t>
      </w:r>
      <w:r w:rsidR="004535F3" w:rsidRPr="00FC5729">
        <w:rPr>
          <w:rFonts w:ascii="Times New Roman" w:hAnsi="Times New Roman"/>
          <w:sz w:val="24"/>
          <w:szCs w:val="24"/>
        </w:rPr>
        <w:t xml:space="preserve">held to be </w:t>
      </w:r>
      <w:r w:rsidRPr="00FC5729">
        <w:rPr>
          <w:rFonts w:ascii="Times New Roman" w:hAnsi="Times New Roman"/>
          <w:sz w:val="24"/>
          <w:szCs w:val="24"/>
        </w:rPr>
        <w:t>valid</w:t>
      </w:r>
      <w:r w:rsidR="002A045F" w:rsidRPr="00FC5729">
        <w:rPr>
          <w:rFonts w:ascii="Times New Roman" w:hAnsi="Times New Roman"/>
          <w:sz w:val="24"/>
          <w:szCs w:val="24"/>
        </w:rPr>
        <w:t>, if challenged,</w:t>
      </w:r>
      <w:r w:rsidRPr="00FC5729">
        <w:rPr>
          <w:rFonts w:ascii="Times New Roman" w:hAnsi="Times New Roman"/>
          <w:sz w:val="24"/>
          <w:szCs w:val="24"/>
        </w:rPr>
        <w:t xml:space="preserve"> </w:t>
      </w:r>
      <w:r w:rsidR="002A045F" w:rsidRPr="00FC5729">
        <w:rPr>
          <w:rFonts w:ascii="Times New Roman" w:hAnsi="Times New Roman"/>
          <w:sz w:val="24"/>
          <w:szCs w:val="24"/>
        </w:rPr>
        <w:t xml:space="preserve">when </w:t>
      </w:r>
      <w:r w:rsidRPr="00FC5729">
        <w:rPr>
          <w:rFonts w:ascii="Times New Roman" w:hAnsi="Times New Roman"/>
          <w:sz w:val="24"/>
          <w:szCs w:val="24"/>
        </w:rPr>
        <w:t>approved by disinterested directors</w:t>
      </w:r>
      <w:r w:rsidR="00546577" w:rsidRPr="00FC5729">
        <w:rPr>
          <w:rStyle w:val="FootnoteReference"/>
          <w:sz w:val="24"/>
          <w:szCs w:val="24"/>
        </w:rPr>
        <w:footnoteReference w:id="59"/>
      </w:r>
      <w:r w:rsidRPr="00FC5729">
        <w:rPr>
          <w:rFonts w:ascii="Times New Roman" w:hAnsi="Times New Roman"/>
          <w:sz w:val="24"/>
          <w:szCs w:val="24"/>
        </w:rPr>
        <w:t xml:space="preserve"> and found </w:t>
      </w:r>
      <w:r w:rsidR="002A045F" w:rsidRPr="00FC5729">
        <w:rPr>
          <w:rFonts w:ascii="Times New Roman" w:hAnsi="Times New Roman"/>
          <w:sz w:val="24"/>
          <w:szCs w:val="24"/>
        </w:rPr>
        <w:t xml:space="preserve">by a court </w:t>
      </w:r>
      <w:r w:rsidRPr="00FC5729">
        <w:rPr>
          <w:rFonts w:ascii="Times New Roman" w:hAnsi="Times New Roman"/>
          <w:sz w:val="24"/>
          <w:szCs w:val="24"/>
        </w:rPr>
        <w:t>to be substantively fair.</w:t>
      </w:r>
      <w:r w:rsidRPr="00FC5729">
        <w:rPr>
          <w:rStyle w:val="FootnoteReference"/>
          <w:rFonts w:ascii="Times New Roman" w:hAnsi="Times New Roman"/>
          <w:sz w:val="24"/>
          <w:szCs w:val="24"/>
        </w:rPr>
        <w:footnoteReference w:id="60"/>
      </w:r>
      <w:r w:rsidR="002A045F" w:rsidRPr="00FC5729">
        <w:rPr>
          <w:rFonts w:ascii="Times New Roman" w:hAnsi="Times New Roman"/>
          <w:sz w:val="24"/>
          <w:szCs w:val="24"/>
        </w:rPr>
        <w:t xml:space="preserve"> In Marsh’s view, this move toward </w:t>
      </w:r>
      <w:r w:rsidR="006E1856" w:rsidRPr="00FC5729">
        <w:rPr>
          <w:rFonts w:ascii="Times New Roman" w:hAnsi="Times New Roman"/>
          <w:sz w:val="24"/>
          <w:szCs w:val="24"/>
        </w:rPr>
        <w:t xml:space="preserve">increased </w:t>
      </w:r>
      <w:r w:rsidR="002A045F" w:rsidRPr="00FC5729">
        <w:rPr>
          <w:rFonts w:ascii="Times New Roman" w:hAnsi="Times New Roman"/>
          <w:sz w:val="24"/>
          <w:szCs w:val="24"/>
        </w:rPr>
        <w:t>tolerance of conflict transactions was a lamentable degradation of the fiduciary principle</w:t>
      </w:r>
      <w:r w:rsidR="00C23F34" w:rsidRPr="00FC5729">
        <w:rPr>
          <w:rFonts w:ascii="Times New Roman" w:hAnsi="Times New Roman"/>
          <w:sz w:val="24"/>
          <w:szCs w:val="24"/>
        </w:rPr>
        <w:t>,</w:t>
      </w:r>
      <w:r w:rsidR="002A045F" w:rsidRPr="00FC5729">
        <w:rPr>
          <w:rStyle w:val="FootnoteReference"/>
          <w:rFonts w:ascii="Times New Roman" w:hAnsi="Times New Roman"/>
          <w:sz w:val="24"/>
          <w:szCs w:val="24"/>
        </w:rPr>
        <w:footnoteReference w:id="61"/>
      </w:r>
      <w:r w:rsidR="006E1856" w:rsidRPr="00FC5729">
        <w:rPr>
          <w:rFonts w:ascii="Times New Roman" w:hAnsi="Times New Roman"/>
          <w:sz w:val="24"/>
          <w:szCs w:val="24"/>
        </w:rPr>
        <w:t xml:space="preserve"> </w:t>
      </w:r>
      <w:r w:rsidR="00C23F34" w:rsidRPr="00FC5729">
        <w:rPr>
          <w:rFonts w:ascii="Times New Roman" w:hAnsi="Times New Roman"/>
          <w:sz w:val="24"/>
          <w:szCs w:val="24"/>
        </w:rPr>
        <w:t xml:space="preserve">enabled by a “technical” loophole imported from trust law, namely, “that a trustee, while forbidden to deal with himself in connection with the trust property, could deal directly with the cestui que trust if he made full disclosure and took no unfair </w:t>
      </w:r>
      <w:r w:rsidR="00C23F34" w:rsidRPr="00FC5729">
        <w:rPr>
          <w:rFonts w:ascii="Times New Roman" w:hAnsi="Times New Roman"/>
          <w:sz w:val="24"/>
          <w:szCs w:val="24"/>
        </w:rPr>
        <w:lastRenderedPageBreak/>
        <w:t>advantage.”</w:t>
      </w:r>
      <w:r w:rsidR="00C23F34" w:rsidRPr="00FC5729">
        <w:rPr>
          <w:rStyle w:val="FootnoteReference"/>
          <w:rFonts w:ascii="Times New Roman" w:hAnsi="Times New Roman"/>
          <w:sz w:val="24"/>
          <w:szCs w:val="24"/>
        </w:rPr>
        <w:footnoteReference w:id="62"/>
      </w:r>
      <w:r w:rsidR="004535F3" w:rsidRPr="00FC5729">
        <w:rPr>
          <w:rFonts w:ascii="Times New Roman" w:hAnsi="Times New Roman"/>
          <w:sz w:val="24"/>
          <w:szCs w:val="24"/>
        </w:rPr>
        <w:t xml:space="preserve">  </w:t>
      </w:r>
      <w:r w:rsidR="00010855" w:rsidRPr="00FC5729">
        <w:rPr>
          <w:rFonts w:ascii="Times New Roman" w:hAnsi="Times New Roman"/>
          <w:sz w:val="24"/>
          <w:szCs w:val="24"/>
        </w:rPr>
        <w:t>Writing in 1966, Marsh proclaims, “the courts have progressed from condemnation, to toleration, to encouragement of conflict of interest.”</w:t>
      </w:r>
      <w:r w:rsidR="00010855" w:rsidRPr="00FC5729">
        <w:rPr>
          <w:rStyle w:val="FootnoteReference"/>
          <w:sz w:val="24"/>
          <w:szCs w:val="24"/>
        </w:rPr>
        <w:footnoteReference w:id="63"/>
      </w:r>
    </w:p>
    <w:p w14:paraId="038C488A" w14:textId="16792363" w:rsidR="004B3CB8" w:rsidRPr="00FC5729" w:rsidRDefault="009E668C" w:rsidP="009F6558">
      <w:pPr>
        <w:spacing w:after="120" w:line="240" w:lineRule="auto"/>
        <w:ind w:firstLine="720"/>
        <w:jc w:val="both"/>
        <w:rPr>
          <w:rFonts w:ascii="Times New Roman" w:hAnsi="Times New Roman"/>
          <w:sz w:val="24"/>
          <w:szCs w:val="24"/>
        </w:rPr>
      </w:pPr>
      <w:r w:rsidRPr="00FC5729">
        <w:rPr>
          <w:rFonts w:ascii="Times New Roman" w:hAnsi="Times New Roman"/>
          <w:sz w:val="24"/>
          <w:szCs w:val="24"/>
        </w:rPr>
        <w:t xml:space="preserve">This is a fascinating story of legal adaptation, </w:t>
      </w:r>
      <w:r w:rsidR="00010855" w:rsidRPr="00FC5729">
        <w:rPr>
          <w:rFonts w:ascii="Times New Roman" w:hAnsi="Times New Roman"/>
          <w:sz w:val="24"/>
          <w:szCs w:val="24"/>
        </w:rPr>
        <w:t xml:space="preserve">which has been widely accepted by corporate </w:t>
      </w:r>
      <w:r w:rsidRPr="00FC5729">
        <w:rPr>
          <w:rFonts w:ascii="Times New Roman" w:hAnsi="Times New Roman"/>
          <w:sz w:val="24"/>
          <w:szCs w:val="24"/>
        </w:rPr>
        <w:t xml:space="preserve">law </w:t>
      </w:r>
      <w:r w:rsidR="00010855" w:rsidRPr="00FC5729">
        <w:rPr>
          <w:rFonts w:ascii="Times New Roman" w:hAnsi="Times New Roman"/>
          <w:sz w:val="24"/>
          <w:szCs w:val="24"/>
        </w:rPr>
        <w:t>scholars in the U.S.</w:t>
      </w:r>
      <w:r w:rsidR="0079371D" w:rsidRPr="00FC5729">
        <w:rPr>
          <w:rStyle w:val="FootnoteReference"/>
          <w:sz w:val="24"/>
          <w:szCs w:val="24"/>
        </w:rPr>
        <w:footnoteReference w:id="64"/>
      </w:r>
      <w:r w:rsidRPr="00FC5729">
        <w:rPr>
          <w:rFonts w:ascii="Times New Roman" w:hAnsi="Times New Roman"/>
          <w:sz w:val="24"/>
          <w:szCs w:val="24"/>
        </w:rPr>
        <w:t xml:space="preserve"> The only shortcoming of the story is that it is not quite true. </w:t>
      </w:r>
      <w:r w:rsidR="009F6558" w:rsidRPr="00FC5729">
        <w:rPr>
          <w:rFonts w:ascii="Times New Roman" w:hAnsi="Times New Roman"/>
          <w:sz w:val="24"/>
          <w:szCs w:val="24"/>
        </w:rPr>
        <w:t>Norwood Beveridge</w:t>
      </w:r>
      <w:r w:rsidR="00010855" w:rsidRPr="00FC5729">
        <w:rPr>
          <w:rFonts w:ascii="Times New Roman" w:hAnsi="Times New Roman"/>
          <w:sz w:val="24"/>
          <w:szCs w:val="24"/>
        </w:rPr>
        <w:t xml:space="preserve"> </w:t>
      </w:r>
      <w:r w:rsidRPr="00FC5729">
        <w:rPr>
          <w:rFonts w:ascii="Times New Roman" w:hAnsi="Times New Roman"/>
          <w:sz w:val="24"/>
          <w:szCs w:val="24"/>
        </w:rPr>
        <w:t xml:space="preserve">first </w:t>
      </w:r>
      <w:r w:rsidR="00010855" w:rsidRPr="00FC5729">
        <w:rPr>
          <w:rFonts w:ascii="Times New Roman" w:hAnsi="Times New Roman"/>
          <w:sz w:val="24"/>
          <w:szCs w:val="24"/>
        </w:rPr>
        <w:t xml:space="preserve">challenged </w:t>
      </w:r>
      <w:r w:rsidRPr="00FC5729">
        <w:rPr>
          <w:rFonts w:ascii="Times New Roman" w:hAnsi="Times New Roman"/>
          <w:sz w:val="24"/>
          <w:szCs w:val="24"/>
        </w:rPr>
        <w:t xml:space="preserve">Marsh’s </w:t>
      </w:r>
      <w:r w:rsidR="00010855" w:rsidRPr="00FC5729">
        <w:rPr>
          <w:rFonts w:ascii="Times New Roman" w:hAnsi="Times New Roman"/>
          <w:sz w:val="24"/>
          <w:szCs w:val="24"/>
        </w:rPr>
        <w:t>history</w:t>
      </w:r>
      <w:r w:rsidR="009F6558" w:rsidRPr="00FC5729">
        <w:rPr>
          <w:rFonts w:ascii="Times New Roman" w:hAnsi="Times New Roman"/>
          <w:sz w:val="24"/>
          <w:szCs w:val="24"/>
        </w:rPr>
        <w:t xml:space="preserve">, </w:t>
      </w:r>
      <w:r w:rsidRPr="00FC5729">
        <w:rPr>
          <w:rFonts w:ascii="Times New Roman" w:hAnsi="Times New Roman"/>
          <w:sz w:val="24"/>
          <w:szCs w:val="24"/>
        </w:rPr>
        <w:t xml:space="preserve">arguing </w:t>
      </w:r>
      <w:r w:rsidR="009F6558" w:rsidRPr="00FC5729">
        <w:rPr>
          <w:rFonts w:ascii="Times New Roman" w:hAnsi="Times New Roman"/>
          <w:sz w:val="24"/>
          <w:szCs w:val="24"/>
        </w:rPr>
        <w:t xml:space="preserve">that </w:t>
      </w:r>
      <w:r w:rsidR="004B3CB8" w:rsidRPr="00FC5729">
        <w:rPr>
          <w:rFonts w:ascii="Times New Roman" w:hAnsi="Times New Roman"/>
          <w:sz w:val="24"/>
          <w:szCs w:val="24"/>
        </w:rPr>
        <w:t>conflict transactions were “never thought to be voidable without regard to fairness.”</w:t>
      </w:r>
      <w:r w:rsidR="000E45CE" w:rsidRPr="00FC5729">
        <w:rPr>
          <w:rStyle w:val="FootnoteReference"/>
          <w:rFonts w:ascii="Times New Roman" w:hAnsi="Times New Roman"/>
          <w:sz w:val="24"/>
          <w:szCs w:val="24"/>
        </w:rPr>
        <w:footnoteReference w:id="65"/>
      </w:r>
      <w:r w:rsidRPr="00FC5729">
        <w:rPr>
          <w:rFonts w:ascii="Times New Roman" w:hAnsi="Times New Roman"/>
          <w:sz w:val="24"/>
          <w:szCs w:val="24"/>
        </w:rPr>
        <w:t xml:space="preserve"> Unfortunately, this view is also somewhat overstated.</w:t>
      </w:r>
      <w:r w:rsidR="002E53CA" w:rsidRPr="00FC5729">
        <w:rPr>
          <w:rFonts w:ascii="Times New Roman" w:hAnsi="Times New Roman"/>
          <w:sz w:val="24"/>
          <w:szCs w:val="24"/>
        </w:rPr>
        <w:t xml:space="preserve"> </w:t>
      </w:r>
      <w:r w:rsidR="004B3CB8" w:rsidRPr="00FC5729">
        <w:rPr>
          <w:rFonts w:ascii="Times New Roman" w:hAnsi="Times New Roman"/>
          <w:sz w:val="24"/>
          <w:szCs w:val="24"/>
        </w:rPr>
        <w:t xml:space="preserve">Nearly a half century after Marsh’s publication, David Kershaw mediated the debate, </w:t>
      </w:r>
      <w:r w:rsidR="002E53CA" w:rsidRPr="00FC5729">
        <w:rPr>
          <w:rFonts w:ascii="Times New Roman" w:hAnsi="Times New Roman"/>
          <w:sz w:val="24"/>
          <w:szCs w:val="24"/>
        </w:rPr>
        <w:t xml:space="preserve">concluding </w:t>
      </w:r>
      <w:r w:rsidR="004B3CB8" w:rsidRPr="00FC5729">
        <w:rPr>
          <w:rFonts w:ascii="Times New Roman" w:hAnsi="Times New Roman"/>
          <w:sz w:val="24"/>
          <w:szCs w:val="24"/>
        </w:rPr>
        <w:t xml:space="preserve">that </w:t>
      </w:r>
      <w:r w:rsidR="002E53CA" w:rsidRPr="00FC5729">
        <w:rPr>
          <w:rFonts w:ascii="Times New Roman" w:hAnsi="Times New Roman"/>
          <w:sz w:val="24"/>
          <w:szCs w:val="24"/>
        </w:rPr>
        <w:t xml:space="preserve">the strict voidability rule described by Marsh was part of the story, but noting that </w:t>
      </w:r>
      <w:r w:rsidR="004B3CB8" w:rsidRPr="00FC5729">
        <w:rPr>
          <w:rFonts w:ascii="Times New Roman" w:hAnsi="Times New Roman"/>
          <w:sz w:val="24"/>
          <w:szCs w:val="24"/>
        </w:rPr>
        <w:t xml:space="preserve">U.S. corporate law </w:t>
      </w:r>
      <w:r w:rsidR="002E53CA" w:rsidRPr="00FC5729">
        <w:rPr>
          <w:rFonts w:ascii="Times New Roman" w:hAnsi="Times New Roman"/>
          <w:sz w:val="24"/>
          <w:szCs w:val="24"/>
        </w:rPr>
        <w:t xml:space="preserve">also </w:t>
      </w:r>
      <w:r w:rsidR="002D0944" w:rsidRPr="00FC5729">
        <w:rPr>
          <w:rFonts w:ascii="Times New Roman" w:hAnsi="Times New Roman"/>
          <w:sz w:val="24"/>
          <w:szCs w:val="24"/>
        </w:rPr>
        <w:t>“</w:t>
      </w:r>
      <w:r w:rsidR="004B3CB8" w:rsidRPr="00FC5729">
        <w:rPr>
          <w:rFonts w:ascii="Times New Roman" w:hAnsi="Times New Roman"/>
          <w:sz w:val="24"/>
          <w:szCs w:val="24"/>
        </w:rPr>
        <w:t>created multiple paths towards fairness review.”</w:t>
      </w:r>
      <w:r w:rsidR="004B3CB8" w:rsidRPr="00FC5729">
        <w:rPr>
          <w:rStyle w:val="FootnoteReference"/>
          <w:rFonts w:ascii="Times New Roman" w:hAnsi="Times New Roman"/>
          <w:sz w:val="24"/>
          <w:szCs w:val="24"/>
        </w:rPr>
        <w:footnoteReference w:id="66"/>
      </w:r>
      <w:r w:rsidR="002E53CA" w:rsidRPr="00FC5729">
        <w:rPr>
          <w:rFonts w:ascii="Times New Roman" w:hAnsi="Times New Roman"/>
          <w:sz w:val="24"/>
          <w:szCs w:val="24"/>
        </w:rPr>
        <w:t xml:space="preserve"> Thus, the two standards co-existed for many years as different jurisdictions sampled from different lines of authority.</w:t>
      </w:r>
    </w:p>
    <w:p w14:paraId="4AE691CF" w14:textId="7E71DDB7" w:rsidR="00B80EA7" w:rsidRPr="00FC5729" w:rsidRDefault="009F6558" w:rsidP="00071EEC">
      <w:pPr>
        <w:spacing w:after="120" w:line="240" w:lineRule="auto"/>
        <w:ind w:firstLine="720"/>
        <w:jc w:val="both"/>
        <w:rPr>
          <w:rFonts w:ascii="Times New Roman" w:hAnsi="Times New Roman"/>
          <w:sz w:val="24"/>
          <w:szCs w:val="24"/>
        </w:rPr>
      </w:pPr>
      <w:r w:rsidRPr="00FC5729">
        <w:rPr>
          <w:rFonts w:ascii="Times New Roman" w:hAnsi="Times New Roman"/>
          <w:sz w:val="24"/>
          <w:szCs w:val="24"/>
        </w:rPr>
        <w:t>T</w:t>
      </w:r>
      <w:r w:rsidR="000E45CE" w:rsidRPr="00FC5729">
        <w:rPr>
          <w:rFonts w:ascii="Times New Roman" w:hAnsi="Times New Roman"/>
          <w:sz w:val="24"/>
          <w:szCs w:val="24"/>
        </w:rPr>
        <w:t xml:space="preserve">he </w:t>
      </w:r>
      <w:r w:rsidR="002E53CA" w:rsidRPr="00FC5729">
        <w:rPr>
          <w:rFonts w:ascii="Times New Roman" w:hAnsi="Times New Roman"/>
          <w:sz w:val="24"/>
          <w:szCs w:val="24"/>
        </w:rPr>
        <w:t xml:space="preserve">rule of strict voidability articulated by </w:t>
      </w:r>
      <w:r w:rsidR="004B3CB8" w:rsidRPr="00FC5729">
        <w:rPr>
          <w:rFonts w:ascii="Times New Roman" w:hAnsi="Times New Roman"/>
          <w:sz w:val="24"/>
          <w:szCs w:val="24"/>
        </w:rPr>
        <w:t xml:space="preserve">Marsh </w:t>
      </w:r>
      <w:r w:rsidR="00CD4B17">
        <w:rPr>
          <w:rFonts w:ascii="Times New Roman" w:hAnsi="Times New Roman"/>
          <w:sz w:val="24"/>
          <w:szCs w:val="24"/>
        </w:rPr>
        <w:t>has some support in n</w:t>
      </w:r>
      <w:r w:rsidR="00163209">
        <w:rPr>
          <w:rFonts w:ascii="Times New Roman" w:hAnsi="Times New Roman"/>
          <w:sz w:val="24"/>
          <w:szCs w:val="24"/>
        </w:rPr>
        <w:t>ow-</w:t>
      </w:r>
      <w:r w:rsidR="00CD4B17">
        <w:rPr>
          <w:rFonts w:ascii="Times New Roman" w:hAnsi="Times New Roman"/>
          <w:sz w:val="24"/>
          <w:szCs w:val="24"/>
        </w:rPr>
        <w:t>dated Delaware decisions,</w:t>
      </w:r>
      <w:r w:rsidR="00CD4B17">
        <w:rPr>
          <w:rStyle w:val="FootnoteReference"/>
          <w:sz w:val="24"/>
          <w:szCs w:val="24"/>
        </w:rPr>
        <w:footnoteReference w:id="67"/>
      </w:r>
      <w:r w:rsidR="00CD4B17">
        <w:rPr>
          <w:rFonts w:ascii="Times New Roman" w:hAnsi="Times New Roman"/>
          <w:sz w:val="24"/>
          <w:szCs w:val="24"/>
        </w:rPr>
        <w:t xml:space="preserve"> </w:t>
      </w:r>
      <w:r w:rsidR="00163209">
        <w:rPr>
          <w:rFonts w:ascii="Times New Roman" w:hAnsi="Times New Roman"/>
          <w:sz w:val="24"/>
          <w:szCs w:val="24"/>
        </w:rPr>
        <w:t xml:space="preserve">though the Delaware courts were reluctant </w:t>
      </w:r>
      <w:r w:rsidR="00C243B4">
        <w:rPr>
          <w:rFonts w:ascii="Times New Roman" w:hAnsi="Times New Roman"/>
          <w:sz w:val="24"/>
          <w:szCs w:val="24"/>
        </w:rPr>
        <w:t xml:space="preserve">even then </w:t>
      </w:r>
      <w:r w:rsidR="00163209">
        <w:rPr>
          <w:rFonts w:ascii="Times New Roman" w:hAnsi="Times New Roman"/>
          <w:sz w:val="24"/>
          <w:szCs w:val="24"/>
        </w:rPr>
        <w:t xml:space="preserve">to avoid a transaction without some evidence of </w:t>
      </w:r>
      <w:r w:rsidR="00B8454A">
        <w:rPr>
          <w:rFonts w:ascii="Times New Roman" w:hAnsi="Times New Roman"/>
          <w:sz w:val="24"/>
          <w:szCs w:val="24"/>
        </w:rPr>
        <w:t xml:space="preserve">substantive </w:t>
      </w:r>
      <w:r w:rsidR="00163209">
        <w:rPr>
          <w:rFonts w:ascii="Times New Roman" w:hAnsi="Times New Roman"/>
          <w:sz w:val="24"/>
          <w:szCs w:val="24"/>
        </w:rPr>
        <w:t>unfairness.</w:t>
      </w:r>
      <w:r w:rsidR="00163209">
        <w:rPr>
          <w:rStyle w:val="FootnoteReference"/>
          <w:sz w:val="24"/>
          <w:szCs w:val="24"/>
        </w:rPr>
        <w:footnoteReference w:id="68"/>
      </w:r>
      <w:r w:rsidR="00C243B4">
        <w:rPr>
          <w:rFonts w:ascii="Times New Roman" w:hAnsi="Times New Roman"/>
          <w:sz w:val="24"/>
          <w:szCs w:val="24"/>
        </w:rPr>
        <w:t xml:space="preserve"> In 1967 the DGCL was overhauled, and one of the major amendments was the additon of Section 144, which </w:t>
      </w:r>
      <w:r w:rsidR="00B8454A">
        <w:rPr>
          <w:rFonts w:ascii="Times New Roman" w:hAnsi="Times New Roman"/>
          <w:sz w:val="24"/>
          <w:szCs w:val="24"/>
        </w:rPr>
        <w:t xml:space="preserve">takes aim at the voidability rule, providing a path to validity based on disclosure and approval of a conflict transaction. Section 144 </w:t>
      </w:r>
      <w:r w:rsidR="00C243B4">
        <w:rPr>
          <w:rFonts w:ascii="Times New Roman" w:hAnsi="Times New Roman"/>
          <w:sz w:val="24"/>
          <w:szCs w:val="24"/>
        </w:rPr>
        <w:t xml:space="preserve">provides that a conflicted transaction will </w:t>
      </w:r>
      <w:r w:rsidR="00C243B4">
        <w:rPr>
          <w:rFonts w:ascii="Times New Roman" w:hAnsi="Times New Roman"/>
          <w:sz w:val="24"/>
          <w:szCs w:val="24"/>
        </w:rPr>
        <w:lastRenderedPageBreak/>
        <w:t xml:space="preserve">not be void or voiable based soley on the </w:t>
      </w:r>
      <w:r w:rsidR="00B8454A">
        <w:rPr>
          <w:rFonts w:ascii="Times New Roman" w:hAnsi="Times New Roman"/>
          <w:sz w:val="24"/>
          <w:szCs w:val="24"/>
        </w:rPr>
        <w:t xml:space="preserve">existence of a </w:t>
      </w:r>
      <w:r w:rsidR="00C243B4">
        <w:rPr>
          <w:rFonts w:ascii="Times New Roman" w:hAnsi="Times New Roman"/>
          <w:sz w:val="24"/>
          <w:szCs w:val="24"/>
        </w:rPr>
        <w:t>conflict, if the transaction were approved by a majority of the disinterested directors or a majority of the stockholders, assuming disclosure or knowledge of all material facts relating to the conflict</w:t>
      </w:r>
      <w:r w:rsidR="00B8454A">
        <w:rPr>
          <w:rFonts w:ascii="Times New Roman" w:hAnsi="Times New Roman"/>
          <w:sz w:val="24"/>
          <w:szCs w:val="24"/>
        </w:rPr>
        <w:t xml:space="preserve"> and assuming good faith action by directors or stockholders, as the case may be.</w:t>
      </w:r>
      <w:r w:rsidR="00B8454A">
        <w:rPr>
          <w:rStyle w:val="FootnoteReference"/>
          <w:sz w:val="24"/>
          <w:szCs w:val="24"/>
        </w:rPr>
        <w:footnoteReference w:id="69"/>
      </w:r>
      <w:r w:rsidR="00B8454A">
        <w:rPr>
          <w:rFonts w:ascii="Times New Roman" w:hAnsi="Times New Roman"/>
          <w:sz w:val="24"/>
          <w:szCs w:val="24"/>
        </w:rPr>
        <w:t xml:space="preserve"> Moreover, Section 144 provides that a conflicted transaction will not be void or voiable based soley on the existence of a conflict, if the transaction is “fair” to the corporation at the time of approval.</w:t>
      </w:r>
      <w:r w:rsidR="00B8454A">
        <w:rPr>
          <w:rStyle w:val="FootnoteReference"/>
          <w:sz w:val="24"/>
          <w:szCs w:val="24"/>
        </w:rPr>
        <w:footnoteReference w:id="70"/>
      </w:r>
    </w:p>
    <w:p w14:paraId="276D6025" w14:textId="2BE4C055" w:rsidR="00C35206" w:rsidRDefault="000520F7" w:rsidP="00FA07BA">
      <w:pPr>
        <w:spacing w:after="120" w:line="240" w:lineRule="auto"/>
        <w:ind w:firstLine="720"/>
        <w:jc w:val="both"/>
        <w:rPr>
          <w:rFonts w:ascii="Times New Roman" w:hAnsi="Times New Roman"/>
          <w:sz w:val="24"/>
          <w:szCs w:val="24"/>
        </w:rPr>
      </w:pPr>
      <w:r>
        <w:rPr>
          <w:rFonts w:ascii="Times New Roman" w:hAnsi="Times New Roman"/>
          <w:sz w:val="24"/>
          <w:szCs w:val="24"/>
        </w:rPr>
        <w:t>The jurisprudence on section 144 is confused. W</w:t>
      </w:r>
      <w:r w:rsidR="00F0290E">
        <w:rPr>
          <w:rFonts w:ascii="Times New Roman" w:hAnsi="Times New Roman"/>
          <w:sz w:val="24"/>
          <w:szCs w:val="24"/>
        </w:rPr>
        <w:t xml:space="preserve">hile </w:t>
      </w:r>
      <w:r>
        <w:rPr>
          <w:rFonts w:ascii="Times New Roman" w:hAnsi="Times New Roman"/>
          <w:sz w:val="24"/>
          <w:szCs w:val="24"/>
        </w:rPr>
        <w:t>the s</w:t>
      </w:r>
      <w:r w:rsidR="00F0290E">
        <w:rPr>
          <w:rFonts w:ascii="Times New Roman" w:hAnsi="Times New Roman"/>
          <w:sz w:val="24"/>
          <w:szCs w:val="24"/>
        </w:rPr>
        <w:t xml:space="preserve">ection could be read a providing a relatively </w:t>
      </w:r>
      <w:r w:rsidR="001242A4">
        <w:rPr>
          <w:rFonts w:ascii="Times New Roman" w:hAnsi="Times New Roman"/>
          <w:sz w:val="24"/>
          <w:szCs w:val="24"/>
        </w:rPr>
        <w:t xml:space="preserve">clear </w:t>
      </w:r>
      <w:r w:rsidR="00F0290E">
        <w:rPr>
          <w:rFonts w:ascii="Times New Roman" w:hAnsi="Times New Roman"/>
          <w:sz w:val="24"/>
          <w:szCs w:val="24"/>
        </w:rPr>
        <w:t>path to validity for conflict transactions, the Delaware Supreme Court rejected this reading, reasoning instead that the statute merely removed the “cloud” of self-interest from the transaction, but did not insulate the transaction completely from judicial review for unfairness.</w:t>
      </w:r>
      <w:r w:rsidR="00F0290E">
        <w:rPr>
          <w:rStyle w:val="FootnoteReference"/>
          <w:sz w:val="24"/>
          <w:szCs w:val="24"/>
        </w:rPr>
        <w:footnoteReference w:id="71"/>
      </w:r>
      <w:r w:rsidR="00F0290E">
        <w:rPr>
          <w:rFonts w:ascii="Times New Roman" w:hAnsi="Times New Roman"/>
          <w:sz w:val="24"/>
          <w:szCs w:val="24"/>
        </w:rPr>
        <w:t xml:space="preserve"> </w:t>
      </w:r>
      <w:r>
        <w:rPr>
          <w:rFonts w:ascii="Times New Roman" w:hAnsi="Times New Roman"/>
          <w:sz w:val="24"/>
          <w:szCs w:val="24"/>
        </w:rPr>
        <w:t>As for the standard of review</w:t>
      </w:r>
      <w:r w:rsidR="001242A4">
        <w:rPr>
          <w:rFonts w:ascii="Times New Roman" w:hAnsi="Times New Roman"/>
          <w:sz w:val="24"/>
          <w:szCs w:val="24"/>
        </w:rPr>
        <w:t xml:space="preserve"> that would be applied to such transactions</w:t>
      </w:r>
      <w:r>
        <w:rPr>
          <w:rFonts w:ascii="Times New Roman" w:hAnsi="Times New Roman"/>
          <w:sz w:val="24"/>
          <w:szCs w:val="24"/>
        </w:rPr>
        <w:t xml:space="preserve">, the Delaware courts have waivered, stating sometimes that </w:t>
      </w:r>
      <w:r w:rsidR="001242A4">
        <w:rPr>
          <w:rFonts w:ascii="Times New Roman" w:hAnsi="Times New Roman"/>
          <w:sz w:val="24"/>
          <w:szCs w:val="24"/>
        </w:rPr>
        <w:t xml:space="preserve">the </w:t>
      </w:r>
      <w:r>
        <w:rPr>
          <w:rFonts w:ascii="Times New Roman" w:hAnsi="Times New Roman"/>
          <w:sz w:val="24"/>
          <w:szCs w:val="24"/>
        </w:rPr>
        <w:t xml:space="preserve">transactions </w:t>
      </w:r>
      <w:r w:rsidR="001242A4">
        <w:rPr>
          <w:rFonts w:ascii="Times New Roman" w:hAnsi="Times New Roman"/>
          <w:sz w:val="24"/>
          <w:szCs w:val="24"/>
        </w:rPr>
        <w:t xml:space="preserve">would be </w:t>
      </w:r>
      <w:r>
        <w:rPr>
          <w:rFonts w:ascii="Times New Roman" w:hAnsi="Times New Roman"/>
          <w:sz w:val="24"/>
          <w:szCs w:val="24"/>
        </w:rPr>
        <w:t>subject to business judgment</w:t>
      </w:r>
      <w:r w:rsidR="001242A4">
        <w:rPr>
          <w:rFonts w:ascii="Times New Roman" w:hAnsi="Times New Roman"/>
          <w:sz w:val="24"/>
          <w:szCs w:val="24"/>
        </w:rPr>
        <w:t xml:space="preserve"> review</w:t>
      </w:r>
      <w:r w:rsidR="001242A4">
        <w:rPr>
          <w:rStyle w:val="FootnoteReference"/>
          <w:sz w:val="24"/>
          <w:szCs w:val="24"/>
        </w:rPr>
        <w:footnoteReference w:id="72"/>
      </w:r>
      <w:r w:rsidR="001242A4">
        <w:rPr>
          <w:rFonts w:ascii="Times New Roman" w:hAnsi="Times New Roman"/>
          <w:sz w:val="24"/>
          <w:szCs w:val="24"/>
        </w:rPr>
        <w:t xml:space="preserve"> and sometimes that the</w:t>
      </w:r>
      <w:r>
        <w:rPr>
          <w:rFonts w:ascii="Times New Roman" w:hAnsi="Times New Roman"/>
          <w:sz w:val="24"/>
          <w:szCs w:val="24"/>
        </w:rPr>
        <w:t xml:space="preserve"> transactions </w:t>
      </w:r>
      <w:r w:rsidR="001242A4">
        <w:rPr>
          <w:rFonts w:ascii="Times New Roman" w:hAnsi="Times New Roman"/>
          <w:sz w:val="24"/>
          <w:szCs w:val="24"/>
        </w:rPr>
        <w:t xml:space="preserve">would </w:t>
      </w:r>
      <w:r>
        <w:rPr>
          <w:rFonts w:ascii="Times New Roman" w:hAnsi="Times New Roman"/>
          <w:sz w:val="24"/>
          <w:szCs w:val="24"/>
        </w:rPr>
        <w:t xml:space="preserve">remain subject to entire fairness review, </w:t>
      </w:r>
      <w:r w:rsidR="001242A4">
        <w:rPr>
          <w:rFonts w:ascii="Times New Roman" w:hAnsi="Times New Roman"/>
          <w:sz w:val="24"/>
          <w:szCs w:val="24"/>
        </w:rPr>
        <w:t xml:space="preserve">with </w:t>
      </w:r>
      <w:r>
        <w:rPr>
          <w:rFonts w:ascii="Times New Roman" w:hAnsi="Times New Roman"/>
          <w:sz w:val="24"/>
          <w:szCs w:val="24"/>
        </w:rPr>
        <w:t>the burden of proof shifted from the defendants to the plaintiffs.</w:t>
      </w:r>
      <w:r w:rsidR="001242A4">
        <w:rPr>
          <w:rStyle w:val="FootnoteReference"/>
          <w:sz w:val="24"/>
          <w:szCs w:val="24"/>
        </w:rPr>
        <w:footnoteReference w:id="73"/>
      </w:r>
      <w:r w:rsidR="0044453F">
        <w:rPr>
          <w:rFonts w:ascii="Times New Roman" w:hAnsi="Times New Roman"/>
          <w:sz w:val="24"/>
          <w:szCs w:val="24"/>
        </w:rPr>
        <w:t xml:space="preserve"> The most recent authority indicates that compliance with the </w:t>
      </w:r>
      <w:r w:rsidR="00C40BAC">
        <w:rPr>
          <w:rFonts w:ascii="Times New Roman" w:hAnsi="Times New Roman"/>
          <w:sz w:val="24"/>
          <w:szCs w:val="24"/>
        </w:rPr>
        <w:t>approval provisions of section 144 provides a “safe harbor” for conflict transactions, invoking the business judgment rule.</w:t>
      </w:r>
      <w:r w:rsidR="00C40BAC">
        <w:rPr>
          <w:rStyle w:val="FootnoteReference"/>
          <w:sz w:val="24"/>
          <w:szCs w:val="24"/>
        </w:rPr>
        <w:footnoteReference w:id="74"/>
      </w:r>
    </w:p>
    <w:p w14:paraId="01B33454" w14:textId="77777777" w:rsidR="00C93A66" w:rsidRPr="00FC5729" w:rsidRDefault="00C93A66" w:rsidP="00C93A66">
      <w:pPr>
        <w:spacing w:after="120" w:line="240" w:lineRule="auto"/>
        <w:jc w:val="both"/>
        <w:rPr>
          <w:rFonts w:ascii="Times New Roman" w:hAnsi="Times New Roman"/>
          <w:sz w:val="24"/>
          <w:szCs w:val="24"/>
        </w:rPr>
      </w:pPr>
    </w:p>
    <w:p w14:paraId="3FF426B4" w14:textId="1BC1F9B4" w:rsidR="00926046" w:rsidRPr="00FC5729" w:rsidRDefault="000E45CE" w:rsidP="00B24922">
      <w:pPr>
        <w:pStyle w:val="TableofContents3"/>
      </w:pPr>
      <w:bookmarkStart w:id="13" w:name="_Toc418778899"/>
      <w:r w:rsidRPr="00FC5729">
        <w:t xml:space="preserve">Disclosure and </w:t>
      </w:r>
      <w:r w:rsidR="00E05375">
        <w:t>Approval</w:t>
      </w:r>
      <w:bookmarkEnd w:id="13"/>
      <w:r w:rsidR="00945487" w:rsidRPr="00FC5729">
        <w:t xml:space="preserve"> </w:t>
      </w:r>
    </w:p>
    <w:p w14:paraId="12960C6C" w14:textId="3FB274D8" w:rsidR="00FC0F88" w:rsidRDefault="002C6044" w:rsidP="000D77FF">
      <w:pPr>
        <w:spacing w:after="120" w:line="240" w:lineRule="auto"/>
        <w:ind w:firstLine="720"/>
        <w:jc w:val="both"/>
        <w:rPr>
          <w:rFonts w:ascii="Times New Roman" w:hAnsi="Times New Roman"/>
          <w:sz w:val="24"/>
          <w:szCs w:val="24"/>
        </w:rPr>
      </w:pPr>
      <w:r w:rsidRPr="00FC5729">
        <w:rPr>
          <w:rFonts w:ascii="Times New Roman" w:hAnsi="Times New Roman"/>
          <w:sz w:val="24"/>
          <w:szCs w:val="24"/>
        </w:rPr>
        <w:t>T</w:t>
      </w:r>
      <w:r w:rsidR="00BA06E1" w:rsidRPr="00FC5729">
        <w:rPr>
          <w:rFonts w:ascii="Times New Roman" w:hAnsi="Times New Roman"/>
          <w:sz w:val="24"/>
          <w:szCs w:val="24"/>
        </w:rPr>
        <w:t>he rule that conflict transactions are voidable by beneficiaries without reference to the substantive fairness of the transaction</w:t>
      </w:r>
      <w:r w:rsidRPr="00FC5729">
        <w:rPr>
          <w:rFonts w:ascii="Times New Roman" w:hAnsi="Times New Roman"/>
          <w:sz w:val="24"/>
          <w:szCs w:val="24"/>
        </w:rPr>
        <w:t xml:space="preserve"> </w:t>
      </w:r>
      <w:r w:rsidR="00C93A66">
        <w:rPr>
          <w:rFonts w:ascii="Times New Roman" w:hAnsi="Times New Roman"/>
          <w:sz w:val="24"/>
          <w:szCs w:val="24"/>
        </w:rPr>
        <w:t xml:space="preserve">usually </w:t>
      </w:r>
      <w:r w:rsidRPr="00FC5729">
        <w:rPr>
          <w:rFonts w:ascii="Times New Roman" w:hAnsi="Times New Roman"/>
          <w:sz w:val="24"/>
          <w:szCs w:val="24"/>
        </w:rPr>
        <w:t>is subject to a</w:t>
      </w:r>
      <w:r w:rsidR="00C93A66">
        <w:rPr>
          <w:rFonts w:ascii="Times New Roman" w:hAnsi="Times New Roman"/>
          <w:sz w:val="24"/>
          <w:szCs w:val="24"/>
        </w:rPr>
        <w:t xml:space="preserve">n </w:t>
      </w:r>
      <w:r w:rsidRPr="00FC5729">
        <w:rPr>
          <w:rFonts w:ascii="Times New Roman" w:hAnsi="Times New Roman"/>
          <w:sz w:val="24"/>
          <w:szCs w:val="24"/>
        </w:rPr>
        <w:t xml:space="preserve">exception in cases of full disclosure and beneficiary </w:t>
      </w:r>
      <w:r w:rsidR="00E05375">
        <w:rPr>
          <w:rFonts w:ascii="Times New Roman" w:hAnsi="Times New Roman"/>
          <w:sz w:val="24"/>
          <w:szCs w:val="24"/>
        </w:rPr>
        <w:t>approval</w:t>
      </w:r>
      <w:r w:rsidRPr="00FC5729">
        <w:rPr>
          <w:rFonts w:ascii="Times New Roman" w:hAnsi="Times New Roman"/>
          <w:sz w:val="24"/>
          <w:szCs w:val="24"/>
        </w:rPr>
        <w:t xml:space="preserve"> in advance of the transaction.</w:t>
      </w:r>
      <w:r w:rsidR="00AE3C3A" w:rsidRPr="00FC5729">
        <w:rPr>
          <w:rStyle w:val="FootnoteReference"/>
          <w:rFonts w:ascii="Times New Roman" w:hAnsi="Times New Roman"/>
          <w:sz w:val="24"/>
          <w:szCs w:val="24"/>
        </w:rPr>
        <w:footnoteReference w:id="75"/>
      </w:r>
      <w:r w:rsidRPr="00FC5729">
        <w:rPr>
          <w:rFonts w:ascii="Times New Roman" w:hAnsi="Times New Roman"/>
          <w:sz w:val="24"/>
          <w:szCs w:val="24"/>
        </w:rPr>
        <w:t xml:space="preserve"> </w:t>
      </w:r>
      <w:r w:rsidR="00975EF0" w:rsidRPr="00FC5729">
        <w:rPr>
          <w:rFonts w:ascii="Times New Roman" w:hAnsi="Times New Roman"/>
          <w:sz w:val="24"/>
          <w:szCs w:val="24"/>
        </w:rPr>
        <w:t xml:space="preserve">This constellation of rules applies in most common law and civil </w:t>
      </w:r>
      <w:r w:rsidR="00975EF0" w:rsidRPr="00FC5729">
        <w:rPr>
          <w:rFonts w:ascii="Times New Roman" w:hAnsi="Times New Roman"/>
          <w:sz w:val="24"/>
          <w:szCs w:val="24"/>
        </w:rPr>
        <w:lastRenderedPageBreak/>
        <w:t>law countries, reflecting</w:t>
      </w:r>
      <w:r w:rsidR="004C0008" w:rsidRPr="00FC5729">
        <w:rPr>
          <w:rFonts w:ascii="Times New Roman" w:hAnsi="Times New Roman"/>
          <w:sz w:val="24"/>
          <w:szCs w:val="24"/>
        </w:rPr>
        <w:t xml:space="preserve"> a </w:t>
      </w:r>
      <w:r w:rsidR="00975EF0" w:rsidRPr="00FC5729">
        <w:rPr>
          <w:rFonts w:ascii="Times New Roman" w:hAnsi="Times New Roman"/>
          <w:sz w:val="24"/>
          <w:szCs w:val="24"/>
        </w:rPr>
        <w:t xml:space="preserve">primary </w:t>
      </w:r>
      <w:r w:rsidR="004C0008" w:rsidRPr="00FC5729">
        <w:rPr>
          <w:rFonts w:ascii="Times New Roman" w:hAnsi="Times New Roman"/>
          <w:sz w:val="24"/>
          <w:szCs w:val="24"/>
        </w:rPr>
        <w:t xml:space="preserve">concern </w:t>
      </w:r>
      <w:r w:rsidR="00975EF0" w:rsidRPr="00FC5729">
        <w:rPr>
          <w:rFonts w:ascii="Times New Roman" w:hAnsi="Times New Roman"/>
          <w:sz w:val="24"/>
          <w:szCs w:val="24"/>
        </w:rPr>
        <w:t xml:space="preserve">of </w:t>
      </w:r>
      <w:r w:rsidR="004C0008" w:rsidRPr="00FC5729">
        <w:rPr>
          <w:rFonts w:ascii="Times New Roman" w:hAnsi="Times New Roman"/>
          <w:sz w:val="24"/>
          <w:szCs w:val="24"/>
        </w:rPr>
        <w:t xml:space="preserve">avoiding wrongs </w:t>
      </w:r>
      <w:r w:rsidR="00975EF0" w:rsidRPr="00FC5729">
        <w:rPr>
          <w:rFonts w:ascii="Times New Roman" w:hAnsi="Times New Roman"/>
          <w:sz w:val="24"/>
          <w:szCs w:val="24"/>
        </w:rPr>
        <w:t>to beneficiaries.</w:t>
      </w:r>
      <w:r w:rsidR="00FC0F88" w:rsidRPr="00FC5729">
        <w:rPr>
          <w:rFonts w:ascii="Times New Roman" w:hAnsi="Times New Roman"/>
          <w:sz w:val="24"/>
          <w:szCs w:val="24"/>
        </w:rPr>
        <w:t xml:space="preserve"> These rules may impede action in several ways: (1) ambiguity in the requirements for valid disclosure and </w:t>
      </w:r>
      <w:r w:rsidR="00E05375">
        <w:rPr>
          <w:rFonts w:ascii="Times New Roman" w:hAnsi="Times New Roman"/>
          <w:sz w:val="24"/>
          <w:szCs w:val="24"/>
        </w:rPr>
        <w:t>approval</w:t>
      </w:r>
      <w:r w:rsidR="00FC0F88" w:rsidRPr="00FC5729">
        <w:rPr>
          <w:rFonts w:ascii="Times New Roman" w:hAnsi="Times New Roman"/>
          <w:sz w:val="24"/>
          <w:szCs w:val="24"/>
        </w:rPr>
        <w:t xml:space="preserve">; (2) </w:t>
      </w:r>
      <w:r w:rsidR="00C35206" w:rsidRPr="00FC5729">
        <w:rPr>
          <w:rFonts w:ascii="Times New Roman" w:hAnsi="Times New Roman"/>
          <w:sz w:val="24"/>
          <w:szCs w:val="24"/>
        </w:rPr>
        <w:t xml:space="preserve">time and expense associated with </w:t>
      </w:r>
      <w:r w:rsidR="00FC0F88" w:rsidRPr="00FC5729">
        <w:rPr>
          <w:rFonts w:ascii="Times New Roman" w:hAnsi="Times New Roman"/>
          <w:sz w:val="24"/>
          <w:szCs w:val="24"/>
        </w:rPr>
        <w:t xml:space="preserve">disclosure and </w:t>
      </w:r>
      <w:r w:rsidR="00E05375">
        <w:rPr>
          <w:rFonts w:ascii="Times New Roman" w:hAnsi="Times New Roman"/>
          <w:sz w:val="24"/>
          <w:szCs w:val="24"/>
        </w:rPr>
        <w:t>approval</w:t>
      </w:r>
      <w:r w:rsidR="00FA07BA" w:rsidRPr="00FC5729">
        <w:rPr>
          <w:rFonts w:ascii="Times New Roman" w:hAnsi="Times New Roman"/>
          <w:sz w:val="24"/>
          <w:szCs w:val="24"/>
        </w:rPr>
        <w:t xml:space="preserve">; (3) </w:t>
      </w:r>
      <w:r w:rsidR="00C35206" w:rsidRPr="00FC5729">
        <w:rPr>
          <w:rFonts w:ascii="Times New Roman" w:hAnsi="Times New Roman"/>
          <w:sz w:val="24"/>
          <w:szCs w:val="24"/>
        </w:rPr>
        <w:t>the possibility of holdup and renegotiation; and (4) lingering uncertainty in the face of challenge.</w:t>
      </w:r>
    </w:p>
    <w:p w14:paraId="17B9FD84" w14:textId="77777777" w:rsidR="005B7130" w:rsidRPr="00FC5729" w:rsidRDefault="005B7130" w:rsidP="005B7130">
      <w:pPr>
        <w:spacing w:after="120" w:line="240" w:lineRule="auto"/>
        <w:ind w:firstLine="720"/>
        <w:jc w:val="both"/>
        <w:rPr>
          <w:rFonts w:ascii="Times New Roman" w:hAnsi="Times New Roman"/>
          <w:sz w:val="24"/>
          <w:szCs w:val="24"/>
        </w:rPr>
      </w:pPr>
      <w:r w:rsidRPr="00FC5729">
        <w:rPr>
          <w:rFonts w:ascii="Times New Roman" w:hAnsi="Times New Roman"/>
          <w:sz w:val="24"/>
          <w:szCs w:val="24"/>
        </w:rPr>
        <w:t xml:space="preserve">Disclosure and </w:t>
      </w:r>
      <w:r>
        <w:rPr>
          <w:rFonts w:ascii="Times New Roman" w:hAnsi="Times New Roman"/>
          <w:sz w:val="24"/>
          <w:szCs w:val="24"/>
        </w:rPr>
        <w:t>approval</w:t>
      </w:r>
      <w:r w:rsidRPr="00FC5729">
        <w:rPr>
          <w:rFonts w:ascii="Times New Roman" w:hAnsi="Times New Roman"/>
          <w:sz w:val="24"/>
          <w:szCs w:val="24"/>
        </w:rPr>
        <w:t xml:space="preserve"> may be meaningful obstacles to entrepreneurial action. Although the purpose of </w:t>
      </w:r>
      <w:r w:rsidRPr="00FC5729">
        <w:rPr>
          <w:rFonts w:ascii="Times New Roman" w:hAnsi="Times New Roman"/>
          <w:i/>
          <w:sz w:val="24"/>
          <w:szCs w:val="24"/>
        </w:rPr>
        <w:t>ex ante</w:t>
      </w:r>
      <w:r w:rsidRPr="00FC5729">
        <w:rPr>
          <w:rFonts w:ascii="Times New Roman" w:hAnsi="Times New Roman"/>
          <w:sz w:val="24"/>
          <w:szCs w:val="24"/>
        </w:rPr>
        <w:t xml:space="preserve"> disclosure and </w:t>
      </w:r>
      <w:r>
        <w:rPr>
          <w:rFonts w:ascii="Times New Roman" w:hAnsi="Times New Roman"/>
          <w:sz w:val="24"/>
          <w:szCs w:val="24"/>
        </w:rPr>
        <w:t>approval</w:t>
      </w:r>
      <w:r w:rsidRPr="00FC5729">
        <w:rPr>
          <w:rFonts w:ascii="Times New Roman" w:hAnsi="Times New Roman"/>
          <w:sz w:val="24"/>
          <w:szCs w:val="24"/>
        </w:rPr>
        <w:t xml:space="preserve"> is to provide some certainty in the face of conflict transactions, the requirements for effective disclosure and </w:t>
      </w:r>
      <w:r>
        <w:rPr>
          <w:rFonts w:ascii="Times New Roman" w:hAnsi="Times New Roman"/>
          <w:sz w:val="24"/>
          <w:szCs w:val="24"/>
        </w:rPr>
        <w:t>approval</w:t>
      </w:r>
      <w:r w:rsidRPr="00FC5729">
        <w:rPr>
          <w:rFonts w:ascii="Times New Roman" w:hAnsi="Times New Roman"/>
          <w:sz w:val="24"/>
          <w:szCs w:val="24"/>
        </w:rPr>
        <w:t xml:space="preserve"> are often unclear.</w:t>
      </w:r>
      <w:r w:rsidRPr="00FC5729">
        <w:rPr>
          <w:rStyle w:val="FootnoteReference"/>
          <w:rFonts w:ascii="Times New Roman" w:hAnsi="Times New Roman"/>
          <w:sz w:val="24"/>
          <w:szCs w:val="24"/>
        </w:rPr>
        <w:footnoteReference w:id="76"/>
      </w:r>
      <w:r w:rsidRPr="00FC5729">
        <w:rPr>
          <w:rFonts w:ascii="Times New Roman" w:hAnsi="Times New Roman"/>
          <w:sz w:val="24"/>
          <w:szCs w:val="24"/>
        </w:rPr>
        <w:t xml:space="preserve"> </w:t>
      </w:r>
    </w:p>
    <w:p w14:paraId="553F6D92" w14:textId="77777777" w:rsidR="005B7130" w:rsidRPr="00FC5729" w:rsidRDefault="005B7130" w:rsidP="005B7130">
      <w:pPr>
        <w:spacing w:after="120" w:line="240" w:lineRule="auto"/>
        <w:ind w:firstLine="720"/>
        <w:jc w:val="both"/>
        <w:rPr>
          <w:rFonts w:ascii="Times New Roman" w:hAnsi="Times New Roman"/>
          <w:sz w:val="24"/>
          <w:szCs w:val="24"/>
        </w:rPr>
      </w:pPr>
      <w:r w:rsidRPr="00FC5729">
        <w:rPr>
          <w:rFonts w:ascii="Times New Roman" w:hAnsi="Times New Roman"/>
          <w:sz w:val="24"/>
          <w:szCs w:val="24"/>
        </w:rPr>
        <w:t xml:space="preserve">Even where the requirements for disclosure and </w:t>
      </w:r>
      <w:r>
        <w:rPr>
          <w:rFonts w:ascii="Times New Roman" w:hAnsi="Times New Roman"/>
          <w:sz w:val="24"/>
          <w:szCs w:val="24"/>
        </w:rPr>
        <w:t>approval</w:t>
      </w:r>
      <w:r w:rsidRPr="00FC5729">
        <w:rPr>
          <w:rFonts w:ascii="Times New Roman" w:hAnsi="Times New Roman"/>
          <w:sz w:val="24"/>
          <w:szCs w:val="24"/>
        </w:rPr>
        <w:t xml:space="preserve"> are fairly clear, the process of developing adequate disclosure and obtaining informed </w:t>
      </w:r>
      <w:r>
        <w:rPr>
          <w:rFonts w:ascii="Times New Roman" w:hAnsi="Times New Roman"/>
          <w:sz w:val="24"/>
          <w:szCs w:val="24"/>
        </w:rPr>
        <w:t>approval</w:t>
      </w:r>
      <w:r w:rsidRPr="00FC5729">
        <w:rPr>
          <w:rFonts w:ascii="Times New Roman" w:hAnsi="Times New Roman"/>
          <w:sz w:val="24"/>
          <w:szCs w:val="24"/>
        </w:rPr>
        <w:t>s can be expensive and time consuming.</w:t>
      </w:r>
      <w:r w:rsidRPr="00FC5729">
        <w:rPr>
          <w:rStyle w:val="FootnoteReference"/>
          <w:rFonts w:ascii="Times New Roman" w:hAnsi="Times New Roman"/>
          <w:sz w:val="24"/>
          <w:szCs w:val="24"/>
        </w:rPr>
        <w:footnoteReference w:id="77"/>
      </w:r>
      <w:r w:rsidRPr="00FC5729">
        <w:rPr>
          <w:rFonts w:ascii="Times New Roman" w:hAnsi="Times New Roman"/>
          <w:sz w:val="24"/>
          <w:szCs w:val="24"/>
        </w:rPr>
        <w:t xml:space="preserve"> Under French law, for example, self-dealing transactions must be approved by the shareholders meeting on the </w:t>
      </w:r>
      <w:r w:rsidRPr="00FC5729">
        <w:rPr>
          <w:rFonts w:ascii="Times New Roman" w:hAnsi="Times New Roman"/>
          <w:sz w:val="24"/>
          <w:szCs w:val="24"/>
        </w:rPr>
        <w:lastRenderedPageBreak/>
        <w:t xml:space="preserve">basis of a report prepared by the board of directors of the </w:t>
      </w:r>
      <w:r w:rsidRPr="00FC5729">
        <w:rPr>
          <w:rFonts w:ascii="Times New Roman" w:hAnsi="Times New Roman"/>
          <w:i/>
          <w:sz w:val="24"/>
          <w:szCs w:val="24"/>
        </w:rPr>
        <w:t>commissaire aux compte</w:t>
      </w:r>
      <w:r w:rsidRPr="00FC5729">
        <w:rPr>
          <w:rFonts w:ascii="Times New Roman" w:hAnsi="Times New Roman"/>
          <w:sz w:val="24"/>
          <w:szCs w:val="24"/>
        </w:rPr>
        <w:t>.</w:t>
      </w:r>
      <w:r w:rsidRPr="00FC5729">
        <w:rPr>
          <w:rStyle w:val="FootnoteReference"/>
          <w:sz w:val="24"/>
          <w:szCs w:val="24"/>
        </w:rPr>
        <w:footnoteReference w:id="78"/>
      </w:r>
      <w:r w:rsidRPr="00FC5729">
        <w:rPr>
          <w:rFonts w:ascii="Times New Roman" w:hAnsi="Times New Roman"/>
          <w:sz w:val="24"/>
          <w:szCs w:val="24"/>
        </w:rPr>
        <w:t xml:space="preserve"> </w:t>
      </w:r>
    </w:p>
    <w:p w14:paraId="336013E7" w14:textId="77777777" w:rsidR="005B7130" w:rsidRPr="00FC5729" w:rsidRDefault="005B7130" w:rsidP="005B7130">
      <w:pPr>
        <w:spacing w:after="120" w:line="240" w:lineRule="auto"/>
        <w:ind w:firstLine="720"/>
        <w:jc w:val="both"/>
        <w:rPr>
          <w:rFonts w:ascii="Times New Roman" w:hAnsi="Times New Roman"/>
          <w:sz w:val="24"/>
          <w:szCs w:val="24"/>
        </w:rPr>
      </w:pPr>
      <w:r w:rsidRPr="00FC5729">
        <w:rPr>
          <w:rFonts w:ascii="Times New Roman" w:hAnsi="Times New Roman"/>
          <w:sz w:val="24"/>
          <w:szCs w:val="24"/>
        </w:rPr>
        <w:t xml:space="preserve">The necessity of </w:t>
      </w:r>
      <w:r w:rsidRPr="00FC5729">
        <w:rPr>
          <w:rFonts w:ascii="Times New Roman" w:hAnsi="Times New Roman"/>
          <w:i/>
          <w:sz w:val="24"/>
          <w:szCs w:val="24"/>
        </w:rPr>
        <w:t>ex ante</w:t>
      </w:r>
      <w:r w:rsidRPr="00FC5729">
        <w:rPr>
          <w:rFonts w:ascii="Times New Roman" w:hAnsi="Times New Roman"/>
          <w:sz w:val="24"/>
          <w:szCs w:val="24"/>
        </w:rPr>
        <w:t xml:space="preserve"> disclosure and </w:t>
      </w:r>
      <w:r>
        <w:rPr>
          <w:rFonts w:ascii="Times New Roman" w:hAnsi="Times New Roman"/>
          <w:sz w:val="24"/>
          <w:szCs w:val="24"/>
        </w:rPr>
        <w:t>approval</w:t>
      </w:r>
      <w:r w:rsidRPr="00FC5729">
        <w:rPr>
          <w:rFonts w:ascii="Times New Roman" w:hAnsi="Times New Roman"/>
          <w:sz w:val="24"/>
          <w:szCs w:val="24"/>
        </w:rPr>
        <w:t xml:space="preserve"> may invite debates over the wisdom or structure of a particular transaction, especially in the startup context, where the relatively small number of participants may feel entitled to influence company affairs.</w:t>
      </w:r>
    </w:p>
    <w:p w14:paraId="07E85A91" w14:textId="48766159" w:rsidR="005B7130" w:rsidRPr="00FC5729" w:rsidRDefault="005B7130" w:rsidP="005B7130">
      <w:pPr>
        <w:spacing w:after="120" w:line="240" w:lineRule="auto"/>
        <w:ind w:firstLine="720"/>
        <w:jc w:val="both"/>
        <w:rPr>
          <w:rFonts w:ascii="Times New Roman" w:hAnsi="Times New Roman"/>
          <w:sz w:val="24"/>
          <w:szCs w:val="24"/>
        </w:rPr>
      </w:pPr>
      <w:r w:rsidRPr="00FC5729">
        <w:rPr>
          <w:rFonts w:ascii="Times New Roman" w:hAnsi="Times New Roman"/>
          <w:sz w:val="24"/>
          <w:szCs w:val="24"/>
        </w:rPr>
        <w:t xml:space="preserve">Finally, disclosure and </w:t>
      </w:r>
      <w:r>
        <w:rPr>
          <w:rFonts w:ascii="Times New Roman" w:hAnsi="Times New Roman"/>
          <w:sz w:val="24"/>
          <w:szCs w:val="24"/>
        </w:rPr>
        <w:t>approval</w:t>
      </w:r>
      <w:r w:rsidRPr="00FC5729">
        <w:rPr>
          <w:rFonts w:ascii="Times New Roman" w:hAnsi="Times New Roman"/>
          <w:sz w:val="24"/>
          <w:szCs w:val="24"/>
        </w:rPr>
        <w:t xml:space="preserve"> may be inadequate, and the only cure for the conflict may be to prevent the conflict transaction from proceeding or to remove the fiduciary from participation. These dramatic solutions are rare, but the fact that they are even on the table evidences the strength of feeling about the inappropriateness of conflict transactions. As discussed below, the U.S. avoid</w:t>
      </w:r>
      <w:r>
        <w:rPr>
          <w:rFonts w:ascii="Times New Roman" w:hAnsi="Times New Roman"/>
          <w:sz w:val="24"/>
          <w:szCs w:val="24"/>
        </w:rPr>
        <w:t>s</w:t>
      </w:r>
      <w:r w:rsidRPr="00FC5729">
        <w:rPr>
          <w:rFonts w:ascii="Times New Roman" w:hAnsi="Times New Roman"/>
          <w:sz w:val="24"/>
          <w:szCs w:val="24"/>
        </w:rPr>
        <w:t xml:space="preserve"> this discussion completely by holding out substantive fairness as a sufficient condition for approval of a conflict transaction.</w:t>
      </w:r>
    </w:p>
    <w:p w14:paraId="680088CE" w14:textId="711AB102" w:rsidR="00047F33" w:rsidRPr="00FC5729" w:rsidRDefault="00047F33" w:rsidP="00047F33">
      <w:pPr>
        <w:pStyle w:val="TableofContents3"/>
      </w:pPr>
      <w:bookmarkStart w:id="14" w:name="_Toc418778900"/>
      <w:r w:rsidRPr="00FC5729">
        <w:t>Administrative Approval</w:t>
      </w:r>
      <w:bookmarkEnd w:id="14"/>
    </w:p>
    <w:p w14:paraId="55875840" w14:textId="5F4C5727" w:rsidR="00047F33" w:rsidRDefault="005B7130" w:rsidP="008A79EE">
      <w:pPr>
        <w:spacing w:after="120" w:line="240" w:lineRule="auto"/>
        <w:ind w:firstLine="720"/>
        <w:jc w:val="both"/>
        <w:rPr>
          <w:rFonts w:ascii="Times New Roman" w:hAnsi="Times New Roman"/>
          <w:sz w:val="24"/>
          <w:szCs w:val="24"/>
        </w:rPr>
      </w:pPr>
      <w:r>
        <w:rPr>
          <w:rFonts w:ascii="Times New Roman" w:hAnsi="Times New Roman"/>
          <w:sz w:val="24"/>
          <w:szCs w:val="24"/>
        </w:rPr>
        <w:t xml:space="preserve">Discuss three examples: </w:t>
      </w:r>
      <w:r w:rsidR="00047F33" w:rsidRPr="005B7130">
        <w:rPr>
          <w:rFonts w:ascii="Times New Roman" w:hAnsi="Times New Roman"/>
          <w:sz w:val="24"/>
          <w:szCs w:val="24"/>
        </w:rPr>
        <w:t>Section 17(a) of the Investment Company Act of 1940</w:t>
      </w:r>
      <w:r>
        <w:rPr>
          <w:rFonts w:ascii="Times New Roman" w:hAnsi="Times New Roman"/>
          <w:sz w:val="24"/>
          <w:szCs w:val="24"/>
        </w:rPr>
        <w:t>;</w:t>
      </w:r>
      <w:r w:rsidR="00047F33" w:rsidRPr="00FC5729">
        <w:rPr>
          <w:rStyle w:val="FootnoteReference"/>
          <w:sz w:val="24"/>
          <w:szCs w:val="24"/>
        </w:rPr>
        <w:footnoteReference w:id="79"/>
      </w:r>
      <w:r>
        <w:rPr>
          <w:rFonts w:ascii="Times New Roman" w:hAnsi="Times New Roman"/>
          <w:sz w:val="24"/>
          <w:szCs w:val="24"/>
        </w:rPr>
        <w:t xml:space="preserve"> </w:t>
      </w:r>
      <w:r w:rsidR="00900C54" w:rsidRPr="00FC5729">
        <w:rPr>
          <w:rFonts w:ascii="Times New Roman" w:hAnsi="Times New Roman"/>
          <w:sz w:val="24"/>
          <w:szCs w:val="24"/>
        </w:rPr>
        <w:t>German law on squeezeouts</w:t>
      </w:r>
      <w:r>
        <w:rPr>
          <w:rFonts w:ascii="Times New Roman" w:hAnsi="Times New Roman"/>
          <w:sz w:val="24"/>
          <w:szCs w:val="24"/>
        </w:rPr>
        <w:t xml:space="preserve">; and </w:t>
      </w:r>
      <w:r w:rsidR="00900C54" w:rsidRPr="00FC5729">
        <w:rPr>
          <w:rFonts w:ascii="Times New Roman" w:hAnsi="Times New Roman"/>
          <w:sz w:val="24"/>
          <w:szCs w:val="24"/>
        </w:rPr>
        <w:t>British takeover board</w:t>
      </w:r>
      <w:r>
        <w:rPr>
          <w:rFonts w:ascii="Times New Roman" w:hAnsi="Times New Roman"/>
          <w:sz w:val="24"/>
          <w:szCs w:val="24"/>
        </w:rPr>
        <w:t>.</w:t>
      </w:r>
    </w:p>
    <w:p w14:paraId="0EB850AF" w14:textId="77777777" w:rsidR="005B7130" w:rsidRPr="00FC5729" w:rsidRDefault="005B7130" w:rsidP="008A79EE">
      <w:pPr>
        <w:spacing w:after="120" w:line="240" w:lineRule="auto"/>
        <w:ind w:firstLine="720"/>
        <w:jc w:val="both"/>
        <w:rPr>
          <w:rFonts w:ascii="Times New Roman" w:hAnsi="Times New Roman"/>
          <w:sz w:val="24"/>
          <w:szCs w:val="24"/>
        </w:rPr>
      </w:pPr>
    </w:p>
    <w:p w14:paraId="08D8F06D" w14:textId="11E01941" w:rsidR="00071EEC" w:rsidRPr="00FC5729" w:rsidRDefault="000E45CE" w:rsidP="00B24922">
      <w:pPr>
        <w:pStyle w:val="TableofContents3"/>
      </w:pPr>
      <w:bookmarkStart w:id="15" w:name="_Toc418778901"/>
      <w:r w:rsidRPr="00FC5729">
        <w:t>Substantive Fairness</w:t>
      </w:r>
      <w:r w:rsidR="00071EEC" w:rsidRPr="00FC5729">
        <w:t xml:space="preserve"> </w:t>
      </w:r>
      <w:r w:rsidR="00E346AD" w:rsidRPr="00FC5729">
        <w:t>Review</w:t>
      </w:r>
      <w:bookmarkEnd w:id="15"/>
    </w:p>
    <w:p w14:paraId="71C1712F" w14:textId="74A5E5B5" w:rsidR="00C27849" w:rsidRPr="00FC5729" w:rsidRDefault="00071EEC" w:rsidP="00071EEC">
      <w:pPr>
        <w:spacing w:after="120" w:line="240" w:lineRule="auto"/>
        <w:ind w:firstLine="720"/>
        <w:jc w:val="both"/>
        <w:rPr>
          <w:rFonts w:ascii="Times New Roman" w:hAnsi="Times New Roman"/>
          <w:sz w:val="24"/>
          <w:szCs w:val="24"/>
        </w:rPr>
      </w:pPr>
      <w:r w:rsidRPr="00FC5729">
        <w:rPr>
          <w:rFonts w:ascii="Times New Roman" w:hAnsi="Times New Roman"/>
          <w:sz w:val="24"/>
          <w:szCs w:val="24"/>
        </w:rPr>
        <w:t xml:space="preserve">The argument that </w:t>
      </w:r>
      <w:r w:rsidR="00C27849" w:rsidRPr="00FC5729">
        <w:rPr>
          <w:rFonts w:ascii="Times New Roman" w:hAnsi="Times New Roman"/>
          <w:sz w:val="24"/>
          <w:szCs w:val="24"/>
        </w:rPr>
        <w:t xml:space="preserve">conflict regulation </w:t>
      </w:r>
      <w:r w:rsidRPr="00FC5729">
        <w:rPr>
          <w:rFonts w:ascii="Times New Roman" w:hAnsi="Times New Roman"/>
          <w:sz w:val="24"/>
          <w:szCs w:val="24"/>
        </w:rPr>
        <w:t xml:space="preserve">facilitates </w:t>
      </w:r>
      <w:r w:rsidR="008A79EE" w:rsidRPr="00FC5729">
        <w:rPr>
          <w:rFonts w:ascii="Times New Roman" w:hAnsi="Times New Roman"/>
          <w:sz w:val="24"/>
          <w:szCs w:val="24"/>
        </w:rPr>
        <w:t xml:space="preserve">entrepreneurial action </w:t>
      </w:r>
      <w:r w:rsidRPr="00FC5729">
        <w:rPr>
          <w:rFonts w:ascii="Times New Roman" w:hAnsi="Times New Roman"/>
          <w:sz w:val="24"/>
          <w:szCs w:val="24"/>
        </w:rPr>
        <w:t xml:space="preserve">is straightforward: </w:t>
      </w:r>
      <w:r w:rsidR="008A79EE" w:rsidRPr="00FC5729">
        <w:rPr>
          <w:rFonts w:ascii="Times New Roman" w:hAnsi="Times New Roman"/>
          <w:sz w:val="24"/>
          <w:szCs w:val="24"/>
        </w:rPr>
        <w:t xml:space="preserve">potential </w:t>
      </w:r>
      <w:r w:rsidRPr="00FC5729">
        <w:rPr>
          <w:rFonts w:ascii="Times New Roman" w:hAnsi="Times New Roman"/>
          <w:sz w:val="24"/>
          <w:szCs w:val="24"/>
        </w:rPr>
        <w:t xml:space="preserve">participants </w:t>
      </w:r>
      <w:r w:rsidR="008A79EE" w:rsidRPr="00FC5729">
        <w:rPr>
          <w:rFonts w:ascii="Times New Roman" w:hAnsi="Times New Roman"/>
          <w:sz w:val="24"/>
          <w:szCs w:val="24"/>
        </w:rPr>
        <w:t xml:space="preserve">in a venture </w:t>
      </w:r>
      <w:r w:rsidRPr="00FC5729">
        <w:rPr>
          <w:rFonts w:ascii="Times New Roman" w:hAnsi="Times New Roman"/>
          <w:sz w:val="24"/>
          <w:szCs w:val="24"/>
        </w:rPr>
        <w:t xml:space="preserve">who are concerned about the </w:t>
      </w:r>
      <w:r w:rsidR="008A79EE" w:rsidRPr="00FC5729">
        <w:rPr>
          <w:rFonts w:ascii="Times New Roman" w:hAnsi="Times New Roman"/>
          <w:sz w:val="24"/>
          <w:szCs w:val="24"/>
        </w:rPr>
        <w:t xml:space="preserve">possibility of </w:t>
      </w:r>
      <w:r w:rsidRPr="00FC5729">
        <w:rPr>
          <w:rFonts w:ascii="Times New Roman" w:hAnsi="Times New Roman"/>
          <w:sz w:val="24"/>
          <w:szCs w:val="24"/>
        </w:rPr>
        <w:t xml:space="preserve">opportunism </w:t>
      </w:r>
      <w:r w:rsidR="008A79EE" w:rsidRPr="00FC5729">
        <w:rPr>
          <w:rFonts w:ascii="Times New Roman" w:hAnsi="Times New Roman"/>
          <w:sz w:val="24"/>
          <w:szCs w:val="24"/>
        </w:rPr>
        <w:t xml:space="preserve">by other participants </w:t>
      </w:r>
      <w:r w:rsidRPr="00FC5729">
        <w:rPr>
          <w:rFonts w:ascii="Times New Roman" w:hAnsi="Times New Roman"/>
          <w:sz w:val="24"/>
          <w:szCs w:val="24"/>
        </w:rPr>
        <w:t xml:space="preserve">may be emboldened if they believe that opportunism can be thwarted by </w:t>
      </w:r>
      <w:r w:rsidR="00C27849" w:rsidRPr="00FC5729">
        <w:rPr>
          <w:rFonts w:ascii="Times New Roman" w:hAnsi="Times New Roman"/>
          <w:sz w:val="24"/>
          <w:szCs w:val="24"/>
        </w:rPr>
        <w:t>conflict regulation</w:t>
      </w:r>
      <w:r w:rsidRPr="00FC5729">
        <w:rPr>
          <w:rFonts w:ascii="Times New Roman" w:hAnsi="Times New Roman"/>
          <w:sz w:val="24"/>
          <w:szCs w:val="24"/>
        </w:rPr>
        <w:t>.</w:t>
      </w:r>
      <w:r w:rsidR="00C27849" w:rsidRPr="00FC5729">
        <w:rPr>
          <w:rFonts w:ascii="Times New Roman" w:hAnsi="Times New Roman"/>
          <w:sz w:val="24"/>
          <w:szCs w:val="24"/>
        </w:rPr>
        <w:t xml:space="preserve"> While substantive fairness review is sometimes used as an enhancement to conflict regulation – mandating not only compliance with procedural requirements for disclosure and </w:t>
      </w:r>
      <w:r w:rsidR="00E05375">
        <w:rPr>
          <w:rFonts w:ascii="Times New Roman" w:hAnsi="Times New Roman"/>
          <w:sz w:val="24"/>
          <w:szCs w:val="24"/>
        </w:rPr>
        <w:t>approval</w:t>
      </w:r>
      <w:r w:rsidR="00C27849" w:rsidRPr="00FC5729">
        <w:rPr>
          <w:rFonts w:ascii="Times New Roman" w:hAnsi="Times New Roman"/>
          <w:sz w:val="24"/>
          <w:szCs w:val="24"/>
        </w:rPr>
        <w:t>, but also substantive fairness – it is often used in the U.S. as a substitute for procedural protection.</w:t>
      </w:r>
      <w:r w:rsidR="006165C9" w:rsidRPr="00FC5729">
        <w:rPr>
          <w:rStyle w:val="FootnoteReference"/>
          <w:rFonts w:ascii="Times New Roman" w:hAnsi="Times New Roman"/>
          <w:sz w:val="24"/>
          <w:szCs w:val="24"/>
        </w:rPr>
        <w:footnoteReference w:id="80"/>
      </w:r>
      <w:r w:rsidR="00C27849" w:rsidRPr="00FC5729">
        <w:rPr>
          <w:rFonts w:ascii="Times New Roman" w:hAnsi="Times New Roman"/>
          <w:sz w:val="24"/>
          <w:szCs w:val="24"/>
        </w:rPr>
        <w:t xml:space="preserve"> Used in this way, substantive fairness review heightens the risks associated with participating in a business organization and might discourage some prospective participants from taking a chance. </w:t>
      </w:r>
      <w:r w:rsidR="006165C9" w:rsidRPr="00FC5729">
        <w:rPr>
          <w:rFonts w:ascii="Times New Roman" w:hAnsi="Times New Roman"/>
          <w:sz w:val="24"/>
          <w:szCs w:val="24"/>
        </w:rPr>
        <w:t xml:space="preserve">On the other hand, substantive </w:t>
      </w:r>
      <w:r w:rsidR="006165C9" w:rsidRPr="00FC5729">
        <w:rPr>
          <w:rFonts w:ascii="Times New Roman" w:hAnsi="Times New Roman"/>
          <w:sz w:val="24"/>
          <w:szCs w:val="24"/>
        </w:rPr>
        <w:lastRenderedPageBreak/>
        <w:t>fairness review facilitates actions that often benefit business organizations, and this flexibility could be attractive to prospective participants in an entrepreneurial venture.</w:t>
      </w:r>
    </w:p>
    <w:p w14:paraId="348BE8CB" w14:textId="28E99BEC" w:rsidR="006165C9" w:rsidRPr="00FC5729" w:rsidRDefault="00EB7C5C" w:rsidP="005926E1">
      <w:pPr>
        <w:spacing w:after="120" w:line="240" w:lineRule="auto"/>
        <w:ind w:firstLine="720"/>
        <w:jc w:val="both"/>
        <w:rPr>
          <w:rFonts w:ascii="Times New Roman" w:hAnsi="Times New Roman"/>
          <w:sz w:val="24"/>
          <w:szCs w:val="24"/>
        </w:rPr>
      </w:pPr>
      <w:r w:rsidRPr="00FC5729">
        <w:rPr>
          <w:rFonts w:ascii="Times New Roman" w:hAnsi="Times New Roman"/>
          <w:sz w:val="24"/>
          <w:szCs w:val="24"/>
        </w:rPr>
        <w:t>Substantive fairness is central to the evaluation of fiduciary claims in corporations.</w:t>
      </w:r>
      <w:r w:rsidRPr="00FC5729">
        <w:rPr>
          <w:rStyle w:val="FootnoteReference"/>
          <w:rFonts w:ascii="Times New Roman" w:hAnsi="Times New Roman"/>
          <w:sz w:val="24"/>
          <w:szCs w:val="24"/>
        </w:rPr>
        <w:footnoteReference w:id="81"/>
      </w:r>
      <w:r w:rsidRPr="00FC5729">
        <w:rPr>
          <w:rFonts w:ascii="Times New Roman" w:hAnsi="Times New Roman"/>
          <w:sz w:val="24"/>
          <w:szCs w:val="24"/>
        </w:rPr>
        <w:t xml:space="preserve"> </w:t>
      </w:r>
      <w:r w:rsidR="005926E1" w:rsidRPr="00FC5729">
        <w:rPr>
          <w:rFonts w:ascii="Times New Roman" w:hAnsi="Times New Roman"/>
          <w:sz w:val="24"/>
          <w:szCs w:val="24"/>
        </w:rPr>
        <w:t>Indeed, substantive fairness review seems to have started in this area and spread to other business organizations. Although many commentators opposed the move away from prophylactic fiduciary duties in corporate law,</w:t>
      </w:r>
      <w:r w:rsidR="005926E1" w:rsidRPr="00FC5729">
        <w:rPr>
          <w:rStyle w:val="FootnoteReference"/>
          <w:rFonts w:ascii="Times New Roman" w:hAnsi="Times New Roman"/>
          <w:sz w:val="24"/>
          <w:szCs w:val="24"/>
        </w:rPr>
        <w:footnoteReference w:id="82"/>
      </w:r>
      <w:r w:rsidR="005926E1" w:rsidRPr="00FC5729">
        <w:rPr>
          <w:rFonts w:ascii="Times New Roman" w:hAnsi="Times New Roman"/>
          <w:sz w:val="24"/>
          <w:szCs w:val="24"/>
        </w:rPr>
        <w:t xml:space="preserve"> substantive fairness review </w:t>
      </w:r>
      <w:r w:rsidRPr="00FC5729">
        <w:rPr>
          <w:rFonts w:ascii="Times New Roman" w:hAnsi="Times New Roman"/>
          <w:sz w:val="24"/>
          <w:szCs w:val="24"/>
        </w:rPr>
        <w:t>is hard-wired in</w:t>
      </w:r>
      <w:r w:rsidR="005926E1" w:rsidRPr="00FC5729">
        <w:rPr>
          <w:rFonts w:ascii="Times New Roman" w:hAnsi="Times New Roman"/>
          <w:sz w:val="24"/>
          <w:szCs w:val="24"/>
        </w:rPr>
        <w:t>to</w:t>
      </w:r>
      <w:r w:rsidRPr="00FC5729">
        <w:rPr>
          <w:rFonts w:ascii="Times New Roman" w:hAnsi="Times New Roman"/>
          <w:sz w:val="24"/>
          <w:szCs w:val="24"/>
        </w:rPr>
        <w:t xml:space="preserve"> judicial standards of review. This standard is most prominently on display in merger litigation, which comprises the vast majority of corporate fiduciary claims</w:t>
      </w:r>
      <w:r w:rsidR="005926E1" w:rsidRPr="00FC5729">
        <w:rPr>
          <w:rFonts w:ascii="Times New Roman" w:hAnsi="Times New Roman"/>
          <w:sz w:val="24"/>
          <w:szCs w:val="24"/>
        </w:rPr>
        <w:t>,</w:t>
      </w:r>
      <w:r w:rsidRPr="00FC5729">
        <w:rPr>
          <w:rStyle w:val="FootnoteReference"/>
          <w:rFonts w:ascii="Times New Roman" w:hAnsi="Times New Roman"/>
          <w:sz w:val="24"/>
          <w:szCs w:val="24"/>
        </w:rPr>
        <w:footnoteReference w:id="83"/>
      </w:r>
      <w:r w:rsidR="005926E1" w:rsidRPr="00FC5729">
        <w:rPr>
          <w:rFonts w:ascii="Times New Roman" w:hAnsi="Times New Roman"/>
          <w:sz w:val="24"/>
          <w:szCs w:val="24"/>
        </w:rPr>
        <w:t xml:space="preserve"> but it also applies in cases involving closely held corporations.</w:t>
      </w:r>
      <w:r w:rsidR="005926E1" w:rsidRPr="00FC5729">
        <w:rPr>
          <w:rStyle w:val="FootnoteReference"/>
          <w:rFonts w:ascii="Times New Roman" w:hAnsi="Times New Roman"/>
          <w:sz w:val="24"/>
          <w:szCs w:val="24"/>
        </w:rPr>
        <w:footnoteReference w:id="84"/>
      </w:r>
      <w:r w:rsidRPr="00FC5729">
        <w:rPr>
          <w:rFonts w:ascii="Times New Roman" w:hAnsi="Times New Roman"/>
          <w:sz w:val="24"/>
          <w:szCs w:val="24"/>
        </w:rPr>
        <w:t xml:space="preserve"> </w:t>
      </w:r>
    </w:p>
    <w:p w14:paraId="51926573" w14:textId="0F5BC217" w:rsidR="00EB7C5C" w:rsidRPr="00FC5729" w:rsidRDefault="00904E7F" w:rsidP="002E1B24">
      <w:pPr>
        <w:spacing w:after="120" w:line="240" w:lineRule="auto"/>
        <w:ind w:firstLine="720"/>
        <w:jc w:val="both"/>
        <w:rPr>
          <w:rFonts w:ascii="Times New Roman" w:hAnsi="Times New Roman"/>
          <w:sz w:val="24"/>
          <w:szCs w:val="24"/>
        </w:rPr>
      </w:pPr>
      <w:r w:rsidRPr="00FC5729">
        <w:rPr>
          <w:rFonts w:ascii="Times New Roman" w:hAnsi="Times New Roman"/>
          <w:sz w:val="24"/>
          <w:szCs w:val="24"/>
        </w:rPr>
        <w:t>Substantive fairness review is general</w:t>
      </w:r>
      <w:r w:rsidR="005B7130">
        <w:rPr>
          <w:rFonts w:ascii="Times New Roman" w:hAnsi="Times New Roman"/>
          <w:sz w:val="24"/>
          <w:szCs w:val="24"/>
        </w:rPr>
        <w:t>ly</w:t>
      </w:r>
      <w:r w:rsidRPr="00FC5729">
        <w:rPr>
          <w:rFonts w:ascii="Times New Roman" w:hAnsi="Times New Roman"/>
          <w:sz w:val="24"/>
          <w:szCs w:val="24"/>
        </w:rPr>
        <w:t xml:space="preserve"> viewed as quite rigorous, at least when compared with review under the business judgment rule. But the business judgment rule is not available for conflict transactions. The appropriate baseline for </w:t>
      </w:r>
      <w:r w:rsidR="00E834EE" w:rsidRPr="00FC5729">
        <w:rPr>
          <w:rFonts w:ascii="Times New Roman" w:hAnsi="Times New Roman"/>
          <w:sz w:val="24"/>
          <w:szCs w:val="24"/>
        </w:rPr>
        <w:t>comparison</w:t>
      </w:r>
      <w:r w:rsidRPr="00FC5729">
        <w:rPr>
          <w:rFonts w:ascii="Times New Roman" w:hAnsi="Times New Roman"/>
          <w:sz w:val="24"/>
          <w:szCs w:val="24"/>
        </w:rPr>
        <w:t>, therefore, is not this deferential standard, but rather the more exacting traditional sta</w:t>
      </w:r>
      <w:r w:rsidR="006B0829" w:rsidRPr="00FC5729">
        <w:rPr>
          <w:rFonts w:ascii="Times New Roman" w:hAnsi="Times New Roman"/>
          <w:sz w:val="24"/>
          <w:szCs w:val="24"/>
        </w:rPr>
        <w:t xml:space="preserve">ndard for conflict transactions, namely, the voidability of such transactions absent prior disclosure and </w:t>
      </w:r>
      <w:r w:rsidR="00E05375">
        <w:rPr>
          <w:rFonts w:ascii="Times New Roman" w:hAnsi="Times New Roman"/>
          <w:sz w:val="24"/>
          <w:szCs w:val="24"/>
        </w:rPr>
        <w:t>approval</w:t>
      </w:r>
      <w:r w:rsidR="006B0829" w:rsidRPr="00FC5729">
        <w:rPr>
          <w:rFonts w:ascii="Times New Roman" w:hAnsi="Times New Roman"/>
          <w:sz w:val="24"/>
          <w:szCs w:val="24"/>
        </w:rPr>
        <w:t>.</w:t>
      </w:r>
    </w:p>
    <w:p w14:paraId="5027707A" w14:textId="5A9A41DB" w:rsidR="00F40986" w:rsidRPr="00FC5729" w:rsidRDefault="00EB7C5C" w:rsidP="00F40986">
      <w:pPr>
        <w:spacing w:after="120" w:line="240" w:lineRule="auto"/>
        <w:ind w:firstLine="720"/>
        <w:jc w:val="both"/>
        <w:rPr>
          <w:rFonts w:ascii="Times New Roman" w:hAnsi="Times New Roman"/>
          <w:sz w:val="24"/>
          <w:szCs w:val="24"/>
        </w:rPr>
      </w:pPr>
      <w:r w:rsidRPr="00FC5729">
        <w:rPr>
          <w:rFonts w:ascii="Times New Roman" w:hAnsi="Times New Roman"/>
          <w:sz w:val="24"/>
          <w:szCs w:val="24"/>
        </w:rPr>
        <w:t>Courts are not well equipped to evaluate the substantive fairness of the transaction.</w:t>
      </w:r>
      <w:r w:rsidRPr="00FC5729">
        <w:rPr>
          <w:rStyle w:val="FootnoteReference"/>
          <w:rFonts w:ascii="Times New Roman" w:hAnsi="Times New Roman"/>
          <w:sz w:val="24"/>
          <w:szCs w:val="24"/>
        </w:rPr>
        <w:footnoteReference w:id="85"/>
      </w:r>
      <w:r w:rsidR="00F40986" w:rsidRPr="00FC5729">
        <w:rPr>
          <w:rFonts w:ascii="Times New Roman" w:hAnsi="Times New Roman"/>
          <w:sz w:val="24"/>
          <w:szCs w:val="24"/>
        </w:rPr>
        <w:t xml:space="preserve"> As noted by Ken Davis, “[t]he basic </w:t>
      </w:r>
      <w:r w:rsidR="00F40986" w:rsidRPr="00FC5729">
        <w:rPr>
          <w:rFonts w:ascii="Times New Roman" w:hAnsi="Times New Roman"/>
          <w:sz w:val="24"/>
          <w:szCs w:val="24"/>
        </w:rPr>
        <w:lastRenderedPageBreak/>
        <w:t xml:space="preserve">objective [of fairness review] is to determine whether a truly independent [fiduciary] would have produced a comparable transaction,” but the “real problem [with fairness review] from the standpoint of developing meaningful guidelines to govern </w:t>
      </w:r>
      <w:r w:rsidR="00E834EE" w:rsidRPr="00FC5729">
        <w:rPr>
          <w:rFonts w:ascii="Times New Roman" w:hAnsi="Times New Roman"/>
          <w:sz w:val="24"/>
          <w:szCs w:val="24"/>
        </w:rPr>
        <w:t>decision making</w:t>
      </w:r>
      <w:r w:rsidR="00F40986" w:rsidRPr="00FC5729">
        <w:rPr>
          <w:rFonts w:ascii="Times New Roman" w:hAnsi="Times New Roman"/>
          <w:sz w:val="24"/>
          <w:szCs w:val="24"/>
        </w:rPr>
        <w:t xml:space="preserve"> by corporate officers and directors is that so many conflict-of-interest scenarios pose opportunities that are unique.”</w:t>
      </w:r>
      <w:r w:rsidR="00F40986" w:rsidRPr="00FC5729">
        <w:rPr>
          <w:rStyle w:val="FootnoteReference"/>
          <w:rFonts w:ascii="Times New Roman" w:hAnsi="Times New Roman"/>
          <w:sz w:val="24"/>
          <w:szCs w:val="24"/>
        </w:rPr>
        <w:footnoteReference w:id="86"/>
      </w:r>
      <w:r w:rsidR="00F40986" w:rsidRPr="00FC5729">
        <w:rPr>
          <w:rFonts w:ascii="Times New Roman" w:hAnsi="Times New Roman"/>
          <w:sz w:val="24"/>
          <w:szCs w:val="24"/>
        </w:rPr>
        <w:t xml:space="preserve"> One way to deal with this </w:t>
      </w:r>
      <w:r w:rsidR="00E834EE" w:rsidRPr="00FC5729">
        <w:rPr>
          <w:rFonts w:ascii="Times New Roman" w:hAnsi="Times New Roman"/>
          <w:sz w:val="24"/>
          <w:szCs w:val="24"/>
        </w:rPr>
        <w:t>challenge</w:t>
      </w:r>
      <w:r w:rsidR="00F40986" w:rsidRPr="00FC5729">
        <w:rPr>
          <w:rFonts w:ascii="Times New Roman" w:hAnsi="Times New Roman"/>
          <w:sz w:val="24"/>
          <w:szCs w:val="24"/>
        </w:rPr>
        <w:t xml:space="preserve">, Davis suggests, is to insist on full disclosure and informed </w:t>
      </w:r>
      <w:r w:rsidR="00E05375">
        <w:rPr>
          <w:rFonts w:ascii="Times New Roman" w:hAnsi="Times New Roman"/>
          <w:sz w:val="24"/>
          <w:szCs w:val="24"/>
        </w:rPr>
        <w:t>approval</w:t>
      </w:r>
      <w:r w:rsidR="00F40986" w:rsidRPr="00FC5729">
        <w:rPr>
          <w:rFonts w:ascii="Times New Roman" w:hAnsi="Times New Roman"/>
          <w:sz w:val="24"/>
          <w:szCs w:val="24"/>
        </w:rPr>
        <w:t>, where a small number of beneficiaries make these options logistically feasible. As noted above, however, even where the number of beneficiaries is small, these procedures are burdened with substantial shortcomings.</w:t>
      </w:r>
    </w:p>
    <w:p w14:paraId="02FEE266" w14:textId="2AA732BB" w:rsidR="006165C9" w:rsidRPr="00FC5729" w:rsidRDefault="006165C9" w:rsidP="006165C9">
      <w:pPr>
        <w:spacing w:after="120" w:line="240" w:lineRule="auto"/>
        <w:ind w:firstLine="720"/>
        <w:jc w:val="both"/>
        <w:rPr>
          <w:rFonts w:ascii="Times New Roman" w:hAnsi="Times New Roman"/>
          <w:sz w:val="24"/>
          <w:szCs w:val="24"/>
        </w:rPr>
      </w:pPr>
      <w:r w:rsidRPr="00FC5729">
        <w:rPr>
          <w:rFonts w:ascii="Times New Roman" w:hAnsi="Times New Roman"/>
          <w:sz w:val="24"/>
          <w:szCs w:val="24"/>
        </w:rPr>
        <w:t>Prophylactic rules still have a place in fiduciary law, typically in areas outside of business organizations, including trusts, pensions, brokerages, and legal representation.</w:t>
      </w:r>
      <w:r w:rsidRPr="00FC5729">
        <w:rPr>
          <w:rStyle w:val="FootnoteReference"/>
          <w:rFonts w:ascii="Times New Roman" w:hAnsi="Times New Roman"/>
          <w:sz w:val="24"/>
          <w:szCs w:val="24"/>
        </w:rPr>
        <w:footnoteReference w:id="87"/>
      </w:r>
      <w:r w:rsidRPr="00FC5729">
        <w:rPr>
          <w:rFonts w:ascii="Times New Roman" w:hAnsi="Times New Roman"/>
          <w:sz w:val="24"/>
          <w:szCs w:val="24"/>
        </w:rPr>
        <w:t xml:space="preserve"> </w:t>
      </w:r>
      <w:r w:rsidR="00184609" w:rsidRPr="00FC5729">
        <w:rPr>
          <w:rFonts w:ascii="Times New Roman" w:hAnsi="Times New Roman"/>
          <w:sz w:val="24"/>
          <w:szCs w:val="24"/>
        </w:rPr>
        <w:t xml:space="preserve">In the trust setting, </w:t>
      </w:r>
      <w:r w:rsidRPr="00FC5729">
        <w:rPr>
          <w:rFonts w:ascii="Times New Roman" w:hAnsi="Times New Roman"/>
          <w:sz w:val="24"/>
          <w:szCs w:val="24"/>
        </w:rPr>
        <w:t xml:space="preserve">for example, </w:t>
      </w:r>
      <w:r w:rsidR="00C5457A" w:rsidRPr="00FC5729">
        <w:rPr>
          <w:rFonts w:ascii="Times New Roman" w:hAnsi="Times New Roman"/>
          <w:sz w:val="24"/>
          <w:szCs w:val="24"/>
        </w:rPr>
        <w:t xml:space="preserve">the </w:t>
      </w:r>
      <w:r w:rsidRPr="00FC5729">
        <w:rPr>
          <w:rFonts w:ascii="Times New Roman" w:hAnsi="Times New Roman"/>
          <w:sz w:val="24"/>
          <w:szCs w:val="24"/>
        </w:rPr>
        <w:t xml:space="preserve">rules against self-dealing are </w:t>
      </w:r>
      <w:r w:rsidR="00184609" w:rsidRPr="00FC5729">
        <w:rPr>
          <w:rFonts w:ascii="Times New Roman" w:hAnsi="Times New Roman"/>
          <w:sz w:val="24"/>
          <w:szCs w:val="24"/>
        </w:rPr>
        <w:t>strictly applied</w:t>
      </w:r>
      <w:r w:rsidRPr="00FC5729">
        <w:rPr>
          <w:rFonts w:ascii="Times New Roman" w:hAnsi="Times New Roman"/>
          <w:sz w:val="24"/>
          <w:szCs w:val="24"/>
        </w:rPr>
        <w:t>.</w:t>
      </w:r>
      <w:r w:rsidR="00184609" w:rsidRPr="00FC5729">
        <w:rPr>
          <w:rStyle w:val="FootnoteReference"/>
          <w:rFonts w:ascii="Times New Roman" w:hAnsi="Times New Roman"/>
          <w:sz w:val="24"/>
          <w:szCs w:val="24"/>
        </w:rPr>
        <w:footnoteReference w:id="88"/>
      </w:r>
      <w:r w:rsidR="00184609" w:rsidRPr="00FC5729">
        <w:rPr>
          <w:rFonts w:ascii="Times New Roman" w:hAnsi="Times New Roman"/>
          <w:sz w:val="24"/>
          <w:szCs w:val="24"/>
        </w:rPr>
        <w:t xml:space="preserve"> Furthermore, these strict rules against self-dealing in the trust context are applied broadly.</w:t>
      </w:r>
      <w:r w:rsidR="00184609" w:rsidRPr="00FC5729">
        <w:rPr>
          <w:rStyle w:val="FootnoteReference"/>
          <w:rFonts w:ascii="Times New Roman" w:hAnsi="Times New Roman"/>
          <w:sz w:val="24"/>
          <w:szCs w:val="24"/>
        </w:rPr>
        <w:footnoteReference w:id="89"/>
      </w:r>
      <w:r w:rsidR="00184609" w:rsidRPr="00FC5729">
        <w:rPr>
          <w:rFonts w:ascii="Times New Roman" w:hAnsi="Times New Roman"/>
          <w:sz w:val="24"/>
          <w:szCs w:val="24"/>
        </w:rPr>
        <w:t xml:space="preserve"> </w:t>
      </w:r>
      <w:r w:rsidRPr="00FC5729">
        <w:rPr>
          <w:rFonts w:ascii="Times New Roman" w:hAnsi="Times New Roman"/>
          <w:sz w:val="24"/>
          <w:szCs w:val="24"/>
        </w:rPr>
        <w:t>There is some debate about whether the strict duty is justified, even in the trust context.</w:t>
      </w:r>
      <w:r w:rsidRPr="00FC5729">
        <w:rPr>
          <w:rStyle w:val="FootnoteReference"/>
          <w:rFonts w:ascii="Times New Roman" w:hAnsi="Times New Roman"/>
          <w:sz w:val="24"/>
          <w:szCs w:val="24"/>
        </w:rPr>
        <w:footnoteReference w:id="90"/>
      </w:r>
    </w:p>
    <w:p w14:paraId="5D07135C" w14:textId="61F6FEB2" w:rsidR="00AC0475" w:rsidRPr="00FC5729" w:rsidRDefault="005926E1" w:rsidP="005926E1">
      <w:pPr>
        <w:spacing w:after="120" w:line="240" w:lineRule="auto"/>
        <w:ind w:firstLine="720"/>
        <w:jc w:val="both"/>
        <w:rPr>
          <w:rFonts w:ascii="Times New Roman" w:hAnsi="Times New Roman"/>
          <w:sz w:val="24"/>
          <w:szCs w:val="24"/>
        </w:rPr>
      </w:pPr>
      <w:r w:rsidRPr="00FC5729">
        <w:rPr>
          <w:rFonts w:ascii="Times New Roman" w:hAnsi="Times New Roman"/>
          <w:sz w:val="24"/>
          <w:szCs w:val="24"/>
        </w:rPr>
        <w:t>Substantive fairness review is generally available in business organizations</w:t>
      </w:r>
      <w:r w:rsidR="00825667" w:rsidRPr="00FC5729">
        <w:rPr>
          <w:rFonts w:ascii="Times New Roman" w:hAnsi="Times New Roman"/>
          <w:sz w:val="24"/>
          <w:szCs w:val="24"/>
        </w:rPr>
        <w:t>,</w:t>
      </w:r>
      <w:r w:rsidRPr="00FC5729">
        <w:rPr>
          <w:rFonts w:ascii="Times New Roman" w:hAnsi="Times New Roman"/>
          <w:sz w:val="24"/>
          <w:szCs w:val="24"/>
        </w:rPr>
        <w:t xml:space="preserve"> but many people prefer </w:t>
      </w:r>
      <w:r w:rsidR="00825667" w:rsidRPr="00FC5729">
        <w:rPr>
          <w:rFonts w:ascii="Times New Roman" w:hAnsi="Times New Roman"/>
          <w:i/>
          <w:sz w:val="24"/>
          <w:szCs w:val="24"/>
        </w:rPr>
        <w:t>ex ante</w:t>
      </w:r>
      <w:r w:rsidRPr="00FC5729">
        <w:rPr>
          <w:rFonts w:ascii="Times New Roman" w:hAnsi="Times New Roman"/>
          <w:sz w:val="24"/>
          <w:szCs w:val="24"/>
        </w:rPr>
        <w:t xml:space="preserve"> disclosure and </w:t>
      </w:r>
      <w:r w:rsidR="00E05375">
        <w:rPr>
          <w:rFonts w:ascii="Times New Roman" w:hAnsi="Times New Roman"/>
          <w:sz w:val="24"/>
          <w:szCs w:val="24"/>
        </w:rPr>
        <w:t>approval</w:t>
      </w:r>
      <w:r w:rsidRPr="00FC5729">
        <w:rPr>
          <w:rFonts w:ascii="Times New Roman" w:hAnsi="Times New Roman"/>
          <w:sz w:val="24"/>
          <w:szCs w:val="24"/>
        </w:rPr>
        <w:t xml:space="preserve">, which provides some additional comfort moving forward. In the U.S., disclosure and </w:t>
      </w:r>
      <w:r w:rsidR="00E05375">
        <w:rPr>
          <w:rFonts w:ascii="Times New Roman" w:hAnsi="Times New Roman"/>
          <w:sz w:val="24"/>
          <w:szCs w:val="24"/>
        </w:rPr>
        <w:t>approval</w:t>
      </w:r>
      <w:r w:rsidRPr="00FC5729">
        <w:rPr>
          <w:rFonts w:ascii="Times New Roman" w:hAnsi="Times New Roman"/>
          <w:sz w:val="24"/>
          <w:szCs w:val="24"/>
        </w:rPr>
        <w:t xml:space="preserve"> is not typically required, but it provides a </w:t>
      </w:r>
      <w:r w:rsidR="00825667" w:rsidRPr="00FC5729">
        <w:rPr>
          <w:rFonts w:ascii="Times New Roman" w:hAnsi="Times New Roman"/>
          <w:sz w:val="24"/>
          <w:szCs w:val="24"/>
        </w:rPr>
        <w:t xml:space="preserve">“safe harbor,” shielding the action from </w:t>
      </w:r>
      <w:r w:rsidR="00825667" w:rsidRPr="00FC5729">
        <w:rPr>
          <w:rFonts w:ascii="Times New Roman" w:hAnsi="Times New Roman"/>
          <w:i/>
          <w:sz w:val="24"/>
          <w:szCs w:val="24"/>
        </w:rPr>
        <w:t>ex post</w:t>
      </w:r>
      <w:r w:rsidR="00825667" w:rsidRPr="00FC5729">
        <w:rPr>
          <w:rFonts w:ascii="Times New Roman" w:hAnsi="Times New Roman"/>
          <w:sz w:val="24"/>
          <w:szCs w:val="24"/>
        </w:rPr>
        <w:t xml:space="preserve"> challenge.</w:t>
      </w:r>
      <w:r w:rsidRPr="00FC5729">
        <w:rPr>
          <w:rStyle w:val="FootnoteReference"/>
          <w:rFonts w:ascii="Times New Roman" w:hAnsi="Times New Roman"/>
          <w:sz w:val="24"/>
          <w:szCs w:val="24"/>
        </w:rPr>
        <w:footnoteReference w:id="91"/>
      </w:r>
      <w:r w:rsidR="00825667" w:rsidRPr="00FC5729">
        <w:rPr>
          <w:rFonts w:ascii="Times New Roman" w:hAnsi="Times New Roman"/>
          <w:sz w:val="24"/>
          <w:szCs w:val="24"/>
        </w:rPr>
        <w:t xml:space="preserve"> </w:t>
      </w:r>
    </w:p>
    <w:p w14:paraId="4D00B360" w14:textId="77777777" w:rsidR="00071EEC" w:rsidRPr="00FC5729" w:rsidRDefault="00071EEC">
      <w:pPr>
        <w:spacing w:line="240" w:lineRule="auto"/>
        <w:rPr>
          <w:rFonts w:ascii="Times New Roman" w:hAnsi="Times New Roman"/>
          <w:sz w:val="24"/>
          <w:szCs w:val="24"/>
        </w:rPr>
      </w:pPr>
    </w:p>
    <w:p w14:paraId="523E9E1D" w14:textId="20180EE6" w:rsidR="000D77FF" w:rsidRPr="00FC5729" w:rsidRDefault="000D77FF" w:rsidP="00B24922">
      <w:pPr>
        <w:pStyle w:val="TableofContents1"/>
      </w:pPr>
      <w:bookmarkStart w:id="16" w:name="_Toc418778902"/>
      <w:r w:rsidRPr="00FC5729">
        <w:t xml:space="preserve">Comparative Advantage of </w:t>
      </w:r>
      <w:r w:rsidR="002D0A77" w:rsidRPr="00FC5729">
        <w:t xml:space="preserve">U.S. </w:t>
      </w:r>
      <w:r w:rsidRPr="00FC5729">
        <w:t>Fiduciary Law</w:t>
      </w:r>
      <w:bookmarkEnd w:id="16"/>
    </w:p>
    <w:p w14:paraId="00395F51" w14:textId="7DA8186E" w:rsidR="005C34B0" w:rsidRDefault="005B7130" w:rsidP="005C34B0">
      <w:pPr>
        <w:spacing w:after="120" w:line="240" w:lineRule="auto"/>
        <w:ind w:firstLine="720"/>
        <w:jc w:val="both"/>
        <w:rPr>
          <w:rFonts w:ascii="Times New Roman" w:hAnsi="Times New Roman"/>
          <w:sz w:val="24"/>
          <w:szCs w:val="24"/>
        </w:rPr>
      </w:pPr>
      <w:r w:rsidRPr="00FC5729">
        <w:rPr>
          <w:rFonts w:ascii="Times New Roman" w:hAnsi="Times New Roman"/>
          <w:sz w:val="24"/>
          <w:szCs w:val="24"/>
        </w:rPr>
        <w:t>The driving motivation for fiduciary law in Commonwealth countries is captured in the oft-repeated refrain that fiduciary duties are proscriptive, not prescriptive.</w:t>
      </w:r>
      <w:r w:rsidRPr="00FC5729">
        <w:rPr>
          <w:rStyle w:val="FootnoteReference"/>
          <w:rFonts w:ascii="Times New Roman" w:hAnsi="Times New Roman"/>
          <w:sz w:val="24"/>
          <w:szCs w:val="24"/>
        </w:rPr>
        <w:footnoteReference w:id="92"/>
      </w:r>
      <w:r w:rsidRPr="00FC5729">
        <w:rPr>
          <w:rFonts w:ascii="Times New Roman" w:hAnsi="Times New Roman"/>
          <w:sz w:val="24"/>
          <w:szCs w:val="24"/>
        </w:rPr>
        <w:t xml:space="preserve"> This same idea seems to animate the disclose-and-</w:t>
      </w:r>
      <w:r>
        <w:rPr>
          <w:rFonts w:ascii="Times New Roman" w:hAnsi="Times New Roman"/>
          <w:sz w:val="24"/>
          <w:szCs w:val="24"/>
        </w:rPr>
        <w:t>approval</w:t>
      </w:r>
      <w:r w:rsidRPr="00FC5729">
        <w:rPr>
          <w:rFonts w:ascii="Times New Roman" w:hAnsi="Times New Roman"/>
          <w:sz w:val="24"/>
          <w:szCs w:val="24"/>
        </w:rPr>
        <w:t xml:space="preserve"> rules of civil law countries. All of these jurisdictions proscribe conflict transactions,</w:t>
      </w:r>
      <w:r w:rsidRPr="00FC5729">
        <w:rPr>
          <w:rStyle w:val="FootnoteReference"/>
          <w:rFonts w:ascii="Times New Roman" w:hAnsi="Times New Roman"/>
          <w:sz w:val="24"/>
          <w:szCs w:val="24"/>
        </w:rPr>
        <w:footnoteReference w:id="93"/>
      </w:r>
      <w:r w:rsidRPr="00FC5729">
        <w:rPr>
          <w:rFonts w:ascii="Times New Roman" w:hAnsi="Times New Roman"/>
          <w:sz w:val="24"/>
          <w:szCs w:val="24"/>
        </w:rPr>
        <w:t xml:space="preserve"> without inquiring into harm to the beneficiary or b</w:t>
      </w:r>
      <w:r>
        <w:rPr>
          <w:rFonts w:ascii="Times New Roman" w:hAnsi="Times New Roman"/>
          <w:sz w:val="24"/>
          <w:szCs w:val="24"/>
        </w:rPr>
        <w:t>reach of any other legal norms. By contrast U.S. fiduciary law is more tolerant of conflict transactions, and we believe this follows</w:t>
      </w:r>
      <w:r w:rsidR="005C34B0">
        <w:rPr>
          <w:rFonts w:ascii="Times New Roman" w:hAnsi="Times New Roman"/>
          <w:sz w:val="24"/>
          <w:szCs w:val="24"/>
        </w:rPr>
        <w:t xml:space="preserve"> from a strong bias in favor of entrepreneurial </w:t>
      </w:r>
      <w:r w:rsidR="005C34B0" w:rsidRPr="00FC5729">
        <w:rPr>
          <w:rFonts w:ascii="Times New Roman" w:hAnsi="Times New Roman"/>
          <w:sz w:val="24"/>
          <w:szCs w:val="24"/>
        </w:rPr>
        <w:t>action</w:t>
      </w:r>
      <w:r w:rsidR="005C34B0">
        <w:rPr>
          <w:rFonts w:ascii="Times New Roman" w:hAnsi="Times New Roman"/>
          <w:sz w:val="24"/>
          <w:szCs w:val="24"/>
        </w:rPr>
        <w:t>.</w:t>
      </w:r>
    </w:p>
    <w:p w14:paraId="046069CA" w14:textId="77777777" w:rsidR="005B7130" w:rsidRPr="00FC5729" w:rsidRDefault="005B7130" w:rsidP="005B7130">
      <w:pPr>
        <w:spacing w:after="120" w:line="240" w:lineRule="auto"/>
        <w:ind w:firstLine="720"/>
        <w:jc w:val="both"/>
        <w:rPr>
          <w:rFonts w:ascii="Times New Roman" w:hAnsi="Times New Roman"/>
          <w:sz w:val="24"/>
          <w:szCs w:val="24"/>
        </w:rPr>
      </w:pPr>
      <w:r w:rsidRPr="00FC5729">
        <w:rPr>
          <w:rFonts w:ascii="Times New Roman" w:hAnsi="Times New Roman"/>
          <w:sz w:val="24"/>
          <w:szCs w:val="24"/>
        </w:rPr>
        <w:t>Many authors contend that fiduciary law has a deterrence function, but Lionel Smith rightly asks, “what is being deterred?”</w:t>
      </w:r>
      <w:r w:rsidRPr="00FC5729">
        <w:rPr>
          <w:rStyle w:val="FootnoteReference"/>
          <w:rFonts w:ascii="Times New Roman" w:hAnsi="Times New Roman"/>
          <w:sz w:val="24"/>
          <w:szCs w:val="24"/>
        </w:rPr>
        <w:footnoteReference w:id="94"/>
      </w:r>
      <w:r w:rsidRPr="00FC5729">
        <w:rPr>
          <w:rFonts w:ascii="Times New Roman" w:hAnsi="Times New Roman"/>
          <w:sz w:val="24"/>
          <w:szCs w:val="24"/>
        </w:rPr>
        <w:t xml:space="preserve"> According to Smith, fiduciary law cannot plausibly be explained as a deterrent because the level of sanction (</w:t>
      </w:r>
      <w:r w:rsidRPr="00FC5729">
        <w:rPr>
          <w:rStyle w:val="apple-converted-space"/>
          <w:rFonts w:ascii="Times New Roman" w:hAnsi="Times New Roman"/>
          <w:sz w:val="24"/>
          <w:szCs w:val="24"/>
        </w:rPr>
        <w:t>av</w:t>
      </w:r>
      <w:r w:rsidRPr="00FC5729">
        <w:rPr>
          <w:rFonts w:ascii="Times New Roman" w:hAnsi="Times New Roman"/>
          <w:sz w:val="24"/>
          <w:szCs w:val="24"/>
        </w:rPr>
        <w:t>oidance or rescission of the conflict transaction or disgorgement of any profits) is simply too low to represent a viable deterrent for most fiduciary breaches.</w:t>
      </w:r>
      <w:r w:rsidRPr="00FC5729">
        <w:rPr>
          <w:rStyle w:val="FootnoteReference"/>
          <w:rFonts w:ascii="Times New Roman" w:hAnsi="Times New Roman"/>
          <w:sz w:val="24"/>
          <w:szCs w:val="24"/>
        </w:rPr>
        <w:footnoteReference w:id="95"/>
      </w:r>
      <w:r w:rsidRPr="00FC5729">
        <w:rPr>
          <w:rFonts w:ascii="Times New Roman" w:hAnsi="Times New Roman"/>
          <w:sz w:val="24"/>
          <w:szCs w:val="24"/>
        </w:rPr>
        <w:t xml:space="preserve"> Moreover, the fact that “the no-conflict and no-profit rules operate independently of harm or loss to the beneficiary, bad faith of the</w:t>
      </w:r>
      <w:r w:rsidRPr="00FC5729">
        <w:rPr>
          <w:rStyle w:val="apple-converted-space"/>
          <w:rFonts w:ascii="Times New Roman" w:hAnsi="Times New Roman"/>
          <w:sz w:val="24"/>
          <w:szCs w:val="24"/>
        </w:rPr>
        <w:t xml:space="preserve"> fiduciary</w:t>
      </w:r>
      <w:r w:rsidRPr="00FC5729">
        <w:rPr>
          <w:rFonts w:ascii="Times New Roman" w:hAnsi="Times New Roman"/>
          <w:sz w:val="24"/>
          <w:szCs w:val="24"/>
        </w:rPr>
        <w:t>, the breach of other duties, or any consideration at all” means that the law is unjust because it is “willing to inflict sanctions on people who have not engaged in undesirable conduct.”</w:t>
      </w:r>
      <w:r w:rsidRPr="00FC5729">
        <w:rPr>
          <w:rStyle w:val="FootnoteReference"/>
          <w:rFonts w:ascii="Times New Roman" w:hAnsi="Times New Roman"/>
          <w:sz w:val="24"/>
          <w:szCs w:val="24"/>
        </w:rPr>
        <w:footnoteReference w:id="96"/>
      </w:r>
    </w:p>
    <w:p w14:paraId="01C70FA0" w14:textId="77777777" w:rsidR="005B7130" w:rsidRPr="00FC5729" w:rsidRDefault="005B7130" w:rsidP="005B7130">
      <w:pPr>
        <w:spacing w:after="120" w:line="240" w:lineRule="auto"/>
        <w:ind w:firstLine="720"/>
        <w:jc w:val="both"/>
        <w:rPr>
          <w:rFonts w:ascii="Times New Roman" w:hAnsi="Times New Roman"/>
          <w:sz w:val="24"/>
          <w:szCs w:val="24"/>
        </w:rPr>
      </w:pPr>
      <w:r w:rsidRPr="00FC5729">
        <w:rPr>
          <w:rFonts w:ascii="Times New Roman" w:hAnsi="Times New Roman"/>
          <w:sz w:val="24"/>
          <w:szCs w:val="24"/>
        </w:rPr>
        <w:t xml:space="preserve">Smith suggests that rather than playing a deterrent role, fiduciary law serves as prophylactic function. According to Smith, “[d]eterrence operates by aiming to influence human decision-making; prophylaxis operates by the taking of precautions in an </w:t>
      </w:r>
      <w:r w:rsidRPr="00FC5729">
        <w:rPr>
          <w:rFonts w:ascii="Times New Roman" w:hAnsi="Times New Roman"/>
          <w:sz w:val="24"/>
          <w:szCs w:val="24"/>
        </w:rPr>
        <w:lastRenderedPageBreak/>
        <w:t>effort to avoid an undesirable outcome.”</w:t>
      </w:r>
      <w:r w:rsidRPr="00FC5729">
        <w:rPr>
          <w:rStyle w:val="FootnoteReference"/>
          <w:rFonts w:ascii="Times New Roman" w:hAnsi="Times New Roman"/>
          <w:sz w:val="24"/>
          <w:szCs w:val="24"/>
        </w:rPr>
        <w:footnoteReference w:id="97"/>
      </w:r>
      <w:r w:rsidRPr="00FC5729">
        <w:rPr>
          <w:rFonts w:ascii="Times New Roman" w:hAnsi="Times New Roman"/>
          <w:sz w:val="24"/>
          <w:szCs w:val="24"/>
        </w:rPr>
        <w:t xml:space="preserve"> While some references to the prophylactic function of fiduciary law are simply references to the deterrence function, Smith suggests a different understanding of prophylaxis, which is intimately connected to the duty of unselfishness. In short, fiduciary law prohibits conflict transactions to reduce the likelihood that the fiduciary will exercise discretion for improper reasons.</w:t>
      </w:r>
      <w:r w:rsidRPr="00FC5729">
        <w:rPr>
          <w:rStyle w:val="FootnoteReference"/>
          <w:rFonts w:ascii="Times New Roman" w:hAnsi="Times New Roman"/>
          <w:sz w:val="24"/>
          <w:szCs w:val="24"/>
        </w:rPr>
        <w:footnoteReference w:id="98"/>
      </w:r>
      <w:r w:rsidRPr="00FC5729">
        <w:rPr>
          <w:rFonts w:ascii="Times New Roman" w:hAnsi="Times New Roman"/>
          <w:sz w:val="24"/>
          <w:szCs w:val="24"/>
        </w:rPr>
        <w:t xml:space="preserve"> This is distinct from deterrence because it is not about changing the fiduciary’s motivation, but rather about implementing a precaution.</w:t>
      </w:r>
      <w:r w:rsidRPr="00FC5729">
        <w:rPr>
          <w:rStyle w:val="FootnoteReference"/>
          <w:rFonts w:ascii="Times New Roman" w:hAnsi="Times New Roman"/>
          <w:sz w:val="24"/>
          <w:szCs w:val="24"/>
        </w:rPr>
        <w:footnoteReference w:id="99"/>
      </w:r>
    </w:p>
    <w:p w14:paraId="4CAF2B2A" w14:textId="77777777" w:rsidR="005B7130" w:rsidRDefault="005B7130" w:rsidP="005B7130">
      <w:pPr>
        <w:spacing w:after="120" w:line="240" w:lineRule="auto"/>
        <w:ind w:firstLine="720"/>
        <w:jc w:val="both"/>
        <w:rPr>
          <w:rFonts w:ascii="Times New Roman" w:hAnsi="Times New Roman"/>
          <w:sz w:val="24"/>
          <w:szCs w:val="24"/>
        </w:rPr>
      </w:pPr>
      <w:r w:rsidRPr="00FC5729">
        <w:rPr>
          <w:rFonts w:ascii="Times New Roman" w:hAnsi="Times New Roman"/>
          <w:sz w:val="24"/>
          <w:szCs w:val="24"/>
        </w:rPr>
        <w:t>While this is a rather subtle point, it serves to emphasize the crucial difference between fiduciary law in the U.S. and fiduciary law in the Commonwealth. Fiduciary law in the U.S. cannot plausibly be viewed as a prophylactic under Smith’s reasoning because courts here do not impose a blanket prohibition on conflict transactions. Instead, courts are eager to understand whether the transaction was fair and whether the fiduciary acted in good faith.</w:t>
      </w:r>
    </w:p>
    <w:p w14:paraId="5C61DD86" w14:textId="77777777" w:rsidR="005B7130" w:rsidRPr="00FC5729" w:rsidRDefault="005B7130" w:rsidP="005B7130">
      <w:pPr>
        <w:spacing w:after="120" w:line="240" w:lineRule="auto"/>
        <w:ind w:firstLine="720"/>
        <w:jc w:val="both"/>
        <w:rPr>
          <w:rFonts w:ascii="Times New Roman" w:hAnsi="Times New Roman"/>
          <w:sz w:val="24"/>
          <w:szCs w:val="24"/>
        </w:rPr>
      </w:pPr>
    </w:p>
    <w:p w14:paraId="0D8FB7B5" w14:textId="77777777" w:rsidR="00AE6DA8" w:rsidRPr="00FC5729" w:rsidRDefault="00AE6DA8" w:rsidP="00B24922">
      <w:pPr>
        <w:pStyle w:val="TableofContents1"/>
        <w:numPr>
          <w:ilvl w:val="0"/>
          <w:numId w:val="0"/>
        </w:numPr>
      </w:pPr>
      <w:bookmarkStart w:id="17" w:name="_Toc418778903"/>
      <w:r w:rsidRPr="00FC5729">
        <w:t>Conclusion</w:t>
      </w:r>
      <w:bookmarkEnd w:id="17"/>
    </w:p>
    <w:p w14:paraId="4AB181D9" w14:textId="59B800A6" w:rsidR="003F1BD3" w:rsidRPr="00FC5729" w:rsidRDefault="005B7130" w:rsidP="00E9085B">
      <w:pPr>
        <w:spacing w:after="120" w:line="240" w:lineRule="auto"/>
        <w:ind w:firstLine="720"/>
        <w:jc w:val="both"/>
        <w:rPr>
          <w:rFonts w:ascii="Times New Roman" w:hAnsi="Times New Roman"/>
          <w:sz w:val="24"/>
          <w:szCs w:val="24"/>
          <w:shd w:val="clear" w:color="auto" w:fill="FFFFFF"/>
        </w:rPr>
      </w:pPr>
      <w:r w:rsidRPr="00FC5729">
        <w:rPr>
          <w:rFonts w:ascii="Times New Roman" w:hAnsi="Times New Roman"/>
          <w:sz w:val="24"/>
          <w:szCs w:val="24"/>
        </w:rPr>
        <w:t xml:space="preserve">In </w:t>
      </w:r>
      <w:r w:rsidRPr="00FC5729">
        <w:rPr>
          <w:rFonts w:ascii="Times New Roman" w:hAnsi="Times New Roman"/>
          <w:sz w:val="24"/>
          <w:szCs w:val="24"/>
          <w:shd w:val="clear" w:color="auto" w:fill="FFFFFF"/>
        </w:rPr>
        <w:t xml:space="preserve">defining the boundaries of fiduciary discretion, courts </w:t>
      </w:r>
      <w:r w:rsidRPr="00FC5729">
        <w:rPr>
          <w:rFonts w:ascii="Times New Roman" w:hAnsi="Times New Roman"/>
          <w:sz w:val="24"/>
          <w:szCs w:val="24"/>
        </w:rPr>
        <w:t xml:space="preserve">tailor the general obligation of loyalty to myriad specific contexts, </w:t>
      </w:r>
      <w:r w:rsidRPr="00FC5729">
        <w:rPr>
          <w:rFonts w:ascii="Times New Roman" w:hAnsi="Times New Roman"/>
          <w:sz w:val="24"/>
          <w:szCs w:val="24"/>
          <w:shd w:val="clear" w:color="auto" w:fill="FFFFFF"/>
        </w:rPr>
        <w:t>often consulting industry customs and social norms for guidance</w:t>
      </w:r>
      <w:r w:rsidRPr="00FC5729">
        <w:rPr>
          <w:rFonts w:ascii="Times New Roman" w:hAnsi="Times New Roman"/>
          <w:sz w:val="24"/>
          <w:szCs w:val="24"/>
        </w:rPr>
        <w:t>. Fiduciary law is often compared to tort law, in which the reliance on customs and norms has been said to chill innovation.</w:t>
      </w:r>
      <w:r w:rsidRPr="00FC5729">
        <w:rPr>
          <w:rStyle w:val="FootnoteReference"/>
          <w:rFonts w:ascii="Times New Roman" w:hAnsi="Times New Roman"/>
          <w:sz w:val="24"/>
          <w:szCs w:val="24"/>
        </w:rPr>
        <w:footnoteReference w:id="100"/>
      </w:r>
      <w:r w:rsidRPr="00FC5729">
        <w:rPr>
          <w:rFonts w:ascii="Times New Roman" w:hAnsi="Times New Roman"/>
          <w:sz w:val="24"/>
          <w:szCs w:val="24"/>
        </w:rPr>
        <w:t xml:space="preserve"> The logic underlying this argument in the tort context is compelling: if the actions of a purported tortfeasor are measured against existing practices, novel actions increase the risk of liability, thus dampening enthusiasm for innovation. We acknowledge that </w:t>
      </w:r>
      <w:r w:rsidRPr="00FC5729">
        <w:rPr>
          <w:rFonts w:ascii="Times New Roman" w:hAnsi="Times New Roman"/>
          <w:sz w:val="24"/>
          <w:szCs w:val="24"/>
          <w:shd w:val="clear" w:color="auto" w:fill="FFFFFF"/>
        </w:rPr>
        <w:t>tort law’s reliance on custom and norms may discourage innovation in industrial procedures, product development, or medical care, but we contend that fiduciary law’s reliance on customs and norms encourages formation of relationships that l</w:t>
      </w:r>
      <w:r>
        <w:rPr>
          <w:rFonts w:ascii="Times New Roman" w:hAnsi="Times New Roman"/>
          <w:sz w:val="24"/>
          <w:szCs w:val="24"/>
          <w:shd w:val="clear" w:color="auto" w:fill="FFFFFF"/>
        </w:rPr>
        <w:t>ead to entrepreneurial action</w:t>
      </w:r>
      <w:r w:rsidRPr="00FC5729">
        <w:rPr>
          <w:rFonts w:ascii="Times New Roman" w:hAnsi="Times New Roman"/>
          <w:sz w:val="24"/>
          <w:szCs w:val="24"/>
          <w:shd w:val="clear" w:color="auto" w:fill="FFFFFF"/>
        </w:rPr>
        <w:t>.</w:t>
      </w:r>
    </w:p>
    <w:sectPr w:rsidR="003F1BD3" w:rsidRPr="00FC5729" w:rsidSect="00431D9B">
      <w:footerReference w:type="even" r:id="rId8"/>
      <w:footerReference w:type="default" r:id="rId9"/>
      <w:footerReference w:type="first" r:id="rId10"/>
      <w:pgSz w:w="12240" w:h="15840" w:code="1"/>
      <w:pgMar w:top="1440" w:right="2880" w:bottom="1440" w:left="2880" w:header="720" w:footer="144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C4D44" w14:textId="77777777" w:rsidR="00E32993" w:rsidRDefault="00E32993">
      <w:r>
        <w:separator/>
      </w:r>
    </w:p>
  </w:endnote>
  <w:endnote w:type="continuationSeparator" w:id="0">
    <w:p w14:paraId="4C1047EB" w14:textId="77777777" w:rsidR="00E32993" w:rsidRDefault="00E3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677598"/>
      <w:docPartObj>
        <w:docPartGallery w:val="Page Numbers (Bottom of Page)"/>
        <w:docPartUnique/>
      </w:docPartObj>
    </w:sdtPr>
    <w:sdtEndPr>
      <w:rPr>
        <w:noProof/>
      </w:rPr>
    </w:sdtEndPr>
    <w:sdtContent>
      <w:p w14:paraId="18091C66" w14:textId="1816A020" w:rsidR="002677AA" w:rsidRDefault="002677AA">
        <w:pPr>
          <w:pStyle w:val="Footer"/>
          <w:jc w:val="center"/>
        </w:pPr>
        <w:r>
          <w:fldChar w:fldCharType="begin"/>
        </w:r>
        <w:r>
          <w:instrText xml:space="preserve"> PAGE   \* MERGEFORMAT </w:instrText>
        </w:r>
        <w:r>
          <w:fldChar w:fldCharType="separate"/>
        </w:r>
        <w:r w:rsidR="00E465BF">
          <w:rPr>
            <w:noProof/>
          </w:rPr>
          <w:t>2</w:t>
        </w:r>
        <w:r>
          <w:rPr>
            <w:noProof/>
          </w:rPr>
          <w:fldChar w:fldCharType="end"/>
        </w:r>
      </w:p>
    </w:sdtContent>
  </w:sdt>
  <w:p w14:paraId="4FA02B25" w14:textId="77777777" w:rsidR="002677AA" w:rsidRDefault="00267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820768"/>
      <w:docPartObj>
        <w:docPartGallery w:val="Page Numbers (Bottom of Page)"/>
        <w:docPartUnique/>
      </w:docPartObj>
    </w:sdtPr>
    <w:sdtEndPr>
      <w:rPr>
        <w:noProof/>
      </w:rPr>
    </w:sdtEndPr>
    <w:sdtContent>
      <w:p w14:paraId="7EEC503D" w14:textId="09ED8767" w:rsidR="002677AA" w:rsidRDefault="002677AA">
        <w:pPr>
          <w:pStyle w:val="Footer"/>
          <w:jc w:val="center"/>
        </w:pPr>
        <w:r>
          <w:fldChar w:fldCharType="begin"/>
        </w:r>
        <w:r>
          <w:instrText xml:space="preserve"> PAGE   \* MERGEFORMAT </w:instrText>
        </w:r>
        <w:r>
          <w:fldChar w:fldCharType="separate"/>
        </w:r>
        <w:r w:rsidR="00E465BF">
          <w:rPr>
            <w:noProof/>
          </w:rPr>
          <w:t>3</w:t>
        </w:r>
        <w:r>
          <w:rPr>
            <w:noProof/>
          </w:rPr>
          <w:fldChar w:fldCharType="end"/>
        </w:r>
      </w:p>
    </w:sdtContent>
  </w:sdt>
  <w:p w14:paraId="0678A1FE" w14:textId="77777777" w:rsidR="002677AA" w:rsidRDefault="002677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3BDA2" w14:textId="77777777" w:rsidR="002677AA" w:rsidRDefault="002677AA" w:rsidP="00D11876">
    <w:pPr>
      <w:pStyle w:val="Footer"/>
      <w:tabs>
        <w:tab w:val="center" w:pos="3240"/>
        <w:tab w:val="left" w:pos="3815"/>
      </w:tabs>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F0D46" w14:textId="77777777" w:rsidR="00E32993" w:rsidRPr="006252D3" w:rsidRDefault="00E32993" w:rsidP="006252D3">
      <w:pPr>
        <w:pStyle w:val="Footer"/>
        <w:pBdr>
          <w:bottom w:val="single" w:sz="6" w:space="0" w:color="auto"/>
        </w:pBdr>
        <w:spacing w:after="80" w:line="240" w:lineRule="auto"/>
      </w:pPr>
    </w:p>
  </w:footnote>
  <w:footnote w:type="continuationSeparator" w:id="0">
    <w:p w14:paraId="410BD370" w14:textId="77777777" w:rsidR="00E32993" w:rsidRPr="006252D3" w:rsidRDefault="00E32993" w:rsidP="006252D3">
      <w:pPr>
        <w:pStyle w:val="Footer"/>
        <w:pBdr>
          <w:bottom w:val="single" w:sz="6" w:space="0" w:color="auto"/>
        </w:pBdr>
        <w:spacing w:after="80" w:line="240" w:lineRule="auto"/>
      </w:pPr>
    </w:p>
  </w:footnote>
  <w:footnote w:id="1">
    <w:p w14:paraId="22699C58" w14:textId="3D442528" w:rsidR="002677AA" w:rsidRPr="00135DB1" w:rsidRDefault="002677AA" w:rsidP="00B24922">
      <w:pPr>
        <w:spacing w:after="120" w:line="240" w:lineRule="auto"/>
        <w:ind w:firstLine="720"/>
        <w:jc w:val="both"/>
        <w:rPr>
          <w:rFonts w:ascii="Times New Roman" w:hAnsi="Times New Roman"/>
          <w:sz w:val="16"/>
          <w:szCs w:val="16"/>
        </w:rPr>
      </w:pPr>
      <w:r w:rsidRPr="00135DB1">
        <w:rPr>
          <w:rStyle w:val="FootnoteReference"/>
          <w:rFonts w:ascii="Times New Roman" w:hAnsi="Times New Roman"/>
          <w:sz w:val="16"/>
          <w:szCs w:val="16"/>
        </w:rPr>
        <w:t>†</w:t>
      </w:r>
      <w:r w:rsidRPr="00135DB1">
        <w:rPr>
          <w:rFonts w:ascii="Times New Roman" w:hAnsi="Times New Roman"/>
          <w:sz w:val="16"/>
          <w:szCs w:val="16"/>
        </w:rPr>
        <w:t xml:space="preserve"> Glen L. Farr Professor of Law, J. Reuben Clark Law School, Brigham Young University.</w:t>
      </w:r>
      <w:r w:rsidRPr="00135DB1" w:rsidDel="00F97DA2">
        <w:rPr>
          <w:rFonts w:ascii="Times New Roman" w:hAnsi="Times New Roman"/>
          <w:sz w:val="16"/>
          <w:szCs w:val="16"/>
        </w:rPr>
        <w:t xml:space="preserve"> </w:t>
      </w:r>
      <w:r w:rsidRPr="00135DB1">
        <w:rPr>
          <w:rFonts w:ascii="Times New Roman" w:hAnsi="Times New Roman"/>
          <w:sz w:val="16"/>
          <w:szCs w:val="16"/>
        </w:rPr>
        <w:t xml:space="preserve">I am grateful to participants in seminars at the National University of Singapore, the University of Auckland, the University of Sydney, and [others], as well as participants in the 2015 Law and Entrepreneurship Association Retreat. I am also grateful to John Armour, Elise Bant, Mehrsa, Baradaran, Bobby Bartlett, Andy Bouchard, Brian Broughman, Christopher Bruner, Abe Cable, Matthew Conaglen, John Coyle, </w:t>
      </w:r>
      <w:r w:rsidRPr="00135DB1">
        <w:rPr>
          <w:rFonts w:ascii="Times New Roman" w:hAnsi="Times New Roman"/>
          <w:bCs/>
          <w:sz w:val="16"/>
          <w:szCs w:val="16"/>
          <w:shd w:val="clear" w:color="auto" w:fill="FFFFFF"/>
        </w:rPr>
        <w:t xml:space="preserve">Simon Deakin, Simone Degeling, Vic Fleischer, Eric Gerding, </w:t>
      </w:r>
      <w:r w:rsidRPr="00135DB1">
        <w:rPr>
          <w:rFonts w:ascii="Times New Roman" w:hAnsi="Times New Roman"/>
          <w:sz w:val="16"/>
          <w:szCs w:val="16"/>
        </w:rPr>
        <w:t xml:space="preserve">Josh Getzler, </w:t>
      </w:r>
      <w:r w:rsidRPr="00135DB1">
        <w:rPr>
          <w:rFonts w:ascii="Times New Roman" w:hAnsi="Times New Roman"/>
          <w:bCs/>
          <w:sz w:val="16"/>
          <w:szCs w:val="16"/>
          <w:shd w:val="clear" w:color="auto" w:fill="FFFFFF"/>
        </w:rPr>
        <w:t>Antara Haldar</w:t>
      </w:r>
      <w:r w:rsidRPr="00135DB1">
        <w:rPr>
          <w:rFonts w:ascii="Times New Roman" w:hAnsi="Times New Roman"/>
          <w:sz w:val="16"/>
          <w:szCs w:val="16"/>
        </w:rPr>
        <w:t xml:space="preserve">, Michelle Harner, Larry Hamermesh, </w:t>
      </w:r>
      <w:r>
        <w:rPr>
          <w:rFonts w:ascii="Times New Roman" w:hAnsi="Times New Roman"/>
          <w:sz w:val="16"/>
          <w:szCs w:val="16"/>
        </w:rPr>
        <w:t xml:space="preserve">Kurt Heyman, </w:t>
      </w:r>
      <w:r w:rsidRPr="00135DB1">
        <w:rPr>
          <w:rFonts w:ascii="Times New Roman" w:hAnsi="Times New Roman"/>
          <w:sz w:val="16"/>
          <w:szCs w:val="16"/>
        </w:rPr>
        <w:t xml:space="preserve">Jennifer Hill, Christian Hoffman, Christine Hurt, Matt Jennejohn, David Kershaw, Rosemary Teele Langford, Travis Laster, Paul MacMahon, Curtis Milhaupt, James Penner, Usha Rodrigues, </w:t>
      </w:r>
      <w:r>
        <w:rPr>
          <w:rFonts w:ascii="Times New Roman" w:hAnsi="Times New Roman"/>
          <w:sz w:val="16"/>
          <w:szCs w:val="16"/>
        </w:rPr>
        <w:t xml:space="preserve">Rob Saunders, </w:t>
      </w:r>
      <w:r w:rsidRPr="00135DB1">
        <w:rPr>
          <w:rFonts w:ascii="Times New Roman" w:hAnsi="Times New Roman"/>
          <w:sz w:val="16"/>
          <w:szCs w:val="16"/>
        </w:rPr>
        <w:t xml:space="preserve">Omari Simmons, </w:t>
      </w:r>
      <w:r>
        <w:rPr>
          <w:rFonts w:ascii="Times New Roman" w:hAnsi="Times New Roman"/>
          <w:sz w:val="16"/>
          <w:szCs w:val="16"/>
        </w:rPr>
        <w:t xml:space="preserve">Leo Strine, </w:t>
      </w:r>
      <w:r w:rsidRPr="00135DB1">
        <w:rPr>
          <w:rFonts w:ascii="Times New Roman" w:hAnsi="Times New Roman"/>
          <w:sz w:val="16"/>
          <w:szCs w:val="16"/>
        </w:rPr>
        <w:t>Randall Thomas, and Bob Thompson for discussions and comments on this paper. Thanks to Mark Kam and Dan Lyman for excellent assistance with the research.</w:t>
      </w:r>
    </w:p>
  </w:footnote>
  <w:footnote w:id="2">
    <w:p w14:paraId="499D3805" w14:textId="70A42DBE" w:rsidR="002677AA" w:rsidRPr="00135DB1" w:rsidRDefault="002677AA" w:rsidP="00942A9E">
      <w:pPr>
        <w:pStyle w:val="FootnoteText"/>
      </w:pPr>
      <w:r w:rsidRPr="00135DB1">
        <w:rPr>
          <w:rStyle w:val="FootnoteReference"/>
        </w:rPr>
        <w:footnoteRef/>
      </w:r>
      <w:r w:rsidRPr="00135DB1">
        <w:t xml:space="preserve"> We use the language of liability self-consciously, alluding to the well-known distinction between “liability rules” and “property rules.” </w:t>
      </w:r>
      <w:r w:rsidRPr="00135DB1">
        <w:rPr>
          <w:i/>
        </w:rPr>
        <w:t>See</w:t>
      </w:r>
      <w:r w:rsidRPr="00135DB1">
        <w:t xml:space="preserve"> </w:t>
      </w:r>
      <w:r w:rsidRPr="00135DB1">
        <w:rPr>
          <w:szCs w:val="16"/>
        </w:rPr>
        <w:t>Louis Kaplow &amp; Steven Shavell,</w:t>
      </w:r>
      <w:r w:rsidRPr="00135DB1">
        <w:rPr>
          <w:rStyle w:val="apple-converted-space"/>
          <w:szCs w:val="16"/>
        </w:rPr>
        <w:t> </w:t>
      </w:r>
      <w:r w:rsidRPr="00135DB1">
        <w:rPr>
          <w:rStyle w:val="cosearchterm"/>
          <w:bCs/>
          <w:i/>
          <w:szCs w:val="16"/>
        </w:rPr>
        <w:t>Property</w:t>
      </w:r>
      <w:r w:rsidRPr="00135DB1">
        <w:rPr>
          <w:rStyle w:val="apple-converted-space"/>
          <w:i/>
          <w:szCs w:val="16"/>
        </w:rPr>
        <w:t> </w:t>
      </w:r>
      <w:r w:rsidRPr="00135DB1">
        <w:rPr>
          <w:rStyle w:val="cosearchterm"/>
          <w:bCs/>
          <w:i/>
          <w:szCs w:val="16"/>
        </w:rPr>
        <w:t>Rules</w:t>
      </w:r>
      <w:r w:rsidRPr="00135DB1">
        <w:rPr>
          <w:rStyle w:val="apple-converted-space"/>
          <w:i/>
          <w:szCs w:val="16"/>
        </w:rPr>
        <w:t> </w:t>
      </w:r>
      <w:r w:rsidRPr="00135DB1">
        <w:rPr>
          <w:i/>
          <w:szCs w:val="16"/>
        </w:rPr>
        <w:t>Versus</w:t>
      </w:r>
      <w:r w:rsidRPr="00135DB1">
        <w:rPr>
          <w:rStyle w:val="apple-converted-space"/>
          <w:i/>
          <w:szCs w:val="16"/>
        </w:rPr>
        <w:t> </w:t>
      </w:r>
      <w:r w:rsidRPr="00135DB1">
        <w:rPr>
          <w:rStyle w:val="cosearchterm"/>
          <w:bCs/>
          <w:i/>
          <w:szCs w:val="16"/>
        </w:rPr>
        <w:t>Liability</w:t>
      </w:r>
      <w:r w:rsidRPr="00135DB1">
        <w:rPr>
          <w:rStyle w:val="apple-converted-space"/>
          <w:i/>
          <w:szCs w:val="16"/>
        </w:rPr>
        <w:t> </w:t>
      </w:r>
      <w:r w:rsidRPr="00135DB1">
        <w:rPr>
          <w:rStyle w:val="cosearchterm"/>
          <w:bCs/>
          <w:i/>
          <w:szCs w:val="16"/>
        </w:rPr>
        <w:t>Rules</w:t>
      </w:r>
      <w:r w:rsidRPr="00135DB1">
        <w:rPr>
          <w:i/>
          <w:szCs w:val="16"/>
        </w:rPr>
        <w:t>: An Economic Analysis</w:t>
      </w:r>
      <w:r w:rsidRPr="00135DB1">
        <w:rPr>
          <w:szCs w:val="16"/>
        </w:rPr>
        <w:t>, 109 Harv. L. Rev. 713 (1996); Guido Calabresi &amp; A. Douglas Melamed,</w:t>
      </w:r>
      <w:r w:rsidRPr="00135DB1">
        <w:rPr>
          <w:rStyle w:val="apple-converted-space"/>
          <w:szCs w:val="16"/>
        </w:rPr>
        <w:t> </w:t>
      </w:r>
      <w:r w:rsidRPr="00135DB1">
        <w:rPr>
          <w:rStyle w:val="cosearchterm"/>
          <w:bCs/>
          <w:i/>
          <w:szCs w:val="16"/>
        </w:rPr>
        <w:t>Property</w:t>
      </w:r>
      <w:r w:rsidRPr="00135DB1">
        <w:rPr>
          <w:rStyle w:val="apple-converted-space"/>
          <w:i/>
          <w:szCs w:val="16"/>
        </w:rPr>
        <w:t> </w:t>
      </w:r>
      <w:r w:rsidRPr="00135DB1">
        <w:rPr>
          <w:rStyle w:val="cosearchterm"/>
          <w:bCs/>
          <w:i/>
          <w:szCs w:val="16"/>
        </w:rPr>
        <w:t>Rules</w:t>
      </w:r>
      <w:r w:rsidRPr="00135DB1">
        <w:rPr>
          <w:i/>
          <w:szCs w:val="16"/>
        </w:rPr>
        <w:t>,</w:t>
      </w:r>
      <w:r w:rsidRPr="00135DB1">
        <w:rPr>
          <w:rStyle w:val="apple-converted-space"/>
          <w:i/>
          <w:szCs w:val="16"/>
        </w:rPr>
        <w:t> </w:t>
      </w:r>
      <w:r w:rsidRPr="00135DB1">
        <w:rPr>
          <w:rStyle w:val="cosearchterm"/>
          <w:bCs/>
          <w:i/>
          <w:szCs w:val="16"/>
        </w:rPr>
        <w:t>Liability</w:t>
      </w:r>
      <w:r w:rsidRPr="00135DB1">
        <w:rPr>
          <w:rStyle w:val="apple-converted-space"/>
          <w:i/>
          <w:szCs w:val="16"/>
        </w:rPr>
        <w:t> </w:t>
      </w:r>
      <w:r w:rsidRPr="00135DB1">
        <w:rPr>
          <w:rStyle w:val="cosearchterm"/>
          <w:bCs/>
          <w:i/>
          <w:szCs w:val="16"/>
        </w:rPr>
        <w:t>Rules</w:t>
      </w:r>
      <w:r w:rsidRPr="00135DB1">
        <w:rPr>
          <w:i/>
          <w:szCs w:val="16"/>
        </w:rPr>
        <w:t>, and Inalienability: One View of the Cathedral</w:t>
      </w:r>
      <w:r w:rsidRPr="00135DB1">
        <w:rPr>
          <w:szCs w:val="16"/>
        </w:rPr>
        <w:t xml:space="preserve">, 85 Harv. L. Rev. 1089 (1972). </w:t>
      </w:r>
    </w:p>
  </w:footnote>
  <w:footnote w:id="3">
    <w:p w14:paraId="591BF5E8" w14:textId="1030CDF0" w:rsidR="002677AA" w:rsidRPr="00135DB1" w:rsidRDefault="002677AA">
      <w:pPr>
        <w:pStyle w:val="FootnoteText"/>
      </w:pPr>
      <w:r w:rsidRPr="00135DB1">
        <w:rPr>
          <w:rStyle w:val="FootnoteReference"/>
        </w:rPr>
        <w:footnoteRef/>
      </w:r>
      <w:r w:rsidRPr="00135DB1">
        <w:t xml:space="preserve"> Consider Rock, </w:t>
      </w:r>
      <w:r w:rsidRPr="00135DB1">
        <w:rPr>
          <w:i/>
        </w:rPr>
        <w:t>Dangerous Liaisons</w:t>
      </w:r>
      <w:r w:rsidRPr="00135DB1">
        <w:t>.</w:t>
      </w:r>
    </w:p>
  </w:footnote>
  <w:footnote w:id="4">
    <w:p w14:paraId="7F8E57C9" w14:textId="0D5F75A7" w:rsidR="002677AA" w:rsidRDefault="002677AA" w:rsidP="00401A47">
      <w:pPr>
        <w:pStyle w:val="FootnoteText"/>
      </w:pPr>
      <w:r>
        <w:rPr>
          <w:rStyle w:val="FootnoteReference"/>
        </w:rPr>
        <w:footnoteRef/>
      </w:r>
      <w:r>
        <w:t xml:space="preserve"> Much of the jurisprudence on substantive fairness review has developed in the Delaware Court of Chancery, and it is possible that the unique legal rules are a product of this jurisdictional fact. Three features of the Court of Chancery may have influenced the development of substantive fairness review in a manner that would not have happened in other jurisdictions: (1) the Court of Chancery is staffed by judges with special expertise in the fiduciary law governing business organizations; (2) the Court of Chancery is largely a motion practice, but when trials happen, they are conducted without a jury; and (3) unlike chancery courts in England, the Court of Chancery has no jurisdiction over bankruptcy cases and it seems plausible that a prolonged exposure to “upside” cases without the counterbalancing exposure to “downside” cases would tend to produce a jurisprudence that encourages action.  Of course, these are speculative musings about the institutional or psychological motivations for the substantive fairness review that are not otherwise addressed in this Article.</w:t>
      </w:r>
    </w:p>
  </w:footnote>
  <w:footnote w:id="5">
    <w:p w14:paraId="33A04F90" w14:textId="77777777" w:rsidR="002677AA" w:rsidRPr="00135DB1" w:rsidRDefault="002677AA" w:rsidP="009152B5">
      <w:pPr>
        <w:pStyle w:val="FootnoteText"/>
      </w:pPr>
      <w:r w:rsidRPr="00135DB1">
        <w:rPr>
          <w:rStyle w:val="FootnoteReference"/>
          <w:rFonts w:ascii="Times New Roman" w:hAnsi="Times New Roman"/>
          <w:szCs w:val="16"/>
        </w:rPr>
        <w:footnoteRef/>
      </w:r>
      <w:r w:rsidRPr="00135DB1">
        <w:rPr>
          <w:szCs w:val="16"/>
        </w:rPr>
        <w:t xml:space="preserve"> </w:t>
      </w:r>
      <w:r w:rsidRPr="00135DB1">
        <w:rPr>
          <w:i/>
          <w:szCs w:val="16"/>
        </w:rPr>
        <w:t>See, e.g.</w:t>
      </w:r>
      <w:r w:rsidRPr="00135DB1">
        <w:rPr>
          <w:szCs w:val="16"/>
        </w:rPr>
        <w:t xml:space="preserve">, </w:t>
      </w:r>
      <w:r w:rsidRPr="00135DB1">
        <w:rPr>
          <w:rStyle w:val="Emphasis"/>
          <w:i w:val="0"/>
          <w:szCs w:val="16"/>
        </w:rPr>
        <w:t>Cinerama, Inc. v. Technicolor, Inc.,</w:t>
      </w:r>
      <w:r w:rsidRPr="00135DB1">
        <w:rPr>
          <w:rStyle w:val="apple-converted-space"/>
          <w:szCs w:val="16"/>
        </w:rPr>
        <w:t> </w:t>
      </w:r>
      <w:r w:rsidRPr="00135DB1">
        <w:rPr>
          <w:szCs w:val="16"/>
        </w:rPr>
        <w:t>663 A.2d 1156, 1179 (Del. 1995)</w:t>
      </w:r>
      <w:r w:rsidRPr="00135DB1">
        <w:t xml:space="preserve">. </w:t>
      </w:r>
    </w:p>
  </w:footnote>
  <w:footnote w:id="6">
    <w:p w14:paraId="2819238D" w14:textId="77777777" w:rsidR="002677AA" w:rsidRPr="00135DB1" w:rsidRDefault="002677AA" w:rsidP="009152B5">
      <w:pPr>
        <w:pStyle w:val="FootnoteText"/>
      </w:pPr>
      <w:r w:rsidRPr="00135DB1">
        <w:rPr>
          <w:rStyle w:val="FootnoteReference"/>
        </w:rPr>
        <w:footnoteRef/>
      </w:r>
      <w:r w:rsidRPr="00135DB1">
        <w:t xml:space="preserve"> </w:t>
      </w:r>
      <w:r w:rsidRPr="00135DB1">
        <w:rPr>
          <w:i/>
        </w:rPr>
        <w:t>See, e.g.</w:t>
      </w:r>
      <w:r w:rsidRPr="00135DB1">
        <w:t xml:space="preserve">, </w:t>
      </w:r>
      <w:r w:rsidRPr="00135DB1">
        <w:rPr>
          <w:szCs w:val="16"/>
        </w:rPr>
        <w:t>Hamilton Partners, L.P. v. Highland Capital Management, L.P., [citation] (Del. Ch. 2014).</w:t>
      </w:r>
    </w:p>
  </w:footnote>
  <w:footnote w:id="7">
    <w:p w14:paraId="6775A2B3" w14:textId="77777777" w:rsidR="002677AA" w:rsidRPr="00135DB1" w:rsidRDefault="002677AA" w:rsidP="009152B5">
      <w:pPr>
        <w:pStyle w:val="FootnoteText"/>
      </w:pPr>
      <w:r w:rsidRPr="00135DB1">
        <w:rPr>
          <w:rStyle w:val="FootnoteReference"/>
        </w:rPr>
        <w:footnoteRef/>
      </w:r>
      <w:r w:rsidRPr="00135DB1">
        <w:t xml:space="preserve"> </w:t>
      </w:r>
      <w:r w:rsidRPr="00135DB1">
        <w:rPr>
          <w:i/>
        </w:rPr>
        <w:t>See, e.g.</w:t>
      </w:r>
      <w:r w:rsidRPr="00135DB1">
        <w:t xml:space="preserve">, </w:t>
      </w:r>
      <w:r w:rsidRPr="00135DB1">
        <w:rPr>
          <w:szCs w:val="16"/>
        </w:rPr>
        <w:t xml:space="preserve">Reis v. Hazelett Strip-Casting Corp., </w:t>
      </w:r>
      <w:r w:rsidRPr="00135DB1">
        <w:rPr>
          <w:bCs/>
          <w:szCs w:val="16"/>
        </w:rPr>
        <w:t xml:space="preserve">28 A.3d 442, 459 (Del. Ch. 2011) </w:t>
      </w:r>
      <w:r w:rsidRPr="00135DB1">
        <w:rPr>
          <w:szCs w:val="16"/>
        </w:rPr>
        <w:t>(“</w:t>
      </w:r>
      <w:r w:rsidRPr="00135DB1">
        <w:rPr>
          <w:rStyle w:val="cosearchterm"/>
          <w:bCs/>
          <w:szCs w:val="16"/>
        </w:rPr>
        <w:t>Entire</w:t>
      </w:r>
      <w:r w:rsidRPr="00135DB1">
        <w:rPr>
          <w:rStyle w:val="apple-converted-space"/>
          <w:szCs w:val="16"/>
        </w:rPr>
        <w:t> </w:t>
      </w:r>
      <w:r w:rsidRPr="00135DB1">
        <w:rPr>
          <w:rStyle w:val="cosearchterm"/>
          <w:bCs/>
          <w:szCs w:val="16"/>
        </w:rPr>
        <w:t>fairness</w:t>
      </w:r>
      <w:r w:rsidRPr="00135DB1">
        <w:rPr>
          <w:rStyle w:val="apple-converted-space"/>
          <w:szCs w:val="16"/>
        </w:rPr>
        <w:t> </w:t>
      </w:r>
      <w:r w:rsidRPr="00135DB1">
        <w:rPr>
          <w:szCs w:val="16"/>
        </w:rPr>
        <w:t>is Delaware's most</w:t>
      </w:r>
      <w:r w:rsidRPr="00135DB1">
        <w:rPr>
          <w:rStyle w:val="apple-converted-space"/>
          <w:szCs w:val="16"/>
        </w:rPr>
        <w:t> </w:t>
      </w:r>
      <w:r w:rsidRPr="00135DB1">
        <w:rPr>
          <w:rStyle w:val="cosearchterm"/>
          <w:bCs/>
          <w:szCs w:val="16"/>
        </w:rPr>
        <w:t>onerous</w:t>
      </w:r>
      <w:r w:rsidRPr="00135DB1">
        <w:rPr>
          <w:rStyle w:val="apple-converted-space"/>
          <w:szCs w:val="16"/>
        </w:rPr>
        <w:t> </w:t>
      </w:r>
      <w:r w:rsidRPr="00135DB1">
        <w:rPr>
          <w:szCs w:val="16"/>
        </w:rPr>
        <w:t>standard”).</w:t>
      </w:r>
    </w:p>
  </w:footnote>
  <w:footnote w:id="8">
    <w:p w14:paraId="26EF9BFF" w14:textId="77777777" w:rsidR="002677AA" w:rsidRPr="00135DB1" w:rsidRDefault="002677AA" w:rsidP="009152B5">
      <w:pPr>
        <w:pStyle w:val="FootnoteText"/>
        <w:rPr>
          <w:i/>
        </w:rPr>
      </w:pPr>
      <w:r w:rsidRPr="00135DB1">
        <w:rPr>
          <w:rStyle w:val="FootnoteReference"/>
        </w:rPr>
        <w:footnoteRef/>
      </w:r>
      <w:r w:rsidRPr="00135DB1">
        <w:t xml:space="preserve"> </w:t>
      </w:r>
      <w:r w:rsidRPr="00135DB1">
        <w:rPr>
          <w:i/>
        </w:rPr>
        <w:t>See, e.g.</w:t>
      </w:r>
      <w:r w:rsidRPr="00135DB1">
        <w:t>, In re Crimson Exploration Inc. Stockholder Litigation, [citation] (Del. Ch. 2014).</w:t>
      </w:r>
    </w:p>
  </w:footnote>
  <w:footnote w:id="9">
    <w:p w14:paraId="59A98756" w14:textId="017268F2" w:rsidR="002677AA" w:rsidRPr="00135DB1" w:rsidRDefault="002677AA" w:rsidP="00B56781">
      <w:pPr>
        <w:pStyle w:val="FootnoteText"/>
        <w:rPr>
          <w:szCs w:val="16"/>
        </w:rPr>
      </w:pPr>
      <w:r w:rsidRPr="00135DB1">
        <w:rPr>
          <w:rStyle w:val="FootnoteReference"/>
        </w:rPr>
        <w:footnoteRef/>
      </w:r>
      <w:r w:rsidRPr="00135DB1">
        <w:t xml:space="preserve"> S</w:t>
      </w:r>
      <w:r w:rsidRPr="00135DB1">
        <w:rPr>
          <w:szCs w:val="16"/>
        </w:rPr>
        <w:t xml:space="preserve">ubstantive fairness review would not have this effect if the application of the entire fairness standard always resulted in liability for fiduciaries. At one time, the Delaware courts seemed to assume that this was true. </w:t>
      </w:r>
      <w:r w:rsidRPr="00135DB1">
        <w:rPr>
          <w:i/>
          <w:szCs w:val="16"/>
        </w:rPr>
        <w:t xml:space="preserve">See, e.g., </w:t>
      </w:r>
      <w:r w:rsidRPr="00135DB1">
        <w:rPr>
          <w:rStyle w:val="Emphasis"/>
          <w:i w:val="0"/>
          <w:szCs w:val="16"/>
        </w:rPr>
        <w:t>AC Acquisitions v. Anderson, Clayton &amp; Co.,</w:t>
      </w:r>
      <w:r w:rsidRPr="00135DB1">
        <w:rPr>
          <w:szCs w:val="16"/>
        </w:rPr>
        <w:t xml:space="preserve"> 519 A.2d 103, 111 (Del. Ch. 1986) (“Because the effect of the proper invocation of the business judgment rule is so powerful and the standard of entire fairness so exacting, the determination of the appropriate standard of judicial review frequently is determinative of the outcome of derivative litigation.”). The courts have subsequently observed that application of the entire fairness standard is not outcome determinative. </w:t>
      </w:r>
      <w:r w:rsidRPr="00135DB1">
        <w:rPr>
          <w:i/>
          <w:szCs w:val="16"/>
        </w:rPr>
        <w:t>See, e.g.,</w:t>
      </w:r>
      <w:r w:rsidRPr="00135DB1">
        <w:rPr>
          <w:szCs w:val="16"/>
        </w:rPr>
        <w:t xml:space="preserve"> Nixon v. Blackwell, 626 A.2d 1366, 1376 (1993) (“Application of the entire fairness rule does not … always implicate liability of the conflicted corporate decisionmaker, nor does it necessarily render the decision void.”).</w:t>
      </w:r>
    </w:p>
  </w:footnote>
  <w:footnote w:id="10">
    <w:p w14:paraId="3B838FA4" w14:textId="640F5AAD" w:rsidR="002677AA" w:rsidRPr="00135DB1" w:rsidRDefault="002677AA">
      <w:pPr>
        <w:pStyle w:val="FootnoteText"/>
      </w:pPr>
      <w:r w:rsidRPr="00135DB1">
        <w:rPr>
          <w:rStyle w:val="FootnoteReference"/>
        </w:rPr>
        <w:footnoteRef/>
      </w:r>
      <w:r w:rsidRPr="00135DB1">
        <w:t xml:space="preserve"> </w:t>
      </w:r>
      <w:r>
        <w:t>The fiduciary may moderate on price for fear of litigation, but the possibility of settling future litigation at a cost less than or not much greater than the fair value may not impose much of a constraint on self-interest seeking.</w:t>
      </w:r>
    </w:p>
  </w:footnote>
  <w:footnote w:id="11">
    <w:p w14:paraId="663BFDEA" w14:textId="28E72724" w:rsidR="002677AA" w:rsidRPr="00135DB1" w:rsidRDefault="002677AA">
      <w:pPr>
        <w:pStyle w:val="FootnoteText"/>
      </w:pPr>
      <w:r w:rsidRPr="00135DB1">
        <w:rPr>
          <w:rStyle w:val="FootnoteReference"/>
        </w:rPr>
        <w:footnoteRef/>
      </w:r>
      <w:r w:rsidRPr="00135DB1">
        <w:t xml:space="preserve"> </w:t>
      </w:r>
      <w:r w:rsidRPr="00135DB1">
        <w:rPr>
          <w:i/>
        </w:rPr>
        <w:t xml:space="preserve">See </w:t>
      </w:r>
      <w:r w:rsidRPr="00135DB1">
        <w:t xml:space="preserve">Lawrence A. Cunningham, </w:t>
      </w:r>
      <w:r w:rsidRPr="00135DB1">
        <w:rPr>
          <w:i/>
        </w:rPr>
        <w:t>Choosing Gatekeepers: The Financial Statement Insurance Alternative to Auditor Liability</w:t>
      </w:r>
      <w:r w:rsidRPr="00135DB1">
        <w:t>, 52 UCLA L. Rev. 413, 414 n.1 (2004) (observing that the fiduciary “sealant decayed during the twentieth century”).</w:t>
      </w:r>
    </w:p>
  </w:footnote>
  <w:footnote w:id="12">
    <w:p w14:paraId="57485ACD" w14:textId="1C4F6561" w:rsidR="002677AA" w:rsidRPr="00135DB1" w:rsidRDefault="002677AA">
      <w:pPr>
        <w:pStyle w:val="FootnoteText"/>
      </w:pPr>
      <w:r w:rsidRPr="00135DB1">
        <w:rPr>
          <w:rStyle w:val="FootnoteReference"/>
        </w:rPr>
        <w:footnoteRef/>
      </w:r>
      <w:r w:rsidRPr="00135DB1">
        <w:t xml:space="preserve"> The argument in this paper bears some resemblan</w:t>
      </w:r>
      <w:r w:rsidRPr="00135DB1">
        <w:rPr>
          <w:szCs w:val="16"/>
        </w:rPr>
        <w:t xml:space="preserve">ce to the argument advanced by AnnaLee Saxenian and Ronald Gilson regarding the regulation of non-competition agreements. </w:t>
      </w:r>
      <w:r w:rsidRPr="00135DB1">
        <w:rPr>
          <w:smallCaps/>
          <w:szCs w:val="16"/>
        </w:rPr>
        <w:t>AnnaLee Saxenian, Regional Advantage: Culture and Competition in Silicon Valley and Route 128</w:t>
      </w:r>
      <w:r w:rsidRPr="00135DB1">
        <w:rPr>
          <w:szCs w:val="16"/>
        </w:rPr>
        <w:t xml:space="preserve"> (1994); Ronald Gilson, 74 N.Y.U. L. </w:t>
      </w:r>
      <w:r w:rsidRPr="00135DB1">
        <w:rPr>
          <w:smallCaps/>
          <w:szCs w:val="16"/>
        </w:rPr>
        <w:t>Rev</w:t>
      </w:r>
      <w:r w:rsidRPr="00135DB1">
        <w:rPr>
          <w:szCs w:val="16"/>
        </w:rPr>
        <w:t xml:space="preserve">. 575 (1999). Saxenian and Gilson highlight the tradeoff between protection against opportunism and facilitation of innovation. </w:t>
      </w:r>
    </w:p>
  </w:footnote>
  <w:footnote w:id="13">
    <w:p w14:paraId="2EB45BAF" w14:textId="7D07A65F" w:rsidR="002677AA" w:rsidRPr="00135DB1" w:rsidRDefault="002677AA">
      <w:pPr>
        <w:pStyle w:val="FootnoteText"/>
      </w:pPr>
      <w:r w:rsidRPr="00135DB1">
        <w:rPr>
          <w:rStyle w:val="FootnoteReference"/>
        </w:rPr>
        <w:footnoteRef/>
      </w:r>
      <w:r w:rsidRPr="00135DB1">
        <w:t xml:space="preserve"> D. Gordon Smith &amp; Travis Hunt, </w:t>
      </w:r>
      <w:r w:rsidRPr="00135DB1">
        <w:rPr>
          <w:i/>
        </w:rPr>
        <w:t>Entrepreneurial Action</w:t>
      </w:r>
      <w:r w:rsidRPr="00135DB1">
        <w:t xml:space="preserve"> (working paper 2015) (defining “entrepreneurial action” as a “challenge to incumbency”).</w:t>
      </w:r>
    </w:p>
  </w:footnote>
  <w:footnote w:id="14">
    <w:p w14:paraId="1833D9E4" w14:textId="6E047633" w:rsidR="002677AA" w:rsidRPr="00135DB1" w:rsidRDefault="002677AA" w:rsidP="008019A6">
      <w:pPr>
        <w:pStyle w:val="FootnoteText"/>
        <w:rPr>
          <w:szCs w:val="16"/>
        </w:rPr>
      </w:pPr>
      <w:r w:rsidRPr="00135DB1">
        <w:rPr>
          <w:rStyle w:val="FootnoteReference"/>
          <w:rFonts w:ascii="Times New Roman" w:hAnsi="Times New Roman"/>
          <w:szCs w:val="16"/>
        </w:rPr>
        <w:footnoteRef/>
      </w:r>
      <w:r w:rsidRPr="00135DB1">
        <w:rPr>
          <w:szCs w:val="16"/>
        </w:rPr>
        <w:t xml:space="preserve"> The “lonely entrepreneur” is a common refrain. </w:t>
      </w:r>
      <w:r w:rsidRPr="00135DB1">
        <w:rPr>
          <w:i/>
          <w:szCs w:val="16"/>
        </w:rPr>
        <w:t xml:space="preserve">See, e.g., </w:t>
      </w:r>
      <w:r w:rsidRPr="00135DB1">
        <w:rPr>
          <w:szCs w:val="16"/>
        </w:rPr>
        <w:t xml:space="preserve">Jeremy W. Crane, </w:t>
      </w:r>
      <w:r w:rsidRPr="00135DB1">
        <w:rPr>
          <w:i/>
          <w:szCs w:val="16"/>
        </w:rPr>
        <w:t>Entrepreneurship is Synonymous with Loneliness</w:t>
      </w:r>
      <w:r w:rsidRPr="00135DB1">
        <w:rPr>
          <w:szCs w:val="16"/>
        </w:rPr>
        <w:t xml:space="preserve"> &lt; http://under30ceo.com/entrepreneurship-is-synonymous-with-loneliness/&gt; (“</w:t>
      </w:r>
      <w:r w:rsidRPr="00135DB1">
        <w:rPr>
          <w:szCs w:val="16"/>
          <w:shd w:val="clear" w:color="auto" w:fill="FFFFFF"/>
        </w:rPr>
        <w:t xml:space="preserve">The business of starting one on your own, or as one would say ‘entrepreneurship,’ is lonely as hell!”). But being lonely is not the same as being alone. A serial entrepreneur describes “a different kind of loneliness” that accompanies entrepreneurs: “I would hire people, have a board of directors, investors and tons of customers – but the feeling of being alone with my ideas never went away. This is when I realized that the feeling of being ‘alone’ wasn’t just because I was a new entrepreneur, young and literally alone ... but this is a feeling that would always be with me with every venture.” Rich Swier, </w:t>
      </w:r>
      <w:r w:rsidRPr="00135DB1">
        <w:rPr>
          <w:i/>
          <w:szCs w:val="16"/>
          <w:shd w:val="clear" w:color="auto" w:fill="FFFFFF"/>
        </w:rPr>
        <w:t>Entrepreneurship is a Lonely, Dark Place Sometimes</w:t>
      </w:r>
      <w:r w:rsidRPr="00135DB1">
        <w:rPr>
          <w:szCs w:val="16"/>
        </w:rPr>
        <w:t xml:space="preserve"> &lt; http://www.hubsarasota.com/blog_view.cfm?BlogID=605&gt;. </w:t>
      </w:r>
      <w:r w:rsidRPr="00135DB1">
        <w:rPr>
          <w:i/>
          <w:szCs w:val="16"/>
        </w:rPr>
        <w:t xml:space="preserve">Cf. </w:t>
      </w:r>
      <w:r w:rsidRPr="00135DB1">
        <w:rPr>
          <w:szCs w:val="16"/>
        </w:rPr>
        <w:t xml:space="preserve">Mark A. Lemley, </w:t>
      </w:r>
      <w:r w:rsidRPr="00135DB1">
        <w:rPr>
          <w:i/>
          <w:szCs w:val="16"/>
        </w:rPr>
        <w:t>The Myth of the Sole Inventor</w:t>
      </w:r>
      <w:r w:rsidRPr="00135DB1">
        <w:rPr>
          <w:szCs w:val="16"/>
        </w:rPr>
        <w:t>, 110 Mich. L. Rev. 709, 710 (2012) (“</w:t>
      </w:r>
      <w:r w:rsidRPr="00135DB1">
        <w:rPr>
          <w:szCs w:val="16"/>
          <w:shd w:val="clear" w:color="auto" w:fill="FFFFFF"/>
        </w:rPr>
        <w:t>The canonical story of the lone genius inventor is largely a myth.”).</w:t>
      </w:r>
      <w:r w:rsidR="00DE4449">
        <w:rPr>
          <w:szCs w:val="16"/>
          <w:shd w:val="clear" w:color="auto" w:fill="FFFFFF"/>
        </w:rPr>
        <w:t xml:space="preserve"> </w:t>
      </w:r>
      <w:r w:rsidR="004C2457" w:rsidRPr="004C2457">
        <w:rPr>
          <w:i/>
          <w:szCs w:val="16"/>
          <w:shd w:val="clear" w:color="auto" w:fill="FFFFFF"/>
        </w:rPr>
        <w:t>See also</w:t>
      </w:r>
      <w:r w:rsidR="004C2457">
        <w:rPr>
          <w:szCs w:val="16"/>
          <w:shd w:val="clear" w:color="auto" w:fill="FFFFFF"/>
        </w:rPr>
        <w:t xml:space="preserve"> </w:t>
      </w:r>
      <w:r w:rsidR="004C2457" w:rsidRPr="004C2457">
        <w:rPr>
          <w:smallCaps/>
          <w:szCs w:val="16"/>
          <w:shd w:val="clear" w:color="auto" w:fill="FFFFFF"/>
        </w:rPr>
        <w:t>Christoph Keese, Silicon Valley: Was Aus Dem Mächtigsten Tal Der Welt Auf Uns Zukommt</w:t>
      </w:r>
      <w:r w:rsidR="004C2457">
        <w:rPr>
          <w:szCs w:val="16"/>
          <w:shd w:val="clear" w:color="auto" w:fill="FFFFFF"/>
        </w:rPr>
        <w:t xml:space="preserve"> 36 (2014) (contrasting the openness of business culture in Silicon Valley with the secretiveness of Germany). </w:t>
      </w:r>
    </w:p>
  </w:footnote>
  <w:footnote w:id="15">
    <w:p w14:paraId="183ABC4C" w14:textId="77777777" w:rsidR="002677AA" w:rsidRPr="00135DB1" w:rsidRDefault="002677AA" w:rsidP="008019A6">
      <w:pPr>
        <w:pStyle w:val="FootnoteText"/>
        <w:rPr>
          <w:szCs w:val="16"/>
          <w:shd w:val="clear" w:color="auto" w:fill="FFFFFF"/>
        </w:rPr>
      </w:pPr>
      <w:r w:rsidRPr="00135DB1">
        <w:rPr>
          <w:rStyle w:val="FootnoteReference"/>
          <w:rFonts w:ascii="Times New Roman" w:hAnsi="Times New Roman"/>
          <w:szCs w:val="16"/>
        </w:rPr>
        <w:footnoteRef/>
      </w:r>
      <w:r w:rsidRPr="00135DB1">
        <w:rPr>
          <w:szCs w:val="16"/>
        </w:rPr>
        <w:t xml:space="preserve"> In 1937, Coase famously asked, </w:t>
      </w:r>
      <w:r w:rsidRPr="00135DB1">
        <w:rPr>
          <w:szCs w:val="16"/>
          <w:shd w:val="clear" w:color="auto" w:fill="FFFFFF"/>
        </w:rPr>
        <w:t xml:space="preserve">“Why is there any organization?” Ronald H. Coase, </w:t>
      </w:r>
      <w:r w:rsidRPr="00135DB1">
        <w:rPr>
          <w:i/>
          <w:szCs w:val="16"/>
          <w:shd w:val="clear" w:color="auto" w:fill="FFFFFF"/>
        </w:rPr>
        <w:t>The Nature of the</w:t>
      </w:r>
      <w:bookmarkStart w:id="3" w:name="SR;16328"/>
      <w:bookmarkStart w:id="4" w:name="SearchTerm"/>
      <w:bookmarkEnd w:id="3"/>
      <w:r w:rsidRPr="00135DB1">
        <w:rPr>
          <w:rStyle w:val="apple-converted-space"/>
          <w:i/>
          <w:szCs w:val="16"/>
          <w:shd w:val="clear" w:color="auto" w:fill="FFFFFF"/>
        </w:rPr>
        <w:t xml:space="preserve"> Firm</w:t>
      </w:r>
      <w:r w:rsidRPr="00135DB1">
        <w:rPr>
          <w:szCs w:val="16"/>
          <w:shd w:val="clear" w:color="auto" w:fill="FFFFFF"/>
        </w:rPr>
        <w:t xml:space="preserve">, 4 </w:t>
      </w:r>
      <w:r w:rsidRPr="00135DB1">
        <w:rPr>
          <w:smallCaps/>
          <w:szCs w:val="16"/>
          <w:shd w:val="clear" w:color="auto" w:fill="FFFFFF"/>
        </w:rPr>
        <w:t>Economica</w:t>
      </w:r>
      <w:r w:rsidRPr="00135DB1">
        <w:rPr>
          <w:szCs w:val="16"/>
          <w:shd w:val="clear" w:color="auto" w:fill="FFFFFF"/>
        </w:rPr>
        <w:t xml:space="preserve"> 386 (1937), reprinted in </w:t>
      </w:r>
      <w:r w:rsidRPr="00135DB1">
        <w:rPr>
          <w:smallCaps/>
          <w:szCs w:val="16"/>
          <w:shd w:val="clear" w:color="auto" w:fill="FFFFFF"/>
        </w:rPr>
        <w:t>R.H. Coase, The</w:t>
      </w:r>
      <w:bookmarkStart w:id="5" w:name="SR;16338"/>
      <w:bookmarkEnd w:id="4"/>
      <w:bookmarkEnd w:id="5"/>
      <w:r w:rsidRPr="00135DB1">
        <w:rPr>
          <w:rStyle w:val="apple-converted-space"/>
          <w:smallCaps/>
          <w:szCs w:val="16"/>
          <w:shd w:val="clear" w:color="auto" w:fill="FFFFFF"/>
        </w:rPr>
        <w:t xml:space="preserve"> Firm</w:t>
      </w:r>
      <w:r w:rsidRPr="00135DB1">
        <w:rPr>
          <w:smallCaps/>
          <w:szCs w:val="16"/>
          <w:shd w:val="clear" w:color="auto" w:fill="FFFFFF"/>
        </w:rPr>
        <w:t>, the Market, and the Law</w:t>
      </w:r>
      <w:r w:rsidRPr="00135DB1">
        <w:rPr>
          <w:szCs w:val="16"/>
          <w:shd w:val="clear" w:color="auto" w:fill="FFFFFF"/>
        </w:rPr>
        <w:t xml:space="preserve"> 33, 36 (1988). He then answered his own question: “The main reason why it is profitable to establish a firm would seem to be that there is a cost of using the price mechanism.” </w:t>
      </w:r>
      <w:r w:rsidRPr="00135DB1">
        <w:rPr>
          <w:i/>
          <w:szCs w:val="16"/>
          <w:shd w:val="clear" w:color="auto" w:fill="FFFFFF"/>
        </w:rPr>
        <w:t>Id.</w:t>
      </w:r>
      <w:r w:rsidRPr="00135DB1">
        <w:rPr>
          <w:szCs w:val="16"/>
          <w:shd w:val="clear" w:color="auto" w:fill="FFFFFF"/>
        </w:rPr>
        <w:t xml:space="preserve"> at 390. Fifty years later, </w:t>
      </w:r>
      <w:r w:rsidRPr="00135DB1">
        <w:rPr>
          <w:szCs w:val="16"/>
        </w:rPr>
        <w:t>revisited his famous work by imagining a world without firms, in which all transactions would be accomplished through contracts:</w:t>
      </w:r>
    </w:p>
    <w:p w14:paraId="2056797E" w14:textId="77777777" w:rsidR="002677AA" w:rsidRPr="00135DB1" w:rsidRDefault="002677AA" w:rsidP="008019A6">
      <w:pPr>
        <w:pStyle w:val="FootnoteText"/>
        <w:ind w:left="360" w:firstLine="360"/>
        <w:rPr>
          <w:szCs w:val="16"/>
          <w:shd w:val="clear" w:color="auto" w:fill="FFFFFF"/>
        </w:rPr>
      </w:pPr>
      <w:r w:rsidRPr="00135DB1">
        <w:rPr>
          <w:szCs w:val="16"/>
          <w:shd w:val="clear" w:color="auto" w:fill="FFFFFF"/>
        </w:rPr>
        <w:t>How matters would work out in detail is not easy to describe or even to imagine. One of the factors could be responsible for the sale of the product to consumers, or it could be that one would be responsible for the sale of some component, made by some factors, to other factors, with the sale of the product to the consumers being undertaken by still another, or alternatively, the consumer could contract with all the factors which provide the services to make the product. There are a vast number of possible contractual arrangements but, absent firms, none would involve the direction of factors of production. In such a system, the allocation of resources would respond directly to the structure of prices, but a great part of the available resources would be absorbed in making the arrangements for the contracts needed to bring about these transactions and in providing the information on the basis of which decisions would be made.</w:t>
      </w:r>
    </w:p>
    <w:p w14:paraId="307F8DFF" w14:textId="77777777" w:rsidR="002677AA" w:rsidRPr="00135DB1" w:rsidRDefault="002677AA" w:rsidP="008019A6">
      <w:pPr>
        <w:pStyle w:val="FootnoteText"/>
        <w:ind w:firstLine="0"/>
        <w:rPr>
          <w:szCs w:val="16"/>
          <w:shd w:val="clear" w:color="auto" w:fill="FFFFFF"/>
        </w:rPr>
      </w:pPr>
      <w:r w:rsidRPr="00135DB1">
        <w:rPr>
          <w:szCs w:val="16"/>
        </w:rPr>
        <w:t xml:space="preserve">R.H. Coase, </w:t>
      </w:r>
      <w:r w:rsidRPr="00135DB1">
        <w:rPr>
          <w:i/>
          <w:szCs w:val="16"/>
        </w:rPr>
        <w:t>Nature of the Firm: Influence</w:t>
      </w:r>
      <w:r w:rsidRPr="00135DB1">
        <w:rPr>
          <w:szCs w:val="16"/>
        </w:rPr>
        <w:t xml:space="preserve">, 4 J.L. </w:t>
      </w:r>
      <w:r w:rsidRPr="00135DB1">
        <w:rPr>
          <w:smallCaps/>
          <w:szCs w:val="16"/>
        </w:rPr>
        <w:t>Econ. &amp; Org</w:t>
      </w:r>
      <w:r w:rsidRPr="00135DB1">
        <w:rPr>
          <w:szCs w:val="16"/>
        </w:rPr>
        <w:t>. 33, 38 (1988)</w:t>
      </w:r>
      <w:r w:rsidRPr="00135DB1">
        <w:rPr>
          <w:szCs w:val="16"/>
          <w:shd w:val="clear" w:color="auto" w:fill="FFFFFF"/>
        </w:rPr>
        <w:t xml:space="preserve">. </w:t>
      </w:r>
    </w:p>
    <w:p w14:paraId="28774475" w14:textId="77777777" w:rsidR="002677AA" w:rsidRPr="00135DB1" w:rsidRDefault="002677AA" w:rsidP="008019A6">
      <w:pPr>
        <w:pStyle w:val="FootnoteText"/>
        <w:rPr>
          <w:szCs w:val="16"/>
          <w:shd w:val="clear" w:color="auto" w:fill="FFFFFF"/>
        </w:rPr>
      </w:pPr>
      <w:r w:rsidRPr="00135DB1">
        <w:rPr>
          <w:szCs w:val="16"/>
          <w:shd w:val="clear" w:color="auto" w:fill="FFFFFF"/>
        </w:rPr>
        <w:t xml:space="preserve">Following Coase’s lead, Oliver Williamson subsequently framed this decision as a choice between markets and hierarchies. </w:t>
      </w:r>
      <w:r w:rsidRPr="00135DB1">
        <w:rPr>
          <w:i/>
          <w:szCs w:val="16"/>
          <w:shd w:val="clear" w:color="auto" w:fill="FFFFFF"/>
        </w:rPr>
        <w:t xml:space="preserve">See </w:t>
      </w:r>
      <w:r w:rsidRPr="00135DB1">
        <w:rPr>
          <w:szCs w:val="16"/>
          <w:shd w:val="clear" w:color="auto" w:fill="FFFFFF"/>
        </w:rPr>
        <w:t xml:space="preserve">Oliver Williamson, </w:t>
      </w:r>
      <w:r w:rsidRPr="00135DB1">
        <w:rPr>
          <w:i/>
          <w:szCs w:val="16"/>
          <w:shd w:val="clear" w:color="auto" w:fill="FFFFFF"/>
        </w:rPr>
        <w:t>Markets and Hierarchies: Some Elementary Considerations</w:t>
      </w:r>
      <w:r w:rsidRPr="00135DB1">
        <w:rPr>
          <w:szCs w:val="16"/>
          <w:shd w:val="clear" w:color="auto" w:fill="FFFFFF"/>
        </w:rPr>
        <w:t xml:space="preserve">, 63 </w:t>
      </w:r>
      <w:r w:rsidRPr="00135DB1">
        <w:rPr>
          <w:smallCaps/>
          <w:szCs w:val="16"/>
          <w:shd w:val="clear" w:color="auto" w:fill="FFFFFF"/>
        </w:rPr>
        <w:t>Am. Econ. Rev</w:t>
      </w:r>
      <w:r w:rsidRPr="00135DB1">
        <w:rPr>
          <w:szCs w:val="16"/>
          <w:shd w:val="clear" w:color="auto" w:fill="FFFFFF"/>
        </w:rPr>
        <w:t>. 316 (1973).</w:t>
      </w:r>
    </w:p>
  </w:footnote>
  <w:footnote w:id="16">
    <w:p w14:paraId="0591B211" w14:textId="509D030C" w:rsidR="002677AA" w:rsidRDefault="002677AA">
      <w:pPr>
        <w:pStyle w:val="FootnoteText"/>
      </w:pPr>
      <w:r>
        <w:rPr>
          <w:rStyle w:val="FootnoteReference"/>
        </w:rPr>
        <w:footnoteRef/>
      </w:r>
      <w:r>
        <w:t xml:space="preserve"> </w:t>
      </w:r>
      <w:r w:rsidRPr="00135DB1">
        <w:rPr>
          <w:szCs w:val="16"/>
        </w:rPr>
        <w:t xml:space="preserve">D. Gordon Smith, </w:t>
      </w:r>
      <w:r w:rsidRPr="00135DB1">
        <w:rPr>
          <w:i/>
          <w:szCs w:val="16"/>
        </w:rPr>
        <w:t>The Critical Resource Theory of Fiduciary Duty</w:t>
      </w:r>
      <w:r w:rsidRPr="00135DB1">
        <w:rPr>
          <w:szCs w:val="16"/>
        </w:rPr>
        <w:t xml:space="preserve">, 55 </w:t>
      </w:r>
      <w:r w:rsidRPr="00135DB1">
        <w:rPr>
          <w:smallCaps/>
          <w:szCs w:val="16"/>
        </w:rPr>
        <w:t>Vand. L. Rev</w:t>
      </w:r>
      <w:r>
        <w:rPr>
          <w:szCs w:val="16"/>
        </w:rPr>
        <w:t>. 1399, 1431</w:t>
      </w:r>
      <w:r w:rsidRPr="00135DB1">
        <w:rPr>
          <w:szCs w:val="16"/>
        </w:rPr>
        <w:t xml:space="preserve"> (2002)</w:t>
      </w:r>
      <w:r>
        <w:rPr>
          <w:szCs w:val="16"/>
        </w:rPr>
        <w:t>.</w:t>
      </w:r>
    </w:p>
  </w:footnote>
  <w:footnote w:id="17">
    <w:p w14:paraId="1C7AC0BE" w14:textId="4B126B8E" w:rsidR="002677AA" w:rsidRPr="00135DB1" w:rsidRDefault="002677AA" w:rsidP="00254019">
      <w:pPr>
        <w:pStyle w:val="FootnoteText"/>
        <w:rPr>
          <w:szCs w:val="16"/>
        </w:rPr>
      </w:pPr>
      <w:r w:rsidRPr="00135DB1">
        <w:rPr>
          <w:rStyle w:val="FootnoteReference"/>
          <w:rFonts w:ascii="Times New Roman" w:hAnsi="Times New Roman"/>
          <w:szCs w:val="16"/>
        </w:rPr>
        <w:footnoteRef/>
      </w:r>
      <w:r w:rsidRPr="00135DB1">
        <w:rPr>
          <w:szCs w:val="16"/>
        </w:rPr>
        <w:t xml:space="preserve"> Peter Klein describes entrepreneurial action as “the assembly of resources in the present in anticipation of (uncertain) receipts in the future.” Peter G. Klein, </w:t>
      </w:r>
      <w:r w:rsidRPr="00135DB1">
        <w:rPr>
          <w:i/>
          <w:iCs/>
          <w:szCs w:val="16"/>
        </w:rPr>
        <w:t>Opportunity Discovery, Entrepreneurial Action, and Economic Organization</w:t>
      </w:r>
      <w:r w:rsidRPr="00135DB1">
        <w:rPr>
          <w:szCs w:val="16"/>
        </w:rPr>
        <w:t xml:space="preserve">, 2 </w:t>
      </w:r>
      <w:r w:rsidRPr="00135DB1">
        <w:rPr>
          <w:smallCaps/>
          <w:szCs w:val="16"/>
        </w:rPr>
        <w:t>Strategic Entrepreneurship</w:t>
      </w:r>
      <w:r w:rsidRPr="00135DB1">
        <w:rPr>
          <w:szCs w:val="16"/>
        </w:rPr>
        <w:t xml:space="preserve"> J. 175, 183 (2008). Opportunities are products of the entrepreneur’s imagination. </w:t>
      </w:r>
      <w:r w:rsidRPr="00135DB1">
        <w:rPr>
          <w:i/>
          <w:szCs w:val="16"/>
        </w:rPr>
        <w:t>See</w:t>
      </w:r>
      <w:r w:rsidRPr="00135DB1">
        <w:rPr>
          <w:szCs w:val="16"/>
        </w:rPr>
        <w:t xml:space="preserve"> </w:t>
      </w:r>
      <w:r w:rsidRPr="007A3841">
        <w:rPr>
          <w:szCs w:val="16"/>
        </w:rPr>
        <w:t xml:space="preserve">D. Gordon Smith &amp; Darian M. Ibrahim, </w:t>
      </w:r>
      <w:r w:rsidRPr="007A3841">
        <w:rPr>
          <w:i/>
          <w:szCs w:val="16"/>
        </w:rPr>
        <w:t>Law and Entrepreneurial Opportunities</w:t>
      </w:r>
      <w:r w:rsidRPr="007A3841">
        <w:rPr>
          <w:szCs w:val="16"/>
        </w:rPr>
        <w:t xml:space="preserve">, 98 </w:t>
      </w:r>
      <w:r w:rsidRPr="007A3841">
        <w:rPr>
          <w:smallCaps/>
          <w:szCs w:val="16"/>
        </w:rPr>
        <w:t>Cornell L. Rev</w:t>
      </w:r>
      <w:r w:rsidRPr="007A3841">
        <w:rPr>
          <w:szCs w:val="16"/>
        </w:rPr>
        <w:t xml:space="preserve">. 1533, </w:t>
      </w:r>
      <w:r w:rsidRPr="00135DB1">
        <w:rPr>
          <w:szCs w:val="16"/>
        </w:rPr>
        <w:t xml:space="preserve">1535-36 </w:t>
      </w:r>
      <w:r w:rsidRPr="007A3841">
        <w:rPr>
          <w:szCs w:val="16"/>
        </w:rPr>
        <w:t xml:space="preserve">(2013) </w:t>
      </w:r>
      <w:r w:rsidRPr="00135DB1">
        <w:rPr>
          <w:szCs w:val="16"/>
        </w:rPr>
        <w:t>(describing the “opportunity cycle,” beginning with resources that inspire opportunity creation, followed by opportunity exploitation, which in turn leads to the creation of new resources).</w:t>
      </w:r>
    </w:p>
  </w:footnote>
  <w:footnote w:id="18">
    <w:p w14:paraId="2C40FC63" w14:textId="77777777" w:rsidR="002677AA" w:rsidRPr="00135DB1" w:rsidRDefault="002677AA" w:rsidP="00254019">
      <w:pPr>
        <w:pStyle w:val="FootnoteText"/>
        <w:rPr>
          <w:szCs w:val="16"/>
        </w:rPr>
      </w:pPr>
      <w:r w:rsidRPr="00135DB1">
        <w:rPr>
          <w:rStyle w:val="FootnoteReference"/>
          <w:rFonts w:ascii="Times New Roman" w:hAnsi="Times New Roman"/>
          <w:szCs w:val="16"/>
        </w:rPr>
        <w:footnoteRef/>
      </w:r>
      <w:r w:rsidRPr="00135DB1">
        <w:rPr>
          <w:szCs w:val="16"/>
        </w:rPr>
        <w:t xml:space="preserve"> Like most entrepreneurship scholars, we distinguish entrepreneurship from invention. Many scholars attempt to measure “innovation” by studying inputs (e.g., R&amp;D expenditures) or outputs (e.g., patents), but these studies focus on the creation of resources, not the exploitation of entrepreneurial opportunities. </w:t>
      </w:r>
      <w:r w:rsidRPr="00135DB1">
        <w:rPr>
          <w:i/>
          <w:szCs w:val="16"/>
        </w:rPr>
        <w:t>See</w:t>
      </w:r>
      <w:r w:rsidRPr="00135DB1">
        <w:rPr>
          <w:szCs w:val="16"/>
        </w:rPr>
        <w:t xml:space="preserve"> Smith &amp; Ibrahim, </w:t>
      </w:r>
      <w:r w:rsidRPr="00135DB1">
        <w:rPr>
          <w:i/>
          <w:szCs w:val="16"/>
        </w:rPr>
        <w:t>supra</w:t>
      </w:r>
      <w:r w:rsidRPr="00135DB1">
        <w:rPr>
          <w:szCs w:val="16"/>
        </w:rPr>
        <w:t xml:space="preserve"> note __, at __.</w:t>
      </w:r>
    </w:p>
  </w:footnote>
  <w:footnote w:id="19">
    <w:p w14:paraId="541F20C1" w14:textId="77777777" w:rsidR="002677AA" w:rsidRPr="00135DB1" w:rsidRDefault="002677AA" w:rsidP="00254019">
      <w:pPr>
        <w:pStyle w:val="FootnoteText"/>
        <w:rPr>
          <w:szCs w:val="16"/>
        </w:rPr>
      </w:pPr>
      <w:r w:rsidRPr="00135DB1">
        <w:rPr>
          <w:rStyle w:val="FootnoteReference"/>
          <w:rFonts w:ascii="Times New Roman" w:hAnsi="Times New Roman"/>
          <w:szCs w:val="16"/>
        </w:rPr>
        <w:footnoteRef/>
      </w:r>
      <w:r w:rsidRPr="00135DB1">
        <w:rPr>
          <w:szCs w:val="16"/>
        </w:rPr>
        <w:t xml:space="preserve"> </w:t>
      </w:r>
      <w:r w:rsidRPr="00135DB1">
        <w:rPr>
          <w:szCs w:val="16"/>
          <w:shd w:val="clear" w:color="auto" w:fill="FFFFFF"/>
        </w:rPr>
        <w:t>Joseph A. Schumpeter, The Theory of Economic Development: An Inquiry Into Profits, Capital, Credit, Interest, and the Business Cycle 66 (Redvers Opie trans., Harvard Univ. Press 1961) (1934).</w:t>
      </w:r>
    </w:p>
  </w:footnote>
  <w:footnote w:id="20">
    <w:p w14:paraId="49386E32" w14:textId="77777777" w:rsidR="002677AA" w:rsidRPr="00135DB1" w:rsidRDefault="002677AA" w:rsidP="00254019">
      <w:pPr>
        <w:pStyle w:val="FootnoteText"/>
        <w:rPr>
          <w:szCs w:val="16"/>
        </w:rPr>
      </w:pPr>
      <w:r w:rsidRPr="00135DB1">
        <w:rPr>
          <w:rStyle w:val="FootnoteReference"/>
        </w:rPr>
        <w:footnoteRef/>
      </w:r>
      <w:r w:rsidRPr="00135DB1">
        <w:t xml:space="preserve"> Startup activity has the virtue of </w:t>
      </w:r>
      <w:r w:rsidRPr="00135DB1">
        <w:rPr>
          <w:szCs w:val="16"/>
        </w:rPr>
        <w:t>being measurable. The problem with a broader notion of entrepreneurship is that many entrepreneurial actions are simply not susceptible to direct measurement. Thus, entrepreneurial action can occur without a startup, either because the entrepreneur does not create a formal organization or because the entrepreneur is acting within an established organization, and a startup can occur without entrepreneurial action.</w:t>
      </w:r>
    </w:p>
  </w:footnote>
  <w:footnote w:id="21">
    <w:p w14:paraId="2514192B" w14:textId="77777777" w:rsidR="002677AA" w:rsidRPr="00135DB1" w:rsidRDefault="002677AA" w:rsidP="00C87EAA">
      <w:pPr>
        <w:pStyle w:val="FootnoteText"/>
        <w:rPr>
          <w:szCs w:val="16"/>
        </w:rPr>
      </w:pPr>
      <w:r w:rsidRPr="00135DB1">
        <w:rPr>
          <w:rStyle w:val="FootnoteReference"/>
          <w:rFonts w:ascii="Times New Roman" w:hAnsi="Times New Roman"/>
          <w:szCs w:val="16"/>
        </w:rPr>
        <w:footnoteRef/>
      </w:r>
      <w:r w:rsidRPr="00135DB1">
        <w:rPr>
          <w:szCs w:val="16"/>
        </w:rPr>
        <w:t xml:space="preserve"> The </w:t>
      </w:r>
      <w:r w:rsidRPr="00135DB1">
        <w:rPr>
          <w:szCs w:val="16"/>
          <w:shd w:val="clear" w:color="auto" w:fill="FFFFFF"/>
        </w:rPr>
        <w:t>World Bank, Entrepreneurship Database 2004-2012, http://www.doingbusiness.org/data/exploretopics/entrepreneurship/.</w:t>
      </w:r>
    </w:p>
  </w:footnote>
  <w:footnote w:id="22">
    <w:p w14:paraId="0F165167" w14:textId="77777777" w:rsidR="002677AA" w:rsidRPr="00135DB1" w:rsidRDefault="002677AA" w:rsidP="00C87EAA">
      <w:pPr>
        <w:pStyle w:val="FootnoteText"/>
        <w:rPr>
          <w:szCs w:val="16"/>
        </w:rPr>
      </w:pPr>
      <w:r w:rsidRPr="00135DB1">
        <w:rPr>
          <w:rStyle w:val="FootnoteReference"/>
          <w:rFonts w:ascii="Times New Roman" w:hAnsi="Times New Roman"/>
          <w:szCs w:val="16"/>
        </w:rPr>
        <w:footnoteRef/>
      </w:r>
      <w:r w:rsidRPr="00135DB1">
        <w:rPr>
          <w:szCs w:val="16"/>
        </w:rPr>
        <w:t xml:space="preserve"> Siri Roland Xavier et al., Global Entrepreneurship Monitor: 2012 Global Report (2013) (using survey responses to create the Total Early-stage Entrepreneurial Activity (TEA) Index).</w:t>
      </w:r>
    </w:p>
  </w:footnote>
  <w:footnote w:id="23">
    <w:p w14:paraId="663D9A88" w14:textId="77777777" w:rsidR="002677AA" w:rsidRPr="00135DB1" w:rsidRDefault="002677AA" w:rsidP="00C87EAA">
      <w:pPr>
        <w:pStyle w:val="FootnoteText"/>
        <w:rPr>
          <w:szCs w:val="16"/>
        </w:rPr>
      </w:pPr>
      <w:r w:rsidRPr="00135DB1">
        <w:rPr>
          <w:rStyle w:val="FootnoteReference"/>
          <w:rFonts w:ascii="Times New Roman" w:hAnsi="Times New Roman"/>
          <w:szCs w:val="16"/>
        </w:rPr>
        <w:footnoteRef/>
      </w:r>
      <w:r w:rsidRPr="00135DB1">
        <w:rPr>
          <w:szCs w:val="16"/>
        </w:rPr>
        <w:t xml:space="preserve"> Zoltan J. Acs et al., </w:t>
      </w:r>
      <w:r w:rsidRPr="00135DB1">
        <w:rPr>
          <w:i/>
          <w:szCs w:val="16"/>
        </w:rPr>
        <w:t>What Does “Entrepreneurship” Data Really Show?</w:t>
      </w:r>
      <w:r w:rsidRPr="00135DB1">
        <w:rPr>
          <w:szCs w:val="16"/>
        </w:rPr>
        <w:t>, 31 Small Bus. Econ. 265, 266 (2008).</w:t>
      </w:r>
    </w:p>
  </w:footnote>
  <w:footnote w:id="24">
    <w:p w14:paraId="33186D9A" w14:textId="77777777" w:rsidR="002677AA" w:rsidRPr="00E834EE" w:rsidRDefault="002677AA" w:rsidP="0098546A">
      <w:pPr>
        <w:pStyle w:val="FootnoteText"/>
        <w:rPr>
          <w:szCs w:val="16"/>
        </w:rPr>
      </w:pPr>
      <w:r w:rsidRPr="00E834EE">
        <w:rPr>
          <w:rStyle w:val="FootnoteReference"/>
          <w:rFonts w:ascii="Times New Roman" w:hAnsi="Times New Roman"/>
          <w:szCs w:val="16"/>
        </w:rPr>
        <w:footnoteRef/>
      </w:r>
      <w:r w:rsidRPr="00E834EE">
        <w:rPr>
          <w:szCs w:val="16"/>
        </w:rPr>
        <w:t xml:space="preserve"> </w:t>
      </w:r>
      <w:r w:rsidRPr="00E834EE">
        <w:rPr>
          <w:szCs w:val="16"/>
          <w:shd w:val="clear" w:color="auto" w:fill="FFFFFF"/>
        </w:rPr>
        <w:t>The notion that this policy has caused important legal reforms is not new. For example, Morton Horwitz argued that judges in the U.S. during the first half of the 19</w:t>
      </w:r>
      <w:r w:rsidRPr="00E834EE">
        <w:rPr>
          <w:szCs w:val="16"/>
          <w:shd w:val="clear" w:color="auto" w:fill="FFFFFF"/>
          <w:vertAlign w:val="superscript"/>
        </w:rPr>
        <w:t>th</w:t>
      </w:r>
      <w:r w:rsidRPr="00E834EE">
        <w:rPr>
          <w:szCs w:val="16"/>
          <w:shd w:val="clear" w:color="auto" w:fill="FFFFFF"/>
        </w:rPr>
        <w:t xml:space="preserve"> century transformed law for the benefit of entrepreneurial capitalists. </w:t>
      </w:r>
      <w:r w:rsidRPr="00E834EE">
        <w:rPr>
          <w:i/>
          <w:szCs w:val="16"/>
        </w:rPr>
        <w:t>See</w:t>
      </w:r>
      <w:r w:rsidRPr="00E834EE">
        <w:rPr>
          <w:szCs w:val="16"/>
        </w:rPr>
        <w:t xml:space="preserve"> </w:t>
      </w:r>
      <w:r w:rsidRPr="00E834EE">
        <w:rPr>
          <w:smallCaps/>
          <w:szCs w:val="16"/>
        </w:rPr>
        <w:t>Morton J. Horwitz, The Transformation of American Law, 1780-1860</w:t>
      </w:r>
      <w:r w:rsidRPr="00E834EE">
        <w:rPr>
          <w:szCs w:val="16"/>
        </w:rPr>
        <w:t xml:space="preserve"> (1977). Horwitz does not use the term entrepreneur in any of its variations, nor does he examine fiduciary law, but his thesis is that “one of the crucial choices made during the antebellum period was to promote economic growth primarily through the legal, not the tax, system, a choice which had major consequences for the distribution of wealth and power in American society.” </w:t>
      </w:r>
      <w:r w:rsidRPr="00E834EE">
        <w:rPr>
          <w:i/>
          <w:szCs w:val="16"/>
        </w:rPr>
        <w:t>Id.</w:t>
      </w:r>
      <w:r w:rsidRPr="00E834EE">
        <w:rPr>
          <w:szCs w:val="16"/>
        </w:rPr>
        <w:t xml:space="preserve"> at xv.</w:t>
      </w:r>
    </w:p>
  </w:footnote>
  <w:footnote w:id="25">
    <w:p w14:paraId="46B5E71E" w14:textId="77777777" w:rsidR="002677AA" w:rsidRPr="00135DB1" w:rsidRDefault="002677AA" w:rsidP="00254019">
      <w:pPr>
        <w:pStyle w:val="FootnoteText"/>
        <w:rPr>
          <w:szCs w:val="16"/>
        </w:rPr>
      </w:pPr>
      <w:r w:rsidRPr="00135DB1">
        <w:rPr>
          <w:rStyle w:val="FootnoteReference"/>
          <w:rFonts w:ascii="Times New Roman" w:hAnsi="Times New Roman"/>
          <w:szCs w:val="16"/>
        </w:rPr>
        <w:footnoteRef/>
      </w:r>
      <w:r w:rsidRPr="00135DB1">
        <w:rPr>
          <w:szCs w:val="16"/>
        </w:rPr>
        <w:t xml:space="preserve"> </w:t>
      </w:r>
      <w:r w:rsidRPr="00135DB1">
        <w:rPr>
          <w:i/>
          <w:szCs w:val="16"/>
        </w:rPr>
        <w:t>See</w:t>
      </w:r>
      <w:r w:rsidRPr="00135DB1">
        <w:rPr>
          <w:szCs w:val="16"/>
        </w:rPr>
        <w:t xml:space="preserve"> </w:t>
      </w:r>
      <w:r w:rsidRPr="00135DB1">
        <w:rPr>
          <w:smallCaps/>
          <w:szCs w:val="16"/>
        </w:rPr>
        <w:t>Eric W. Orts, Business Persons: A Legal Theory of the Firm</w:t>
      </w:r>
      <w:r w:rsidRPr="00135DB1">
        <w:rPr>
          <w:szCs w:val="16"/>
        </w:rPr>
        <w:t xml:space="preserve"> 1 (2013) (“Law supplies the social technology by which business enterprises are constructed and maintained.”).</w:t>
      </w:r>
    </w:p>
  </w:footnote>
  <w:footnote w:id="26">
    <w:p w14:paraId="3249AEBD" w14:textId="77777777" w:rsidR="002677AA" w:rsidRPr="002E0D1C" w:rsidRDefault="002677AA" w:rsidP="0042221D">
      <w:pPr>
        <w:pStyle w:val="FootnoteText"/>
        <w:rPr>
          <w:szCs w:val="16"/>
        </w:rPr>
      </w:pPr>
      <w:r w:rsidRPr="00135DB1">
        <w:rPr>
          <w:rStyle w:val="FootnoteReference"/>
          <w:rFonts w:ascii="Times New Roman" w:hAnsi="Times New Roman"/>
          <w:szCs w:val="16"/>
        </w:rPr>
        <w:footnoteRef/>
      </w:r>
      <w:r w:rsidRPr="002E0D1C">
        <w:rPr>
          <w:szCs w:val="16"/>
        </w:rPr>
        <w:t xml:space="preserve"> In an illuminating project, five German law scholars recently tried to answer the question, “What would the ‘small’ corporation form ideally look like?” </w:t>
      </w:r>
      <w:r w:rsidRPr="002E0D1C">
        <w:rPr>
          <w:smallCaps/>
          <w:szCs w:val="16"/>
        </w:rPr>
        <w:t>Gregor Bachmann et al., Regulating the Closed Corporation</w:t>
      </w:r>
      <w:r w:rsidRPr="002E0D1C">
        <w:rPr>
          <w:szCs w:val="16"/>
        </w:rPr>
        <w:t xml:space="preserve"> 1 (2014). </w:t>
      </w:r>
      <w:r>
        <w:rPr>
          <w:szCs w:val="16"/>
        </w:rPr>
        <w:t xml:space="preserve">The authors describe </w:t>
      </w:r>
      <w:r w:rsidRPr="002E0D1C">
        <w:rPr>
          <w:szCs w:val="16"/>
        </w:rPr>
        <w:t>two important sources of conflict</w:t>
      </w:r>
      <w:r>
        <w:rPr>
          <w:szCs w:val="16"/>
        </w:rPr>
        <w:t xml:space="preserve"> in a small corporation</w:t>
      </w:r>
      <w:r w:rsidRPr="002E0D1C">
        <w:rPr>
          <w:szCs w:val="16"/>
        </w:rPr>
        <w:t xml:space="preserve">: the conflict between majority and minority shareholders and the conflict between shareholders and third parties, particularly creditors. </w:t>
      </w:r>
      <w:r w:rsidRPr="002E0D1C">
        <w:rPr>
          <w:i/>
          <w:szCs w:val="16"/>
        </w:rPr>
        <w:t>Id.</w:t>
      </w:r>
      <w:r w:rsidRPr="002E0D1C">
        <w:rPr>
          <w:szCs w:val="16"/>
        </w:rPr>
        <w:t xml:space="preserve"> at 8-13. Potential conflicts between shareholders and directors, so prominent in large firms, were viewed as less important in </w:t>
      </w:r>
      <w:r>
        <w:rPr>
          <w:szCs w:val="16"/>
        </w:rPr>
        <w:t xml:space="preserve">small </w:t>
      </w:r>
      <w:r w:rsidRPr="002E0D1C">
        <w:rPr>
          <w:szCs w:val="16"/>
        </w:rPr>
        <w:t xml:space="preserve">corporations, where shareholders typically manage the firms themselves or, in the case of delegated management, are able to coordinate easily </w:t>
      </w:r>
      <w:r>
        <w:rPr>
          <w:szCs w:val="16"/>
        </w:rPr>
        <w:t>as shareholders</w:t>
      </w:r>
      <w:r w:rsidRPr="002E0D1C">
        <w:rPr>
          <w:szCs w:val="16"/>
        </w:rPr>
        <w:t xml:space="preserve"> because of their small numbers. </w:t>
      </w:r>
      <w:r w:rsidRPr="002E0D1C">
        <w:rPr>
          <w:i/>
          <w:szCs w:val="16"/>
        </w:rPr>
        <w:t xml:space="preserve">Id. </w:t>
      </w:r>
      <w:r w:rsidRPr="002E0D1C">
        <w:rPr>
          <w:szCs w:val="16"/>
        </w:rPr>
        <w:t>at 8-9.</w:t>
      </w:r>
      <w:r>
        <w:rPr>
          <w:szCs w:val="16"/>
        </w:rPr>
        <w:t xml:space="preserve"> Conflicts between equity owners and creditors is beyond the scope of this Article.</w:t>
      </w:r>
    </w:p>
  </w:footnote>
  <w:footnote w:id="27">
    <w:p w14:paraId="2A4E5914" w14:textId="77777777" w:rsidR="002677AA" w:rsidRPr="00135DB1" w:rsidRDefault="002677AA" w:rsidP="00254019">
      <w:pPr>
        <w:pStyle w:val="FootnoteText"/>
        <w:rPr>
          <w:szCs w:val="16"/>
        </w:rPr>
      </w:pPr>
      <w:r w:rsidRPr="00135DB1">
        <w:rPr>
          <w:rStyle w:val="FootnoteReference"/>
          <w:rFonts w:ascii="Times New Roman" w:hAnsi="Times New Roman"/>
          <w:szCs w:val="16"/>
        </w:rPr>
        <w:footnoteRef/>
      </w:r>
      <w:r w:rsidRPr="00135DB1">
        <w:rPr>
          <w:szCs w:val="16"/>
        </w:rPr>
        <w:t xml:space="preserve"> </w:t>
      </w:r>
      <w:r w:rsidRPr="00135DB1">
        <w:rPr>
          <w:i/>
          <w:szCs w:val="16"/>
        </w:rPr>
        <w:t>See, e.g.,</w:t>
      </w:r>
      <w:r w:rsidRPr="00135DB1">
        <w:rPr>
          <w:szCs w:val="16"/>
        </w:rPr>
        <w:t xml:space="preserve"> Susan P. Shapiro, </w:t>
      </w:r>
      <w:r w:rsidRPr="00135DB1">
        <w:rPr>
          <w:i/>
          <w:szCs w:val="16"/>
        </w:rPr>
        <w:t>Agency Theory</w:t>
      </w:r>
      <w:r w:rsidRPr="00135DB1">
        <w:rPr>
          <w:szCs w:val="16"/>
        </w:rPr>
        <w:t xml:space="preserve">, 31 </w:t>
      </w:r>
      <w:r w:rsidRPr="00135DB1">
        <w:rPr>
          <w:smallCaps/>
          <w:szCs w:val="16"/>
        </w:rPr>
        <w:t>Ann. Rev. Soc</w:t>
      </w:r>
      <w:r w:rsidRPr="00135DB1">
        <w:rPr>
          <w:szCs w:val="16"/>
        </w:rPr>
        <w:t>. 263, 265-75 (2005) (surveying the use of agency theory in economics, management, political science, law, and sociology).</w:t>
      </w:r>
    </w:p>
    <w:p w14:paraId="1ABC226B" w14:textId="449B1009" w:rsidR="002677AA" w:rsidRPr="00135DB1" w:rsidRDefault="002677AA" w:rsidP="00254019">
      <w:pPr>
        <w:pStyle w:val="FootnoteText"/>
        <w:rPr>
          <w:szCs w:val="16"/>
        </w:rPr>
      </w:pPr>
      <w:r w:rsidRPr="00135DB1">
        <w:rPr>
          <w:szCs w:val="16"/>
        </w:rPr>
        <w:t xml:space="preserve">Michael C. Jensen &amp; William H. Meckling, </w:t>
      </w:r>
      <w:r w:rsidRPr="00135DB1">
        <w:rPr>
          <w:i/>
          <w:szCs w:val="16"/>
        </w:rPr>
        <w:t>Theory of the Firm: Managerial Behavior, Agency Costs, and Ownership Structure</w:t>
      </w:r>
      <w:r w:rsidRPr="00135DB1">
        <w:rPr>
          <w:szCs w:val="16"/>
        </w:rPr>
        <w:t xml:space="preserve">, 3 </w:t>
      </w:r>
      <w:r w:rsidRPr="00135DB1">
        <w:rPr>
          <w:smallCaps/>
          <w:szCs w:val="16"/>
        </w:rPr>
        <w:t>J. Fin. Econ</w:t>
      </w:r>
      <w:r w:rsidRPr="00135DB1">
        <w:rPr>
          <w:szCs w:val="16"/>
        </w:rPr>
        <w:t>. 305, 308 (1976) (“We define an agency relationship as a contract under which one or more persons (the principal) engage another person (the agent) to perform some service on their behalf which involves delegating some decision making authority to the agent.”).</w:t>
      </w:r>
    </w:p>
  </w:footnote>
  <w:footnote w:id="28">
    <w:p w14:paraId="3E8127A8" w14:textId="39F6F53D" w:rsidR="002677AA" w:rsidRPr="00135DB1" w:rsidRDefault="002677AA" w:rsidP="00254019">
      <w:pPr>
        <w:spacing w:after="120" w:line="240" w:lineRule="auto"/>
        <w:ind w:firstLine="720"/>
        <w:rPr>
          <w:rFonts w:ascii="Times New Roman" w:hAnsi="Times New Roman"/>
          <w:sz w:val="16"/>
          <w:szCs w:val="16"/>
        </w:rPr>
      </w:pPr>
      <w:r w:rsidRPr="00135DB1">
        <w:rPr>
          <w:rStyle w:val="FootnoteReference"/>
          <w:rFonts w:ascii="Times New Roman" w:hAnsi="Times New Roman"/>
          <w:sz w:val="16"/>
          <w:szCs w:val="16"/>
        </w:rPr>
        <w:footnoteRef/>
      </w:r>
      <w:r w:rsidRPr="00135DB1">
        <w:rPr>
          <w:rFonts w:ascii="Times New Roman" w:hAnsi="Times New Roman"/>
          <w:sz w:val="16"/>
          <w:szCs w:val="16"/>
        </w:rPr>
        <w:t xml:space="preserve"> </w:t>
      </w:r>
      <w:r w:rsidRPr="00135DB1">
        <w:rPr>
          <w:rFonts w:ascii="Times New Roman" w:hAnsi="Times New Roman"/>
          <w:smallCaps/>
          <w:sz w:val="16"/>
          <w:szCs w:val="16"/>
        </w:rPr>
        <w:t>Restatement (Third) of the Law of Agency</w:t>
      </w:r>
      <w:r w:rsidRPr="00135DB1">
        <w:rPr>
          <w:rFonts w:ascii="Times New Roman" w:hAnsi="Times New Roman"/>
          <w:sz w:val="16"/>
          <w:szCs w:val="16"/>
        </w:rPr>
        <w:t xml:space="preserve"> § 1.01 (“</w:t>
      </w:r>
      <w:r w:rsidRPr="00135DB1">
        <w:rPr>
          <w:rFonts w:ascii="Times New Roman" w:hAnsi="Times New Roman"/>
          <w:bCs/>
          <w:sz w:val="16"/>
          <w:szCs w:val="16"/>
        </w:rPr>
        <w:t>Agency is the fiduciary relationship that arises when one person (a ‘principal’) manifests assent to another person (an ‘agent’) that the agent shall act on the principal's behalf and subject to the principal's control, and the agent manifests assent or otherwise approvals so to act.”).</w:t>
      </w:r>
    </w:p>
  </w:footnote>
  <w:footnote w:id="29">
    <w:p w14:paraId="01B46AD5" w14:textId="77777777" w:rsidR="002677AA" w:rsidRPr="00135DB1" w:rsidRDefault="002677AA" w:rsidP="00A66D83">
      <w:pPr>
        <w:pStyle w:val="FootnoteText"/>
        <w:rPr>
          <w:szCs w:val="16"/>
        </w:rPr>
      </w:pPr>
      <w:r w:rsidRPr="00135DB1">
        <w:rPr>
          <w:rStyle w:val="FootnoteReference"/>
          <w:rFonts w:ascii="Times New Roman" w:hAnsi="Times New Roman"/>
          <w:szCs w:val="16"/>
        </w:rPr>
        <w:footnoteRef/>
      </w:r>
      <w:r w:rsidRPr="00135DB1">
        <w:rPr>
          <w:szCs w:val="16"/>
        </w:rPr>
        <w:t xml:space="preserve"> These are costs that are distinctive to a firm, as opposed to transactions through markets. In both firms and markets, the entrepreneur must pay for services, expend resources for supervision, and protect against self-interested behavior of the other party. The firm is distinctive from markets because the entrepreneur grants discretion over firm resources to other participants in the firm, who then become fiduciaries of the firm. </w:t>
      </w:r>
      <w:r w:rsidRPr="00135DB1">
        <w:rPr>
          <w:i/>
          <w:szCs w:val="16"/>
        </w:rPr>
        <w:t>See</w:t>
      </w:r>
      <w:r w:rsidRPr="00135DB1">
        <w:rPr>
          <w:szCs w:val="16"/>
        </w:rPr>
        <w:t xml:space="preserve"> D. Gordon Smith, </w:t>
      </w:r>
      <w:r w:rsidRPr="00135DB1">
        <w:rPr>
          <w:i/>
          <w:szCs w:val="16"/>
        </w:rPr>
        <w:t>The Critical Resource Theory of Fiduciary Duty</w:t>
      </w:r>
      <w:r w:rsidRPr="00135DB1">
        <w:rPr>
          <w:szCs w:val="16"/>
        </w:rPr>
        <w:t xml:space="preserve">, 55 </w:t>
      </w:r>
      <w:r w:rsidRPr="00135DB1">
        <w:rPr>
          <w:smallCaps/>
          <w:szCs w:val="16"/>
        </w:rPr>
        <w:t>Vand. L. Rev</w:t>
      </w:r>
      <w:r w:rsidRPr="00135DB1">
        <w:rPr>
          <w:szCs w:val="16"/>
        </w:rPr>
        <w:t>. 1399, 1403 (2002) (observing that “a fiduciary exercises discretion with respect to a critical resource belonging to the beneficiary, whereas most contracting parties exercise discretion only with respect to their own performance under the contract”).</w:t>
      </w:r>
    </w:p>
  </w:footnote>
  <w:footnote w:id="30">
    <w:p w14:paraId="01732FD8" w14:textId="77777777" w:rsidR="002677AA" w:rsidRPr="00135DB1" w:rsidRDefault="002677AA" w:rsidP="00A66D83">
      <w:pPr>
        <w:pStyle w:val="FootnoteText"/>
        <w:rPr>
          <w:szCs w:val="16"/>
        </w:rPr>
      </w:pPr>
      <w:r w:rsidRPr="00135DB1">
        <w:rPr>
          <w:rStyle w:val="FootnoteReference"/>
          <w:rFonts w:ascii="Times New Roman" w:hAnsi="Times New Roman"/>
          <w:szCs w:val="16"/>
        </w:rPr>
        <w:footnoteRef/>
      </w:r>
      <w:r w:rsidRPr="00135DB1">
        <w:rPr>
          <w:szCs w:val="16"/>
        </w:rPr>
        <w:t xml:space="preserve"> D. Gordon Smith &amp; Jordan C. Lee, </w:t>
      </w:r>
      <w:r w:rsidRPr="00135DB1">
        <w:rPr>
          <w:i/>
          <w:szCs w:val="16"/>
        </w:rPr>
        <w:t>Fiduciary Discretion</w:t>
      </w:r>
      <w:r w:rsidRPr="00135DB1">
        <w:rPr>
          <w:szCs w:val="16"/>
        </w:rPr>
        <w:t xml:space="preserve">, 75 </w:t>
      </w:r>
      <w:r w:rsidRPr="00135DB1">
        <w:rPr>
          <w:smallCaps/>
          <w:szCs w:val="16"/>
        </w:rPr>
        <w:t>Ohio St. L. Rev</w:t>
      </w:r>
      <w:r w:rsidRPr="00135DB1">
        <w:rPr>
          <w:szCs w:val="16"/>
        </w:rPr>
        <w:t>. 609, 610 (2014).</w:t>
      </w:r>
    </w:p>
  </w:footnote>
  <w:footnote w:id="31">
    <w:p w14:paraId="3EA1EE64" w14:textId="77777777" w:rsidR="002677AA" w:rsidRPr="00135DB1" w:rsidRDefault="002677AA" w:rsidP="00544B5A">
      <w:pPr>
        <w:pStyle w:val="FootnoteText"/>
        <w:rPr>
          <w:szCs w:val="16"/>
        </w:rPr>
      </w:pPr>
      <w:r w:rsidRPr="00135DB1">
        <w:rPr>
          <w:rStyle w:val="FootnoteReference"/>
          <w:rFonts w:ascii="Times New Roman" w:hAnsi="Times New Roman"/>
          <w:szCs w:val="16"/>
        </w:rPr>
        <w:footnoteRef/>
      </w:r>
      <w:r w:rsidRPr="00135DB1">
        <w:rPr>
          <w:szCs w:val="16"/>
        </w:rPr>
        <w:t xml:space="preserve"> </w:t>
      </w:r>
      <w:r w:rsidRPr="00135DB1">
        <w:rPr>
          <w:i/>
          <w:szCs w:val="16"/>
        </w:rPr>
        <w:t>See</w:t>
      </w:r>
      <w:r w:rsidRPr="00135DB1">
        <w:rPr>
          <w:szCs w:val="16"/>
        </w:rPr>
        <w:t xml:space="preserve"> </w:t>
      </w:r>
      <w:r w:rsidRPr="00135DB1">
        <w:rPr>
          <w:smallCaps/>
          <w:szCs w:val="16"/>
        </w:rPr>
        <w:t>Eric W. Orts, Business Persons: A Legal Theory of the Firm</w:t>
      </w:r>
      <w:r w:rsidRPr="00135DB1">
        <w:rPr>
          <w:szCs w:val="16"/>
        </w:rPr>
        <w:t xml:space="preserve"> 54 (2013) (“Firms of any complexity beyond a single individual cannot exist without the law of agency.”).</w:t>
      </w:r>
    </w:p>
  </w:footnote>
  <w:footnote w:id="32">
    <w:p w14:paraId="431C2B1C" w14:textId="77777777" w:rsidR="002677AA" w:rsidRPr="00135DB1" w:rsidRDefault="002677AA" w:rsidP="00405718">
      <w:pPr>
        <w:pStyle w:val="FootnoteText"/>
        <w:rPr>
          <w:szCs w:val="16"/>
        </w:rPr>
      </w:pPr>
      <w:r w:rsidRPr="00135DB1">
        <w:rPr>
          <w:rStyle w:val="FootnoteReference"/>
          <w:rFonts w:ascii="Times New Roman" w:hAnsi="Times New Roman"/>
          <w:szCs w:val="16"/>
        </w:rPr>
        <w:footnoteRef/>
      </w:r>
      <w:r w:rsidRPr="00135DB1">
        <w:rPr>
          <w:szCs w:val="16"/>
        </w:rPr>
        <w:t xml:space="preserve"> </w:t>
      </w:r>
      <w:r w:rsidRPr="00135DB1">
        <w:rPr>
          <w:smallCaps/>
          <w:szCs w:val="16"/>
        </w:rPr>
        <w:t>Kraakman</w:t>
      </w:r>
      <w:r w:rsidRPr="00135DB1">
        <w:rPr>
          <w:szCs w:val="16"/>
        </w:rPr>
        <w:t xml:space="preserve">, </w:t>
      </w:r>
      <w:r w:rsidRPr="00135DB1">
        <w:rPr>
          <w:i/>
          <w:szCs w:val="16"/>
        </w:rPr>
        <w:t>supra</w:t>
      </w:r>
      <w:r w:rsidRPr="00135DB1">
        <w:rPr>
          <w:szCs w:val="16"/>
        </w:rPr>
        <w:t xml:space="preserve"> note __, at 154 (asserting that prohibiting managerial compensation and trading in the company’s shares “would simply be absurd”).</w:t>
      </w:r>
    </w:p>
  </w:footnote>
  <w:footnote w:id="33">
    <w:p w14:paraId="2AAE9C07" w14:textId="77777777" w:rsidR="002677AA" w:rsidRPr="00135DB1" w:rsidRDefault="002677AA" w:rsidP="00405718">
      <w:pPr>
        <w:pStyle w:val="FootnoteText"/>
        <w:rPr>
          <w:szCs w:val="16"/>
        </w:rPr>
      </w:pPr>
      <w:r w:rsidRPr="00135DB1">
        <w:rPr>
          <w:rStyle w:val="FootnoteReference"/>
          <w:rFonts w:ascii="Times New Roman" w:hAnsi="Times New Roman"/>
          <w:szCs w:val="16"/>
        </w:rPr>
        <w:footnoteRef/>
      </w:r>
      <w:r w:rsidRPr="00135DB1">
        <w:rPr>
          <w:szCs w:val="16"/>
        </w:rPr>
        <w:t xml:space="preserve"> This Article focuses on conflict transactions in business organizations, but conflict transactions may be valuable in other settings. For example, Evelyn Brody observes that traditional prohibitions on conflict transactions between a fiduciary and a nonprofit organization “sweep too broadly, and void too many transactions that would benefit the charity and thus benefit the public.” Evelyn Brody, </w:t>
      </w:r>
      <w:r w:rsidRPr="00135DB1">
        <w:rPr>
          <w:i/>
          <w:szCs w:val="16"/>
        </w:rPr>
        <w:t>Charity Governance: What’s Trust Law Got To Do With It?</w:t>
      </w:r>
      <w:r w:rsidRPr="00135DB1">
        <w:rPr>
          <w:szCs w:val="16"/>
        </w:rPr>
        <w:t>, 80 Chi.-Kent L. Rev. 641, 656 n. 52 (2005).</w:t>
      </w:r>
    </w:p>
  </w:footnote>
  <w:footnote w:id="34">
    <w:p w14:paraId="07A47DA1" w14:textId="77777777" w:rsidR="002677AA" w:rsidRPr="00135DB1" w:rsidRDefault="002677AA" w:rsidP="00405718">
      <w:pPr>
        <w:pStyle w:val="FootnoteText"/>
        <w:rPr>
          <w:szCs w:val="16"/>
        </w:rPr>
      </w:pPr>
      <w:r w:rsidRPr="00135DB1">
        <w:rPr>
          <w:rStyle w:val="FootnoteReference"/>
          <w:rFonts w:ascii="Times New Roman" w:hAnsi="Times New Roman"/>
          <w:szCs w:val="16"/>
        </w:rPr>
        <w:footnoteRef/>
      </w:r>
      <w:r w:rsidRPr="00135DB1">
        <w:rPr>
          <w:szCs w:val="16"/>
        </w:rPr>
        <w:t xml:space="preserve"> </w:t>
      </w:r>
      <w:r w:rsidRPr="00135DB1">
        <w:rPr>
          <w:i/>
          <w:szCs w:val="16"/>
        </w:rPr>
        <w:t>See, e.g.,</w:t>
      </w:r>
      <w:r w:rsidRPr="00135DB1">
        <w:rPr>
          <w:szCs w:val="16"/>
        </w:rPr>
        <w:t xml:space="preserve"> </w:t>
      </w:r>
      <w:r w:rsidRPr="00135DB1">
        <w:rPr>
          <w:smallCaps/>
          <w:szCs w:val="16"/>
        </w:rPr>
        <w:t>Kraakman</w:t>
      </w:r>
      <w:r w:rsidRPr="00135DB1">
        <w:rPr>
          <w:szCs w:val="16"/>
        </w:rPr>
        <w:t xml:space="preserve">, </w:t>
      </w:r>
      <w:r w:rsidRPr="00135DB1">
        <w:rPr>
          <w:i/>
          <w:szCs w:val="16"/>
        </w:rPr>
        <w:t>supra</w:t>
      </w:r>
      <w:r w:rsidRPr="00135DB1">
        <w:rPr>
          <w:szCs w:val="16"/>
        </w:rPr>
        <w:t xml:space="preserve"> note __, at 154 (“Directors, officers, and controlling shareholders are often the only parties with whom small companies </w:t>
      </w:r>
      <w:r w:rsidRPr="00135DB1">
        <w:rPr>
          <w:i/>
          <w:szCs w:val="16"/>
        </w:rPr>
        <w:t>can</w:t>
      </w:r>
      <w:r w:rsidRPr="00135DB1">
        <w:rPr>
          <w:szCs w:val="16"/>
        </w:rPr>
        <w:t xml:space="preserve"> transact, ether because outsiders cannot evaluate their prospects or because these companies would be forced to reveal trade secrets or confidential plans to deal with them. More generally, a self-dealing transaction may be entered into in more favorable terms with an insider who knows the company and the risks involved than with an unrelated but distrustful party.”).</w:t>
      </w:r>
    </w:p>
  </w:footnote>
  <w:footnote w:id="35">
    <w:p w14:paraId="4C744F19" w14:textId="77777777" w:rsidR="002677AA" w:rsidRPr="00135DB1" w:rsidRDefault="002677AA" w:rsidP="00405718">
      <w:pPr>
        <w:pStyle w:val="FootnoteText"/>
        <w:rPr>
          <w:szCs w:val="16"/>
        </w:rPr>
      </w:pPr>
      <w:r w:rsidRPr="00135DB1">
        <w:rPr>
          <w:rStyle w:val="FootnoteReference"/>
          <w:rFonts w:ascii="Times New Roman" w:hAnsi="Times New Roman"/>
          <w:szCs w:val="16"/>
        </w:rPr>
        <w:footnoteRef/>
      </w:r>
      <w:r w:rsidRPr="00135DB1">
        <w:rPr>
          <w:szCs w:val="16"/>
        </w:rPr>
        <w:t xml:space="preserve"> </w:t>
      </w:r>
      <w:r w:rsidRPr="00135DB1">
        <w:rPr>
          <w:i/>
          <w:szCs w:val="16"/>
        </w:rPr>
        <w:t>See, e.g.,</w:t>
      </w:r>
      <w:r w:rsidRPr="00135DB1">
        <w:rPr>
          <w:szCs w:val="16"/>
        </w:rPr>
        <w:t xml:space="preserve"> Elizabeth Pollman, </w:t>
      </w:r>
      <w:r w:rsidRPr="00135DB1">
        <w:rPr>
          <w:i/>
          <w:szCs w:val="16"/>
        </w:rPr>
        <w:t>Information Issues on Wall Street 2.0</w:t>
      </w:r>
      <w:r w:rsidRPr="00135DB1">
        <w:rPr>
          <w:szCs w:val="16"/>
        </w:rPr>
        <w:t xml:space="preserve">, 161 U. Pa. L. Rev. 179, 212-13 (2012) (describing Silicon Valley as a “small world” for some venture capital investors). Conflict transactions in Silicon Valley also extend to the professionals who service startup companies. </w:t>
      </w:r>
      <w:r w:rsidRPr="00135DB1">
        <w:rPr>
          <w:i/>
          <w:szCs w:val="16"/>
        </w:rPr>
        <w:t xml:space="preserve">See, e.g., </w:t>
      </w:r>
      <w:r w:rsidRPr="00135DB1">
        <w:rPr>
          <w:szCs w:val="16"/>
        </w:rPr>
        <w:t xml:space="preserve">John S. Dzienkowski &amp; Robert J. Peroni, </w:t>
      </w:r>
      <w:r w:rsidRPr="00135DB1">
        <w:rPr>
          <w:i/>
          <w:szCs w:val="16"/>
        </w:rPr>
        <w:t>The Decline in Lawyer Independence: Lawyer Equity Investments in Clients</w:t>
      </w:r>
      <w:r w:rsidRPr="00135DB1">
        <w:rPr>
          <w:szCs w:val="16"/>
        </w:rPr>
        <w:t xml:space="preserve">,  81 </w:t>
      </w:r>
      <w:r w:rsidRPr="00135DB1">
        <w:rPr>
          <w:smallCaps/>
          <w:szCs w:val="16"/>
        </w:rPr>
        <w:t>Tex. L. Rev</w:t>
      </w:r>
      <w:r w:rsidRPr="00135DB1">
        <w:rPr>
          <w:szCs w:val="16"/>
        </w:rPr>
        <w:t>. 405, 505 n. 525 (2002) (“From our discussions with lawyers in Silicon Valley law firms, we have anecdotal evidence that in many cases, law firms may not adequately disclose the actual and potential conflicts of interest to their clients when acquiring equity investments in the entity. Of particular concern is the failure to disclose the creeping conflicts of interest inherent in such investments in the venture capital context.”)</w:t>
      </w:r>
    </w:p>
    <w:p w14:paraId="250B421B" w14:textId="77777777" w:rsidR="002677AA" w:rsidRPr="00135DB1" w:rsidRDefault="002677AA" w:rsidP="00405718">
      <w:pPr>
        <w:pStyle w:val="FootnoteText"/>
        <w:rPr>
          <w:szCs w:val="16"/>
        </w:rPr>
      </w:pPr>
      <w:r w:rsidRPr="00135DB1">
        <w:rPr>
          <w:szCs w:val="16"/>
        </w:rPr>
        <w:t xml:space="preserve">Some of the work of mitigating conflicts is accomplished through non-legal mechanisms, such as reputation. </w:t>
      </w:r>
      <w:r w:rsidRPr="00135DB1">
        <w:rPr>
          <w:i/>
          <w:szCs w:val="16"/>
        </w:rPr>
        <w:t>See, e.g.,</w:t>
      </w:r>
      <w:r w:rsidRPr="00135DB1">
        <w:rPr>
          <w:szCs w:val="16"/>
        </w:rPr>
        <w:t xml:space="preserve"> Will Drover et al., </w:t>
      </w:r>
      <w:r w:rsidRPr="00135DB1">
        <w:rPr>
          <w:i/>
          <w:szCs w:val="16"/>
        </w:rPr>
        <w:t>Take the Money or Run? Investors’ Ethical Reputation and Entrepreneurs’ Willingness to Parter</w:t>
      </w:r>
      <w:r w:rsidRPr="00135DB1">
        <w:rPr>
          <w:szCs w:val="16"/>
        </w:rPr>
        <w:t xml:space="preserve">, 29 J. </w:t>
      </w:r>
      <w:r w:rsidRPr="00135DB1">
        <w:rPr>
          <w:smallCaps/>
          <w:szCs w:val="16"/>
        </w:rPr>
        <w:t>Bus. Venturing</w:t>
      </w:r>
      <w:r w:rsidRPr="00135DB1">
        <w:rPr>
          <w:szCs w:val="16"/>
        </w:rPr>
        <w:t xml:space="preserve"> 723 (2014) (</w:t>
      </w:r>
      <w:r w:rsidRPr="00135DB1">
        <w:t>“factors previously shown to drive entrepreneurial evaluations, such as investor value-added services and investment track record…, become largely contingent upon and in some cases subjugated by an investor's ethical reputation”).</w:t>
      </w:r>
    </w:p>
  </w:footnote>
  <w:footnote w:id="36">
    <w:p w14:paraId="384E999F" w14:textId="6A914754" w:rsidR="002677AA" w:rsidRPr="008C05A9" w:rsidRDefault="002677AA">
      <w:pPr>
        <w:pStyle w:val="FootnoteText"/>
      </w:pPr>
      <w:r>
        <w:rPr>
          <w:rStyle w:val="FootnoteReference"/>
        </w:rPr>
        <w:footnoteRef/>
      </w:r>
      <w:r>
        <w:t xml:space="preserve"> </w:t>
      </w:r>
      <w:r>
        <w:rPr>
          <w:i/>
        </w:rPr>
        <w:t xml:space="preserve">See </w:t>
      </w:r>
      <w:r>
        <w:t>Restatement (Third) of Agency, Chapter 8 (2006).</w:t>
      </w:r>
    </w:p>
  </w:footnote>
  <w:footnote w:id="37">
    <w:p w14:paraId="221426F2" w14:textId="296540E5" w:rsidR="002677AA" w:rsidRPr="00192CDF" w:rsidRDefault="002677AA" w:rsidP="008A434F">
      <w:pPr>
        <w:pStyle w:val="FootnoteText"/>
      </w:pPr>
      <w:r w:rsidRPr="00135DB1">
        <w:rPr>
          <w:rStyle w:val="FootnoteReference"/>
        </w:rPr>
        <w:footnoteRef/>
      </w:r>
      <w:r w:rsidRPr="00135DB1">
        <w:t xml:space="preserve"> Almost all uses of these phrases in the scholarly literature come from Commonwealth lawyers. </w:t>
      </w:r>
      <w:r w:rsidRPr="00135DB1">
        <w:rPr>
          <w:i/>
        </w:rPr>
        <w:t>See, e.g.,</w:t>
      </w:r>
      <w:r w:rsidRPr="00135DB1">
        <w:t xml:space="preserve"> Paul Finn, </w:t>
      </w:r>
      <w:r w:rsidRPr="00135DB1">
        <w:rPr>
          <w:i/>
        </w:rPr>
        <w:t>Common Law Divergences</w:t>
      </w:r>
      <w:r w:rsidRPr="00135DB1">
        <w:t xml:space="preserve">, 37 </w:t>
      </w:r>
      <w:r w:rsidRPr="00135DB1">
        <w:rPr>
          <w:smallCaps/>
        </w:rPr>
        <w:t>Melbourne U. L. Rev.</w:t>
      </w:r>
      <w:r w:rsidRPr="00135DB1">
        <w:t xml:space="preserve"> 509, 524 (2013); Richard C. Nolan, </w:t>
      </w:r>
      <w:r w:rsidRPr="00135DB1">
        <w:rPr>
          <w:i/>
        </w:rPr>
        <w:t>The Legal Control of Directors’ Conflicts of Interest in the United Kingdom: Non-executive Directors Following the Higgs Report</w:t>
      </w:r>
      <w:r w:rsidRPr="00135DB1">
        <w:t xml:space="preserve">, 6 </w:t>
      </w:r>
      <w:r w:rsidRPr="00135DB1">
        <w:rPr>
          <w:smallCaps/>
        </w:rPr>
        <w:t>Theoretical Inquiries L.</w:t>
      </w:r>
      <w:r>
        <w:t xml:space="preserve"> 413, 420 n. 25</w:t>
      </w:r>
      <w:r w:rsidRPr="00135DB1">
        <w:t xml:space="preserve"> (2005).</w:t>
      </w:r>
      <w:r>
        <w:t xml:space="preserve"> For an American version of the same idea, see Arthur B. Laby, </w:t>
      </w:r>
      <w:r>
        <w:rPr>
          <w:i/>
        </w:rPr>
        <w:t>Resolving Conflicts of Duty in Fiduciary Relationships</w:t>
      </w:r>
      <w:r>
        <w:t xml:space="preserve">, 54 </w:t>
      </w:r>
      <w:r w:rsidRPr="00192CDF">
        <w:rPr>
          <w:smallCaps/>
        </w:rPr>
        <w:t>Am. U. L. Rev</w:t>
      </w:r>
      <w:r>
        <w:t>. 75 (2004).</w:t>
      </w:r>
    </w:p>
    <w:p w14:paraId="7A5DBA14" w14:textId="77777777" w:rsidR="002677AA" w:rsidRDefault="002677AA" w:rsidP="008A434F">
      <w:pPr>
        <w:pStyle w:val="FootnoteText"/>
        <w:rPr>
          <w:szCs w:val="16"/>
        </w:rPr>
      </w:pPr>
      <w:r w:rsidRPr="00135DB1">
        <w:t>Courts in the U.S. have occasionally referred to a “conflict of duty and interest</w:t>
      </w:r>
      <w:r w:rsidRPr="00135DB1">
        <w:rPr>
          <w:szCs w:val="16"/>
        </w:rPr>
        <w:t xml:space="preserve">.” </w:t>
      </w:r>
      <w:r w:rsidRPr="00135DB1">
        <w:rPr>
          <w:i/>
          <w:szCs w:val="16"/>
        </w:rPr>
        <w:t>See, e.g.,</w:t>
      </w:r>
      <w:r w:rsidRPr="00135DB1">
        <w:rPr>
          <w:szCs w:val="16"/>
        </w:rPr>
        <w:t xml:space="preserve"> Wheeler v. Abilene Nat. Bank Bldg. Co., 159 F. 391, 395 (8</w:t>
      </w:r>
      <w:r w:rsidRPr="00135DB1">
        <w:rPr>
          <w:szCs w:val="16"/>
          <w:vertAlign w:val="superscript"/>
        </w:rPr>
        <w:t>th</w:t>
      </w:r>
      <w:r w:rsidRPr="00135DB1">
        <w:rPr>
          <w:szCs w:val="16"/>
        </w:rPr>
        <w:t xml:space="preserve"> Cir. 1908) (“jealous care of the fiduciary relations, from its persistent endeavor to prevent a</w:t>
      </w:r>
      <w:r w:rsidRPr="00135DB1">
        <w:rPr>
          <w:rStyle w:val="apple-converted-space"/>
          <w:szCs w:val="16"/>
        </w:rPr>
        <w:t> </w:t>
      </w:r>
      <w:r w:rsidRPr="00135DB1">
        <w:rPr>
          <w:rStyle w:val="cosearchterm"/>
          <w:bCs/>
          <w:szCs w:val="16"/>
        </w:rPr>
        <w:t>conflict</w:t>
      </w:r>
      <w:r w:rsidRPr="00135DB1">
        <w:rPr>
          <w:rStyle w:val="apple-converted-space"/>
          <w:szCs w:val="16"/>
        </w:rPr>
        <w:t> </w:t>
      </w:r>
      <w:r w:rsidRPr="00135DB1">
        <w:rPr>
          <w:rStyle w:val="cosearchterm"/>
          <w:bCs/>
          <w:szCs w:val="16"/>
        </w:rPr>
        <w:t>of</w:t>
      </w:r>
      <w:r w:rsidRPr="00135DB1">
        <w:rPr>
          <w:rStyle w:val="apple-converted-space"/>
          <w:szCs w:val="16"/>
        </w:rPr>
        <w:t> </w:t>
      </w:r>
      <w:r w:rsidRPr="00135DB1">
        <w:rPr>
          <w:rStyle w:val="cosearchterm"/>
          <w:bCs/>
          <w:szCs w:val="16"/>
        </w:rPr>
        <w:t>duty</w:t>
      </w:r>
      <w:r w:rsidRPr="00135DB1">
        <w:rPr>
          <w:rStyle w:val="apple-converted-space"/>
          <w:szCs w:val="16"/>
        </w:rPr>
        <w:t> </w:t>
      </w:r>
      <w:r w:rsidRPr="00135DB1">
        <w:rPr>
          <w:rStyle w:val="cosearchterm"/>
          <w:bCs/>
          <w:szCs w:val="16"/>
        </w:rPr>
        <w:t>and</w:t>
      </w:r>
      <w:r w:rsidRPr="00135DB1">
        <w:rPr>
          <w:rStyle w:val="apple-converted-space"/>
          <w:szCs w:val="16"/>
        </w:rPr>
        <w:t> </w:t>
      </w:r>
      <w:r w:rsidRPr="00135DB1">
        <w:rPr>
          <w:rStyle w:val="cosearchterm"/>
          <w:bCs/>
          <w:szCs w:val="16"/>
        </w:rPr>
        <w:t>interest</w:t>
      </w:r>
      <w:r w:rsidRPr="00135DB1">
        <w:rPr>
          <w:rStyle w:val="apple-converted-space"/>
          <w:szCs w:val="16"/>
        </w:rPr>
        <w:t> </w:t>
      </w:r>
      <w:r w:rsidRPr="00135DB1">
        <w:rPr>
          <w:szCs w:val="16"/>
        </w:rPr>
        <w:t xml:space="preserve">by removing from every person in such a relation every possible temptation to advance his own welfare in disregard of his duty to his correlate, by avoiding every transaction in which he has endeavored to do so”). U.S. courts have not used the term “conflict of duty and duty.” </w:t>
      </w:r>
    </w:p>
    <w:p w14:paraId="78F75EA3" w14:textId="78B8852D" w:rsidR="002677AA" w:rsidRPr="00135DB1" w:rsidRDefault="002677AA" w:rsidP="008A434F">
      <w:pPr>
        <w:pStyle w:val="FootnoteText"/>
        <w:rPr>
          <w:szCs w:val="16"/>
        </w:rPr>
      </w:pPr>
      <w:r w:rsidRPr="00135DB1">
        <w:rPr>
          <w:szCs w:val="16"/>
        </w:rPr>
        <w:t xml:space="preserve">Another way of describing conflicts of duty and duty is “horizontal conflicts.” </w:t>
      </w:r>
      <w:r w:rsidRPr="00135DB1">
        <w:rPr>
          <w:i/>
          <w:szCs w:val="16"/>
        </w:rPr>
        <w:t xml:space="preserve">See </w:t>
      </w:r>
      <w:r w:rsidRPr="00135DB1">
        <w:rPr>
          <w:szCs w:val="16"/>
        </w:rPr>
        <w:t xml:space="preserve">Lawrence E. Mitchell, </w:t>
      </w:r>
      <w:r w:rsidRPr="00135DB1">
        <w:rPr>
          <w:i/>
          <w:szCs w:val="16"/>
        </w:rPr>
        <w:t>A Theoretical and Practical Framework for Enforcing Corporate Constituency Statutes</w:t>
      </w:r>
      <w:r w:rsidRPr="00135DB1">
        <w:rPr>
          <w:szCs w:val="16"/>
        </w:rPr>
        <w:t xml:space="preserve">, 70 </w:t>
      </w:r>
      <w:r w:rsidRPr="00135DB1">
        <w:rPr>
          <w:smallCaps/>
          <w:szCs w:val="16"/>
        </w:rPr>
        <w:t>Tex. L. Rev</w:t>
      </w:r>
      <w:r w:rsidRPr="00135DB1">
        <w:rPr>
          <w:szCs w:val="16"/>
        </w:rPr>
        <w:t xml:space="preserve">. 579, 591 (1992). [Examples] The usual response to such conflicts is a “fairness” standard, but this standard does not always adhere. For example, horizontal conflicts exist in the unusual case of tracking stock. </w:t>
      </w:r>
      <w:r w:rsidRPr="00135DB1">
        <w:rPr>
          <w:i/>
          <w:szCs w:val="16"/>
        </w:rPr>
        <w:t>See</w:t>
      </w:r>
      <w:r w:rsidRPr="00135DB1">
        <w:rPr>
          <w:szCs w:val="16"/>
        </w:rPr>
        <w:t xml:space="preserve"> Jeffrey J. Haas, </w:t>
      </w:r>
      <w:r w:rsidRPr="00135DB1">
        <w:rPr>
          <w:i/>
          <w:szCs w:val="16"/>
        </w:rPr>
        <w:t>Directorial Fiduciary Duties in Tracking Stock Equity Structure: The Need for a Duty of Fairness</w:t>
      </w:r>
      <w:r w:rsidRPr="00135DB1">
        <w:rPr>
          <w:szCs w:val="16"/>
        </w:rPr>
        <w:t xml:space="preserve">, 94 Mich. L. Rev. 2089, 2120 n. 95 (1996) (observing “[t]he conflicts arising among competing groups of tracking stock stockholders are quintessential ‘horizontal’ conflicts”). The Delaware courts have been unwilling to impose the “entire fairness standard in cases involving tracking stock. </w:t>
      </w:r>
      <w:r w:rsidRPr="00135DB1">
        <w:rPr>
          <w:i/>
          <w:szCs w:val="16"/>
        </w:rPr>
        <w:t>See, e.g.,</w:t>
      </w:r>
      <w:r w:rsidRPr="00135DB1">
        <w:rPr>
          <w:szCs w:val="16"/>
        </w:rPr>
        <w:t xml:space="preserve"> In re Staples, Inc. S'holders Litig., 792 A.2d 934, 937 (Del. Ch. 2001) (refusing to review the substantive fairness of a reclassification scheme designed to eliminate the company's tracking stock).</w:t>
      </w:r>
    </w:p>
  </w:footnote>
  <w:footnote w:id="38">
    <w:p w14:paraId="0E51F0BC" w14:textId="1C34D162" w:rsidR="002677AA" w:rsidRPr="00135DB1" w:rsidRDefault="002677AA">
      <w:pPr>
        <w:pStyle w:val="FootnoteText"/>
        <w:rPr>
          <w:szCs w:val="16"/>
        </w:rPr>
      </w:pPr>
      <w:r w:rsidRPr="00135DB1">
        <w:rPr>
          <w:rStyle w:val="FootnoteReference"/>
          <w:rFonts w:ascii="Times New Roman" w:hAnsi="Times New Roman"/>
          <w:szCs w:val="16"/>
        </w:rPr>
        <w:footnoteRef/>
      </w:r>
      <w:r w:rsidRPr="00135DB1">
        <w:rPr>
          <w:szCs w:val="16"/>
        </w:rPr>
        <w:t xml:space="preserve"> This form of misconduct is associated with corporations because minority shareholders often do not have exit options and, thus, become vulnerable to opportunistic behavior by majority shareholders. This behavior typically involves a collection of abusive tactics, including excessive retention of profits, termination of the minority shareholder’s employment, exclusion of minority shareholders from new capital issuances, failure to disclose relevant information about the firm, and repurchase of the minority shareholder’ shares at a discounted valuation. </w:t>
      </w:r>
      <w:r w:rsidRPr="00135DB1">
        <w:rPr>
          <w:i/>
          <w:szCs w:val="16"/>
        </w:rPr>
        <w:t>See</w:t>
      </w:r>
      <w:r w:rsidRPr="00135DB1">
        <w:rPr>
          <w:szCs w:val="16"/>
        </w:rPr>
        <w:t xml:space="preserve"> </w:t>
      </w:r>
      <w:r w:rsidRPr="00135DB1">
        <w:rPr>
          <w:smallCaps/>
          <w:szCs w:val="16"/>
        </w:rPr>
        <w:t>Bachmann et al.,</w:t>
      </w:r>
      <w:r w:rsidRPr="00135DB1">
        <w:rPr>
          <w:szCs w:val="16"/>
        </w:rPr>
        <w:t xml:space="preserve"> </w:t>
      </w:r>
      <w:r w:rsidRPr="00135DB1">
        <w:rPr>
          <w:i/>
          <w:szCs w:val="16"/>
        </w:rPr>
        <w:t>supra</w:t>
      </w:r>
      <w:r w:rsidRPr="00135DB1">
        <w:rPr>
          <w:szCs w:val="16"/>
        </w:rPr>
        <w:t xml:space="preserve"> note __, at 39-41.</w:t>
      </w:r>
    </w:p>
  </w:footnote>
  <w:footnote w:id="39">
    <w:p w14:paraId="18E196C3" w14:textId="378C0396" w:rsidR="002677AA" w:rsidRPr="00135DB1" w:rsidRDefault="002677AA">
      <w:pPr>
        <w:pStyle w:val="FootnoteText"/>
        <w:rPr>
          <w:szCs w:val="16"/>
        </w:rPr>
      </w:pPr>
      <w:r w:rsidRPr="00135DB1">
        <w:rPr>
          <w:rStyle w:val="FootnoteReference"/>
          <w:rFonts w:ascii="Times New Roman" w:hAnsi="Times New Roman"/>
          <w:szCs w:val="16"/>
        </w:rPr>
        <w:footnoteRef/>
      </w:r>
      <w:r w:rsidRPr="00135DB1">
        <w:rPr>
          <w:szCs w:val="16"/>
        </w:rPr>
        <w:t xml:space="preserve"> </w:t>
      </w:r>
      <w:r w:rsidRPr="00135DB1">
        <w:rPr>
          <w:i/>
          <w:szCs w:val="16"/>
        </w:rPr>
        <w:t>See</w:t>
      </w:r>
      <w:r w:rsidRPr="00135DB1">
        <w:rPr>
          <w:szCs w:val="16"/>
        </w:rPr>
        <w:t xml:space="preserve"> Simon Johnson et al., </w:t>
      </w:r>
      <w:r w:rsidRPr="00135DB1">
        <w:rPr>
          <w:i/>
          <w:szCs w:val="16"/>
        </w:rPr>
        <w:t>Tunneling</w:t>
      </w:r>
      <w:r w:rsidRPr="00135DB1">
        <w:rPr>
          <w:szCs w:val="16"/>
        </w:rPr>
        <w:t xml:space="preserve">, 90 </w:t>
      </w:r>
      <w:r w:rsidRPr="00135DB1">
        <w:rPr>
          <w:smallCaps/>
          <w:szCs w:val="16"/>
        </w:rPr>
        <w:t>Amer. Econ. Rev.</w:t>
      </w:r>
      <w:r w:rsidRPr="00135DB1">
        <w:rPr>
          <w:szCs w:val="16"/>
        </w:rPr>
        <w:t xml:space="preserve"> 22 (2000) (defining the term to “describe the transfer of assets and profits out of firms for the benefit of those who control them”). </w:t>
      </w:r>
    </w:p>
  </w:footnote>
  <w:footnote w:id="40">
    <w:p w14:paraId="5E21715C" w14:textId="77777777" w:rsidR="002677AA" w:rsidRPr="00135DB1" w:rsidRDefault="002677AA" w:rsidP="002B7FAE">
      <w:pPr>
        <w:pStyle w:val="FootnoteText"/>
        <w:rPr>
          <w:szCs w:val="16"/>
        </w:rPr>
      </w:pPr>
      <w:r w:rsidRPr="00135DB1">
        <w:rPr>
          <w:rStyle w:val="FootnoteReference"/>
          <w:rFonts w:ascii="Times New Roman" w:hAnsi="Times New Roman"/>
          <w:szCs w:val="16"/>
        </w:rPr>
        <w:footnoteRef/>
      </w:r>
      <w:r w:rsidRPr="00135DB1">
        <w:rPr>
          <w:szCs w:val="16"/>
        </w:rPr>
        <w:t xml:space="preserve"> </w:t>
      </w:r>
      <w:r w:rsidRPr="00135DB1">
        <w:rPr>
          <w:i/>
          <w:szCs w:val="16"/>
        </w:rPr>
        <w:t>Cf.</w:t>
      </w:r>
      <w:r w:rsidRPr="00135DB1">
        <w:rPr>
          <w:szCs w:val="16"/>
        </w:rPr>
        <w:t xml:space="preserve"> Vicki Vann, </w:t>
      </w:r>
      <w:r w:rsidRPr="00135DB1">
        <w:rPr>
          <w:i/>
          <w:szCs w:val="16"/>
        </w:rPr>
        <w:t>Causation and Breach of Fiduciary Duty</w:t>
      </w:r>
      <w:r w:rsidRPr="00135DB1">
        <w:rPr>
          <w:szCs w:val="16"/>
        </w:rPr>
        <w:t>, 2006 Sing. J. Legal Stud. 86, 101 n. 67 (2006) (“[t]here is no substantive difference between a conflict of interest and duty, and a conflict of duty and duty. Both are manifestations of the overriding duty of undivided loyalty.”).</w:t>
      </w:r>
    </w:p>
  </w:footnote>
  <w:footnote w:id="41">
    <w:p w14:paraId="3F80874B" w14:textId="57C6D456" w:rsidR="002677AA" w:rsidRPr="00D52F3F" w:rsidRDefault="002677AA" w:rsidP="00D52F3F">
      <w:pPr>
        <w:pStyle w:val="FootnoteText"/>
        <w:rPr>
          <w:color w:val="252525"/>
          <w:szCs w:val="16"/>
        </w:rPr>
      </w:pPr>
      <w:r w:rsidRPr="00D52F3F">
        <w:rPr>
          <w:rStyle w:val="FootnoteReference"/>
          <w:rFonts w:ascii="Times New Roman" w:hAnsi="Times New Roman"/>
          <w:szCs w:val="16"/>
        </w:rPr>
        <w:footnoteRef/>
      </w:r>
      <w:r w:rsidRPr="00D52F3F">
        <w:rPr>
          <w:szCs w:val="16"/>
        </w:rPr>
        <w:t xml:space="preserve"> </w:t>
      </w:r>
      <w:r w:rsidRPr="00D52F3F">
        <w:rPr>
          <w:color w:val="252525"/>
          <w:szCs w:val="16"/>
        </w:rPr>
        <w:t>Matthew Conaglen,</w:t>
      </w:r>
      <w:r w:rsidRPr="00D52F3F">
        <w:rPr>
          <w:rStyle w:val="apple-converted-space"/>
          <w:color w:val="252525"/>
          <w:szCs w:val="16"/>
        </w:rPr>
        <w:t> </w:t>
      </w:r>
      <w:r w:rsidRPr="00D52F3F">
        <w:rPr>
          <w:rStyle w:val="Emphasis"/>
          <w:color w:val="252525"/>
          <w:szCs w:val="16"/>
        </w:rPr>
        <w:t>The Nature and Function of Fiduciary Loyalty</w:t>
      </w:r>
      <w:r w:rsidRPr="00D52F3F">
        <w:rPr>
          <w:color w:val="252525"/>
          <w:szCs w:val="16"/>
        </w:rPr>
        <w:t>, 121</w:t>
      </w:r>
      <w:r w:rsidRPr="00D52F3F">
        <w:rPr>
          <w:rStyle w:val="apple-converted-space"/>
          <w:color w:val="252525"/>
          <w:szCs w:val="16"/>
        </w:rPr>
        <w:t> </w:t>
      </w:r>
      <w:r w:rsidRPr="00D52F3F">
        <w:rPr>
          <w:rStyle w:val="cosmallcaps"/>
          <w:caps/>
          <w:color w:val="252525"/>
          <w:szCs w:val="16"/>
        </w:rPr>
        <w:t>LAW Q. REV.</w:t>
      </w:r>
      <w:r w:rsidRPr="00D52F3F">
        <w:rPr>
          <w:rStyle w:val="apple-converted-space"/>
          <w:color w:val="252525"/>
          <w:szCs w:val="16"/>
        </w:rPr>
        <w:t> </w:t>
      </w:r>
      <w:r w:rsidRPr="00D52F3F">
        <w:rPr>
          <w:color w:val="252525"/>
          <w:szCs w:val="16"/>
        </w:rPr>
        <w:t>452, 459-60 (2005).</w:t>
      </w:r>
    </w:p>
  </w:footnote>
  <w:footnote w:id="42">
    <w:p w14:paraId="0C512FCE" w14:textId="77777777" w:rsidR="002677AA" w:rsidRPr="00135DB1" w:rsidRDefault="002677AA" w:rsidP="00546577">
      <w:pPr>
        <w:pStyle w:val="FootnoteText"/>
      </w:pPr>
      <w:r w:rsidRPr="00135DB1">
        <w:rPr>
          <w:rStyle w:val="FootnoteReference"/>
        </w:rPr>
        <w:footnoteRef/>
      </w:r>
      <w:r w:rsidRPr="00135DB1">
        <w:t xml:space="preserve"> </w:t>
      </w:r>
      <w:r w:rsidRPr="00135DB1">
        <w:rPr>
          <w:szCs w:val="16"/>
        </w:rPr>
        <w:t>Michoud v. Girod, 45 U.S. 503, 555 (1846) (when dealing with a conflict of interest, the law “acts not on the possibility, that, in some cases, the sense of that duty may prevail over the motives of self-interest, but it provides against the probability in many cases, and the danger in all cases, that the dictates of self-interest will exercise a predominant influence, and supersede that of duty”).</w:t>
      </w:r>
    </w:p>
  </w:footnote>
  <w:footnote w:id="43">
    <w:p w14:paraId="21A3B161" w14:textId="77777777" w:rsidR="002677AA" w:rsidRPr="00135DB1" w:rsidRDefault="002677AA" w:rsidP="00546577">
      <w:pPr>
        <w:pStyle w:val="FootnoteText"/>
        <w:rPr>
          <w:szCs w:val="16"/>
        </w:rPr>
      </w:pPr>
      <w:r w:rsidRPr="00135DB1">
        <w:rPr>
          <w:rStyle w:val="FootnoteReference"/>
          <w:rFonts w:ascii="Times New Roman" w:hAnsi="Times New Roman"/>
          <w:szCs w:val="16"/>
        </w:rPr>
        <w:footnoteRef/>
      </w:r>
      <w:r w:rsidRPr="00135DB1">
        <w:rPr>
          <w:szCs w:val="16"/>
        </w:rPr>
        <w:t xml:space="preserve"> Michoud v. Girod, 45 U.S. 503, 555 (1846) (“The general rule stands upon our great moral obligation to refrain from placing ourselves in relations which ordinarily excite a conflict between self-interest and integrity.”).</w:t>
      </w:r>
    </w:p>
  </w:footnote>
  <w:footnote w:id="44">
    <w:p w14:paraId="60CD60CE" w14:textId="1F7D3087" w:rsidR="002677AA" w:rsidRPr="00135DB1" w:rsidRDefault="002677AA">
      <w:pPr>
        <w:pStyle w:val="FootnoteText"/>
        <w:rPr>
          <w:szCs w:val="16"/>
        </w:rPr>
      </w:pPr>
      <w:r w:rsidRPr="00135DB1">
        <w:rPr>
          <w:rStyle w:val="FootnoteReference"/>
          <w:rFonts w:ascii="Times New Roman" w:hAnsi="Times New Roman"/>
          <w:szCs w:val="16"/>
        </w:rPr>
        <w:footnoteRef/>
      </w:r>
      <w:r w:rsidRPr="00135DB1">
        <w:rPr>
          <w:szCs w:val="16"/>
        </w:rPr>
        <w:t xml:space="preserve"> Meinhard v. Salmon, 164 N.E. 545, 548 (N.Y. 1928) (“thought of self was to be renounced, however hard the</w:t>
      </w:r>
      <w:r w:rsidRPr="00135DB1">
        <w:rPr>
          <w:rStyle w:val="apple-converted-space"/>
          <w:szCs w:val="16"/>
        </w:rPr>
        <w:t> </w:t>
      </w:r>
      <w:r w:rsidRPr="00135DB1">
        <w:rPr>
          <w:rStyle w:val="cosearchterm"/>
          <w:bCs/>
          <w:szCs w:val="16"/>
        </w:rPr>
        <w:t>abnegation</w:t>
      </w:r>
      <w:r w:rsidRPr="00135DB1">
        <w:rPr>
          <w:szCs w:val="16"/>
        </w:rPr>
        <w:t>”).</w:t>
      </w:r>
    </w:p>
  </w:footnote>
  <w:footnote w:id="45">
    <w:p w14:paraId="3892878E" w14:textId="58E6A5DB" w:rsidR="002677AA" w:rsidRPr="00135DB1" w:rsidRDefault="002677AA">
      <w:pPr>
        <w:pStyle w:val="FootnoteText"/>
      </w:pPr>
      <w:r w:rsidRPr="00135DB1">
        <w:rPr>
          <w:rStyle w:val="FootnoteReference"/>
        </w:rPr>
        <w:footnoteRef/>
      </w:r>
      <w:r w:rsidRPr="00135DB1">
        <w:t xml:space="preserve"> </w:t>
      </w:r>
    </w:p>
  </w:footnote>
  <w:footnote w:id="46">
    <w:p w14:paraId="75AB02D4" w14:textId="517A8520" w:rsidR="002677AA" w:rsidRPr="00135DB1" w:rsidRDefault="002677AA">
      <w:pPr>
        <w:pStyle w:val="FootnoteText"/>
      </w:pPr>
      <w:r w:rsidRPr="00135DB1">
        <w:rPr>
          <w:rStyle w:val="FootnoteReference"/>
        </w:rPr>
        <w:footnoteRef/>
      </w:r>
      <w:r w:rsidRPr="00135DB1">
        <w:t xml:space="preserve"> </w:t>
      </w:r>
      <w:r w:rsidRPr="00135DB1">
        <w:rPr>
          <w:i/>
        </w:rPr>
        <w:t>See, e.g.,</w:t>
      </w:r>
      <w:r w:rsidRPr="00135DB1">
        <w:t xml:space="preserve">Larry E. Ribstein, </w:t>
      </w:r>
      <w:r w:rsidRPr="00135DB1">
        <w:rPr>
          <w:i/>
        </w:rPr>
        <w:t>Are Partners Fiduciaries?</w:t>
      </w:r>
      <w:r w:rsidRPr="00135DB1">
        <w:t xml:space="preserve">, 2005 U. Ill. L. Rev. </w:t>
      </w:r>
      <w:r w:rsidRPr="00135DB1">
        <w:rPr>
          <w:szCs w:val="16"/>
        </w:rPr>
        <w:t>209, 216 (“Fiduciary duties address these problems of evaluating and controlling the manager's performance by subjecting the manager's actions to ex post judicial review. In the absence of contrary agreement,</w:t>
      </w:r>
      <w:r w:rsidRPr="00135DB1">
        <w:rPr>
          <w:rStyle w:val="apple-converted-space"/>
          <w:szCs w:val="16"/>
        </w:rPr>
        <w:t> </w:t>
      </w:r>
      <w:r w:rsidRPr="00135DB1">
        <w:rPr>
          <w:szCs w:val="16"/>
        </w:rPr>
        <w:t>managers are subject to a duty of unselfishness.”).</w:t>
      </w:r>
    </w:p>
  </w:footnote>
  <w:footnote w:id="47">
    <w:p w14:paraId="230384B7" w14:textId="7E3FE924" w:rsidR="002677AA" w:rsidRPr="00135DB1" w:rsidRDefault="002677AA" w:rsidP="00C340DF">
      <w:pPr>
        <w:pStyle w:val="FootnoteText"/>
        <w:rPr>
          <w:i/>
          <w:szCs w:val="16"/>
        </w:rPr>
      </w:pPr>
      <w:r w:rsidRPr="00135DB1">
        <w:rPr>
          <w:rStyle w:val="FootnoteReference"/>
          <w:rFonts w:ascii="Times New Roman" w:hAnsi="Times New Roman"/>
          <w:szCs w:val="16"/>
        </w:rPr>
        <w:footnoteRef/>
      </w:r>
      <w:r w:rsidRPr="00135DB1">
        <w:rPr>
          <w:szCs w:val="16"/>
        </w:rPr>
        <w:t xml:space="preserve"> Smith &amp; Lee, </w:t>
      </w:r>
      <w:r w:rsidRPr="00135DB1">
        <w:rPr>
          <w:i/>
          <w:szCs w:val="16"/>
        </w:rPr>
        <w:t>supra</w:t>
      </w:r>
      <w:r w:rsidRPr="00135DB1">
        <w:rPr>
          <w:szCs w:val="16"/>
        </w:rPr>
        <w:t xml:space="preserve"> note __, at __ (distinguishing between “appropriate” and “inappropriate” selfishness).</w:t>
      </w:r>
    </w:p>
  </w:footnote>
  <w:footnote w:id="48">
    <w:p w14:paraId="7DFA9CB1" w14:textId="5BA7B3D3" w:rsidR="002677AA" w:rsidRPr="00135DB1" w:rsidRDefault="002677AA">
      <w:pPr>
        <w:pStyle w:val="FootnoteText"/>
      </w:pPr>
      <w:r w:rsidRPr="00135DB1">
        <w:rPr>
          <w:rStyle w:val="FootnoteReference"/>
        </w:rPr>
        <w:footnoteRef/>
      </w:r>
      <w:r w:rsidRPr="00135DB1">
        <w:t xml:space="preserve"> </w:t>
      </w:r>
      <w:r w:rsidRPr="00135DB1">
        <w:rPr>
          <w:i/>
        </w:rPr>
        <w:t>See, e.g.,</w:t>
      </w:r>
      <w:r w:rsidRPr="00135DB1">
        <w:t xml:space="preserve"> </w:t>
      </w:r>
      <w:r w:rsidRPr="00135DB1">
        <w:rPr>
          <w:smallCaps/>
          <w:szCs w:val="16"/>
        </w:rPr>
        <w:t>Bachmann et al.,</w:t>
      </w:r>
      <w:r w:rsidRPr="00135DB1">
        <w:rPr>
          <w:szCs w:val="16"/>
        </w:rPr>
        <w:t xml:space="preserve"> </w:t>
      </w:r>
      <w:r w:rsidRPr="00135DB1">
        <w:rPr>
          <w:i/>
          <w:szCs w:val="16"/>
        </w:rPr>
        <w:t>supra</w:t>
      </w:r>
      <w:r w:rsidRPr="00135DB1">
        <w:rPr>
          <w:szCs w:val="16"/>
        </w:rPr>
        <w:t xml:space="preserve"> note __, at 55-56 (observing that, in Germany, fiduciary law requires majority shareholders to consider the interests of the corporation and the other shareholders “without completely prohibiting the consideration of personal interests”).</w:t>
      </w:r>
    </w:p>
  </w:footnote>
  <w:footnote w:id="49">
    <w:p w14:paraId="3C2CA7C5" w14:textId="77777777" w:rsidR="002677AA" w:rsidRPr="00135DB1" w:rsidRDefault="002677AA" w:rsidP="00E52065">
      <w:pPr>
        <w:pStyle w:val="FootnoteText"/>
        <w:rPr>
          <w:szCs w:val="16"/>
        </w:rPr>
      </w:pPr>
      <w:r w:rsidRPr="00135DB1">
        <w:rPr>
          <w:rStyle w:val="FootnoteReference"/>
          <w:rFonts w:ascii="Times New Roman" w:hAnsi="Times New Roman"/>
          <w:szCs w:val="16"/>
        </w:rPr>
        <w:footnoteRef/>
      </w:r>
      <w:r w:rsidRPr="00135DB1">
        <w:rPr>
          <w:szCs w:val="16"/>
        </w:rPr>
        <w:t xml:space="preserve"> Li-Wen Lin &amp; Curtis Milhaupt, </w:t>
      </w:r>
      <w:r w:rsidRPr="00135DB1">
        <w:rPr>
          <w:i/>
          <w:szCs w:val="16"/>
        </w:rPr>
        <w:t>We are the (National) Champions: Understanding the Mechanisms of State Capitalism in China</w:t>
      </w:r>
      <w:r w:rsidRPr="00135DB1">
        <w:rPr>
          <w:szCs w:val="16"/>
        </w:rPr>
        <w:t>, 65 Stan. L. Rev. 697, 704 (2013).</w:t>
      </w:r>
    </w:p>
  </w:footnote>
  <w:footnote w:id="50">
    <w:p w14:paraId="3A1887D4" w14:textId="7A4711C5" w:rsidR="002677AA" w:rsidRPr="00135DB1" w:rsidRDefault="002677AA">
      <w:pPr>
        <w:pStyle w:val="FootnoteText"/>
      </w:pPr>
      <w:r w:rsidRPr="00135DB1">
        <w:rPr>
          <w:rStyle w:val="FootnoteReference"/>
        </w:rPr>
        <w:footnoteRef/>
      </w:r>
      <w:r w:rsidRPr="00135DB1">
        <w:t xml:space="preserve"> For purposes of comparison, </w:t>
      </w:r>
      <w:r w:rsidRPr="00135DB1">
        <w:rPr>
          <w:szCs w:val="16"/>
        </w:rPr>
        <w:t xml:space="preserve">Bachmann et al. describe three possible responses to conflict transactions: (1) prohibiting the transaction; (2) controlling without precluding the transaction (by, for example, disinterested director or shareholder approval); and (3) allowing the transaction after disclsosure. </w:t>
      </w:r>
      <w:r w:rsidRPr="00135DB1">
        <w:rPr>
          <w:smallCaps/>
          <w:szCs w:val="16"/>
        </w:rPr>
        <w:t>Bachmann et al.,</w:t>
      </w:r>
      <w:r w:rsidRPr="00135DB1">
        <w:rPr>
          <w:szCs w:val="16"/>
        </w:rPr>
        <w:t xml:space="preserve"> </w:t>
      </w:r>
      <w:r w:rsidRPr="00135DB1">
        <w:rPr>
          <w:i/>
          <w:szCs w:val="16"/>
        </w:rPr>
        <w:t>supra</w:t>
      </w:r>
      <w:r w:rsidRPr="00135DB1">
        <w:rPr>
          <w:szCs w:val="16"/>
        </w:rPr>
        <w:t xml:space="preserve"> note __, at 111-12.</w:t>
      </w:r>
    </w:p>
  </w:footnote>
  <w:footnote w:id="51">
    <w:p w14:paraId="34E900FD" w14:textId="65282849" w:rsidR="002677AA" w:rsidRPr="00135DB1" w:rsidRDefault="002677AA">
      <w:pPr>
        <w:pStyle w:val="FootnoteText"/>
      </w:pPr>
      <w:r w:rsidRPr="00135DB1">
        <w:rPr>
          <w:rStyle w:val="FootnoteReference"/>
        </w:rPr>
        <w:footnoteRef/>
      </w:r>
      <w:r w:rsidRPr="00135DB1">
        <w:t xml:space="preserve"> </w:t>
      </w:r>
      <w:r w:rsidRPr="00135DB1">
        <w:rPr>
          <w:i/>
        </w:rPr>
        <w:t>See</w:t>
      </w:r>
      <w:r w:rsidRPr="00135DB1">
        <w:t xml:space="preserve"> </w:t>
      </w:r>
      <w:r w:rsidRPr="00135DB1">
        <w:rPr>
          <w:smallCaps/>
          <w:szCs w:val="16"/>
        </w:rPr>
        <w:t>Bachmann et al.,</w:t>
      </w:r>
      <w:r w:rsidRPr="00135DB1">
        <w:rPr>
          <w:szCs w:val="16"/>
        </w:rPr>
        <w:t xml:space="preserve"> </w:t>
      </w:r>
      <w:r w:rsidRPr="00135DB1">
        <w:rPr>
          <w:i/>
          <w:szCs w:val="16"/>
        </w:rPr>
        <w:t>supra</w:t>
      </w:r>
      <w:r w:rsidRPr="00135DB1">
        <w:rPr>
          <w:szCs w:val="16"/>
        </w:rPr>
        <w:t xml:space="preserve"> note __, at 95 (noting “many jurisdictions reserve a range of decisions to the shareholders’ meeting in a mandatory way”).</w:t>
      </w:r>
    </w:p>
  </w:footnote>
  <w:footnote w:id="52">
    <w:p w14:paraId="60658878" w14:textId="77777777" w:rsidR="00C93A66" w:rsidRPr="00135DB1" w:rsidRDefault="00C93A66" w:rsidP="00C93A66">
      <w:pPr>
        <w:pStyle w:val="FootnoteText"/>
      </w:pPr>
      <w:r w:rsidRPr="00135DB1">
        <w:rPr>
          <w:rStyle w:val="FootnoteReference"/>
        </w:rPr>
        <w:footnoteRef/>
      </w:r>
      <w:r w:rsidRPr="00135DB1">
        <w:t xml:space="preserve"> </w:t>
      </w:r>
      <w:r w:rsidRPr="00135DB1">
        <w:rPr>
          <w:i/>
        </w:rPr>
        <w:t>See</w:t>
      </w:r>
      <w:r w:rsidRPr="00135DB1">
        <w:t xml:space="preserve"> </w:t>
      </w:r>
      <w:r w:rsidRPr="00135DB1">
        <w:rPr>
          <w:smallCaps/>
          <w:szCs w:val="16"/>
        </w:rPr>
        <w:t>Bachmann et al.,</w:t>
      </w:r>
      <w:r w:rsidRPr="00135DB1">
        <w:rPr>
          <w:szCs w:val="16"/>
        </w:rPr>
        <w:t xml:space="preserve"> </w:t>
      </w:r>
      <w:r w:rsidRPr="00135DB1">
        <w:rPr>
          <w:i/>
          <w:szCs w:val="16"/>
        </w:rPr>
        <w:t>supra</w:t>
      </w:r>
      <w:r w:rsidRPr="00135DB1">
        <w:rPr>
          <w:szCs w:val="16"/>
        </w:rPr>
        <w:t xml:space="preserve"> note __, at 112 (“[s]ome corporate laws … contain a general prohibition on competition”).</w:t>
      </w:r>
    </w:p>
  </w:footnote>
  <w:footnote w:id="53">
    <w:p w14:paraId="32315363" w14:textId="77777777" w:rsidR="00C93A66" w:rsidRPr="00135DB1" w:rsidRDefault="00C93A66" w:rsidP="00C93A66">
      <w:pPr>
        <w:pStyle w:val="FootnoteText"/>
      </w:pPr>
      <w:r w:rsidRPr="00135DB1">
        <w:rPr>
          <w:rStyle w:val="FootnoteReference"/>
        </w:rPr>
        <w:footnoteRef/>
      </w:r>
      <w:r w:rsidRPr="00135DB1">
        <w:t xml:space="preserve"> Pierre-Henri Conac et al., </w:t>
      </w:r>
      <w:r w:rsidRPr="00135DB1">
        <w:rPr>
          <w:i/>
        </w:rPr>
        <w:t>Constraining Dominant Shareholders’ Self-dealing: The Legal Framework in France, Germany, and Italy</w:t>
      </w:r>
      <w:r w:rsidRPr="00135DB1">
        <w:t>, 4 ECFR 491, 499 (2007) (describing French law).</w:t>
      </w:r>
    </w:p>
  </w:footnote>
  <w:footnote w:id="54">
    <w:p w14:paraId="6F240AA7" w14:textId="706B30E8" w:rsidR="002677AA" w:rsidRPr="00135DB1" w:rsidRDefault="002677AA" w:rsidP="002F128D">
      <w:pPr>
        <w:pStyle w:val="FootnoteText"/>
      </w:pPr>
      <w:r w:rsidRPr="00135DB1">
        <w:rPr>
          <w:rStyle w:val="FootnoteReference"/>
        </w:rPr>
        <w:footnoteRef/>
      </w:r>
      <w:r w:rsidRPr="00135DB1">
        <w:t xml:space="preserve"> Harold Marsh, Jr., </w:t>
      </w:r>
      <w:r w:rsidRPr="00135DB1">
        <w:rPr>
          <w:i/>
        </w:rPr>
        <w:t>Are Directors Trustees? Conflict of Interest and Corporate Morality</w:t>
      </w:r>
      <w:r w:rsidRPr="00135DB1">
        <w:t xml:space="preserve">, 22 </w:t>
      </w:r>
      <w:r w:rsidRPr="00135DB1">
        <w:rPr>
          <w:smallCaps/>
        </w:rPr>
        <w:t>Bus. Law</w:t>
      </w:r>
      <w:r w:rsidRPr="00135DB1">
        <w:t>. 35, 36 (1966).</w:t>
      </w:r>
    </w:p>
  </w:footnote>
  <w:footnote w:id="55">
    <w:p w14:paraId="69FA90A1" w14:textId="7B8D8D2C" w:rsidR="002677AA" w:rsidRPr="00135DB1" w:rsidRDefault="002677AA">
      <w:pPr>
        <w:pStyle w:val="FootnoteText"/>
      </w:pPr>
      <w:r w:rsidRPr="00135DB1">
        <w:rPr>
          <w:rStyle w:val="FootnoteReference"/>
        </w:rPr>
        <w:footnoteRef/>
      </w:r>
      <w:r w:rsidRPr="00135DB1">
        <w:t xml:space="preserve"> </w:t>
      </w:r>
      <w:r w:rsidRPr="00135DB1">
        <w:rPr>
          <w:i/>
        </w:rPr>
        <w:t>Id.</w:t>
      </w:r>
      <w:r w:rsidRPr="00135DB1">
        <w:t xml:space="preserve"> at 37 (citing Stewart v. Lehigh Valley R. R. Co., 38 N. J. Law 505, at 523 (Ct. Err. &amp; App. 1875)).</w:t>
      </w:r>
    </w:p>
  </w:footnote>
  <w:footnote w:id="56">
    <w:p w14:paraId="556BCEB0" w14:textId="24D0EA95" w:rsidR="002677AA" w:rsidRPr="00135DB1" w:rsidRDefault="002677AA">
      <w:pPr>
        <w:pStyle w:val="FootnoteText"/>
      </w:pPr>
      <w:r w:rsidRPr="00135DB1">
        <w:rPr>
          <w:rStyle w:val="FootnoteReference"/>
        </w:rPr>
        <w:footnoteRef/>
      </w:r>
      <w:r w:rsidRPr="00135DB1">
        <w:t xml:space="preserve"> Julian Ve</w:t>
      </w:r>
      <w:r w:rsidRPr="00135DB1">
        <w:rPr>
          <w:szCs w:val="16"/>
        </w:rPr>
        <w:t xml:space="preserve">lasco, </w:t>
      </w:r>
      <w:r w:rsidRPr="00135DB1">
        <w:rPr>
          <w:i/>
          <w:szCs w:val="16"/>
        </w:rPr>
        <w:t>Structural Bias and the Need for Substantive Review</w:t>
      </w:r>
      <w:r w:rsidRPr="00135DB1">
        <w:rPr>
          <w:szCs w:val="16"/>
        </w:rPr>
        <w:t>, 82 Wah. U. L. Q. 821, 824 (2004) (defining “structural bias” as “the prejudice that members of the board of directors may have in favor of one another and of management.”).</w:t>
      </w:r>
    </w:p>
  </w:footnote>
  <w:footnote w:id="57">
    <w:p w14:paraId="752F3E12" w14:textId="70EAAF3D" w:rsidR="002677AA" w:rsidRPr="00135DB1" w:rsidRDefault="002677AA">
      <w:pPr>
        <w:pStyle w:val="FootnoteText"/>
      </w:pPr>
      <w:r w:rsidRPr="00135DB1">
        <w:rPr>
          <w:rStyle w:val="FootnoteReference"/>
        </w:rPr>
        <w:footnoteRef/>
      </w:r>
      <w:r w:rsidRPr="00135DB1">
        <w:t xml:space="preserve"> Marsh, </w:t>
      </w:r>
      <w:r w:rsidRPr="00135DB1">
        <w:rPr>
          <w:i/>
        </w:rPr>
        <w:t>supra</w:t>
      </w:r>
      <w:r w:rsidRPr="00135DB1">
        <w:t xml:space="preserve"> note __, at 37 (quoting Cumberland Coal and Iron Co. v. Sherman, 30 Barb. 553, at 573 (N. Y. Sup. Ct. 1859)). </w:t>
      </w:r>
    </w:p>
  </w:footnote>
  <w:footnote w:id="58">
    <w:p w14:paraId="78E23CFB" w14:textId="1BCADCD4" w:rsidR="002677AA" w:rsidRPr="00135DB1" w:rsidRDefault="002677AA">
      <w:pPr>
        <w:pStyle w:val="FootnoteText"/>
      </w:pPr>
      <w:r w:rsidRPr="00135DB1">
        <w:rPr>
          <w:rStyle w:val="FootnoteReference"/>
        </w:rPr>
        <w:footnoteRef/>
      </w:r>
      <w:r w:rsidRPr="00135DB1">
        <w:t xml:space="preserve"> Marsh, </w:t>
      </w:r>
      <w:r w:rsidRPr="00135DB1">
        <w:rPr>
          <w:i/>
        </w:rPr>
        <w:t>supra</w:t>
      </w:r>
      <w:r w:rsidRPr="00135DB1">
        <w:t xml:space="preserve"> note __, at 39.</w:t>
      </w:r>
    </w:p>
  </w:footnote>
  <w:footnote w:id="59">
    <w:p w14:paraId="61C77FE7" w14:textId="54CEEDBF" w:rsidR="002677AA" w:rsidRPr="00135DB1" w:rsidRDefault="002677AA">
      <w:pPr>
        <w:pStyle w:val="FootnoteText"/>
      </w:pPr>
      <w:r w:rsidRPr="00135DB1">
        <w:rPr>
          <w:rStyle w:val="FootnoteReference"/>
        </w:rPr>
        <w:footnoteRef/>
      </w:r>
      <w:r w:rsidRPr="00135DB1">
        <w:t xml:space="preserve"> Marsh declares, “the requirement of approval by a disinterested majority of the board of directors was an abject failure.” Marsh, </w:t>
      </w:r>
      <w:r w:rsidRPr="00135DB1">
        <w:rPr>
          <w:i/>
        </w:rPr>
        <w:t>supra</w:t>
      </w:r>
      <w:r w:rsidRPr="00135DB1">
        <w:t xml:space="preserve"> note __, at 54.</w:t>
      </w:r>
    </w:p>
  </w:footnote>
  <w:footnote w:id="60">
    <w:p w14:paraId="18004191" w14:textId="09256DAF" w:rsidR="002677AA" w:rsidRPr="00135DB1" w:rsidRDefault="002677AA">
      <w:pPr>
        <w:pStyle w:val="FootnoteText"/>
      </w:pPr>
      <w:r w:rsidRPr="00135DB1">
        <w:rPr>
          <w:rStyle w:val="FootnoteReference"/>
        </w:rPr>
        <w:footnoteRef/>
      </w:r>
      <w:r w:rsidRPr="00135DB1">
        <w:t xml:space="preserve"> Marsh, </w:t>
      </w:r>
      <w:r w:rsidRPr="00135DB1">
        <w:rPr>
          <w:i/>
        </w:rPr>
        <w:t>supra</w:t>
      </w:r>
      <w:r w:rsidRPr="00135DB1">
        <w:t xml:space="preserve"> note __, at 40. Marsh also observes that conflict transactions would be validated by shareholder ratification. </w:t>
      </w:r>
      <w:r w:rsidRPr="00135DB1">
        <w:rPr>
          <w:i/>
        </w:rPr>
        <w:t>Id.</w:t>
      </w:r>
      <w:r w:rsidRPr="00135DB1">
        <w:t xml:space="preserve"> at 48 (“All of the cases seem to hold that such ratification will suffice to validate the transaction with an interested director, at least in the absence of fraud or unfairness.”).</w:t>
      </w:r>
    </w:p>
  </w:footnote>
  <w:footnote w:id="61">
    <w:p w14:paraId="42C59713" w14:textId="68FEA1DA" w:rsidR="002677AA" w:rsidRPr="00135DB1" w:rsidRDefault="002677AA" w:rsidP="002A045F">
      <w:pPr>
        <w:pStyle w:val="FootnoteText"/>
      </w:pPr>
      <w:r w:rsidRPr="00135DB1">
        <w:rPr>
          <w:rStyle w:val="FootnoteReference"/>
        </w:rPr>
        <w:footnoteRef/>
      </w:r>
      <w:r w:rsidRPr="00135DB1">
        <w:t xml:space="preserve"> Marsh expresses his frustration in passionate prose:</w:t>
      </w:r>
    </w:p>
    <w:p w14:paraId="6802B3B2" w14:textId="31419C47" w:rsidR="002677AA" w:rsidRPr="00135DB1" w:rsidRDefault="002677AA" w:rsidP="002A045F">
      <w:pPr>
        <w:pStyle w:val="FootnoteText"/>
        <w:ind w:left="720" w:right="720" w:firstLine="0"/>
      </w:pPr>
      <w:r w:rsidRPr="00135DB1">
        <w:t>One searches in vain in the decided cases for a reasoned defense of this change in legal philosophy, or for the slightest attempt to refute the powerful arguments which had been made in support of the previous rule. Did the courts discover in the last quarter of the Nineteenth Century that greed was no longer a factor in human conduct? If so, they did not share the basis of this discovery with the public; nor did they humbly admit their error when confronted with the next wave of corporate frauds arising out of the era of the formation of the "trusts" during the 1890's and early 1900's.</w:t>
      </w:r>
    </w:p>
    <w:p w14:paraId="569FC1E7" w14:textId="499DCDBF" w:rsidR="002677AA" w:rsidRPr="00135DB1" w:rsidRDefault="002677AA" w:rsidP="00C23F34">
      <w:pPr>
        <w:pStyle w:val="FootnoteText"/>
        <w:ind w:firstLine="0"/>
      </w:pPr>
      <w:r w:rsidRPr="00135DB1">
        <w:t xml:space="preserve">Marsh, </w:t>
      </w:r>
      <w:r w:rsidRPr="00135DB1">
        <w:rPr>
          <w:i/>
        </w:rPr>
        <w:t>supra</w:t>
      </w:r>
      <w:r w:rsidRPr="00135DB1">
        <w:t xml:space="preserve"> note __, at 40. He later observes that some of the more recent cases involved interlocking directorates, rather than contracts with interested directors, but he does not draw much comfort from distinguishing these cases. </w:t>
      </w:r>
      <w:r w:rsidRPr="00135DB1">
        <w:rPr>
          <w:i/>
        </w:rPr>
        <w:t xml:space="preserve">Id. </w:t>
      </w:r>
      <w:r w:rsidRPr="00135DB1">
        <w:t>at 44.</w:t>
      </w:r>
    </w:p>
  </w:footnote>
  <w:footnote w:id="62">
    <w:p w14:paraId="6FEC2528" w14:textId="533EB5AB" w:rsidR="002677AA" w:rsidRPr="00135DB1" w:rsidRDefault="002677AA">
      <w:pPr>
        <w:pStyle w:val="FootnoteText"/>
      </w:pPr>
      <w:r w:rsidRPr="00135DB1">
        <w:rPr>
          <w:rStyle w:val="FootnoteReference"/>
        </w:rPr>
        <w:footnoteRef/>
      </w:r>
      <w:r w:rsidRPr="00135DB1">
        <w:t xml:space="preserve"> Marsh, </w:t>
      </w:r>
      <w:r w:rsidRPr="00135DB1">
        <w:rPr>
          <w:i/>
        </w:rPr>
        <w:t>supra</w:t>
      </w:r>
      <w:r w:rsidRPr="00135DB1">
        <w:t xml:space="preserve"> note __, at 40.</w:t>
      </w:r>
    </w:p>
  </w:footnote>
  <w:footnote w:id="63">
    <w:p w14:paraId="5C99F096" w14:textId="5EF0D8ED" w:rsidR="002677AA" w:rsidRPr="00135DB1" w:rsidRDefault="002677AA">
      <w:pPr>
        <w:pStyle w:val="FootnoteText"/>
      </w:pPr>
      <w:r w:rsidRPr="00135DB1">
        <w:rPr>
          <w:rStyle w:val="FootnoteReference"/>
        </w:rPr>
        <w:footnoteRef/>
      </w:r>
      <w:r w:rsidRPr="00135DB1">
        <w:t xml:space="preserve"> Marsh, </w:t>
      </w:r>
      <w:r w:rsidRPr="00135DB1">
        <w:rPr>
          <w:i/>
        </w:rPr>
        <w:t>supra</w:t>
      </w:r>
      <w:r w:rsidRPr="00135DB1">
        <w:t xml:space="preserve"> note __, at 57.</w:t>
      </w:r>
    </w:p>
  </w:footnote>
  <w:footnote w:id="64">
    <w:p w14:paraId="371BA092" w14:textId="09AF49E9" w:rsidR="002677AA" w:rsidRPr="00135DB1" w:rsidRDefault="002677AA">
      <w:pPr>
        <w:pStyle w:val="FootnoteText"/>
      </w:pPr>
      <w:r w:rsidRPr="00135DB1">
        <w:rPr>
          <w:rStyle w:val="FootnoteReference"/>
        </w:rPr>
        <w:footnoteRef/>
      </w:r>
      <w:r w:rsidRPr="00135DB1">
        <w:t xml:space="preserve"> </w:t>
      </w:r>
      <w:r w:rsidRPr="00135DB1">
        <w:rPr>
          <w:i/>
        </w:rPr>
        <w:t xml:space="preserve">See </w:t>
      </w:r>
      <w:r w:rsidRPr="00135DB1">
        <w:t xml:space="preserve">David Kershaw, </w:t>
      </w:r>
      <w:r w:rsidRPr="00135DB1">
        <w:rPr>
          <w:i/>
        </w:rPr>
        <w:t>The Path of Corporate Fiduciary Law</w:t>
      </w:r>
      <w:r w:rsidRPr="00135DB1">
        <w:t xml:space="preserve">, 8 N.Y.U. J. L. &amp; </w:t>
      </w:r>
      <w:r w:rsidRPr="00135DB1">
        <w:rPr>
          <w:smallCaps/>
        </w:rPr>
        <w:t>Bus</w:t>
      </w:r>
      <w:r w:rsidRPr="00135DB1">
        <w:t>. 395, 439 (2012) (describing Marsh’s account as “widely accepted in the U.S. corporate law debate”).</w:t>
      </w:r>
    </w:p>
  </w:footnote>
  <w:footnote w:id="65">
    <w:p w14:paraId="2F14E742" w14:textId="46962241" w:rsidR="002677AA" w:rsidRPr="00135DB1" w:rsidRDefault="002677AA">
      <w:pPr>
        <w:pStyle w:val="FootnoteText"/>
      </w:pPr>
      <w:r w:rsidRPr="00135DB1">
        <w:rPr>
          <w:rStyle w:val="FootnoteReference"/>
        </w:rPr>
        <w:footnoteRef/>
      </w:r>
      <w:r w:rsidRPr="00135DB1">
        <w:t xml:space="preserve"> </w:t>
      </w:r>
      <w:r w:rsidRPr="00135DB1">
        <w:rPr>
          <w:i/>
        </w:rPr>
        <w:t>See</w:t>
      </w:r>
      <w:r w:rsidRPr="00135DB1">
        <w:t xml:space="preserve"> Norwood P. Beveridge, Jr., </w:t>
      </w:r>
      <w:r w:rsidRPr="00135DB1">
        <w:rPr>
          <w:i/>
        </w:rPr>
        <w:t>The Corporate Director’s Fiduciary Duty of Loyalty: Understanding the Self-interested Director Transaction</w:t>
      </w:r>
      <w:r w:rsidRPr="00135DB1">
        <w:t xml:space="preserve">, 41 </w:t>
      </w:r>
      <w:r w:rsidRPr="00135DB1">
        <w:rPr>
          <w:smallCaps/>
        </w:rPr>
        <w:t>DePaul L. Rev</w:t>
      </w:r>
      <w:r w:rsidRPr="00135DB1">
        <w:t xml:space="preserve">. 655, 659-60 (1992) (calling Marsh’s conclusion “completely erroneous”) (hereinafter, “Beveridge, </w:t>
      </w:r>
      <w:r w:rsidRPr="00135DB1">
        <w:rPr>
          <w:i/>
        </w:rPr>
        <w:t>Understanding</w:t>
      </w:r>
      <w:r w:rsidRPr="00135DB1">
        <w:t xml:space="preserve">”). In a later article, Beveridge had expressed frustration that his attack on Marsh’s thesis has not been embraced by other corporate law scholars: “Marsh's contention that contracts between a director and the corporation were generally prohibited at common law came under attack in 1992 as completely erroneous. This suggestion has been met with a good deal of interest, but not with a corresponding degree of acceptance.” Norwood P. Beveridge, Jr., </w:t>
      </w:r>
      <w:r w:rsidRPr="00135DB1">
        <w:rPr>
          <w:i/>
        </w:rPr>
        <w:t>Interested Director Contracts at Common Law: Validation Under the Doctrine of Constructive Fraud</w:t>
      </w:r>
      <w:r w:rsidRPr="00135DB1">
        <w:t xml:space="preserve">, 33 Loyola L.A. L. Rev. 97, 98-99 (1999) (hereinafter, “Beveridge, </w:t>
      </w:r>
      <w:r w:rsidRPr="00135DB1">
        <w:rPr>
          <w:i/>
        </w:rPr>
        <w:t>Validation</w:t>
      </w:r>
      <w:r w:rsidRPr="00135DB1">
        <w:t>”).</w:t>
      </w:r>
    </w:p>
  </w:footnote>
  <w:footnote w:id="66">
    <w:p w14:paraId="7AE253D4" w14:textId="1F9930D4" w:rsidR="002677AA" w:rsidRPr="00135DB1" w:rsidRDefault="002677AA">
      <w:pPr>
        <w:pStyle w:val="FootnoteText"/>
      </w:pPr>
      <w:r w:rsidRPr="00135DB1">
        <w:rPr>
          <w:rStyle w:val="FootnoteReference"/>
        </w:rPr>
        <w:footnoteRef/>
      </w:r>
      <w:r w:rsidRPr="00135DB1">
        <w:t xml:space="preserve"> David Kershaw, </w:t>
      </w:r>
      <w:r w:rsidRPr="00135DB1">
        <w:rPr>
          <w:i/>
        </w:rPr>
        <w:t>The Path of Corporate Fiduciary Law</w:t>
      </w:r>
      <w:r w:rsidRPr="00135DB1">
        <w:t xml:space="preserve">, 8 N.Y.U. J. L. &amp; </w:t>
      </w:r>
      <w:r w:rsidRPr="00135DB1">
        <w:rPr>
          <w:smallCaps/>
        </w:rPr>
        <w:t>Bus</w:t>
      </w:r>
      <w:r w:rsidRPr="00135DB1">
        <w:t>. 395, 441-42 (2012).</w:t>
      </w:r>
    </w:p>
  </w:footnote>
  <w:footnote w:id="67">
    <w:p w14:paraId="6ED04DF5" w14:textId="1292A5DE" w:rsidR="002677AA" w:rsidRDefault="002677AA" w:rsidP="00CD4B17">
      <w:pPr>
        <w:pStyle w:val="FootnoteText"/>
      </w:pPr>
      <w:r>
        <w:rPr>
          <w:rStyle w:val="FootnoteReference"/>
        </w:rPr>
        <w:footnoteRef/>
      </w:r>
      <w:r>
        <w:t xml:space="preserve"> </w:t>
      </w:r>
      <w:r w:rsidRPr="00CD4B17">
        <w:rPr>
          <w:i/>
        </w:rPr>
        <w:t>See, e.g.</w:t>
      </w:r>
      <w:r>
        <w:t xml:space="preserve">, Kerbs v. California Eastern Airways, Inc., 90 A.2d 652 (Del. 1952) (holding that a profit-sharing plan was voidable because it was approved by interested directors). The rationale for the voidability rule was a basic distrust of conflicted decision makers. </w:t>
      </w:r>
      <w:r>
        <w:rPr>
          <w:i/>
        </w:rPr>
        <w:t xml:space="preserve">See </w:t>
      </w:r>
      <w:r>
        <w:t xml:space="preserve">Potter v. Sanitary Co. of Am., 194 A. 87, 91 (Del. Ch. 1937) (describing an unapproved conflict transaction as “constructively fraudulent”). For a discussion of these and other Delaware decisions under section 144, </w:t>
      </w:r>
      <w:r w:rsidRPr="00C40BAC">
        <w:rPr>
          <w:i/>
        </w:rPr>
        <w:t>see</w:t>
      </w:r>
      <w:r>
        <w:t xml:space="preserve"> </w:t>
      </w:r>
      <w:r w:rsidRPr="00F0290E">
        <w:rPr>
          <w:smallCaps/>
        </w:rPr>
        <w:t>Edward P. Welch et al., Folk on the Delaware General Corporation Law</w:t>
      </w:r>
      <w:r>
        <w:t xml:space="preserve"> §144.02, p. 4-368 (6</w:t>
      </w:r>
      <w:r w:rsidRPr="00F0290E">
        <w:rPr>
          <w:vertAlign w:val="superscript"/>
        </w:rPr>
        <w:t>th</w:t>
      </w:r>
      <w:r>
        <w:t xml:space="preserve"> ed. 2015).</w:t>
      </w:r>
    </w:p>
  </w:footnote>
  <w:footnote w:id="68">
    <w:p w14:paraId="0A733ADB" w14:textId="592A8652" w:rsidR="002677AA" w:rsidRPr="00163209" w:rsidRDefault="002677AA" w:rsidP="00C94A84">
      <w:pPr>
        <w:pStyle w:val="FootnoteText"/>
      </w:pPr>
      <w:r>
        <w:rPr>
          <w:rStyle w:val="FootnoteReference"/>
        </w:rPr>
        <w:footnoteRef/>
      </w:r>
      <w:r>
        <w:t xml:space="preserve"> </w:t>
      </w:r>
      <w:r w:rsidRPr="00163209">
        <w:rPr>
          <w:i/>
        </w:rPr>
        <w:t>See, e.g.</w:t>
      </w:r>
      <w:r>
        <w:t>, Blish v. Thompson Automatic Arms Corp., 64 A.2d 581, 602 (Del. 1948); Keenan v. Eshleman, 2 A.2d 904, 908 (Del. 1938).</w:t>
      </w:r>
    </w:p>
  </w:footnote>
  <w:footnote w:id="69">
    <w:p w14:paraId="452DF89E" w14:textId="68AC2088" w:rsidR="002677AA" w:rsidRDefault="002677AA">
      <w:pPr>
        <w:pStyle w:val="FootnoteText"/>
      </w:pPr>
      <w:r>
        <w:rPr>
          <w:rStyle w:val="FootnoteReference"/>
        </w:rPr>
        <w:footnoteRef/>
      </w:r>
      <w:r>
        <w:t xml:space="preserve"> 8 Del. C. § 144(a)(1) and (2).</w:t>
      </w:r>
    </w:p>
  </w:footnote>
  <w:footnote w:id="70">
    <w:p w14:paraId="61613176" w14:textId="71CAFA51" w:rsidR="002677AA" w:rsidRDefault="002677AA">
      <w:pPr>
        <w:pStyle w:val="FootnoteText"/>
      </w:pPr>
      <w:r>
        <w:rPr>
          <w:rStyle w:val="FootnoteReference"/>
        </w:rPr>
        <w:footnoteRef/>
      </w:r>
      <w:r>
        <w:t xml:space="preserve"> 8 Del. C. § 144(a)(3).</w:t>
      </w:r>
    </w:p>
  </w:footnote>
  <w:footnote w:id="71">
    <w:p w14:paraId="510992A5" w14:textId="77777777" w:rsidR="002677AA" w:rsidRDefault="002677AA" w:rsidP="00F0290E">
      <w:pPr>
        <w:pStyle w:val="FootnoteText"/>
      </w:pPr>
      <w:r>
        <w:rPr>
          <w:rStyle w:val="FootnoteReference"/>
        </w:rPr>
        <w:footnoteRef/>
      </w:r>
      <w:r>
        <w:t xml:space="preserve"> </w:t>
      </w:r>
      <w:r w:rsidRPr="00F0290E">
        <w:t>Fliegler v. Lawrence</w:t>
      </w:r>
      <w:r>
        <w:t>, 361 A.2d 218, 222 (Del. 1976).</w:t>
      </w:r>
    </w:p>
  </w:footnote>
  <w:footnote w:id="72">
    <w:p w14:paraId="76571B7F" w14:textId="51046B2D" w:rsidR="002677AA" w:rsidRPr="0044453F" w:rsidRDefault="002677AA">
      <w:pPr>
        <w:pStyle w:val="FootnoteText"/>
      </w:pPr>
      <w:r>
        <w:rPr>
          <w:rStyle w:val="FootnoteReference"/>
        </w:rPr>
        <w:footnoteRef/>
      </w:r>
      <w:r>
        <w:t xml:space="preserve"> </w:t>
      </w:r>
      <w:r>
        <w:rPr>
          <w:i/>
        </w:rPr>
        <w:t>See, e.g.,</w:t>
      </w:r>
      <w:r>
        <w:t xml:space="preserve"> Cede &amp; Co. v. Technicolor, Inc., 634 A.2d 345, 366 n. 34 (Del. 1993); Marciano v. Nakash, 535 A.2d 400, 405 n. 3 (Del. 1987).</w:t>
      </w:r>
    </w:p>
  </w:footnote>
  <w:footnote w:id="73">
    <w:p w14:paraId="751ECDF0" w14:textId="0FBE489E" w:rsidR="002677AA" w:rsidRDefault="002677AA">
      <w:pPr>
        <w:pStyle w:val="FootnoteText"/>
      </w:pPr>
      <w:r>
        <w:rPr>
          <w:rStyle w:val="FootnoteReference"/>
        </w:rPr>
        <w:footnoteRef/>
      </w:r>
      <w:r>
        <w:t xml:space="preserve"> </w:t>
      </w:r>
      <w:r>
        <w:rPr>
          <w:i/>
        </w:rPr>
        <w:t>See, e.g.,</w:t>
      </w:r>
      <w:r>
        <w:t xml:space="preserve"> Cinerama, Inc. v. Technicolor, Inc., 663 A.2d 1156, 1169 (Del. 1995); Cooke v. Oolie, [citation] (Del. Ch. June 23, 1997).</w:t>
      </w:r>
    </w:p>
  </w:footnote>
  <w:footnote w:id="74">
    <w:p w14:paraId="4A66281E" w14:textId="13A7E3D3" w:rsidR="002677AA" w:rsidRDefault="002677AA">
      <w:pPr>
        <w:pStyle w:val="FootnoteText"/>
      </w:pPr>
      <w:r>
        <w:rPr>
          <w:rStyle w:val="FootnoteReference"/>
        </w:rPr>
        <w:footnoteRef/>
      </w:r>
      <w:r>
        <w:t xml:space="preserve"> Benihana of Tokyo, Inc. v. Benihana, Inc., 906 A.2d 114, 115 (Del. 2006).</w:t>
      </w:r>
    </w:p>
  </w:footnote>
  <w:footnote w:id="75">
    <w:p w14:paraId="37B21C49" w14:textId="4D29A4BB" w:rsidR="002677AA" w:rsidRPr="00135DB1" w:rsidRDefault="002677AA">
      <w:pPr>
        <w:pStyle w:val="FootnoteText"/>
        <w:rPr>
          <w:szCs w:val="16"/>
        </w:rPr>
      </w:pPr>
      <w:r w:rsidRPr="00135DB1">
        <w:rPr>
          <w:rStyle w:val="FootnoteReference"/>
          <w:rFonts w:ascii="Times New Roman" w:hAnsi="Times New Roman"/>
          <w:szCs w:val="16"/>
        </w:rPr>
        <w:footnoteRef/>
      </w:r>
      <w:r w:rsidRPr="00135DB1">
        <w:rPr>
          <w:szCs w:val="16"/>
        </w:rPr>
        <w:t xml:space="preserve"> We focus on fiduciary law, but all common law jurisdictions also regulate conflicts to some extent with statutes. In Australia, the Corporations Act 2001 has provisions that operate “in addition to, and not in derogation of … any general rule about conflicts of interest.” See Corporations Act 2001 (Cth) § 193.</w:t>
      </w:r>
    </w:p>
  </w:footnote>
  <w:footnote w:id="76">
    <w:p w14:paraId="77E71163" w14:textId="77777777" w:rsidR="005B7130" w:rsidRPr="00135DB1" w:rsidRDefault="005B7130" w:rsidP="005B7130">
      <w:pPr>
        <w:pStyle w:val="FootnoteText"/>
        <w:rPr>
          <w:szCs w:val="16"/>
        </w:rPr>
      </w:pPr>
      <w:r w:rsidRPr="00135DB1">
        <w:rPr>
          <w:rStyle w:val="FootnoteReference"/>
          <w:rFonts w:ascii="Times New Roman" w:hAnsi="Times New Roman"/>
          <w:szCs w:val="16"/>
        </w:rPr>
        <w:footnoteRef/>
      </w:r>
      <w:r w:rsidRPr="00135DB1">
        <w:rPr>
          <w:szCs w:val="16"/>
        </w:rPr>
        <w:t xml:space="preserve"> </w:t>
      </w:r>
      <w:r w:rsidRPr="00135DB1">
        <w:rPr>
          <w:i/>
          <w:szCs w:val="16"/>
        </w:rPr>
        <w:t xml:space="preserve">See, e.g., </w:t>
      </w:r>
      <w:r w:rsidRPr="00135DB1">
        <w:rPr>
          <w:szCs w:val="16"/>
        </w:rPr>
        <w:t xml:space="preserve">Langford &amp; Ramsay, </w:t>
      </w:r>
      <w:r w:rsidRPr="00135DB1">
        <w:rPr>
          <w:i/>
          <w:szCs w:val="16"/>
        </w:rPr>
        <w:t xml:space="preserve">supra </w:t>
      </w:r>
      <w:r w:rsidRPr="00135DB1">
        <w:rPr>
          <w:szCs w:val="16"/>
        </w:rPr>
        <w:t xml:space="preserve"> note __, at 108 (observing that conflicted directors face a “dilemma” because “courts have not always clearly articulated the relevant factors or requirements” for avoiding a breach of duty). Lanford and Ramsay cite this remarkable passage from Owen J in Fitzsimmons v R:</w:t>
      </w:r>
    </w:p>
    <w:p w14:paraId="76930350" w14:textId="77777777" w:rsidR="005B7130" w:rsidRPr="00135DB1" w:rsidRDefault="005B7130" w:rsidP="005B7130">
      <w:pPr>
        <w:pStyle w:val="FootnoteText"/>
        <w:ind w:left="720" w:right="720" w:firstLine="0"/>
        <w:rPr>
          <w:szCs w:val="16"/>
        </w:rPr>
      </w:pPr>
      <w:r w:rsidRPr="00135DB1">
        <w:rPr>
          <w:szCs w:val="16"/>
        </w:rPr>
        <w:t>Each case will depend on its own facts. A director who is confronted with a possible conflict must assess his or her position. The minimum requirement will be disclosure of the interest. This is simply part of, or an extension of, the statutory obligation that a director who is in any way ‘interested’ in a contract or proposed contract with the company must declare the nature of the interest at a meeting of the directors…. What action, above and beyond mere disclosure, the director must take will vary from case to case depending on the subject matter, the state of knowledge of the adverse information, the degree to which the director has been involved in the transaction, whether the director has been promoting the cause, the gravity of the possible outcome, the exigencies and commercial reality of the situation and so on. It may be enough for the director simply to refrain from voting or even to absent himself or herself from the meeting during discussion of the impugned business. The circumstances may require the director to take some positive action to identify clearly the perceived conflict and to suggest a course of action to limit the possible damage…. But this does not mean that the director is obliged to resign his office. That may, in particular circumstances, be the only course open but it would not necessarily follow.</w:t>
      </w:r>
    </w:p>
    <w:p w14:paraId="00F31A1D" w14:textId="77777777" w:rsidR="005B7130" w:rsidRPr="00135DB1" w:rsidRDefault="005B7130" w:rsidP="005B7130">
      <w:pPr>
        <w:pStyle w:val="FootnoteText"/>
        <w:ind w:firstLine="0"/>
        <w:rPr>
          <w:szCs w:val="16"/>
        </w:rPr>
      </w:pPr>
      <w:r w:rsidRPr="00135DB1">
        <w:rPr>
          <w:szCs w:val="16"/>
        </w:rPr>
        <w:t>23 ACSR 355, 358 (1997).</w:t>
      </w:r>
    </w:p>
  </w:footnote>
  <w:footnote w:id="77">
    <w:p w14:paraId="093D7C5E" w14:textId="77777777" w:rsidR="005B7130" w:rsidRPr="00135DB1" w:rsidRDefault="005B7130" w:rsidP="005B7130">
      <w:pPr>
        <w:pStyle w:val="FootnoteText"/>
      </w:pPr>
      <w:r w:rsidRPr="00135DB1">
        <w:rPr>
          <w:rStyle w:val="FootnoteReference"/>
        </w:rPr>
        <w:footnoteRef/>
      </w:r>
      <w:r w:rsidRPr="00135DB1">
        <w:t xml:space="preserve"> </w:t>
      </w:r>
      <w:r w:rsidRPr="00135DB1">
        <w:rPr>
          <w:rStyle w:val="il"/>
          <w:szCs w:val="16"/>
          <w:shd w:val="clear" w:color="auto" w:fill="FFFFFF"/>
        </w:rPr>
        <w:t>Zohar</w:t>
      </w:r>
      <w:r w:rsidRPr="00135DB1">
        <w:rPr>
          <w:rStyle w:val="apple-converted-space"/>
          <w:szCs w:val="16"/>
          <w:shd w:val="clear" w:color="auto" w:fill="FFFFFF"/>
        </w:rPr>
        <w:t> </w:t>
      </w:r>
      <w:r w:rsidRPr="00135DB1">
        <w:rPr>
          <w:szCs w:val="16"/>
          <w:shd w:val="clear" w:color="auto" w:fill="FFFFFF"/>
        </w:rPr>
        <w:t>Goshen,</w:t>
      </w:r>
      <w:r w:rsidRPr="00135DB1">
        <w:rPr>
          <w:rStyle w:val="apple-converted-space"/>
          <w:szCs w:val="16"/>
          <w:shd w:val="clear" w:color="auto" w:fill="FFFFFF"/>
        </w:rPr>
        <w:t> </w:t>
      </w:r>
      <w:r w:rsidRPr="00135DB1">
        <w:rPr>
          <w:i/>
          <w:szCs w:val="16"/>
          <w:shd w:val="clear" w:color="auto" w:fill="FFFFFF"/>
        </w:rPr>
        <w:t>Conflicts of Interest in Publicly-Traded and Closely-Held Corporations: A Comparative and Economic Analysis</w:t>
      </w:r>
      <w:r w:rsidRPr="00135DB1">
        <w:rPr>
          <w:szCs w:val="16"/>
          <w:shd w:val="clear" w:color="auto" w:fill="FFFFFF"/>
        </w:rPr>
        <w:t xml:space="preserve">, 6 </w:t>
      </w:r>
      <w:r w:rsidRPr="00135DB1">
        <w:rPr>
          <w:smallCaps/>
          <w:szCs w:val="16"/>
          <w:shd w:val="clear" w:color="auto" w:fill="FFFFFF"/>
        </w:rPr>
        <w:t>Theoretical Inquiries L</w:t>
      </w:r>
      <w:r w:rsidRPr="00135DB1">
        <w:rPr>
          <w:szCs w:val="16"/>
          <w:shd w:val="clear" w:color="auto" w:fill="FFFFFF"/>
        </w:rPr>
        <w:t>. 277, 297-99 (2005) (“Negotiations within a small group of people, in a setup where each person is free to accept or reject the terms of the transaction, entail very low costs. On the other hand, once the corporation is operating and running, the existing shareholders face very high negotiation costs when trying to resolve a problem of conflict of interest. At this stage, the shareholders are locked-in. The small number of people in the group creates a very high risk of hold-out if a property rule is adopted. Imagine a requirement of approval by a majority of the minority for conflicted transactions in a corporation with three shareholders. In every transaction with one of the shareholders, each of the other two will have veto power over the execution of the transaction. Moreover, no market is there to ameliorate this problem.”)</w:t>
      </w:r>
    </w:p>
  </w:footnote>
  <w:footnote w:id="78">
    <w:p w14:paraId="16D8CD9C" w14:textId="77777777" w:rsidR="005B7130" w:rsidRPr="00135DB1" w:rsidRDefault="005B7130" w:rsidP="005B7130">
      <w:pPr>
        <w:pStyle w:val="FootnoteText"/>
      </w:pPr>
      <w:r w:rsidRPr="00135DB1">
        <w:rPr>
          <w:rStyle w:val="FootnoteReference"/>
        </w:rPr>
        <w:footnoteRef/>
      </w:r>
      <w:r w:rsidRPr="00135DB1">
        <w:t xml:space="preserve"> Art. L. 223-19 C.com. The conflicted shareholder must abstain from voting in this procedure.</w:t>
      </w:r>
    </w:p>
  </w:footnote>
  <w:footnote w:id="79">
    <w:p w14:paraId="6D948CF7" w14:textId="32A37489" w:rsidR="002677AA" w:rsidRPr="00135DB1" w:rsidRDefault="002677AA">
      <w:pPr>
        <w:pStyle w:val="FootnoteText"/>
      </w:pPr>
      <w:r w:rsidRPr="00135DB1">
        <w:rPr>
          <w:rStyle w:val="FootnoteReference"/>
        </w:rPr>
        <w:footnoteRef/>
      </w:r>
      <w:r w:rsidRPr="00135DB1">
        <w:t xml:space="preserve"> Marsh, </w:t>
      </w:r>
      <w:r w:rsidRPr="00135DB1">
        <w:rPr>
          <w:i/>
        </w:rPr>
        <w:t>supra</w:t>
      </w:r>
      <w:r w:rsidRPr="00135DB1">
        <w:t xml:space="preserve"> note __, at 51-53.</w:t>
      </w:r>
    </w:p>
  </w:footnote>
  <w:footnote w:id="80">
    <w:p w14:paraId="30B11AE7" w14:textId="77777777" w:rsidR="002677AA" w:rsidRPr="00135DB1" w:rsidRDefault="002677AA" w:rsidP="006165C9">
      <w:pPr>
        <w:pStyle w:val="FootnoteText"/>
        <w:rPr>
          <w:szCs w:val="16"/>
        </w:rPr>
      </w:pPr>
      <w:r w:rsidRPr="00135DB1">
        <w:rPr>
          <w:rStyle w:val="FootnoteReference"/>
          <w:rFonts w:ascii="Times New Roman" w:hAnsi="Times New Roman"/>
          <w:szCs w:val="16"/>
        </w:rPr>
        <w:footnoteRef/>
      </w:r>
      <w:r w:rsidRPr="00135DB1">
        <w:rPr>
          <w:szCs w:val="16"/>
        </w:rPr>
        <w:t xml:space="preserve"> Niels B. Schaumann, </w:t>
      </w:r>
      <w:r w:rsidRPr="00135DB1">
        <w:rPr>
          <w:i/>
          <w:szCs w:val="16"/>
        </w:rPr>
        <w:t>The Lender as Unconventional Fiduciary</w:t>
      </w:r>
      <w:r w:rsidRPr="00135DB1">
        <w:rPr>
          <w:szCs w:val="16"/>
        </w:rPr>
        <w:t>, 23 Seton Hall L. Rev. 21, 31 (1992) (asserting “[f]iduciary law serves two primary purposes: it deters the abuse of fiduciary power and provides a means for reviewing the terms of contracts between the fiduciary and the beneficiary for substantive fairness”).</w:t>
      </w:r>
    </w:p>
  </w:footnote>
  <w:footnote w:id="81">
    <w:p w14:paraId="324CD9C5" w14:textId="67E2C7F2" w:rsidR="002677AA" w:rsidRPr="00135DB1" w:rsidRDefault="002677AA" w:rsidP="00EB7C5C">
      <w:pPr>
        <w:pStyle w:val="FootnoteText"/>
        <w:rPr>
          <w:szCs w:val="16"/>
        </w:rPr>
      </w:pPr>
      <w:r w:rsidRPr="00135DB1">
        <w:rPr>
          <w:rStyle w:val="FootnoteReference"/>
          <w:rFonts w:ascii="Times New Roman" w:hAnsi="Times New Roman"/>
          <w:szCs w:val="16"/>
        </w:rPr>
        <w:footnoteRef/>
      </w:r>
      <w:r w:rsidRPr="00135DB1">
        <w:rPr>
          <w:szCs w:val="16"/>
        </w:rPr>
        <w:t xml:space="preserve"> </w:t>
      </w:r>
      <w:r w:rsidRPr="00135DB1">
        <w:rPr>
          <w:i/>
          <w:szCs w:val="16"/>
        </w:rPr>
        <w:t>See, e.g.,</w:t>
      </w:r>
      <w:r w:rsidRPr="00135DB1">
        <w:rPr>
          <w:szCs w:val="16"/>
        </w:rPr>
        <w:t xml:space="preserve"> Jill E. Fisch et al., </w:t>
      </w:r>
      <w:r w:rsidRPr="00135DB1">
        <w:rPr>
          <w:i/>
          <w:szCs w:val="16"/>
        </w:rPr>
        <w:t>Confronting the Peppercorn Settlement in Merger Litigation: An Empirical Analysis and a Proposal for Reform</w:t>
      </w:r>
      <w:r w:rsidRPr="00135DB1">
        <w:rPr>
          <w:szCs w:val="16"/>
        </w:rPr>
        <w:t>, 93 Tex. L. Rev. 557, (2015) (arguing that “the core concern of state fiduciary duty litigation with regard to mergers is the substantive fairness of the transaction”).</w:t>
      </w:r>
    </w:p>
  </w:footnote>
  <w:footnote w:id="82">
    <w:p w14:paraId="6CD22F22" w14:textId="77777777" w:rsidR="002677AA" w:rsidRPr="00135DB1" w:rsidRDefault="002677AA" w:rsidP="005926E1">
      <w:pPr>
        <w:pStyle w:val="FootnoteText"/>
        <w:rPr>
          <w:szCs w:val="16"/>
        </w:rPr>
      </w:pPr>
      <w:r w:rsidRPr="00135DB1">
        <w:rPr>
          <w:rStyle w:val="FootnoteReference"/>
          <w:rFonts w:ascii="Times New Roman" w:hAnsi="Times New Roman"/>
          <w:szCs w:val="16"/>
        </w:rPr>
        <w:footnoteRef/>
      </w:r>
      <w:r w:rsidRPr="00135DB1">
        <w:rPr>
          <w:szCs w:val="16"/>
        </w:rPr>
        <w:t xml:space="preserve"> </w:t>
      </w:r>
      <w:r w:rsidRPr="00135DB1">
        <w:rPr>
          <w:i/>
          <w:szCs w:val="16"/>
        </w:rPr>
        <w:t>See, e.g.,</w:t>
      </w:r>
      <w:r w:rsidRPr="00135DB1">
        <w:rPr>
          <w:szCs w:val="16"/>
        </w:rPr>
        <w:t xml:space="preserve"> Victor Brudney, </w:t>
      </w:r>
      <w:r w:rsidRPr="00135DB1">
        <w:rPr>
          <w:i/>
          <w:szCs w:val="16"/>
        </w:rPr>
        <w:t>Fiduciary Ideology in Transactions Affecting Corporate Control</w:t>
      </w:r>
      <w:r w:rsidRPr="00135DB1">
        <w:rPr>
          <w:szCs w:val="16"/>
        </w:rPr>
        <w:t xml:space="preserve">, 65 </w:t>
      </w:r>
      <w:r w:rsidRPr="00135DB1">
        <w:rPr>
          <w:smallCaps/>
          <w:szCs w:val="16"/>
        </w:rPr>
        <w:t>Mich. L. Rev</w:t>
      </w:r>
      <w:r w:rsidRPr="00135DB1">
        <w:rPr>
          <w:szCs w:val="16"/>
        </w:rPr>
        <w:t>. 259, 299-300 (1966) (arguing that relaxation of standards governing fiduciaries will hurt shareholders).</w:t>
      </w:r>
    </w:p>
  </w:footnote>
  <w:footnote w:id="83">
    <w:p w14:paraId="494B2DE3" w14:textId="77777777" w:rsidR="002677AA" w:rsidRPr="00135DB1" w:rsidRDefault="002677AA" w:rsidP="00EB7C5C">
      <w:pPr>
        <w:pStyle w:val="FootnoteText"/>
        <w:rPr>
          <w:szCs w:val="16"/>
        </w:rPr>
      </w:pPr>
      <w:r w:rsidRPr="00135DB1">
        <w:rPr>
          <w:rStyle w:val="FootnoteReference"/>
          <w:rFonts w:ascii="Times New Roman" w:hAnsi="Times New Roman"/>
          <w:szCs w:val="16"/>
        </w:rPr>
        <w:footnoteRef/>
      </w:r>
      <w:r w:rsidRPr="00135DB1">
        <w:rPr>
          <w:szCs w:val="16"/>
        </w:rPr>
        <w:t xml:space="preserve"> </w:t>
      </w:r>
      <w:r w:rsidRPr="00135DB1">
        <w:rPr>
          <w:i/>
          <w:szCs w:val="16"/>
        </w:rPr>
        <w:t xml:space="preserve">See </w:t>
      </w:r>
      <w:r w:rsidRPr="00135DB1">
        <w:rPr>
          <w:szCs w:val="16"/>
        </w:rPr>
        <w:t xml:space="preserve">Weinberger v. UOP, Inc., 457 A.2d 701, 711 (Del. 1983) (reasoning that the “concept of fairness has two basic aspects: fair dealing and fair price,” the latter of which “relates to the economic and financial considerations of the proposed merger, including all relevant factors: assets, market value, earnings, future prospects, and any other elements that affect the intrinsic or inherent value of a company's stock”). Courts have recognized substantive fairness in this context as a feature of state fiduciary law. </w:t>
      </w:r>
      <w:r w:rsidRPr="00135DB1">
        <w:rPr>
          <w:i/>
          <w:szCs w:val="16"/>
        </w:rPr>
        <w:t>See</w:t>
      </w:r>
      <w:r w:rsidRPr="00135DB1">
        <w:rPr>
          <w:szCs w:val="16"/>
        </w:rPr>
        <w:t xml:space="preserve"> Santa Fe Industries, Inc. v. Green, 430 U.S. 462, 478 (1977) (holding “once full and fair disclosure has occurred, the fairness of the terms of the transaction is at most a tangential concern of the” federal securities laws).</w:t>
      </w:r>
    </w:p>
  </w:footnote>
  <w:footnote w:id="84">
    <w:p w14:paraId="250F8321" w14:textId="68104B24" w:rsidR="002677AA" w:rsidRPr="00135DB1" w:rsidRDefault="002677AA">
      <w:pPr>
        <w:pStyle w:val="FootnoteText"/>
      </w:pPr>
      <w:r w:rsidRPr="00135DB1">
        <w:rPr>
          <w:rStyle w:val="FootnoteReference"/>
        </w:rPr>
        <w:footnoteRef/>
      </w:r>
      <w:r w:rsidRPr="00135DB1">
        <w:t xml:space="preserve"> </w:t>
      </w:r>
      <w:r w:rsidRPr="00135DB1">
        <w:rPr>
          <w:szCs w:val="16"/>
        </w:rPr>
        <w:t xml:space="preserve">Lawrence E. Mitchell, </w:t>
      </w:r>
      <w:r w:rsidRPr="00135DB1">
        <w:rPr>
          <w:i/>
          <w:szCs w:val="16"/>
        </w:rPr>
        <w:t>The Death of Fiduciary Duty in Close Corporations</w:t>
      </w:r>
      <w:r w:rsidRPr="00135DB1">
        <w:rPr>
          <w:szCs w:val="16"/>
        </w:rPr>
        <w:t xml:space="preserve">, 138 </w:t>
      </w:r>
      <w:r w:rsidRPr="00135DB1">
        <w:rPr>
          <w:smallCaps/>
          <w:szCs w:val="16"/>
        </w:rPr>
        <w:t>U. Pa. L. Rev</w:t>
      </w:r>
      <w:r w:rsidRPr="00135DB1">
        <w:rPr>
          <w:szCs w:val="16"/>
        </w:rPr>
        <w:t>. 1675, 1675-76 (1990) (“It is my thesis that courts, aided in part by legislatures,</w:t>
      </w:r>
      <w:r w:rsidRPr="00135DB1">
        <w:rPr>
          <w:szCs w:val="16"/>
          <w:vertAlign w:val="superscript"/>
        </w:rPr>
        <w:t xml:space="preserve"> </w:t>
      </w:r>
      <w:r w:rsidRPr="00135DB1">
        <w:rPr>
          <w:szCs w:val="16"/>
        </w:rPr>
        <w:t>increasingly have moved away from applying broad</w:t>
      </w:r>
      <w:r w:rsidRPr="00135DB1">
        <w:rPr>
          <w:rStyle w:val="apple-converted-space"/>
          <w:szCs w:val="16"/>
        </w:rPr>
        <w:t xml:space="preserve"> </w:t>
      </w:r>
      <w:r w:rsidRPr="00135DB1">
        <w:rPr>
          <w:rStyle w:val="cosearchterm"/>
          <w:bCs/>
          <w:szCs w:val="16"/>
        </w:rPr>
        <w:t>prophylactic</w:t>
      </w:r>
      <w:r w:rsidRPr="00135DB1">
        <w:rPr>
          <w:rStyle w:val="apple-converted-space"/>
          <w:szCs w:val="16"/>
        </w:rPr>
        <w:t> </w:t>
      </w:r>
      <w:r w:rsidRPr="00135DB1">
        <w:rPr>
          <w:rStyle w:val="cosearchterm"/>
          <w:bCs/>
          <w:szCs w:val="16"/>
        </w:rPr>
        <w:t>fiduciary</w:t>
      </w:r>
      <w:r w:rsidRPr="00135DB1">
        <w:rPr>
          <w:rStyle w:val="apple-converted-space"/>
          <w:szCs w:val="16"/>
        </w:rPr>
        <w:t> </w:t>
      </w:r>
      <w:r w:rsidRPr="00135DB1">
        <w:rPr>
          <w:szCs w:val="16"/>
        </w:rPr>
        <w:t>principles to prevent or resolve intra-corporate conflicts.</w:t>
      </w:r>
      <w:r w:rsidRPr="00135DB1">
        <w:rPr>
          <w:rStyle w:val="apple-converted-space"/>
          <w:szCs w:val="16"/>
        </w:rPr>
        <w:t> </w:t>
      </w:r>
      <w:r w:rsidRPr="00135DB1">
        <w:rPr>
          <w:szCs w:val="16"/>
        </w:rPr>
        <w:t>In the context of close corporations,</w:t>
      </w:r>
      <w:r w:rsidRPr="00135DB1">
        <w:rPr>
          <w:szCs w:val="16"/>
          <w:vertAlign w:val="superscript"/>
        </w:rPr>
        <w:t xml:space="preserve"> </w:t>
      </w:r>
      <w:r w:rsidRPr="00135DB1">
        <w:rPr>
          <w:szCs w:val="16"/>
        </w:rPr>
        <w:t>courts have quietly abandoned those principles and replaced them with remedial approaches which focus on the putative fiduciary's wrongful conduct. The result is a subtle but significant change in the law's normative aspirations from those on which classic fiduciary principles are based.”).</w:t>
      </w:r>
    </w:p>
  </w:footnote>
  <w:footnote w:id="85">
    <w:p w14:paraId="16015A37" w14:textId="6EF6AC77" w:rsidR="002677AA" w:rsidRPr="00135DB1" w:rsidRDefault="002677AA" w:rsidP="00EB7C5C">
      <w:pPr>
        <w:pStyle w:val="FootnoteText"/>
        <w:rPr>
          <w:szCs w:val="16"/>
          <w:u w:val="single"/>
        </w:rPr>
      </w:pPr>
      <w:r w:rsidRPr="00135DB1">
        <w:rPr>
          <w:rStyle w:val="FootnoteReference"/>
          <w:rFonts w:ascii="Times New Roman" w:hAnsi="Times New Roman"/>
          <w:szCs w:val="16"/>
        </w:rPr>
        <w:footnoteRef/>
      </w:r>
      <w:r w:rsidRPr="00135DB1">
        <w:rPr>
          <w:szCs w:val="16"/>
        </w:rPr>
        <w:t xml:space="preserve"> </w:t>
      </w:r>
      <w:r w:rsidRPr="00135DB1">
        <w:rPr>
          <w:i/>
          <w:szCs w:val="16"/>
        </w:rPr>
        <w:t>See</w:t>
      </w:r>
      <w:r w:rsidRPr="00135DB1">
        <w:rPr>
          <w:szCs w:val="16"/>
        </w:rPr>
        <w:t xml:space="preserve"> Davis, </w:t>
      </w:r>
      <w:r w:rsidRPr="00135DB1">
        <w:rPr>
          <w:i/>
          <w:szCs w:val="16"/>
        </w:rPr>
        <w:t>supra</w:t>
      </w:r>
      <w:r w:rsidRPr="00135DB1">
        <w:rPr>
          <w:szCs w:val="16"/>
        </w:rPr>
        <w:t xml:space="preserve"> note __, at 63 (noting “in a significant number of cases it is simply not realistic to ask the courts to predict, in the guise of finding ‘facts,’ how a theoretically independent board would have approached a problem or what terms it would have negotiated”). </w:t>
      </w:r>
      <w:r w:rsidRPr="00135DB1">
        <w:rPr>
          <w:i/>
          <w:szCs w:val="16"/>
        </w:rPr>
        <w:t xml:space="preserve">See also, </w:t>
      </w:r>
      <w:r w:rsidRPr="00135DB1">
        <w:rPr>
          <w:szCs w:val="16"/>
        </w:rPr>
        <w:t xml:space="preserve">Jeffrey N. Gordon, </w:t>
      </w:r>
      <w:r w:rsidRPr="00135DB1">
        <w:rPr>
          <w:i/>
          <w:szCs w:val="16"/>
        </w:rPr>
        <w:t>“Just Say Never?” Poison Pills, Deadhand Pills, and Shareholder-Adopted Bylaws: An Essay for Warren Buffett</w:t>
      </w:r>
      <w:r w:rsidRPr="00135DB1">
        <w:rPr>
          <w:szCs w:val="16"/>
        </w:rPr>
        <w:t xml:space="preserve">, 19 Cardozo L. Rev. 511, 516 (1997) (noting “[f]iduciary policing is hard, because it requires decisions of substantive fairness”). </w:t>
      </w:r>
      <w:r w:rsidRPr="00135DB1">
        <w:rPr>
          <w:i/>
          <w:szCs w:val="16"/>
        </w:rPr>
        <w:t>But see</w:t>
      </w:r>
      <w:r w:rsidRPr="00135DB1">
        <w:rPr>
          <w:szCs w:val="16"/>
        </w:rPr>
        <w:t xml:space="preserve"> Fisch et al., </w:t>
      </w:r>
      <w:r w:rsidRPr="00135DB1">
        <w:rPr>
          <w:i/>
          <w:szCs w:val="16"/>
        </w:rPr>
        <w:t>supra</w:t>
      </w:r>
      <w:r w:rsidRPr="00135DB1">
        <w:rPr>
          <w:szCs w:val="16"/>
        </w:rPr>
        <w:t xml:space="preserve"> note __, at 602 (asserting “Delaware law and Delaware courts … are well-suited to pass on the substantive fairness of merger transactions”).</w:t>
      </w:r>
    </w:p>
  </w:footnote>
  <w:footnote w:id="86">
    <w:p w14:paraId="2B8CC572" w14:textId="2DB8F292" w:rsidR="002677AA" w:rsidRPr="00135DB1" w:rsidRDefault="002677AA">
      <w:pPr>
        <w:pStyle w:val="FootnoteText"/>
        <w:rPr>
          <w:szCs w:val="16"/>
        </w:rPr>
      </w:pPr>
      <w:r w:rsidRPr="00135DB1">
        <w:rPr>
          <w:rStyle w:val="FootnoteReference"/>
          <w:rFonts w:ascii="Times New Roman" w:hAnsi="Times New Roman"/>
          <w:szCs w:val="16"/>
        </w:rPr>
        <w:footnoteRef/>
      </w:r>
      <w:r w:rsidRPr="00135DB1">
        <w:rPr>
          <w:szCs w:val="16"/>
        </w:rPr>
        <w:t xml:space="preserve"> Davis, </w:t>
      </w:r>
      <w:r w:rsidRPr="00135DB1">
        <w:rPr>
          <w:i/>
          <w:szCs w:val="16"/>
        </w:rPr>
        <w:t>supra</w:t>
      </w:r>
      <w:r w:rsidRPr="00135DB1">
        <w:rPr>
          <w:szCs w:val="16"/>
        </w:rPr>
        <w:t xml:space="preserve"> note __, at 63-64.</w:t>
      </w:r>
    </w:p>
  </w:footnote>
  <w:footnote w:id="87">
    <w:p w14:paraId="2E1D5556" w14:textId="77777777" w:rsidR="002677AA" w:rsidRPr="00135DB1" w:rsidRDefault="002677AA" w:rsidP="006165C9">
      <w:pPr>
        <w:pStyle w:val="FootnoteText"/>
        <w:rPr>
          <w:szCs w:val="16"/>
        </w:rPr>
      </w:pPr>
      <w:r w:rsidRPr="00135DB1">
        <w:rPr>
          <w:rStyle w:val="FootnoteReference"/>
          <w:rFonts w:ascii="Times New Roman" w:hAnsi="Times New Roman"/>
          <w:szCs w:val="16"/>
        </w:rPr>
        <w:footnoteRef/>
      </w:r>
      <w:r w:rsidRPr="00135DB1">
        <w:rPr>
          <w:szCs w:val="16"/>
        </w:rPr>
        <w:t xml:space="preserve"> This is an ERISA case. See</w:t>
      </w:r>
      <w:r w:rsidRPr="00135DB1">
        <w:rPr>
          <w:rStyle w:val="apple-converted-space"/>
          <w:szCs w:val="16"/>
        </w:rPr>
        <w:t> </w:t>
      </w:r>
      <w:r w:rsidRPr="00135DB1">
        <w:rPr>
          <w:szCs w:val="16"/>
        </w:rPr>
        <w:t>Brown v. Blue Cross &amp; Blue Shield of Ala., Inc., 898 F.2d 1556, 1565 (11th Cir. 1990)</w:t>
      </w:r>
      <w:r w:rsidRPr="00135DB1">
        <w:rPr>
          <w:rStyle w:val="apple-converted-space"/>
          <w:szCs w:val="16"/>
        </w:rPr>
        <w:t> </w:t>
      </w:r>
      <w:r w:rsidRPr="00135DB1">
        <w:rPr>
          <w:szCs w:val="16"/>
        </w:rPr>
        <w:t>(disclaiming that the rule is intended to deprive the fiduciary of any unjust enrichment or to compensate the beneficiary, rather, its sole purpose and effect is to deter the formation of arrangements where a conflict may arise).</w:t>
      </w:r>
    </w:p>
  </w:footnote>
  <w:footnote w:id="88">
    <w:p w14:paraId="47C41F70" w14:textId="5529EA97" w:rsidR="002677AA" w:rsidRPr="00135DB1" w:rsidRDefault="002677AA" w:rsidP="00184609">
      <w:pPr>
        <w:pStyle w:val="FootnoteText"/>
        <w:rPr>
          <w:szCs w:val="16"/>
        </w:rPr>
      </w:pPr>
      <w:r w:rsidRPr="00135DB1">
        <w:rPr>
          <w:rStyle w:val="FootnoteReference"/>
          <w:rFonts w:ascii="Times New Roman" w:hAnsi="Times New Roman"/>
          <w:szCs w:val="16"/>
        </w:rPr>
        <w:footnoteRef/>
      </w:r>
      <w:r w:rsidRPr="00135DB1">
        <w:rPr>
          <w:szCs w:val="16"/>
        </w:rPr>
        <w:t xml:space="preserve"> Trustees </w:t>
      </w:r>
      <w:r w:rsidRPr="00135DB1">
        <w:rPr>
          <w:szCs w:val="16"/>
          <w:shd w:val="clear" w:color="auto" w:fill="FFFFFF"/>
        </w:rPr>
        <w:t xml:space="preserve">have a “duty to </w:t>
      </w:r>
      <w:r w:rsidRPr="00135DB1">
        <w:rPr>
          <w:rStyle w:val="Strong"/>
          <w:b w:val="0"/>
          <w:szCs w:val="16"/>
        </w:rPr>
        <w:t>administer the trust solely in the interest of the beneficiaries,”</w:t>
      </w:r>
      <w:r w:rsidRPr="00135DB1">
        <w:rPr>
          <w:b/>
          <w:szCs w:val="16"/>
        </w:rPr>
        <w:t xml:space="preserve"> </w:t>
      </w:r>
      <w:r w:rsidRPr="00135DB1">
        <w:rPr>
          <w:szCs w:val="16"/>
        </w:rPr>
        <w:t xml:space="preserve">and to “deal fairly” with the beneficiaries. </w:t>
      </w:r>
      <w:r w:rsidRPr="00135DB1">
        <w:rPr>
          <w:smallCaps/>
          <w:szCs w:val="16"/>
          <w:shd w:val="clear" w:color="auto" w:fill="FFFFFF"/>
        </w:rPr>
        <w:t>Restatement (Third) of Trusts</w:t>
      </w:r>
      <w:r w:rsidRPr="00135DB1">
        <w:rPr>
          <w:szCs w:val="16"/>
          <w:shd w:val="clear" w:color="auto" w:fill="FFFFFF"/>
        </w:rPr>
        <w:t xml:space="preserve"> § 78. This duty is said to be “strict,” meaning that the Co-Trustees are prohibited from engaging in transactions that involve a conflict of interest, unless</w:t>
      </w:r>
      <w:r w:rsidRPr="00135DB1">
        <w:rPr>
          <w:rStyle w:val="Strong"/>
          <w:szCs w:val="16"/>
        </w:rPr>
        <w:t xml:space="preserve">, </w:t>
      </w:r>
      <w:r w:rsidRPr="00135DB1">
        <w:rPr>
          <w:rStyle w:val="Strong"/>
          <w:b w:val="0"/>
          <w:szCs w:val="16"/>
        </w:rPr>
        <w:t xml:space="preserve">among other things, they receive court authorization, the terms of the trust expressly authorize such transactions, or the beneficiaries approval to such transactions. </w:t>
      </w:r>
      <w:r w:rsidRPr="00135DB1">
        <w:rPr>
          <w:smallCaps/>
          <w:szCs w:val="16"/>
          <w:shd w:val="clear" w:color="auto" w:fill="FFFFFF"/>
        </w:rPr>
        <w:t>Restatement (Third) of Trusts</w:t>
      </w:r>
      <w:r w:rsidRPr="00135DB1">
        <w:rPr>
          <w:szCs w:val="16"/>
          <w:shd w:val="clear" w:color="auto" w:fill="FFFFFF"/>
        </w:rPr>
        <w:t xml:space="preserve"> § 78 cmts. c(1), c(2), and c(3). </w:t>
      </w:r>
      <w:r w:rsidRPr="00135DB1">
        <w:rPr>
          <w:i/>
          <w:szCs w:val="16"/>
          <w:shd w:val="clear" w:color="auto" w:fill="FFFFFF"/>
        </w:rPr>
        <w:t xml:space="preserve">See also, </w:t>
      </w:r>
      <w:r w:rsidRPr="00135DB1">
        <w:rPr>
          <w:szCs w:val="16"/>
          <w:shd w:val="clear" w:color="auto" w:fill="FFFFFF"/>
        </w:rPr>
        <w:t xml:space="preserve">Robert H. Sitkoff, </w:t>
      </w:r>
      <w:r w:rsidRPr="00135DB1">
        <w:rPr>
          <w:i/>
          <w:szCs w:val="16"/>
          <w:shd w:val="clear" w:color="auto" w:fill="FFFFFF"/>
        </w:rPr>
        <w:t>An Agency Costs Theory of Trust Law</w:t>
      </w:r>
      <w:r w:rsidRPr="00135DB1">
        <w:rPr>
          <w:szCs w:val="16"/>
          <w:shd w:val="clear" w:color="auto" w:fill="FFFFFF"/>
        </w:rPr>
        <w:t xml:space="preserve">, 89 </w:t>
      </w:r>
      <w:r w:rsidRPr="00135DB1">
        <w:rPr>
          <w:smallCaps/>
          <w:szCs w:val="16"/>
          <w:shd w:val="clear" w:color="auto" w:fill="FFFFFF"/>
        </w:rPr>
        <w:t>Cornell L. Rev</w:t>
      </w:r>
      <w:r w:rsidRPr="00135DB1">
        <w:rPr>
          <w:szCs w:val="16"/>
          <w:shd w:val="clear" w:color="auto" w:fill="FFFFFF"/>
        </w:rPr>
        <w:t>. 621, 680 (2004) (“</w:t>
      </w:r>
      <w:r w:rsidRPr="00135DB1">
        <w:rPr>
          <w:szCs w:val="16"/>
        </w:rPr>
        <w:t>trust fiduciary law, especially the duty of loyalty, is stricter and more</w:t>
      </w:r>
      <w:r w:rsidRPr="00135DB1">
        <w:rPr>
          <w:rStyle w:val="apple-converted-space"/>
          <w:szCs w:val="16"/>
        </w:rPr>
        <w:t> </w:t>
      </w:r>
      <w:r w:rsidRPr="00135DB1">
        <w:rPr>
          <w:rStyle w:val="cosearchterm"/>
          <w:bCs/>
          <w:szCs w:val="16"/>
        </w:rPr>
        <w:t>prophylactic</w:t>
      </w:r>
      <w:r w:rsidRPr="00135DB1">
        <w:rPr>
          <w:rStyle w:val="apple-converted-space"/>
          <w:szCs w:val="16"/>
        </w:rPr>
        <w:t> </w:t>
      </w:r>
      <w:r w:rsidRPr="00135DB1">
        <w:rPr>
          <w:szCs w:val="16"/>
        </w:rPr>
        <w:t>than the</w:t>
      </w:r>
      <w:r w:rsidRPr="00135DB1">
        <w:rPr>
          <w:rStyle w:val="apple-converted-space"/>
          <w:szCs w:val="16"/>
        </w:rPr>
        <w:t> </w:t>
      </w:r>
      <w:r w:rsidRPr="00135DB1">
        <w:rPr>
          <w:rStyle w:val="cosearchterm"/>
          <w:bCs/>
          <w:szCs w:val="16"/>
        </w:rPr>
        <w:t>fiduciary</w:t>
      </w:r>
      <w:r w:rsidRPr="00135DB1">
        <w:rPr>
          <w:rStyle w:val="apple-converted-space"/>
          <w:szCs w:val="16"/>
        </w:rPr>
        <w:t> </w:t>
      </w:r>
      <w:r w:rsidRPr="00135DB1">
        <w:rPr>
          <w:szCs w:val="16"/>
        </w:rPr>
        <w:t>law of other organizational forms”).</w:t>
      </w:r>
    </w:p>
  </w:footnote>
  <w:footnote w:id="89">
    <w:p w14:paraId="49F6D74A" w14:textId="77777777" w:rsidR="002677AA" w:rsidRPr="00135DB1" w:rsidRDefault="002677AA" w:rsidP="00184609">
      <w:pPr>
        <w:pStyle w:val="FootnoteText"/>
        <w:rPr>
          <w:szCs w:val="16"/>
        </w:rPr>
      </w:pPr>
      <w:r w:rsidRPr="00135DB1">
        <w:rPr>
          <w:rStyle w:val="FootnoteReference"/>
          <w:rFonts w:ascii="Times New Roman" w:hAnsi="Times New Roman"/>
          <w:szCs w:val="16"/>
        </w:rPr>
        <w:footnoteRef/>
      </w:r>
      <w:r w:rsidRPr="00135DB1">
        <w:rPr>
          <w:szCs w:val="16"/>
        </w:rPr>
        <w:t xml:space="preserve"> See Scott on Trusts, 4th ed. § 170.6 (Little, Brown and Co., 1987).</w:t>
      </w:r>
    </w:p>
  </w:footnote>
  <w:footnote w:id="90">
    <w:p w14:paraId="188A6D95" w14:textId="77777777" w:rsidR="002677AA" w:rsidRPr="00135DB1" w:rsidRDefault="002677AA" w:rsidP="006165C9">
      <w:pPr>
        <w:pStyle w:val="FootnoteText"/>
        <w:rPr>
          <w:szCs w:val="16"/>
        </w:rPr>
      </w:pPr>
      <w:r w:rsidRPr="00135DB1">
        <w:rPr>
          <w:rStyle w:val="FootnoteReference"/>
          <w:rFonts w:ascii="Times New Roman" w:hAnsi="Times New Roman"/>
          <w:szCs w:val="16"/>
        </w:rPr>
        <w:footnoteRef/>
      </w:r>
      <w:r w:rsidRPr="00135DB1">
        <w:rPr>
          <w:szCs w:val="16"/>
        </w:rPr>
        <w:t xml:space="preserve"> </w:t>
      </w:r>
      <w:r w:rsidRPr="00135DB1">
        <w:rPr>
          <w:i/>
          <w:szCs w:val="16"/>
        </w:rPr>
        <w:t xml:space="preserve">See </w:t>
      </w:r>
      <w:r w:rsidRPr="00135DB1">
        <w:rPr>
          <w:szCs w:val="16"/>
        </w:rPr>
        <w:t xml:space="preserve">John H. Langbein, </w:t>
      </w:r>
      <w:r w:rsidRPr="00135DB1">
        <w:rPr>
          <w:i/>
          <w:szCs w:val="16"/>
        </w:rPr>
        <w:t>Questioning the Trust Law Duty of Loyalty: Sole Interest or Best Interest?</w:t>
      </w:r>
      <w:r w:rsidRPr="00135DB1">
        <w:rPr>
          <w:szCs w:val="16"/>
        </w:rPr>
        <w:t>, 114 Yale L.J. 929, 931 (2005) (advancing the view that “the sole interest rule is unsound”).</w:t>
      </w:r>
    </w:p>
  </w:footnote>
  <w:footnote w:id="91">
    <w:p w14:paraId="4FAF1538" w14:textId="7705FC7B" w:rsidR="002677AA" w:rsidRPr="00135DB1" w:rsidRDefault="002677AA">
      <w:pPr>
        <w:pStyle w:val="FootnoteText"/>
      </w:pPr>
      <w:r w:rsidRPr="00135DB1">
        <w:rPr>
          <w:rStyle w:val="FootnoteReference"/>
        </w:rPr>
        <w:footnoteRef/>
      </w:r>
      <w:r w:rsidRPr="00135DB1">
        <w:t xml:space="preserve"> Broz v. Cellular Information Systems, Inc., 673 A.2d 148, 157 (Del. 1996).</w:t>
      </w:r>
    </w:p>
  </w:footnote>
  <w:footnote w:id="92">
    <w:p w14:paraId="6815415F" w14:textId="77777777" w:rsidR="005B7130" w:rsidRPr="00135DB1" w:rsidRDefault="005B7130" w:rsidP="005B7130">
      <w:pPr>
        <w:pStyle w:val="FootnoteText"/>
        <w:rPr>
          <w:szCs w:val="16"/>
        </w:rPr>
      </w:pPr>
      <w:r w:rsidRPr="00135DB1">
        <w:rPr>
          <w:rStyle w:val="FootnoteReference"/>
          <w:rFonts w:ascii="Times New Roman" w:hAnsi="Times New Roman"/>
          <w:szCs w:val="16"/>
        </w:rPr>
        <w:footnoteRef/>
      </w:r>
      <w:r w:rsidRPr="00135DB1">
        <w:rPr>
          <w:szCs w:val="16"/>
        </w:rPr>
        <w:t xml:space="preserve"> In Australia, this idea stems from the well-known case of Breen v. Williams, 186 CLR 71 (Aus. High Court 1996), which held “equity imposes on the fiduciary proscriptive obligations – not to obtain any unauthorized benefit from the relationship and not to be in a position of conflict…. But the law of this country does not otherwise impose positive legal duties on the fiduciary to act in the interests of the person to whom the duty is owed.” </w:t>
      </w:r>
      <w:r w:rsidRPr="00135DB1">
        <w:rPr>
          <w:i/>
          <w:szCs w:val="16"/>
        </w:rPr>
        <w:t>Id.</w:t>
      </w:r>
      <w:r w:rsidRPr="00135DB1">
        <w:rPr>
          <w:szCs w:val="16"/>
        </w:rPr>
        <w:t xml:space="preserve"> at 113. The Court contrasted this approach with the Canadian approach, where the cases “reveal a tendency to view fiduciary obligations as both proscriptive and prescriptive.” </w:t>
      </w:r>
      <w:r w:rsidRPr="00135DB1">
        <w:rPr>
          <w:i/>
          <w:szCs w:val="16"/>
        </w:rPr>
        <w:t>Id.</w:t>
      </w:r>
      <w:r w:rsidRPr="00135DB1">
        <w:rPr>
          <w:szCs w:val="16"/>
        </w:rPr>
        <w:t xml:space="preserve"> </w:t>
      </w:r>
      <w:r w:rsidRPr="00135DB1">
        <w:rPr>
          <w:i/>
          <w:szCs w:val="16"/>
        </w:rPr>
        <w:t>Breen</w:t>
      </w:r>
      <w:r w:rsidRPr="00135DB1">
        <w:rPr>
          <w:szCs w:val="16"/>
        </w:rPr>
        <w:t xml:space="preserve"> involved a doctor-patient relationship, but the principle has been followed in cases involving business organizations. </w:t>
      </w:r>
      <w:r w:rsidRPr="00135DB1">
        <w:rPr>
          <w:i/>
          <w:szCs w:val="16"/>
        </w:rPr>
        <w:t>See, e.g.,</w:t>
      </w:r>
      <w:r w:rsidRPr="00135DB1">
        <w:rPr>
          <w:szCs w:val="16"/>
        </w:rPr>
        <w:t xml:space="preserve"> Pilmer v. Duke Group Ltd., 207 CLR 165 (2001) (duties in a partnership are proscriptive, not prescriptive).</w:t>
      </w:r>
    </w:p>
  </w:footnote>
  <w:footnote w:id="93">
    <w:p w14:paraId="1279D393" w14:textId="77777777" w:rsidR="005B7130" w:rsidRPr="00135DB1" w:rsidRDefault="005B7130" w:rsidP="005B7130">
      <w:pPr>
        <w:pStyle w:val="FootnoteText"/>
        <w:rPr>
          <w:szCs w:val="16"/>
        </w:rPr>
      </w:pPr>
      <w:r w:rsidRPr="00135DB1">
        <w:rPr>
          <w:rStyle w:val="FootnoteReference"/>
          <w:rFonts w:ascii="Times New Roman" w:hAnsi="Times New Roman"/>
          <w:szCs w:val="16"/>
        </w:rPr>
        <w:footnoteRef/>
      </w:r>
      <w:r w:rsidRPr="00135DB1">
        <w:rPr>
          <w:szCs w:val="16"/>
        </w:rPr>
        <w:t xml:space="preserve"> The scope of regulation is subject to manipulation. In Australia the duty to avoid unauthorized conflicts was at one time applied to any possible conflict, but it is now applied to a “real sensible possibility of conflict.” Rosemary Teele Langford &amp; Ian M. Ramsay, </w:t>
      </w:r>
      <w:r w:rsidRPr="00135DB1">
        <w:rPr>
          <w:i/>
          <w:szCs w:val="16"/>
        </w:rPr>
        <w:t>Conflicted Directors: What is Required to Avoid a Breach of Duty?</w:t>
      </w:r>
      <w:r w:rsidRPr="00135DB1">
        <w:rPr>
          <w:szCs w:val="16"/>
        </w:rPr>
        <w:t>, 8 J. Equity 108, 109 (2014) (citing Boardman v Phipps 2 AC 46, 124 (HL) (1967) per Lord Upjohn).</w:t>
      </w:r>
    </w:p>
  </w:footnote>
  <w:footnote w:id="94">
    <w:p w14:paraId="66B65DC1" w14:textId="77777777" w:rsidR="005B7130" w:rsidRPr="00135DB1" w:rsidRDefault="005B7130" w:rsidP="005B7130">
      <w:pPr>
        <w:pStyle w:val="FootnoteText"/>
        <w:rPr>
          <w:szCs w:val="16"/>
        </w:rPr>
      </w:pPr>
      <w:r w:rsidRPr="00135DB1">
        <w:rPr>
          <w:rStyle w:val="FootnoteReference"/>
          <w:rFonts w:ascii="Times New Roman" w:hAnsi="Times New Roman"/>
          <w:szCs w:val="16"/>
        </w:rPr>
        <w:footnoteRef/>
      </w:r>
      <w:r w:rsidRPr="00135DB1">
        <w:rPr>
          <w:szCs w:val="16"/>
        </w:rPr>
        <w:t xml:space="preserve"> Lionel Smith, </w:t>
      </w:r>
      <w:r w:rsidRPr="00135DB1">
        <w:rPr>
          <w:i/>
          <w:szCs w:val="16"/>
        </w:rPr>
        <w:t>Deterrence, Prophylaxis and Punishment in</w:t>
      </w:r>
      <w:r w:rsidRPr="00135DB1">
        <w:rPr>
          <w:rStyle w:val="apple-converted-space"/>
          <w:i/>
          <w:szCs w:val="16"/>
        </w:rPr>
        <w:t xml:space="preserve"> Fiduciary O</w:t>
      </w:r>
      <w:r w:rsidRPr="00135DB1">
        <w:rPr>
          <w:i/>
          <w:szCs w:val="16"/>
        </w:rPr>
        <w:t>bligations</w:t>
      </w:r>
      <w:r w:rsidRPr="00135DB1">
        <w:rPr>
          <w:szCs w:val="16"/>
        </w:rPr>
        <w:t xml:space="preserve">, 7 J. </w:t>
      </w:r>
      <w:r w:rsidRPr="00135DB1">
        <w:rPr>
          <w:smallCaps/>
          <w:szCs w:val="16"/>
        </w:rPr>
        <w:t>Equity</w:t>
      </w:r>
      <w:r w:rsidRPr="00135DB1">
        <w:rPr>
          <w:szCs w:val="16"/>
        </w:rPr>
        <w:t xml:space="preserve"> 87, __ (2013).</w:t>
      </w:r>
    </w:p>
  </w:footnote>
  <w:footnote w:id="95">
    <w:p w14:paraId="7D37AD85" w14:textId="77777777" w:rsidR="005B7130" w:rsidRPr="00135DB1" w:rsidRDefault="005B7130" w:rsidP="005B7130">
      <w:pPr>
        <w:pStyle w:val="FootnoteText"/>
        <w:rPr>
          <w:szCs w:val="16"/>
        </w:rPr>
      </w:pPr>
      <w:r w:rsidRPr="00135DB1">
        <w:rPr>
          <w:rStyle w:val="FootnoteReference"/>
          <w:rFonts w:ascii="Times New Roman" w:hAnsi="Times New Roman"/>
          <w:szCs w:val="16"/>
        </w:rPr>
        <w:footnoteRef/>
      </w:r>
      <w:r w:rsidRPr="00135DB1">
        <w:rPr>
          <w:szCs w:val="16"/>
        </w:rPr>
        <w:t xml:space="preserve"> Smith, </w:t>
      </w:r>
      <w:r w:rsidRPr="00135DB1">
        <w:rPr>
          <w:i/>
          <w:szCs w:val="16"/>
        </w:rPr>
        <w:t>supra</w:t>
      </w:r>
      <w:r w:rsidRPr="00135DB1">
        <w:rPr>
          <w:szCs w:val="16"/>
        </w:rPr>
        <w:t xml:space="preserve"> note __, at __ (“Indeed, it would have the contrary effect: unless the chances of detection and litigation were 100%, there would always be more overall profit in defrauding as often as possible than in not defrauding.”).</w:t>
      </w:r>
    </w:p>
  </w:footnote>
  <w:footnote w:id="96">
    <w:p w14:paraId="5C08C38C" w14:textId="77777777" w:rsidR="005B7130" w:rsidRPr="00135DB1" w:rsidRDefault="005B7130" w:rsidP="005B7130">
      <w:pPr>
        <w:pStyle w:val="FootnoteText"/>
        <w:rPr>
          <w:szCs w:val="16"/>
        </w:rPr>
      </w:pPr>
      <w:r w:rsidRPr="00135DB1">
        <w:rPr>
          <w:rStyle w:val="FootnoteReference"/>
          <w:rFonts w:ascii="Times New Roman" w:hAnsi="Times New Roman"/>
          <w:szCs w:val="16"/>
        </w:rPr>
        <w:footnoteRef/>
      </w:r>
      <w:r w:rsidRPr="00135DB1">
        <w:rPr>
          <w:szCs w:val="16"/>
        </w:rPr>
        <w:t xml:space="preserve"> Smith, </w:t>
      </w:r>
      <w:r w:rsidRPr="00135DB1">
        <w:rPr>
          <w:i/>
          <w:szCs w:val="16"/>
        </w:rPr>
        <w:t>supra</w:t>
      </w:r>
      <w:r w:rsidRPr="00135DB1">
        <w:rPr>
          <w:szCs w:val="16"/>
        </w:rPr>
        <w:t xml:space="preserve"> note __, at __.</w:t>
      </w:r>
    </w:p>
  </w:footnote>
  <w:footnote w:id="97">
    <w:p w14:paraId="5742B1FE" w14:textId="77777777" w:rsidR="005B7130" w:rsidRPr="00135DB1" w:rsidRDefault="005B7130" w:rsidP="005B7130">
      <w:pPr>
        <w:pStyle w:val="FootnoteText"/>
        <w:rPr>
          <w:szCs w:val="16"/>
        </w:rPr>
      </w:pPr>
      <w:r w:rsidRPr="00135DB1">
        <w:rPr>
          <w:rStyle w:val="FootnoteReference"/>
          <w:rFonts w:ascii="Times New Roman" w:hAnsi="Times New Roman"/>
          <w:szCs w:val="16"/>
        </w:rPr>
        <w:footnoteRef/>
      </w:r>
      <w:r w:rsidRPr="00135DB1">
        <w:rPr>
          <w:szCs w:val="16"/>
        </w:rPr>
        <w:t xml:space="preserve"> Smith, </w:t>
      </w:r>
      <w:r w:rsidRPr="00135DB1">
        <w:rPr>
          <w:i/>
          <w:szCs w:val="16"/>
        </w:rPr>
        <w:t>supra</w:t>
      </w:r>
      <w:r w:rsidRPr="00135DB1">
        <w:rPr>
          <w:szCs w:val="16"/>
        </w:rPr>
        <w:t xml:space="preserve"> note __, at __.</w:t>
      </w:r>
    </w:p>
  </w:footnote>
  <w:footnote w:id="98">
    <w:p w14:paraId="34B338D6" w14:textId="77777777" w:rsidR="005B7130" w:rsidRPr="00135DB1" w:rsidRDefault="005B7130" w:rsidP="005B7130">
      <w:pPr>
        <w:pStyle w:val="FootnoteText"/>
        <w:rPr>
          <w:szCs w:val="16"/>
        </w:rPr>
      </w:pPr>
      <w:r w:rsidRPr="00135DB1">
        <w:rPr>
          <w:rStyle w:val="FootnoteReference"/>
          <w:rFonts w:ascii="Times New Roman" w:hAnsi="Times New Roman"/>
          <w:szCs w:val="16"/>
        </w:rPr>
        <w:footnoteRef/>
      </w:r>
      <w:r w:rsidRPr="00135DB1">
        <w:rPr>
          <w:szCs w:val="16"/>
        </w:rPr>
        <w:t xml:space="preserve"> Smith, </w:t>
      </w:r>
      <w:r w:rsidRPr="00135DB1">
        <w:rPr>
          <w:i/>
          <w:szCs w:val="16"/>
        </w:rPr>
        <w:t>supra</w:t>
      </w:r>
      <w:r w:rsidRPr="00135DB1">
        <w:rPr>
          <w:szCs w:val="16"/>
        </w:rPr>
        <w:t xml:space="preserve"> note __, at __.</w:t>
      </w:r>
    </w:p>
  </w:footnote>
  <w:footnote w:id="99">
    <w:p w14:paraId="5A98423B" w14:textId="77777777" w:rsidR="005B7130" w:rsidRPr="00135DB1" w:rsidRDefault="005B7130" w:rsidP="005B7130">
      <w:pPr>
        <w:pStyle w:val="FootnoteText"/>
        <w:rPr>
          <w:szCs w:val="16"/>
        </w:rPr>
      </w:pPr>
      <w:r w:rsidRPr="00135DB1">
        <w:rPr>
          <w:rStyle w:val="FootnoteReference"/>
          <w:rFonts w:ascii="Times New Roman" w:hAnsi="Times New Roman"/>
          <w:szCs w:val="16"/>
        </w:rPr>
        <w:footnoteRef/>
      </w:r>
      <w:r w:rsidRPr="00135DB1">
        <w:rPr>
          <w:szCs w:val="16"/>
        </w:rPr>
        <w:t xml:space="preserve"> Smith, </w:t>
      </w:r>
      <w:r w:rsidRPr="00135DB1">
        <w:rPr>
          <w:i/>
          <w:szCs w:val="16"/>
        </w:rPr>
        <w:t>supra</w:t>
      </w:r>
      <w:r w:rsidRPr="00135DB1">
        <w:rPr>
          <w:szCs w:val="16"/>
        </w:rPr>
        <w:t xml:space="preserve"> note __, at __.</w:t>
      </w:r>
    </w:p>
  </w:footnote>
  <w:footnote w:id="100">
    <w:p w14:paraId="48169444" w14:textId="77777777" w:rsidR="005B7130" w:rsidRPr="00135DB1" w:rsidRDefault="005B7130" w:rsidP="005B7130">
      <w:pPr>
        <w:pStyle w:val="FootnoteText"/>
        <w:rPr>
          <w:szCs w:val="16"/>
        </w:rPr>
      </w:pPr>
      <w:r w:rsidRPr="00135DB1">
        <w:rPr>
          <w:rStyle w:val="FootnoteReference"/>
          <w:rFonts w:ascii="Times New Roman" w:hAnsi="Times New Roman"/>
          <w:szCs w:val="16"/>
        </w:rPr>
        <w:footnoteRef/>
      </w:r>
      <w:r w:rsidRPr="00135DB1">
        <w:rPr>
          <w:szCs w:val="16"/>
        </w:rPr>
        <w:t xml:space="preserve"> </w:t>
      </w:r>
      <w:r w:rsidRPr="00135DB1">
        <w:rPr>
          <w:szCs w:val="16"/>
          <w:shd w:val="clear" w:color="auto" w:fill="FFFFFF"/>
        </w:rPr>
        <w:t xml:space="preserve">Gideon Parchomovsky &amp; Alex Stein, </w:t>
      </w:r>
      <w:r w:rsidRPr="00135DB1">
        <w:rPr>
          <w:i/>
          <w:szCs w:val="16"/>
          <w:shd w:val="clear" w:color="auto" w:fill="FFFFFF"/>
        </w:rPr>
        <w:t>Torts and Innovation</w:t>
      </w:r>
      <w:r w:rsidRPr="00135DB1">
        <w:rPr>
          <w:szCs w:val="16"/>
          <w:shd w:val="clear" w:color="auto" w:fill="FFFFFF"/>
        </w:rPr>
        <w:t xml:space="preserve">, 107 </w:t>
      </w:r>
      <w:r w:rsidRPr="00135DB1">
        <w:rPr>
          <w:smallCaps/>
          <w:szCs w:val="16"/>
          <w:shd w:val="clear" w:color="auto" w:fill="FFFFFF"/>
        </w:rPr>
        <w:t>Mich. L. Rev</w:t>
      </w:r>
      <w:r w:rsidRPr="00135DB1">
        <w:rPr>
          <w:szCs w:val="16"/>
          <w:shd w:val="clear" w:color="auto" w:fill="FFFFFF"/>
        </w:rPr>
        <w:t xml:space="preserve">. 285 (2008) (arguing that “courts' reliance on customs and conventional technologies as the benchmark for assigning tort liability chills innovation and distorts its path”).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6423136"/>
    <w:lvl w:ilvl="0">
      <w:start w:val="1"/>
      <w:numFmt w:val="bullet"/>
      <w:pStyle w:val="ListBullet"/>
      <w:lvlText w:val=""/>
      <w:lvlJc w:val="left"/>
      <w:pPr>
        <w:tabs>
          <w:tab w:val="num" w:pos="397"/>
        </w:tabs>
        <w:ind w:left="397" w:hanging="397"/>
      </w:pPr>
      <w:rPr>
        <w:rFonts w:ascii="Symbol" w:hAnsi="Symbol" w:hint="default"/>
      </w:rPr>
    </w:lvl>
  </w:abstractNum>
  <w:abstractNum w:abstractNumId="1">
    <w:nsid w:val="08AD7A02"/>
    <w:multiLevelType w:val="hybridMultilevel"/>
    <w:tmpl w:val="D406AA20"/>
    <w:lvl w:ilvl="0" w:tplc="1B5E4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F54880"/>
    <w:multiLevelType w:val="hybridMultilevel"/>
    <w:tmpl w:val="5798C926"/>
    <w:lvl w:ilvl="0" w:tplc="8B88430C">
      <w:start w:val="1"/>
      <w:numFmt w:val="decimal"/>
      <w:lvlText w:val="%1."/>
      <w:lvlJc w:val="left"/>
      <w:pPr>
        <w:ind w:left="179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nsid w:val="0D9C3BA7"/>
    <w:multiLevelType w:val="multilevel"/>
    <w:tmpl w:val="6DBC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63190"/>
    <w:multiLevelType w:val="hybridMultilevel"/>
    <w:tmpl w:val="3B8E2C24"/>
    <w:lvl w:ilvl="0" w:tplc="D4185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CE4C61"/>
    <w:multiLevelType w:val="hybridMultilevel"/>
    <w:tmpl w:val="7ACC42E0"/>
    <w:lvl w:ilvl="0" w:tplc="1A58E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EB0DDA"/>
    <w:multiLevelType w:val="hybridMultilevel"/>
    <w:tmpl w:val="554A85B8"/>
    <w:lvl w:ilvl="0" w:tplc="15BE9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E17AA5"/>
    <w:multiLevelType w:val="hybridMultilevel"/>
    <w:tmpl w:val="1E68CB24"/>
    <w:lvl w:ilvl="0" w:tplc="131EA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446F24"/>
    <w:multiLevelType w:val="hybridMultilevel"/>
    <w:tmpl w:val="6E344E9C"/>
    <w:lvl w:ilvl="0" w:tplc="DFBA9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31A3A"/>
    <w:multiLevelType w:val="hybridMultilevel"/>
    <w:tmpl w:val="6AA009DA"/>
    <w:lvl w:ilvl="0" w:tplc="5ED443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CD7E5A"/>
    <w:multiLevelType w:val="hybridMultilevel"/>
    <w:tmpl w:val="E744E0FA"/>
    <w:lvl w:ilvl="0" w:tplc="C2EEDFC4">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1">
    <w:nsid w:val="427C5EDA"/>
    <w:multiLevelType w:val="hybridMultilevel"/>
    <w:tmpl w:val="32C633CC"/>
    <w:lvl w:ilvl="0" w:tplc="625860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513937"/>
    <w:multiLevelType w:val="hybridMultilevel"/>
    <w:tmpl w:val="1E68CB24"/>
    <w:lvl w:ilvl="0" w:tplc="131EA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3F395E"/>
    <w:multiLevelType w:val="hybridMultilevel"/>
    <w:tmpl w:val="58F40480"/>
    <w:lvl w:ilvl="0" w:tplc="A394D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6B3E6B"/>
    <w:multiLevelType w:val="hybridMultilevel"/>
    <w:tmpl w:val="838878E8"/>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nsid w:val="4CAC2C9E"/>
    <w:multiLevelType w:val="hybridMultilevel"/>
    <w:tmpl w:val="1E06206A"/>
    <w:lvl w:ilvl="0" w:tplc="723AA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39222F"/>
    <w:multiLevelType w:val="hybridMultilevel"/>
    <w:tmpl w:val="02E6A4F8"/>
    <w:lvl w:ilvl="0" w:tplc="E2020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A879A6"/>
    <w:multiLevelType w:val="hybridMultilevel"/>
    <w:tmpl w:val="1CE4CEC8"/>
    <w:lvl w:ilvl="0" w:tplc="F8BA8F1E">
      <w:start w:val="1"/>
      <w:numFmt w:val="upperLetter"/>
      <w:pStyle w:val="TableofContents2"/>
      <w:lvlText w:val="%1."/>
      <w:lvlJc w:val="left"/>
      <w:pPr>
        <w:ind w:left="1080" w:hanging="360"/>
      </w:pPr>
      <w:rPr>
        <w:rFonts w:hint="default"/>
      </w:rPr>
    </w:lvl>
    <w:lvl w:ilvl="1" w:tplc="5B6CA42E">
      <w:start w:val="1"/>
      <w:numFmt w:val="decimal"/>
      <w:pStyle w:val="TableofContents3"/>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C0584E"/>
    <w:multiLevelType w:val="hybridMultilevel"/>
    <w:tmpl w:val="78607080"/>
    <w:lvl w:ilvl="0" w:tplc="F8FA34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E014A0"/>
    <w:multiLevelType w:val="multilevel"/>
    <w:tmpl w:val="EFC4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34066C"/>
    <w:multiLevelType w:val="multilevel"/>
    <w:tmpl w:val="3730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68608D"/>
    <w:multiLevelType w:val="hybridMultilevel"/>
    <w:tmpl w:val="86EC8100"/>
    <w:lvl w:ilvl="0" w:tplc="7B7E1AAC">
      <w:start w:val="1"/>
      <w:numFmt w:val="upperRoman"/>
      <w:pStyle w:val="TableofContents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67074F"/>
    <w:multiLevelType w:val="hybridMultilevel"/>
    <w:tmpl w:val="DFC2BF82"/>
    <w:lvl w:ilvl="0" w:tplc="937EB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15"/>
  </w:num>
  <w:num w:numId="4">
    <w:abstractNumId w:val="21"/>
  </w:num>
  <w:num w:numId="5">
    <w:abstractNumId w:val="1"/>
  </w:num>
  <w:num w:numId="6">
    <w:abstractNumId w:val="4"/>
  </w:num>
  <w:num w:numId="7">
    <w:abstractNumId w:val="7"/>
  </w:num>
  <w:num w:numId="8">
    <w:abstractNumId w:val="6"/>
  </w:num>
  <w:num w:numId="9">
    <w:abstractNumId w:val="10"/>
  </w:num>
  <w:num w:numId="10">
    <w:abstractNumId w:val="22"/>
  </w:num>
  <w:num w:numId="11">
    <w:abstractNumId w:val="5"/>
  </w:num>
  <w:num w:numId="12">
    <w:abstractNumId w:val="12"/>
  </w:num>
  <w:num w:numId="13">
    <w:abstractNumId w:val="3"/>
  </w:num>
  <w:num w:numId="14">
    <w:abstractNumId w:val="9"/>
  </w:num>
  <w:num w:numId="15">
    <w:abstractNumId w:val="17"/>
  </w:num>
  <w:num w:numId="16">
    <w:abstractNumId w:val="19"/>
  </w:num>
  <w:num w:numId="17">
    <w:abstractNumId w:val="2"/>
  </w:num>
  <w:num w:numId="18">
    <w:abstractNumId w:val="13"/>
  </w:num>
  <w:num w:numId="19">
    <w:abstractNumId w:val="16"/>
  </w:num>
  <w:num w:numId="20">
    <w:abstractNumId w:val="18"/>
  </w:num>
  <w:num w:numId="21">
    <w:abstractNumId w:val="8"/>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20"/>
  </w:num>
  <w:num w:numId="27">
    <w:abstractNumId w:val="17"/>
    <w:lvlOverride w:ilvl="0">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D3"/>
    <w:rsid w:val="0000016E"/>
    <w:rsid w:val="00002E93"/>
    <w:rsid w:val="0000397F"/>
    <w:rsid w:val="00004AD8"/>
    <w:rsid w:val="00004C18"/>
    <w:rsid w:val="00010855"/>
    <w:rsid w:val="00013315"/>
    <w:rsid w:val="000136D0"/>
    <w:rsid w:val="000165F8"/>
    <w:rsid w:val="0003015F"/>
    <w:rsid w:val="00031D0E"/>
    <w:rsid w:val="00032252"/>
    <w:rsid w:val="00034478"/>
    <w:rsid w:val="00035CF1"/>
    <w:rsid w:val="000412D2"/>
    <w:rsid w:val="000434A0"/>
    <w:rsid w:val="0004514D"/>
    <w:rsid w:val="000458FD"/>
    <w:rsid w:val="00045B15"/>
    <w:rsid w:val="00045FC8"/>
    <w:rsid w:val="00047F33"/>
    <w:rsid w:val="000502E6"/>
    <w:rsid w:val="0005046E"/>
    <w:rsid w:val="00050C6B"/>
    <w:rsid w:val="00050EE7"/>
    <w:rsid w:val="000520F7"/>
    <w:rsid w:val="000540CD"/>
    <w:rsid w:val="0005561E"/>
    <w:rsid w:val="00055C29"/>
    <w:rsid w:val="00056BB1"/>
    <w:rsid w:val="00057344"/>
    <w:rsid w:val="00061A25"/>
    <w:rsid w:val="00061C8C"/>
    <w:rsid w:val="00062A7B"/>
    <w:rsid w:val="0006311C"/>
    <w:rsid w:val="00071EEC"/>
    <w:rsid w:val="00072993"/>
    <w:rsid w:val="000729BE"/>
    <w:rsid w:val="0007540B"/>
    <w:rsid w:val="000756F3"/>
    <w:rsid w:val="0008596D"/>
    <w:rsid w:val="00090E4F"/>
    <w:rsid w:val="00091DB8"/>
    <w:rsid w:val="0009427B"/>
    <w:rsid w:val="00097A13"/>
    <w:rsid w:val="000A3CAF"/>
    <w:rsid w:val="000A4B30"/>
    <w:rsid w:val="000A5525"/>
    <w:rsid w:val="000A603C"/>
    <w:rsid w:val="000B3798"/>
    <w:rsid w:val="000B73C8"/>
    <w:rsid w:val="000C077F"/>
    <w:rsid w:val="000C491E"/>
    <w:rsid w:val="000C67CC"/>
    <w:rsid w:val="000D100A"/>
    <w:rsid w:val="000D5A6D"/>
    <w:rsid w:val="000D611F"/>
    <w:rsid w:val="000D6504"/>
    <w:rsid w:val="000D6566"/>
    <w:rsid w:val="000D77FF"/>
    <w:rsid w:val="000E13A0"/>
    <w:rsid w:val="000E45CE"/>
    <w:rsid w:val="000E5AB7"/>
    <w:rsid w:val="000E71A2"/>
    <w:rsid w:val="000F2FFF"/>
    <w:rsid w:val="000F376F"/>
    <w:rsid w:val="000F536E"/>
    <w:rsid w:val="00106B3A"/>
    <w:rsid w:val="0011001D"/>
    <w:rsid w:val="0011639F"/>
    <w:rsid w:val="00117695"/>
    <w:rsid w:val="00121A0D"/>
    <w:rsid w:val="00123163"/>
    <w:rsid w:val="00123C1A"/>
    <w:rsid w:val="001242A4"/>
    <w:rsid w:val="00125FFB"/>
    <w:rsid w:val="0012750C"/>
    <w:rsid w:val="00135DB1"/>
    <w:rsid w:val="00136E81"/>
    <w:rsid w:val="00140D67"/>
    <w:rsid w:val="00142154"/>
    <w:rsid w:val="001440CF"/>
    <w:rsid w:val="001459D0"/>
    <w:rsid w:val="00151E91"/>
    <w:rsid w:val="0015535C"/>
    <w:rsid w:val="00157C58"/>
    <w:rsid w:val="00161ABC"/>
    <w:rsid w:val="00163209"/>
    <w:rsid w:val="00163EC7"/>
    <w:rsid w:val="001679F0"/>
    <w:rsid w:val="00170437"/>
    <w:rsid w:val="001708D1"/>
    <w:rsid w:val="00174BF3"/>
    <w:rsid w:val="00174E2E"/>
    <w:rsid w:val="00175238"/>
    <w:rsid w:val="00184609"/>
    <w:rsid w:val="001871F9"/>
    <w:rsid w:val="00190F4C"/>
    <w:rsid w:val="00191398"/>
    <w:rsid w:val="00192CDF"/>
    <w:rsid w:val="0019580E"/>
    <w:rsid w:val="001976AE"/>
    <w:rsid w:val="001A07B4"/>
    <w:rsid w:val="001A4756"/>
    <w:rsid w:val="001B2E34"/>
    <w:rsid w:val="001B4FB0"/>
    <w:rsid w:val="001B6F80"/>
    <w:rsid w:val="001C0732"/>
    <w:rsid w:val="001C0813"/>
    <w:rsid w:val="001C2596"/>
    <w:rsid w:val="001C2CE8"/>
    <w:rsid w:val="001C66BF"/>
    <w:rsid w:val="001D5CBB"/>
    <w:rsid w:val="001D6CD2"/>
    <w:rsid w:val="001E038D"/>
    <w:rsid w:val="001E4497"/>
    <w:rsid w:val="001E4F9E"/>
    <w:rsid w:val="001F1389"/>
    <w:rsid w:val="001F4FB4"/>
    <w:rsid w:val="001F5B93"/>
    <w:rsid w:val="0020259E"/>
    <w:rsid w:val="0020736A"/>
    <w:rsid w:val="00207A6B"/>
    <w:rsid w:val="00212769"/>
    <w:rsid w:val="00212E72"/>
    <w:rsid w:val="002174FA"/>
    <w:rsid w:val="002263AC"/>
    <w:rsid w:val="00230598"/>
    <w:rsid w:val="0023191F"/>
    <w:rsid w:val="00233F28"/>
    <w:rsid w:val="00235399"/>
    <w:rsid w:val="002433CE"/>
    <w:rsid w:val="002435FA"/>
    <w:rsid w:val="00251136"/>
    <w:rsid w:val="00251FDE"/>
    <w:rsid w:val="00254019"/>
    <w:rsid w:val="0026207D"/>
    <w:rsid w:val="002625B0"/>
    <w:rsid w:val="002677AA"/>
    <w:rsid w:val="00267806"/>
    <w:rsid w:val="002700B9"/>
    <w:rsid w:val="00274191"/>
    <w:rsid w:val="00276F9F"/>
    <w:rsid w:val="00277C0C"/>
    <w:rsid w:val="00280259"/>
    <w:rsid w:val="002830FF"/>
    <w:rsid w:val="002857BB"/>
    <w:rsid w:val="002936D8"/>
    <w:rsid w:val="00294792"/>
    <w:rsid w:val="00294C44"/>
    <w:rsid w:val="00295006"/>
    <w:rsid w:val="0029714F"/>
    <w:rsid w:val="002A045F"/>
    <w:rsid w:val="002A24E3"/>
    <w:rsid w:val="002A475D"/>
    <w:rsid w:val="002A4DA0"/>
    <w:rsid w:val="002A5D06"/>
    <w:rsid w:val="002A703F"/>
    <w:rsid w:val="002B01BB"/>
    <w:rsid w:val="002B3103"/>
    <w:rsid w:val="002B5355"/>
    <w:rsid w:val="002B7FAE"/>
    <w:rsid w:val="002C03D5"/>
    <w:rsid w:val="002C3665"/>
    <w:rsid w:val="002C3A95"/>
    <w:rsid w:val="002C5048"/>
    <w:rsid w:val="002C6044"/>
    <w:rsid w:val="002D0944"/>
    <w:rsid w:val="002D0A77"/>
    <w:rsid w:val="002D13A9"/>
    <w:rsid w:val="002D54CD"/>
    <w:rsid w:val="002E0177"/>
    <w:rsid w:val="002E0D1C"/>
    <w:rsid w:val="002E1795"/>
    <w:rsid w:val="002E1B24"/>
    <w:rsid w:val="002E330B"/>
    <w:rsid w:val="002E53CA"/>
    <w:rsid w:val="002E7855"/>
    <w:rsid w:val="002F128D"/>
    <w:rsid w:val="002F4633"/>
    <w:rsid w:val="002F4CB7"/>
    <w:rsid w:val="002F59F2"/>
    <w:rsid w:val="002F66F3"/>
    <w:rsid w:val="00311831"/>
    <w:rsid w:val="00311908"/>
    <w:rsid w:val="00311EA4"/>
    <w:rsid w:val="00314AF1"/>
    <w:rsid w:val="0032173F"/>
    <w:rsid w:val="003273AD"/>
    <w:rsid w:val="00330834"/>
    <w:rsid w:val="00335AFB"/>
    <w:rsid w:val="0034033A"/>
    <w:rsid w:val="00340B07"/>
    <w:rsid w:val="00341696"/>
    <w:rsid w:val="003420B7"/>
    <w:rsid w:val="00345032"/>
    <w:rsid w:val="00345E9A"/>
    <w:rsid w:val="003473C2"/>
    <w:rsid w:val="00347B56"/>
    <w:rsid w:val="0035195C"/>
    <w:rsid w:val="00354209"/>
    <w:rsid w:val="00355655"/>
    <w:rsid w:val="003558DA"/>
    <w:rsid w:val="00355B1E"/>
    <w:rsid w:val="00361B31"/>
    <w:rsid w:val="003632CE"/>
    <w:rsid w:val="003671A4"/>
    <w:rsid w:val="00376D08"/>
    <w:rsid w:val="00380108"/>
    <w:rsid w:val="0038019D"/>
    <w:rsid w:val="00382595"/>
    <w:rsid w:val="00392031"/>
    <w:rsid w:val="00392EDA"/>
    <w:rsid w:val="0039579F"/>
    <w:rsid w:val="003970FB"/>
    <w:rsid w:val="003A09E8"/>
    <w:rsid w:val="003A17DC"/>
    <w:rsid w:val="003A24C9"/>
    <w:rsid w:val="003A5464"/>
    <w:rsid w:val="003B1FE8"/>
    <w:rsid w:val="003B23BB"/>
    <w:rsid w:val="003B4A3F"/>
    <w:rsid w:val="003B5311"/>
    <w:rsid w:val="003C2AF9"/>
    <w:rsid w:val="003C3B74"/>
    <w:rsid w:val="003C3B7B"/>
    <w:rsid w:val="003C440A"/>
    <w:rsid w:val="003C7F64"/>
    <w:rsid w:val="003D0ABF"/>
    <w:rsid w:val="003D0FAC"/>
    <w:rsid w:val="003E7998"/>
    <w:rsid w:val="003F1BD3"/>
    <w:rsid w:val="003F3F74"/>
    <w:rsid w:val="00401A47"/>
    <w:rsid w:val="0040480B"/>
    <w:rsid w:val="00405718"/>
    <w:rsid w:val="0040589E"/>
    <w:rsid w:val="004070AE"/>
    <w:rsid w:val="0042021F"/>
    <w:rsid w:val="00420D07"/>
    <w:rsid w:val="004217C8"/>
    <w:rsid w:val="0042221D"/>
    <w:rsid w:val="00425F65"/>
    <w:rsid w:val="004272A0"/>
    <w:rsid w:val="00427420"/>
    <w:rsid w:val="00431D05"/>
    <w:rsid w:val="00431D9B"/>
    <w:rsid w:val="004328B8"/>
    <w:rsid w:val="00432F3A"/>
    <w:rsid w:val="00433991"/>
    <w:rsid w:val="00433F51"/>
    <w:rsid w:val="00434917"/>
    <w:rsid w:val="004420B3"/>
    <w:rsid w:val="0044453F"/>
    <w:rsid w:val="00444F29"/>
    <w:rsid w:val="004453F8"/>
    <w:rsid w:val="00445B74"/>
    <w:rsid w:val="00445CFB"/>
    <w:rsid w:val="004528BD"/>
    <w:rsid w:val="004535F3"/>
    <w:rsid w:val="004634E8"/>
    <w:rsid w:val="004640CD"/>
    <w:rsid w:val="004668EB"/>
    <w:rsid w:val="004737CC"/>
    <w:rsid w:val="00475088"/>
    <w:rsid w:val="0047561E"/>
    <w:rsid w:val="00477580"/>
    <w:rsid w:val="00477D8D"/>
    <w:rsid w:val="004815F3"/>
    <w:rsid w:val="00481900"/>
    <w:rsid w:val="00481D73"/>
    <w:rsid w:val="00484FAF"/>
    <w:rsid w:val="004866CC"/>
    <w:rsid w:val="004877D0"/>
    <w:rsid w:val="004963EE"/>
    <w:rsid w:val="004A060A"/>
    <w:rsid w:val="004A3725"/>
    <w:rsid w:val="004A747A"/>
    <w:rsid w:val="004B3851"/>
    <w:rsid w:val="004B3CB8"/>
    <w:rsid w:val="004B447D"/>
    <w:rsid w:val="004B4E8D"/>
    <w:rsid w:val="004B55BF"/>
    <w:rsid w:val="004C0008"/>
    <w:rsid w:val="004C2457"/>
    <w:rsid w:val="004C2A4A"/>
    <w:rsid w:val="004C35FD"/>
    <w:rsid w:val="004C383E"/>
    <w:rsid w:val="004C4F40"/>
    <w:rsid w:val="004C5950"/>
    <w:rsid w:val="004C72E3"/>
    <w:rsid w:val="004C749D"/>
    <w:rsid w:val="004C75DA"/>
    <w:rsid w:val="004D0152"/>
    <w:rsid w:val="004D2173"/>
    <w:rsid w:val="004D43B3"/>
    <w:rsid w:val="004D5AF2"/>
    <w:rsid w:val="004E218B"/>
    <w:rsid w:val="004F29AB"/>
    <w:rsid w:val="005032A9"/>
    <w:rsid w:val="00506854"/>
    <w:rsid w:val="00510D0C"/>
    <w:rsid w:val="005135CC"/>
    <w:rsid w:val="005142D2"/>
    <w:rsid w:val="0051481D"/>
    <w:rsid w:val="00514EC4"/>
    <w:rsid w:val="00517CA7"/>
    <w:rsid w:val="0052127D"/>
    <w:rsid w:val="0052165E"/>
    <w:rsid w:val="0052416D"/>
    <w:rsid w:val="005305DA"/>
    <w:rsid w:val="005330D1"/>
    <w:rsid w:val="00535BBA"/>
    <w:rsid w:val="00537381"/>
    <w:rsid w:val="005404A3"/>
    <w:rsid w:val="00542801"/>
    <w:rsid w:val="00544B5A"/>
    <w:rsid w:val="00546577"/>
    <w:rsid w:val="00547A60"/>
    <w:rsid w:val="005531A7"/>
    <w:rsid w:val="005637E4"/>
    <w:rsid w:val="00563AA1"/>
    <w:rsid w:val="00565BF8"/>
    <w:rsid w:val="00566057"/>
    <w:rsid w:val="00567CE6"/>
    <w:rsid w:val="00572E8C"/>
    <w:rsid w:val="00572F2A"/>
    <w:rsid w:val="00573468"/>
    <w:rsid w:val="00573C4E"/>
    <w:rsid w:val="0057730D"/>
    <w:rsid w:val="00577D54"/>
    <w:rsid w:val="00582F08"/>
    <w:rsid w:val="00585D29"/>
    <w:rsid w:val="00590980"/>
    <w:rsid w:val="005912CB"/>
    <w:rsid w:val="005926E1"/>
    <w:rsid w:val="00597D95"/>
    <w:rsid w:val="005A083A"/>
    <w:rsid w:val="005A2BD5"/>
    <w:rsid w:val="005A2C92"/>
    <w:rsid w:val="005A4C9E"/>
    <w:rsid w:val="005A7353"/>
    <w:rsid w:val="005B12F6"/>
    <w:rsid w:val="005B20DC"/>
    <w:rsid w:val="005B2B7A"/>
    <w:rsid w:val="005B4159"/>
    <w:rsid w:val="005B4F35"/>
    <w:rsid w:val="005B7130"/>
    <w:rsid w:val="005B71A1"/>
    <w:rsid w:val="005B7DFE"/>
    <w:rsid w:val="005C307A"/>
    <w:rsid w:val="005C34B0"/>
    <w:rsid w:val="005C6502"/>
    <w:rsid w:val="005D143E"/>
    <w:rsid w:val="005D5938"/>
    <w:rsid w:val="005D5D7F"/>
    <w:rsid w:val="005D7EB6"/>
    <w:rsid w:val="005E0BD2"/>
    <w:rsid w:val="005E619A"/>
    <w:rsid w:val="005F0637"/>
    <w:rsid w:val="005F092F"/>
    <w:rsid w:val="005F2E2F"/>
    <w:rsid w:val="005F470A"/>
    <w:rsid w:val="005F707D"/>
    <w:rsid w:val="00600864"/>
    <w:rsid w:val="00600C82"/>
    <w:rsid w:val="0060790F"/>
    <w:rsid w:val="00607FF4"/>
    <w:rsid w:val="00610682"/>
    <w:rsid w:val="00610E26"/>
    <w:rsid w:val="00613CE4"/>
    <w:rsid w:val="006158FE"/>
    <w:rsid w:val="006165C9"/>
    <w:rsid w:val="0062138B"/>
    <w:rsid w:val="00621C48"/>
    <w:rsid w:val="00623267"/>
    <w:rsid w:val="00624F12"/>
    <w:rsid w:val="006252D3"/>
    <w:rsid w:val="00625F4C"/>
    <w:rsid w:val="0063048E"/>
    <w:rsid w:val="00632093"/>
    <w:rsid w:val="0063220D"/>
    <w:rsid w:val="00637831"/>
    <w:rsid w:val="00641423"/>
    <w:rsid w:val="00641CE2"/>
    <w:rsid w:val="006427C1"/>
    <w:rsid w:val="00651A1B"/>
    <w:rsid w:val="00652B68"/>
    <w:rsid w:val="0065303A"/>
    <w:rsid w:val="006547B9"/>
    <w:rsid w:val="006610AA"/>
    <w:rsid w:val="00663F6C"/>
    <w:rsid w:val="0066721A"/>
    <w:rsid w:val="00673080"/>
    <w:rsid w:val="00674F60"/>
    <w:rsid w:val="00676526"/>
    <w:rsid w:val="00687CF4"/>
    <w:rsid w:val="006A063E"/>
    <w:rsid w:val="006A3223"/>
    <w:rsid w:val="006A3740"/>
    <w:rsid w:val="006B0829"/>
    <w:rsid w:val="006B3A86"/>
    <w:rsid w:val="006B40B8"/>
    <w:rsid w:val="006B753F"/>
    <w:rsid w:val="006C100C"/>
    <w:rsid w:val="006C62EB"/>
    <w:rsid w:val="006C774B"/>
    <w:rsid w:val="006D0EA0"/>
    <w:rsid w:val="006D496C"/>
    <w:rsid w:val="006D5C8C"/>
    <w:rsid w:val="006E14A7"/>
    <w:rsid w:val="006E1856"/>
    <w:rsid w:val="006E1897"/>
    <w:rsid w:val="006E1B99"/>
    <w:rsid w:val="006E24B3"/>
    <w:rsid w:val="006E4CA1"/>
    <w:rsid w:val="006E6F24"/>
    <w:rsid w:val="006F0572"/>
    <w:rsid w:val="006F274D"/>
    <w:rsid w:val="006F2EAE"/>
    <w:rsid w:val="006F3E28"/>
    <w:rsid w:val="006F4976"/>
    <w:rsid w:val="006F7E81"/>
    <w:rsid w:val="007005FF"/>
    <w:rsid w:val="0071461C"/>
    <w:rsid w:val="007148C2"/>
    <w:rsid w:val="0071562B"/>
    <w:rsid w:val="007156C5"/>
    <w:rsid w:val="00715CE0"/>
    <w:rsid w:val="00716D70"/>
    <w:rsid w:val="00720D7D"/>
    <w:rsid w:val="00721AE2"/>
    <w:rsid w:val="007246E0"/>
    <w:rsid w:val="0072546D"/>
    <w:rsid w:val="0072661B"/>
    <w:rsid w:val="00726B9D"/>
    <w:rsid w:val="00730AEC"/>
    <w:rsid w:val="007358E0"/>
    <w:rsid w:val="00736B35"/>
    <w:rsid w:val="00740933"/>
    <w:rsid w:val="00740E5E"/>
    <w:rsid w:val="007429FA"/>
    <w:rsid w:val="00743668"/>
    <w:rsid w:val="00743E34"/>
    <w:rsid w:val="007470D6"/>
    <w:rsid w:val="00747414"/>
    <w:rsid w:val="007475FE"/>
    <w:rsid w:val="00750AAF"/>
    <w:rsid w:val="00754607"/>
    <w:rsid w:val="007601C5"/>
    <w:rsid w:val="00760406"/>
    <w:rsid w:val="007658A9"/>
    <w:rsid w:val="0076790D"/>
    <w:rsid w:val="00771490"/>
    <w:rsid w:val="00776D18"/>
    <w:rsid w:val="00781EBD"/>
    <w:rsid w:val="007860F1"/>
    <w:rsid w:val="0079053C"/>
    <w:rsid w:val="0079081F"/>
    <w:rsid w:val="00791F41"/>
    <w:rsid w:val="0079371D"/>
    <w:rsid w:val="0079423B"/>
    <w:rsid w:val="007A29B2"/>
    <w:rsid w:val="007A34F7"/>
    <w:rsid w:val="007A6323"/>
    <w:rsid w:val="007B1D12"/>
    <w:rsid w:val="007B2411"/>
    <w:rsid w:val="007B57AF"/>
    <w:rsid w:val="007C2619"/>
    <w:rsid w:val="007D19ED"/>
    <w:rsid w:val="007D2AB0"/>
    <w:rsid w:val="007D403C"/>
    <w:rsid w:val="007D5521"/>
    <w:rsid w:val="007D6F50"/>
    <w:rsid w:val="007E0CCC"/>
    <w:rsid w:val="007E3E5F"/>
    <w:rsid w:val="007F0851"/>
    <w:rsid w:val="007F1426"/>
    <w:rsid w:val="007F179B"/>
    <w:rsid w:val="007F311D"/>
    <w:rsid w:val="007F3FD5"/>
    <w:rsid w:val="007F4435"/>
    <w:rsid w:val="008019A6"/>
    <w:rsid w:val="00802504"/>
    <w:rsid w:val="00805B0D"/>
    <w:rsid w:val="00807256"/>
    <w:rsid w:val="00807986"/>
    <w:rsid w:val="00813320"/>
    <w:rsid w:val="00817089"/>
    <w:rsid w:val="0082009B"/>
    <w:rsid w:val="00824685"/>
    <w:rsid w:val="00825667"/>
    <w:rsid w:val="008262FC"/>
    <w:rsid w:val="008337F2"/>
    <w:rsid w:val="00835192"/>
    <w:rsid w:val="00836C62"/>
    <w:rsid w:val="00837A31"/>
    <w:rsid w:val="008418EF"/>
    <w:rsid w:val="00842B20"/>
    <w:rsid w:val="008432BC"/>
    <w:rsid w:val="00845EEA"/>
    <w:rsid w:val="00846BE7"/>
    <w:rsid w:val="00851FBB"/>
    <w:rsid w:val="0086520B"/>
    <w:rsid w:val="00876ACB"/>
    <w:rsid w:val="008804D2"/>
    <w:rsid w:val="00885161"/>
    <w:rsid w:val="00890D2E"/>
    <w:rsid w:val="00891340"/>
    <w:rsid w:val="008932D5"/>
    <w:rsid w:val="00893E90"/>
    <w:rsid w:val="00894353"/>
    <w:rsid w:val="0089532E"/>
    <w:rsid w:val="00895A0E"/>
    <w:rsid w:val="008972A7"/>
    <w:rsid w:val="008973CD"/>
    <w:rsid w:val="008A0692"/>
    <w:rsid w:val="008A2155"/>
    <w:rsid w:val="008A21F3"/>
    <w:rsid w:val="008A434F"/>
    <w:rsid w:val="008A6061"/>
    <w:rsid w:val="008A79EE"/>
    <w:rsid w:val="008B198A"/>
    <w:rsid w:val="008B4B3E"/>
    <w:rsid w:val="008B4FB0"/>
    <w:rsid w:val="008C05A9"/>
    <w:rsid w:val="008C1573"/>
    <w:rsid w:val="008C5A85"/>
    <w:rsid w:val="008C7642"/>
    <w:rsid w:val="008D5259"/>
    <w:rsid w:val="008E10CA"/>
    <w:rsid w:val="008E4A64"/>
    <w:rsid w:val="008E5BD1"/>
    <w:rsid w:val="008F26AE"/>
    <w:rsid w:val="008F2A63"/>
    <w:rsid w:val="009006A6"/>
    <w:rsid w:val="00900C54"/>
    <w:rsid w:val="0090193B"/>
    <w:rsid w:val="00902D32"/>
    <w:rsid w:val="00903107"/>
    <w:rsid w:val="00904E7F"/>
    <w:rsid w:val="009100D2"/>
    <w:rsid w:val="00910E61"/>
    <w:rsid w:val="0091255C"/>
    <w:rsid w:val="00914926"/>
    <w:rsid w:val="009152B5"/>
    <w:rsid w:val="00921231"/>
    <w:rsid w:val="0092167B"/>
    <w:rsid w:val="00921B11"/>
    <w:rsid w:val="009226E3"/>
    <w:rsid w:val="00923CC4"/>
    <w:rsid w:val="00926046"/>
    <w:rsid w:val="00932076"/>
    <w:rsid w:val="00933187"/>
    <w:rsid w:val="00933775"/>
    <w:rsid w:val="00937E38"/>
    <w:rsid w:val="00942A9E"/>
    <w:rsid w:val="009431B5"/>
    <w:rsid w:val="00945487"/>
    <w:rsid w:val="00947464"/>
    <w:rsid w:val="00947AF6"/>
    <w:rsid w:val="009509EA"/>
    <w:rsid w:val="00950F12"/>
    <w:rsid w:val="00950F2E"/>
    <w:rsid w:val="00950F94"/>
    <w:rsid w:val="0095108F"/>
    <w:rsid w:val="009515A0"/>
    <w:rsid w:val="00951A21"/>
    <w:rsid w:val="00952D31"/>
    <w:rsid w:val="00954C95"/>
    <w:rsid w:val="00954EF9"/>
    <w:rsid w:val="00957C1D"/>
    <w:rsid w:val="009605E0"/>
    <w:rsid w:val="00961723"/>
    <w:rsid w:val="009617EC"/>
    <w:rsid w:val="00961A6D"/>
    <w:rsid w:val="00961C57"/>
    <w:rsid w:val="00961CA6"/>
    <w:rsid w:val="0096395A"/>
    <w:rsid w:val="00967619"/>
    <w:rsid w:val="00972965"/>
    <w:rsid w:val="00972EDA"/>
    <w:rsid w:val="0097384F"/>
    <w:rsid w:val="009738B7"/>
    <w:rsid w:val="00975EF0"/>
    <w:rsid w:val="00981238"/>
    <w:rsid w:val="0098546A"/>
    <w:rsid w:val="00986F26"/>
    <w:rsid w:val="00990CA2"/>
    <w:rsid w:val="0099255C"/>
    <w:rsid w:val="00993538"/>
    <w:rsid w:val="00994464"/>
    <w:rsid w:val="009969C8"/>
    <w:rsid w:val="00997758"/>
    <w:rsid w:val="00997C3B"/>
    <w:rsid w:val="009A0B97"/>
    <w:rsid w:val="009A3369"/>
    <w:rsid w:val="009A69A0"/>
    <w:rsid w:val="009A7AF4"/>
    <w:rsid w:val="009B0A77"/>
    <w:rsid w:val="009B12B6"/>
    <w:rsid w:val="009B362F"/>
    <w:rsid w:val="009B4183"/>
    <w:rsid w:val="009B5A72"/>
    <w:rsid w:val="009C563D"/>
    <w:rsid w:val="009D63AC"/>
    <w:rsid w:val="009D75AF"/>
    <w:rsid w:val="009E668C"/>
    <w:rsid w:val="009F454C"/>
    <w:rsid w:val="009F6558"/>
    <w:rsid w:val="00A0259E"/>
    <w:rsid w:val="00A04FAD"/>
    <w:rsid w:val="00A115D5"/>
    <w:rsid w:val="00A12304"/>
    <w:rsid w:val="00A14185"/>
    <w:rsid w:val="00A15E9B"/>
    <w:rsid w:val="00A17B0A"/>
    <w:rsid w:val="00A20913"/>
    <w:rsid w:val="00A23127"/>
    <w:rsid w:val="00A25406"/>
    <w:rsid w:val="00A2773E"/>
    <w:rsid w:val="00A33F84"/>
    <w:rsid w:val="00A37648"/>
    <w:rsid w:val="00A403E4"/>
    <w:rsid w:val="00A43B85"/>
    <w:rsid w:val="00A4415B"/>
    <w:rsid w:val="00A44CCF"/>
    <w:rsid w:val="00A47703"/>
    <w:rsid w:val="00A516E3"/>
    <w:rsid w:val="00A53408"/>
    <w:rsid w:val="00A537AC"/>
    <w:rsid w:val="00A55246"/>
    <w:rsid w:val="00A60188"/>
    <w:rsid w:val="00A644F3"/>
    <w:rsid w:val="00A65AE2"/>
    <w:rsid w:val="00A66D83"/>
    <w:rsid w:val="00A72908"/>
    <w:rsid w:val="00A74ED2"/>
    <w:rsid w:val="00A77597"/>
    <w:rsid w:val="00A81D18"/>
    <w:rsid w:val="00A82FDA"/>
    <w:rsid w:val="00A84AE7"/>
    <w:rsid w:val="00A8563E"/>
    <w:rsid w:val="00A86BDA"/>
    <w:rsid w:val="00A871EF"/>
    <w:rsid w:val="00A87BD3"/>
    <w:rsid w:val="00A94D05"/>
    <w:rsid w:val="00A95DEE"/>
    <w:rsid w:val="00A96A46"/>
    <w:rsid w:val="00A97ABE"/>
    <w:rsid w:val="00AA1538"/>
    <w:rsid w:val="00AA31E2"/>
    <w:rsid w:val="00AA52E0"/>
    <w:rsid w:val="00AB6A1B"/>
    <w:rsid w:val="00AC0475"/>
    <w:rsid w:val="00AC3805"/>
    <w:rsid w:val="00AC3EC5"/>
    <w:rsid w:val="00AC7A7E"/>
    <w:rsid w:val="00AD4AC7"/>
    <w:rsid w:val="00AE1A34"/>
    <w:rsid w:val="00AE2C49"/>
    <w:rsid w:val="00AE3C3A"/>
    <w:rsid w:val="00AE5083"/>
    <w:rsid w:val="00AE6DA8"/>
    <w:rsid w:val="00AE7569"/>
    <w:rsid w:val="00AF43EC"/>
    <w:rsid w:val="00AF5211"/>
    <w:rsid w:val="00B003B8"/>
    <w:rsid w:val="00B107B0"/>
    <w:rsid w:val="00B15C3D"/>
    <w:rsid w:val="00B15F90"/>
    <w:rsid w:val="00B16FDD"/>
    <w:rsid w:val="00B203CE"/>
    <w:rsid w:val="00B246E0"/>
    <w:rsid w:val="00B24922"/>
    <w:rsid w:val="00B30FDC"/>
    <w:rsid w:val="00B35292"/>
    <w:rsid w:val="00B35B51"/>
    <w:rsid w:val="00B35EBD"/>
    <w:rsid w:val="00B36477"/>
    <w:rsid w:val="00B37A67"/>
    <w:rsid w:val="00B42E83"/>
    <w:rsid w:val="00B432E5"/>
    <w:rsid w:val="00B47316"/>
    <w:rsid w:val="00B47460"/>
    <w:rsid w:val="00B47D5A"/>
    <w:rsid w:val="00B51DD0"/>
    <w:rsid w:val="00B55D10"/>
    <w:rsid w:val="00B56781"/>
    <w:rsid w:val="00B56CA7"/>
    <w:rsid w:val="00B64663"/>
    <w:rsid w:val="00B6570C"/>
    <w:rsid w:val="00B745E7"/>
    <w:rsid w:val="00B7687A"/>
    <w:rsid w:val="00B77B66"/>
    <w:rsid w:val="00B80625"/>
    <w:rsid w:val="00B80EA7"/>
    <w:rsid w:val="00B8183D"/>
    <w:rsid w:val="00B81984"/>
    <w:rsid w:val="00B832C6"/>
    <w:rsid w:val="00B833CC"/>
    <w:rsid w:val="00B8454A"/>
    <w:rsid w:val="00B92CFD"/>
    <w:rsid w:val="00B9592C"/>
    <w:rsid w:val="00B96DFB"/>
    <w:rsid w:val="00B97655"/>
    <w:rsid w:val="00B977C5"/>
    <w:rsid w:val="00BA06E1"/>
    <w:rsid w:val="00BA07DD"/>
    <w:rsid w:val="00BA1B3E"/>
    <w:rsid w:val="00BA44F5"/>
    <w:rsid w:val="00BA65EE"/>
    <w:rsid w:val="00BB11A2"/>
    <w:rsid w:val="00BB12AD"/>
    <w:rsid w:val="00BB1CD6"/>
    <w:rsid w:val="00BB65FD"/>
    <w:rsid w:val="00BB6C4E"/>
    <w:rsid w:val="00BC398F"/>
    <w:rsid w:val="00BC4D0E"/>
    <w:rsid w:val="00BC6894"/>
    <w:rsid w:val="00BD242E"/>
    <w:rsid w:val="00BD5B43"/>
    <w:rsid w:val="00BD7758"/>
    <w:rsid w:val="00BE0479"/>
    <w:rsid w:val="00BF3196"/>
    <w:rsid w:val="00BF62EB"/>
    <w:rsid w:val="00BF66E7"/>
    <w:rsid w:val="00BF7B94"/>
    <w:rsid w:val="00C00664"/>
    <w:rsid w:val="00C01365"/>
    <w:rsid w:val="00C0232A"/>
    <w:rsid w:val="00C03FE9"/>
    <w:rsid w:val="00C04781"/>
    <w:rsid w:val="00C04E05"/>
    <w:rsid w:val="00C06580"/>
    <w:rsid w:val="00C06E2B"/>
    <w:rsid w:val="00C11175"/>
    <w:rsid w:val="00C113EF"/>
    <w:rsid w:val="00C12F5C"/>
    <w:rsid w:val="00C14C30"/>
    <w:rsid w:val="00C15DE7"/>
    <w:rsid w:val="00C20AEE"/>
    <w:rsid w:val="00C23F34"/>
    <w:rsid w:val="00C243B4"/>
    <w:rsid w:val="00C24615"/>
    <w:rsid w:val="00C25E02"/>
    <w:rsid w:val="00C275A9"/>
    <w:rsid w:val="00C27849"/>
    <w:rsid w:val="00C33F9F"/>
    <w:rsid w:val="00C340DF"/>
    <w:rsid w:val="00C35206"/>
    <w:rsid w:val="00C40BAC"/>
    <w:rsid w:val="00C47505"/>
    <w:rsid w:val="00C531F5"/>
    <w:rsid w:val="00C5457A"/>
    <w:rsid w:val="00C55159"/>
    <w:rsid w:val="00C56D72"/>
    <w:rsid w:val="00C655FB"/>
    <w:rsid w:val="00C700BF"/>
    <w:rsid w:val="00C71F12"/>
    <w:rsid w:val="00C76816"/>
    <w:rsid w:val="00C851B5"/>
    <w:rsid w:val="00C87EAA"/>
    <w:rsid w:val="00C919C5"/>
    <w:rsid w:val="00C93A66"/>
    <w:rsid w:val="00C94A84"/>
    <w:rsid w:val="00CB63EB"/>
    <w:rsid w:val="00CB725F"/>
    <w:rsid w:val="00CC095F"/>
    <w:rsid w:val="00CC2191"/>
    <w:rsid w:val="00CC3564"/>
    <w:rsid w:val="00CC3900"/>
    <w:rsid w:val="00CC3FC3"/>
    <w:rsid w:val="00CC75BC"/>
    <w:rsid w:val="00CD1413"/>
    <w:rsid w:val="00CD1B46"/>
    <w:rsid w:val="00CD28CB"/>
    <w:rsid w:val="00CD3709"/>
    <w:rsid w:val="00CD4654"/>
    <w:rsid w:val="00CD4B17"/>
    <w:rsid w:val="00CE0CA8"/>
    <w:rsid w:val="00CE1BE6"/>
    <w:rsid w:val="00CE427F"/>
    <w:rsid w:val="00CF1F04"/>
    <w:rsid w:val="00D00F5E"/>
    <w:rsid w:val="00D03836"/>
    <w:rsid w:val="00D04D13"/>
    <w:rsid w:val="00D05274"/>
    <w:rsid w:val="00D112C5"/>
    <w:rsid w:val="00D11876"/>
    <w:rsid w:val="00D148CD"/>
    <w:rsid w:val="00D16CB2"/>
    <w:rsid w:val="00D2097F"/>
    <w:rsid w:val="00D223E0"/>
    <w:rsid w:val="00D26B1C"/>
    <w:rsid w:val="00D3235F"/>
    <w:rsid w:val="00D34B00"/>
    <w:rsid w:val="00D355DA"/>
    <w:rsid w:val="00D5098D"/>
    <w:rsid w:val="00D50C66"/>
    <w:rsid w:val="00D52F3F"/>
    <w:rsid w:val="00D54F37"/>
    <w:rsid w:val="00D57BFA"/>
    <w:rsid w:val="00D636CC"/>
    <w:rsid w:val="00D70B06"/>
    <w:rsid w:val="00D719AC"/>
    <w:rsid w:val="00D735FB"/>
    <w:rsid w:val="00D75936"/>
    <w:rsid w:val="00D90418"/>
    <w:rsid w:val="00D93CD1"/>
    <w:rsid w:val="00D953E8"/>
    <w:rsid w:val="00DA3BD4"/>
    <w:rsid w:val="00DA3D81"/>
    <w:rsid w:val="00DA4D5D"/>
    <w:rsid w:val="00DB1DF9"/>
    <w:rsid w:val="00DB5902"/>
    <w:rsid w:val="00DB775E"/>
    <w:rsid w:val="00DC2EA1"/>
    <w:rsid w:val="00DC4119"/>
    <w:rsid w:val="00DD1798"/>
    <w:rsid w:val="00DD3D85"/>
    <w:rsid w:val="00DD504A"/>
    <w:rsid w:val="00DD7610"/>
    <w:rsid w:val="00DD7804"/>
    <w:rsid w:val="00DE28E6"/>
    <w:rsid w:val="00DE4025"/>
    <w:rsid w:val="00DE4449"/>
    <w:rsid w:val="00DE57CA"/>
    <w:rsid w:val="00DF1068"/>
    <w:rsid w:val="00DF40D7"/>
    <w:rsid w:val="00E0069D"/>
    <w:rsid w:val="00E016DE"/>
    <w:rsid w:val="00E0385C"/>
    <w:rsid w:val="00E03FB9"/>
    <w:rsid w:val="00E05375"/>
    <w:rsid w:val="00E05D33"/>
    <w:rsid w:val="00E117FD"/>
    <w:rsid w:val="00E11D9A"/>
    <w:rsid w:val="00E161D5"/>
    <w:rsid w:val="00E1666A"/>
    <w:rsid w:val="00E252BF"/>
    <w:rsid w:val="00E2559B"/>
    <w:rsid w:val="00E309F1"/>
    <w:rsid w:val="00E32993"/>
    <w:rsid w:val="00E346AD"/>
    <w:rsid w:val="00E41DA2"/>
    <w:rsid w:val="00E421DF"/>
    <w:rsid w:val="00E4586F"/>
    <w:rsid w:val="00E465BF"/>
    <w:rsid w:val="00E473B9"/>
    <w:rsid w:val="00E47BA7"/>
    <w:rsid w:val="00E50718"/>
    <w:rsid w:val="00E52065"/>
    <w:rsid w:val="00E52BCF"/>
    <w:rsid w:val="00E52F03"/>
    <w:rsid w:val="00E546C6"/>
    <w:rsid w:val="00E55135"/>
    <w:rsid w:val="00E60B49"/>
    <w:rsid w:val="00E73530"/>
    <w:rsid w:val="00E77946"/>
    <w:rsid w:val="00E811A6"/>
    <w:rsid w:val="00E812ED"/>
    <w:rsid w:val="00E82E00"/>
    <w:rsid w:val="00E834EE"/>
    <w:rsid w:val="00E85BC6"/>
    <w:rsid w:val="00E871B5"/>
    <w:rsid w:val="00E9085B"/>
    <w:rsid w:val="00E9164C"/>
    <w:rsid w:val="00E91D91"/>
    <w:rsid w:val="00E92982"/>
    <w:rsid w:val="00EA2EB5"/>
    <w:rsid w:val="00EA4B08"/>
    <w:rsid w:val="00EB0ECF"/>
    <w:rsid w:val="00EB1EC8"/>
    <w:rsid w:val="00EB4326"/>
    <w:rsid w:val="00EB78F3"/>
    <w:rsid w:val="00EB7C5C"/>
    <w:rsid w:val="00EC1057"/>
    <w:rsid w:val="00EC6623"/>
    <w:rsid w:val="00EC7C22"/>
    <w:rsid w:val="00ED00BC"/>
    <w:rsid w:val="00ED0DD8"/>
    <w:rsid w:val="00ED4775"/>
    <w:rsid w:val="00ED7DD5"/>
    <w:rsid w:val="00EE3BF1"/>
    <w:rsid w:val="00EE4CD7"/>
    <w:rsid w:val="00EE56A4"/>
    <w:rsid w:val="00EE6FB2"/>
    <w:rsid w:val="00EE74BE"/>
    <w:rsid w:val="00EF18B0"/>
    <w:rsid w:val="00EF470C"/>
    <w:rsid w:val="00EF64EC"/>
    <w:rsid w:val="00EF7D66"/>
    <w:rsid w:val="00F017C8"/>
    <w:rsid w:val="00F01FCE"/>
    <w:rsid w:val="00F0290E"/>
    <w:rsid w:val="00F0793F"/>
    <w:rsid w:val="00F12F84"/>
    <w:rsid w:val="00F1433D"/>
    <w:rsid w:val="00F14B21"/>
    <w:rsid w:val="00F15A23"/>
    <w:rsid w:val="00F17E63"/>
    <w:rsid w:val="00F20327"/>
    <w:rsid w:val="00F21786"/>
    <w:rsid w:val="00F21E92"/>
    <w:rsid w:val="00F270D4"/>
    <w:rsid w:val="00F32A27"/>
    <w:rsid w:val="00F35283"/>
    <w:rsid w:val="00F40986"/>
    <w:rsid w:val="00F42237"/>
    <w:rsid w:val="00F4254F"/>
    <w:rsid w:val="00F44A7F"/>
    <w:rsid w:val="00F5299F"/>
    <w:rsid w:val="00F567A5"/>
    <w:rsid w:val="00F617E3"/>
    <w:rsid w:val="00F618E7"/>
    <w:rsid w:val="00F6220E"/>
    <w:rsid w:val="00F70AAB"/>
    <w:rsid w:val="00F725D4"/>
    <w:rsid w:val="00F750D9"/>
    <w:rsid w:val="00F7788E"/>
    <w:rsid w:val="00F81FBF"/>
    <w:rsid w:val="00F86203"/>
    <w:rsid w:val="00F9186D"/>
    <w:rsid w:val="00F92B20"/>
    <w:rsid w:val="00FA07BA"/>
    <w:rsid w:val="00FA1183"/>
    <w:rsid w:val="00FB0FF8"/>
    <w:rsid w:val="00FB6323"/>
    <w:rsid w:val="00FB7296"/>
    <w:rsid w:val="00FC0F88"/>
    <w:rsid w:val="00FC4265"/>
    <w:rsid w:val="00FC5729"/>
    <w:rsid w:val="00FD10EE"/>
    <w:rsid w:val="00FD140E"/>
    <w:rsid w:val="00FD297B"/>
    <w:rsid w:val="00FD7D18"/>
    <w:rsid w:val="00FE00EA"/>
    <w:rsid w:val="00FE4EA3"/>
    <w:rsid w:val="00FE7FE3"/>
    <w:rsid w:val="00FF0253"/>
    <w:rsid w:val="00FF27D3"/>
    <w:rsid w:val="00FF3D60"/>
    <w:rsid w:val="00FF4727"/>
    <w:rsid w:val="00FF5B61"/>
    <w:rsid w:val="00FF6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06BD9"/>
  <w15:docId w15:val="{A870BE82-95D5-40EC-AD34-83E76B78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4E8"/>
    <w:pPr>
      <w:spacing w:line="240" w:lineRule="exact"/>
    </w:pPr>
    <w:rPr>
      <w:rFonts w:ascii="Galliard" w:hAnsi="Galliard"/>
      <w:sz w:val="22"/>
    </w:rPr>
  </w:style>
  <w:style w:type="paragraph" w:styleId="Heading1">
    <w:name w:val="heading 1"/>
    <w:basedOn w:val="Normal"/>
    <w:link w:val="Heading1Char"/>
    <w:uiPriority w:val="9"/>
    <w:qFormat/>
    <w:rsid w:val="006252D3"/>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6252D3"/>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252D3"/>
    <w:pPr>
      <w:keepNext/>
      <w:spacing w:before="240" w:after="60" w:line="240"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65303A"/>
    <w:pPr>
      <w:widowControl w:val="0"/>
      <w:spacing w:line="260" w:lineRule="exact"/>
      <w:jc w:val="both"/>
    </w:pPr>
    <w:rPr>
      <w:rFonts w:ascii="Galliard" w:hAnsi="Galliard"/>
      <w:sz w:val="22"/>
    </w:rPr>
  </w:style>
  <w:style w:type="paragraph" w:customStyle="1" w:styleId="Document">
    <w:name w:val="_Document"/>
    <w:basedOn w:val="Journalfont"/>
    <w:qFormat/>
    <w:rsid w:val="0065303A"/>
    <w:pPr>
      <w:suppressLineNumbers/>
      <w:tabs>
        <w:tab w:val="left" w:pos="0"/>
        <w:tab w:val="left" w:pos="360"/>
        <w:tab w:val="left" w:pos="620"/>
      </w:tabs>
      <w:ind w:firstLine="360"/>
    </w:pPr>
  </w:style>
  <w:style w:type="paragraph" w:styleId="Header">
    <w:name w:val="header"/>
    <w:basedOn w:val="Normal"/>
    <w:rsid w:val="0065303A"/>
    <w:pPr>
      <w:tabs>
        <w:tab w:val="center" w:pos="4320"/>
        <w:tab w:val="right" w:pos="8640"/>
      </w:tabs>
    </w:pPr>
  </w:style>
  <w:style w:type="paragraph" w:styleId="Footer">
    <w:name w:val="footer"/>
    <w:basedOn w:val="Normal"/>
    <w:link w:val="FooterChar"/>
    <w:uiPriority w:val="99"/>
    <w:rsid w:val="0065303A"/>
    <w:pPr>
      <w:tabs>
        <w:tab w:val="center" w:pos="4320"/>
        <w:tab w:val="right" w:pos="8640"/>
      </w:tabs>
    </w:pPr>
  </w:style>
  <w:style w:type="character" w:styleId="PageNumber">
    <w:name w:val="page number"/>
    <w:basedOn w:val="DefaultParagraphFont"/>
    <w:rsid w:val="0065303A"/>
    <w:rPr>
      <w:rFonts w:ascii="Galliard" w:hAnsi="Galliard"/>
      <w:sz w:val="22"/>
    </w:rPr>
  </w:style>
  <w:style w:type="paragraph" w:customStyle="1" w:styleId="FootNote">
    <w:name w:val="_FootNote"/>
    <w:basedOn w:val="Document"/>
    <w:uiPriority w:val="99"/>
    <w:qFormat/>
    <w:rsid w:val="0065303A"/>
    <w:pPr>
      <w:tabs>
        <w:tab w:val="clear" w:pos="0"/>
        <w:tab w:val="clear" w:pos="360"/>
        <w:tab w:val="clear" w:pos="620"/>
        <w:tab w:val="right" w:pos="600"/>
        <w:tab w:val="left" w:pos="720"/>
      </w:tabs>
      <w:spacing w:after="20" w:line="200" w:lineRule="exact"/>
      <w:ind w:firstLine="0"/>
    </w:pPr>
    <w:rPr>
      <w:sz w:val="16"/>
    </w:rPr>
  </w:style>
  <w:style w:type="paragraph" w:customStyle="1" w:styleId="FootNotePara">
    <w:name w:val="_FootNotePara"/>
    <w:basedOn w:val="FootNote"/>
    <w:qFormat/>
    <w:rsid w:val="0065303A"/>
    <w:pPr>
      <w:ind w:firstLine="440"/>
    </w:pPr>
  </w:style>
  <w:style w:type="character" w:customStyle="1" w:styleId="NoterefInText">
    <w:name w:val="_NoterefInText"/>
    <w:basedOn w:val="DefaultParagraphFont"/>
    <w:uiPriority w:val="99"/>
    <w:qFormat/>
    <w:rsid w:val="006E14A7"/>
    <w:rPr>
      <w:rFonts w:ascii="Galliard" w:hAnsi="Galliard"/>
      <w:position w:val="-4"/>
      <w:sz w:val="22"/>
      <w:vertAlign w:val="superscript"/>
    </w:rPr>
  </w:style>
  <w:style w:type="character" w:customStyle="1" w:styleId="NoterefInNote">
    <w:name w:val="_NoterefInNote"/>
    <w:basedOn w:val="DefaultParagraphFont"/>
    <w:uiPriority w:val="99"/>
    <w:qFormat/>
    <w:rsid w:val="0065303A"/>
    <w:rPr>
      <w:rFonts w:ascii="Galliard" w:hAnsi="Galliard"/>
      <w:sz w:val="16"/>
      <w:vertAlign w:val="baseline"/>
    </w:rPr>
  </w:style>
  <w:style w:type="paragraph" w:customStyle="1" w:styleId="1StQuoteFN">
    <w:name w:val="_1StQuoteFN"/>
    <w:basedOn w:val="FootNote"/>
    <w:next w:val="FootNote"/>
    <w:qFormat/>
    <w:rsid w:val="0065303A"/>
    <w:pPr>
      <w:spacing w:after="0"/>
      <w:ind w:left="360" w:right="360"/>
    </w:pPr>
  </w:style>
  <w:style w:type="paragraph" w:customStyle="1" w:styleId="2NdQuoteFN">
    <w:name w:val="_2NdQuoteFN"/>
    <w:basedOn w:val="FootNote"/>
    <w:next w:val="FootNote"/>
    <w:qFormat/>
    <w:rsid w:val="0065303A"/>
    <w:pPr>
      <w:spacing w:after="0"/>
      <w:ind w:left="720" w:right="360"/>
    </w:pPr>
  </w:style>
  <w:style w:type="paragraph" w:customStyle="1" w:styleId="3RdQuoteFN">
    <w:name w:val="_3RdQuoteFN"/>
    <w:basedOn w:val="FootNote"/>
    <w:next w:val="FootNote"/>
    <w:qFormat/>
    <w:rsid w:val="0065303A"/>
    <w:pPr>
      <w:spacing w:after="0"/>
      <w:ind w:left="1080" w:right="360"/>
    </w:pPr>
  </w:style>
  <w:style w:type="paragraph" w:customStyle="1" w:styleId="4ThQuoteFN">
    <w:name w:val="_4ThQuoteFN"/>
    <w:basedOn w:val="FootNote"/>
    <w:next w:val="FootNote"/>
    <w:qFormat/>
    <w:rsid w:val="0065303A"/>
    <w:pPr>
      <w:spacing w:after="0"/>
      <w:ind w:left="1440" w:right="360"/>
    </w:pPr>
  </w:style>
  <w:style w:type="paragraph" w:customStyle="1" w:styleId="1StQuoteTXT">
    <w:name w:val="_1StQuoteTXT"/>
    <w:basedOn w:val="Document"/>
    <w:next w:val="Document"/>
    <w:qFormat/>
    <w:rsid w:val="0065303A"/>
    <w:pPr>
      <w:spacing w:before="120" w:after="120" w:line="240" w:lineRule="exact"/>
      <w:ind w:left="360" w:right="360" w:firstLine="0"/>
    </w:pPr>
    <w:rPr>
      <w:sz w:val="20"/>
    </w:rPr>
  </w:style>
  <w:style w:type="paragraph" w:customStyle="1" w:styleId="2NdQuoteTXT">
    <w:name w:val="_2NdQuoteTXT"/>
    <w:basedOn w:val="Document"/>
    <w:next w:val="Document"/>
    <w:qFormat/>
    <w:rsid w:val="0065303A"/>
    <w:pPr>
      <w:spacing w:after="120" w:line="240" w:lineRule="exact"/>
      <w:ind w:left="720" w:right="360" w:firstLine="0"/>
    </w:pPr>
    <w:rPr>
      <w:sz w:val="20"/>
    </w:rPr>
  </w:style>
  <w:style w:type="paragraph" w:customStyle="1" w:styleId="3RdQuoteTXT">
    <w:name w:val="_3RdQuoteTXT"/>
    <w:basedOn w:val="Document"/>
    <w:next w:val="Document"/>
    <w:qFormat/>
    <w:rsid w:val="0065303A"/>
    <w:pPr>
      <w:spacing w:after="120" w:line="240" w:lineRule="exact"/>
      <w:ind w:left="1080" w:right="360" w:firstLine="0"/>
    </w:pPr>
    <w:rPr>
      <w:sz w:val="20"/>
    </w:rPr>
  </w:style>
  <w:style w:type="paragraph" w:customStyle="1" w:styleId="4ThQuoteTXT">
    <w:name w:val="_4ThQuoteTXT"/>
    <w:basedOn w:val="Document"/>
    <w:next w:val="Document"/>
    <w:qFormat/>
    <w:rsid w:val="0065303A"/>
    <w:pPr>
      <w:spacing w:after="120" w:line="240" w:lineRule="exact"/>
      <w:ind w:left="1440" w:right="360" w:firstLine="0"/>
    </w:pPr>
    <w:rPr>
      <w:sz w:val="20"/>
    </w:rPr>
  </w:style>
  <w:style w:type="paragraph" w:customStyle="1" w:styleId="Toc0">
    <w:name w:val="_Toc0"/>
    <w:basedOn w:val="Document"/>
    <w:next w:val="Document"/>
    <w:qFormat/>
    <w:rsid w:val="0065303A"/>
    <w:pPr>
      <w:tabs>
        <w:tab w:val="clear" w:pos="0"/>
        <w:tab w:val="clear" w:pos="360"/>
        <w:tab w:val="clear" w:pos="620"/>
        <w:tab w:val="right" w:leader="dot" w:pos="6480"/>
      </w:tabs>
      <w:spacing w:before="240"/>
      <w:ind w:right="440" w:firstLine="0"/>
      <w:jc w:val="left"/>
    </w:pPr>
    <w:rPr>
      <w:smallCaps/>
    </w:rPr>
  </w:style>
  <w:style w:type="paragraph" w:customStyle="1" w:styleId="Toc1">
    <w:name w:val="_Toc1"/>
    <w:basedOn w:val="Document"/>
    <w:next w:val="Document"/>
    <w:qFormat/>
    <w:rsid w:val="0065303A"/>
    <w:pPr>
      <w:tabs>
        <w:tab w:val="clear" w:pos="0"/>
        <w:tab w:val="clear" w:pos="360"/>
        <w:tab w:val="clear" w:pos="620"/>
        <w:tab w:val="right" w:pos="440"/>
        <w:tab w:val="left" w:pos="600"/>
        <w:tab w:val="right" w:leader="dot" w:pos="6480"/>
      </w:tabs>
      <w:spacing w:before="240"/>
      <w:ind w:left="600" w:right="440" w:hanging="600"/>
      <w:jc w:val="left"/>
    </w:pPr>
    <w:rPr>
      <w:smallCaps/>
    </w:rPr>
  </w:style>
  <w:style w:type="paragraph" w:customStyle="1" w:styleId="Toc2">
    <w:name w:val="_Toc2"/>
    <w:basedOn w:val="Document"/>
    <w:next w:val="Document"/>
    <w:qFormat/>
    <w:rsid w:val="005B4159"/>
    <w:pPr>
      <w:tabs>
        <w:tab w:val="clear" w:pos="0"/>
        <w:tab w:val="clear" w:pos="360"/>
        <w:tab w:val="clear" w:pos="620"/>
        <w:tab w:val="left" w:pos="400"/>
        <w:tab w:val="right" w:leader="dot" w:pos="6480"/>
      </w:tabs>
      <w:ind w:left="1000" w:right="440" w:hanging="400"/>
      <w:jc w:val="left"/>
    </w:pPr>
  </w:style>
  <w:style w:type="paragraph" w:customStyle="1" w:styleId="Toc3">
    <w:name w:val="_Toc3"/>
    <w:basedOn w:val="Document"/>
    <w:next w:val="Document"/>
    <w:qFormat/>
    <w:rsid w:val="005B4159"/>
    <w:pPr>
      <w:tabs>
        <w:tab w:val="clear" w:pos="0"/>
        <w:tab w:val="clear" w:pos="360"/>
        <w:tab w:val="clear" w:pos="620"/>
        <w:tab w:val="left" w:pos="320"/>
        <w:tab w:val="right" w:leader="dot" w:pos="6480"/>
      </w:tabs>
      <w:ind w:left="1320" w:right="440" w:hanging="320"/>
      <w:jc w:val="left"/>
    </w:pPr>
  </w:style>
  <w:style w:type="paragraph" w:customStyle="1" w:styleId="Toc4">
    <w:name w:val="_Toc4"/>
    <w:basedOn w:val="Document"/>
    <w:next w:val="Document"/>
    <w:qFormat/>
    <w:rsid w:val="005B4159"/>
    <w:pPr>
      <w:tabs>
        <w:tab w:val="clear" w:pos="0"/>
        <w:tab w:val="clear" w:pos="620"/>
        <w:tab w:val="right" w:leader="dot" w:pos="6480"/>
      </w:tabs>
      <w:ind w:left="1680" w:right="440" w:hanging="360"/>
      <w:jc w:val="left"/>
    </w:pPr>
  </w:style>
  <w:style w:type="paragraph" w:customStyle="1" w:styleId="Toc5">
    <w:name w:val="_Toc5"/>
    <w:basedOn w:val="Document"/>
    <w:next w:val="Document"/>
    <w:qFormat/>
    <w:rsid w:val="005B4159"/>
    <w:pPr>
      <w:tabs>
        <w:tab w:val="clear" w:pos="0"/>
        <w:tab w:val="clear" w:pos="620"/>
        <w:tab w:val="right" w:pos="360"/>
        <w:tab w:val="right" w:leader="dot" w:pos="6480"/>
      </w:tabs>
      <w:ind w:left="2040" w:right="440" w:hanging="360"/>
      <w:jc w:val="left"/>
    </w:pPr>
  </w:style>
  <w:style w:type="paragraph" w:customStyle="1" w:styleId="Head1-Articles">
    <w:name w:val="_Head1-Articles"/>
    <w:basedOn w:val="Journalfont"/>
    <w:next w:val="Document"/>
    <w:qFormat/>
    <w:rsid w:val="0065303A"/>
    <w:pPr>
      <w:keepNext/>
      <w:suppressLineNumbers/>
      <w:suppressAutoHyphens/>
      <w:spacing w:after="200" w:line="340" w:lineRule="exact"/>
      <w:jc w:val="center"/>
    </w:pPr>
    <w:rPr>
      <w:sz w:val="28"/>
    </w:rPr>
  </w:style>
  <w:style w:type="paragraph" w:customStyle="1" w:styleId="AuthorName1-Articles">
    <w:name w:val="_AuthorName1-Articles"/>
    <w:basedOn w:val="Journalfont"/>
    <w:next w:val="Document"/>
    <w:qFormat/>
    <w:rsid w:val="0065303A"/>
    <w:pPr>
      <w:keepNext/>
      <w:suppressLineNumbers/>
      <w:suppressAutoHyphens/>
      <w:spacing w:after="240" w:line="320" w:lineRule="exact"/>
      <w:jc w:val="center"/>
    </w:pPr>
    <w:rPr>
      <w:i/>
    </w:rPr>
  </w:style>
  <w:style w:type="paragraph" w:customStyle="1" w:styleId="AuthorName2-Students">
    <w:name w:val="_AuthorName2-Students"/>
    <w:basedOn w:val="Journalfont"/>
    <w:next w:val="Document"/>
    <w:qFormat/>
    <w:rsid w:val="0065303A"/>
    <w:pPr>
      <w:keepNext/>
      <w:suppressLineNumbers/>
      <w:suppressAutoHyphens/>
      <w:spacing w:before="280"/>
      <w:jc w:val="right"/>
    </w:pPr>
    <w:rPr>
      <w:i/>
    </w:rPr>
  </w:style>
  <w:style w:type="paragraph" w:customStyle="1" w:styleId="SubHead1">
    <w:name w:val="_SubHead1"/>
    <w:basedOn w:val="Journalfont"/>
    <w:next w:val="Document"/>
    <w:qFormat/>
    <w:rsid w:val="0065303A"/>
    <w:pPr>
      <w:keepNext/>
      <w:suppressLineNumbers/>
      <w:tabs>
        <w:tab w:val="left" w:pos="480"/>
      </w:tabs>
      <w:suppressAutoHyphens/>
      <w:spacing w:before="200" w:after="160"/>
      <w:jc w:val="center"/>
    </w:pPr>
    <w:rPr>
      <w:smallCaps/>
    </w:rPr>
  </w:style>
  <w:style w:type="paragraph" w:customStyle="1" w:styleId="SubHead2">
    <w:name w:val="_SubHead2"/>
    <w:basedOn w:val="Journalfont"/>
    <w:next w:val="Document"/>
    <w:qFormat/>
    <w:rsid w:val="0065303A"/>
    <w:pPr>
      <w:keepNext/>
      <w:suppressLineNumbers/>
      <w:tabs>
        <w:tab w:val="left" w:pos="480"/>
      </w:tabs>
      <w:suppressAutoHyphens/>
      <w:spacing w:before="200" w:after="160"/>
      <w:jc w:val="center"/>
    </w:pPr>
    <w:rPr>
      <w:i/>
    </w:rPr>
  </w:style>
  <w:style w:type="paragraph" w:customStyle="1" w:styleId="SubHead3">
    <w:name w:val="_SubHead3"/>
    <w:basedOn w:val="Journalfont"/>
    <w:next w:val="Document"/>
    <w:qFormat/>
    <w:rsid w:val="0065303A"/>
    <w:pPr>
      <w:keepNext/>
      <w:suppressLineNumbers/>
      <w:tabs>
        <w:tab w:val="left" w:pos="360"/>
      </w:tabs>
      <w:suppressAutoHyphens/>
      <w:spacing w:before="200" w:after="160"/>
      <w:jc w:val="left"/>
    </w:pPr>
    <w:rPr>
      <w:i/>
    </w:rPr>
  </w:style>
  <w:style w:type="paragraph" w:customStyle="1" w:styleId="SubHead4">
    <w:name w:val="_SubHead4"/>
    <w:basedOn w:val="Journalfont"/>
    <w:next w:val="Document"/>
    <w:qFormat/>
    <w:rsid w:val="0065303A"/>
    <w:pPr>
      <w:keepNext/>
      <w:suppressLineNumbers/>
      <w:tabs>
        <w:tab w:val="left" w:pos="360"/>
      </w:tabs>
      <w:suppressAutoHyphens/>
      <w:spacing w:before="200" w:after="160"/>
      <w:jc w:val="left"/>
    </w:pPr>
    <w:rPr>
      <w:i/>
    </w:rPr>
  </w:style>
  <w:style w:type="paragraph" w:customStyle="1" w:styleId="SubHead5">
    <w:name w:val="_SubHead5"/>
    <w:basedOn w:val="Journalfont"/>
    <w:next w:val="Document"/>
    <w:qFormat/>
    <w:rsid w:val="0065303A"/>
    <w:pPr>
      <w:keepNext/>
      <w:suppressLineNumbers/>
      <w:tabs>
        <w:tab w:val="left" w:pos="720"/>
      </w:tabs>
      <w:suppressAutoHyphens/>
      <w:spacing w:before="200" w:after="160"/>
      <w:ind w:left="360"/>
      <w:jc w:val="left"/>
    </w:pPr>
  </w:style>
  <w:style w:type="paragraph" w:customStyle="1" w:styleId="END">
    <w:name w:val="_END"/>
    <w:basedOn w:val="Journalfont"/>
    <w:next w:val="Document"/>
    <w:rsid w:val="0065303A"/>
    <w:pPr>
      <w:keepNext/>
      <w:suppressLineNumbers/>
      <w:suppressAutoHyphens/>
      <w:spacing w:line="0" w:lineRule="atLeast"/>
      <w:jc w:val="left"/>
    </w:pPr>
  </w:style>
  <w:style w:type="character" w:styleId="FootnoteReference">
    <w:name w:val="footnote reference"/>
    <w:basedOn w:val="DefaultParagraphFont"/>
    <w:uiPriority w:val="99"/>
    <w:semiHidden/>
    <w:rsid w:val="0065303A"/>
    <w:rPr>
      <w:rFonts w:ascii="Times" w:hAnsi="Times"/>
      <w:vertAlign w:val="superscript"/>
    </w:rPr>
  </w:style>
  <w:style w:type="paragraph" w:styleId="FootnoteText">
    <w:name w:val="footnote text"/>
    <w:basedOn w:val="Normal"/>
    <w:link w:val="FootnoteTextChar"/>
    <w:uiPriority w:val="99"/>
    <w:rsid w:val="00663F6C"/>
    <w:pPr>
      <w:spacing w:after="120" w:line="240" w:lineRule="auto"/>
      <w:ind w:firstLine="720"/>
      <w:jc w:val="both"/>
    </w:pPr>
    <w:rPr>
      <w:rFonts w:ascii="Times New Roman" w:hAnsi="Times New Roman"/>
      <w:sz w:val="16"/>
    </w:rPr>
  </w:style>
  <w:style w:type="paragraph" w:customStyle="1" w:styleId="SectionHead">
    <w:name w:val="_SectionHead"/>
    <w:basedOn w:val="Document"/>
    <w:qFormat/>
    <w:rsid w:val="0065303A"/>
    <w:pPr>
      <w:pBdr>
        <w:bottom w:val="single" w:sz="4" w:space="1" w:color="auto"/>
      </w:pBdr>
      <w:spacing w:after="240"/>
      <w:jc w:val="center"/>
    </w:pPr>
    <w:rPr>
      <w:spacing w:val="-3"/>
      <w:sz w:val="24"/>
    </w:rPr>
  </w:style>
  <w:style w:type="paragraph" w:customStyle="1" w:styleId="Head3-BookReviews">
    <w:name w:val="_Head3-BookReviews"/>
    <w:basedOn w:val="SubHead1"/>
    <w:qFormat/>
    <w:rsid w:val="0065303A"/>
    <w:pPr>
      <w:spacing w:before="0" w:line="360" w:lineRule="exact"/>
    </w:pPr>
    <w:rPr>
      <w:smallCaps w:val="0"/>
      <w:sz w:val="24"/>
    </w:rPr>
  </w:style>
  <w:style w:type="paragraph" w:styleId="TOC10">
    <w:name w:val="toc 1"/>
    <w:basedOn w:val="Toc1"/>
    <w:next w:val="Journalfont"/>
    <w:autoRedefine/>
    <w:uiPriority w:val="39"/>
    <w:rsid w:val="00045FC8"/>
    <w:pPr>
      <w:spacing w:after="120"/>
      <w:ind w:left="605" w:right="446" w:hanging="605"/>
      <w:contextualSpacing/>
    </w:pPr>
    <w:rPr>
      <w:rFonts w:ascii="Times New Roman" w:hAnsi="Times New Roman"/>
      <w:sz w:val="24"/>
    </w:rPr>
  </w:style>
  <w:style w:type="paragraph" w:styleId="TOC20">
    <w:name w:val="toc 2"/>
    <w:basedOn w:val="Toc2"/>
    <w:next w:val="Journalfont"/>
    <w:autoRedefine/>
    <w:uiPriority w:val="39"/>
    <w:rsid w:val="00AA52E0"/>
    <w:rPr>
      <w:rFonts w:ascii="Times New Roman" w:hAnsi="Times New Roman"/>
      <w:sz w:val="24"/>
    </w:rPr>
  </w:style>
  <w:style w:type="paragraph" w:styleId="TOC30">
    <w:name w:val="toc 3"/>
    <w:basedOn w:val="Toc3"/>
    <w:next w:val="Journalfont"/>
    <w:autoRedefine/>
    <w:uiPriority w:val="39"/>
    <w:rsid w:val="00BC4D0E"/>
    <w:pPr>
      <w:tabs>
        <w:tab w:val="clear" w:pos="6480"/>
        <w:tab w:val="left" w:pos="960"/>
        <w:tab w:val="left" w:pos="1680"/>
        <w:tab w:val="right" w:leader="dot" w:pos="6470"/>
      </w:tabs>
      <w:spacing w:line="240" w:lineRule="auto"/>
      <w:ind w:left="1311" w:right="446" w:hanging="317"/>
    </w:pPr>
    <w:rPr>
      <w:rFonts w:ascii="Times New Roman" w:hAnsi="Times New Roman"/>
      <w:sz w:val="24"/>
    </w:rPr>
  </w:style>
  <w:style w:type="paragraph" w:styleId="TOC40">
    <w:name w:val="toc 4"/>
    <w:basedOn w:val="Toc4"/>
    <w:next w:val="Journalfont"/>
    <w:autoRedefine/>
    <w:uiPriority w:val="39"/>
    <w:rsid w:val="009605E0"/>
    <w:pPr>
      <w:tabs>
        <w:tab w:val="clear" w:pos="6480"/>
        <w:tab w:val="left" w:pos="1200"/>
        <w:tab w:val="right" w:leader="dot" w:pos="6470"/>
      </w:tabs>
    </w:pPr>
  </w:style>
  <w:style w:type="paragraph" w:styleId="TOC50">
    <w:name w:val="toc 5"/>
    <w:basedOn w:val="Toc5"/>
    <w:next w:val="Journalfont"/>
    <w:autoRedefine/>
    <w:uiPriority w:val="39"/>
    <w:rsid w:val="009605E0"/>
    <w:pPr>
      <w:tabs>
        <w:tab w:val="clear" w:pos="6480"/>
        <w:tab w:val="left" w:pos="1440"/>
        <w:tab w:val="right" w:leader="dot" w:pos="6470"/>
      </w:tabs>
    </w:pPr>
  </w:style>
  <w:style w:type="paragraph" w:styleId="TOC6">
    <w:name w:val="toc 6"/>
    <w:basedOn w:val="Normal"/>
    <w:next w:val="Normal"/>
    <w:autoRedefine/>
    <w:semiHidden/>
    <w:rsid w:val="007470D6"/>
    <w:pPr>
      <w:ind w:left="1100"/>
    </w:pPr>
  </w:style>
  <w:style w:type="paragraph" w:styleId="BalloonText">
    <w:name w:val="Balloon Text"/>
    <w:basedOn w:val="Normal"/>
    <w:link w:val="BalloonTextChar"/>
    <w:rsid w:val="00BC398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398F"/>
    <w:rPr>
      <w:rFonts w:ascii="Tahoma" w:hAnsi="Tahoma" w:cs="Tahoma"/>
      <w:sz w:val="16"/>
      <w:szCs w:val="16"/>
    </w:rPr>
  </w:style>
  <w:style w:type="character" w:styleId="Strong">
    <w:name w:val="Strong"/>
    <w:basedOn w:val="DefaultParagraphFont"/>
    <w:uiPriority w:val="22"/>
    <w:qFormat/>
    <w:rsid w:val="00A94D05"/>
    <w:rPr>
      <w:b/>
      <w:bCs/>
    </w:rPr>
  </w:style>
  <w:style w:type="paragraph" w:customStyle="1" w:styleId="header0">
    <w:name w:val="_header"/>
    <w:basedOn w:val="Header"/>
    <w:qFormat/>
    <w:rsid w:val="006E14A7"/>
    <w:pPr>
      <w:pBdr>
        <w:top w:val="single" w:sz="6" w:space="1" w:color="auto"/>
        <w:bottom w:val="single" w:sz="6" w:space="1" w:color="auto"/>
      </w:pBdr>
      <w:tabs>
        <w:tab w:val="clear" w:pos="4320"/>
        <w:tab w:val="clear" w:pos="8640"/>
        <w:tab w:val="right" w:pos="6480"/>
      </w:tabs>
      <w:spacing w:line="240" w:lineRule="auto"/>
    </w:pPr>
    <w:rPr>
      <w:smallCaps/>
      <w:sz w:val="14"/>
    </w:rPr>
  </w:style>
  <w:style w:type="paragraph" w:customStyle="1" w:styleId="Head2-Notes">
    <w:name w:val="_Head2-Notes"/>
    <w:aliases w:val="Comments"/>
    <w:basedOn w:val="Head1-Articles"/>
    <w:qFormat/>
    <w:rsid w:val="009A69A0"/>
  </w:style>
  <w:style w:type="character" w:customStyle="1" w:styleId="Heading1Char">
    <w:name w:val="Heading 1 Char"/>
    <w:basedOn w:val="DefaultParagraphFont"/>
    <w:link w:val="Heading1"/>
    <w:uiPriority w:val="9"/>
    <w:rsid w:val="006252D3"/>
    <w:rPr>
      <w:b/>
      <w:bCs/>
      <w:kern w:val="36"/>
      <w:sz w:val="48"/>
      <w:szCs w:val="48"/>
    </w:rPr>
  </w:style>
  <w:style w:type="character" w:customStyle="1" w:styleId="Heading2Char">
    <w:name w:val="Heading 2 Char"/>
    <w:basedOn w:val="DefaultParagraphFont"/>
    <w:link w:val="Heading2"/>
    <w:rsid w:val="006252D3"/>
    <w:rPr>
      <w:rFonts w:ascii="Cambria" w:hAnsi="Cambria"/>
      <w:b/>
      <w:bCs/>
      <w:i/>
      <w:iCs/>
      <w:sz w:val="28"/>
      <w:szCs w:val="28"/>
    </w:rPr>
  </w:style>
  <w:style w:type="character" w:customStyle="1" w:styleId="Heading3Char">
    <w:name w:val="Heading 3 Char"/>
    <w:basedOn w:val="DefaultParagraphFont"/>
    <w:link w:val="Heading3"/>
    <w:semiHidden/>
    <w:rsid w:val="006252D3"/>
    <w:rPr>
      <w:rFonts w:ascii="Cambria" w:hAnsi="Cambria"/>
      <w:b/>
      <w:bCs/>
      <w:sz w:val="26"/>
      <w:szCs w:val="26"/>
    </w:rPr>
  </w:style>
  <w:style w:type="paragraph" w:styleId="Revision">
    <w:name w:val="Revision"/>
    <w:hidden/>
    <w:uiPriority w:val="99"/>
    <w:semiHidden/>
    <w:rsid w:val="006252D3"/>
    <w:rPr>
      <w:sz w:val="24"/>
      <w:szCs w:val="24"/>
    </w:rPr>
  </w:style>
  <w:style w:type="character" w:customStyle="1" w:styleId="FootnoteTextChar">
    <w:name w:val="Footnote Text Char"/>
    <w:link w:val="FootnoteText"/>
    <w:uiPriority w:val="99"/>
    <w:rsid w:val="00663F6C"/>
    <w:rPr>
      <w:sz w:val="16"/>
    </w:rPr>
  </w:style>
  <w:style w:type="character" w:customStyle="1" w:styleId="apple-converted-space">
    <w:name w:val="apple-converted-space"/>
    <w:rsid w:val="00AE6DA8"/>
  </w:style>
  <w:style w:type="paragraph" w:styleId="ListBullet">
    <w:name w:val="List Bullet"/>
    <w:basedOn w:val="Normal"/>
    <w:rsid w:val="00AE6DA8"/>
    <w:pPr>
      <w:numPr>
        <w:numId w:val="1"/>
      </w:numPr>
      <w:spacing w:before="240" w:line="360" w:lineRule="auto"/>
    </w:pPr>
    <w:rPr>
      <w:rFonts w:ascii="Times New Roman" w:hAnsi="Times New Roman"/>
      <w:sz w:val="24"/>
      <w:szCs w:val="24"/>
    </w:rPr>
  </w:style>
  <w:style w:type="paragraph" w:styleId="ListParagraph">
    <w:name w:val="List Paragraph"/>
    <w:basedOn w:val="Normal"/>
    <w:link w:val="ListParagraphChar"/>
    <w:uiPriority w:val="34"/>
    <w:rsid w:val="00EB0ECF"/>
    <w:pPr>
      <w:ind w:left="720"/>
      <w:contextualSpacing/>
    </w:pPr>
  </w:style>
  <w:style w:type="character" w:styleId="Hyperlink">
    <w:name w:val="Hyperlink"/>
    <w:basedOn w:val="DefaultParagraphFont"/>
    <w:uiPriority w:val="99"/>
    <w:rsid w:val="007658A9"/>
    <w:rPr>
      <w:color w:val="0000FF" w:themeColor="hyperlink"/>
      <w:u w:val="single"/>
    </w:rPr>
  </w:style>
  <w:style w:type="character" w:customStyle="1" w:styleId="groupheading">
    <w:name w:val="groupheading"/>
    <w:basedOn w:val="DefaultParagraphFont"/>
    <w:rsid w:val="0040589E"/>
  </w:style>
  <w:style w:type="character" w:customStyle="1" w:styleId="informationalsmall">
    <w:name w:val="informationalsmall"/>
    <w:basedOn w:val="DefaultParagraphFont"/>
    <w:rsid w:val="0040589E"/>
  </w:style>
  <w:style w:type="character" w:customStyle="1" w:styleId="starpage">
    <w:name w:val="starpage"/>
    <w:basedOn w:val="DefaultParagraphFont"/>
    <w:rsid w:val="004C75DA"/>
  </w:style>
  <w:style w:type="character" w:styleId="FollowedHyperlink">
    <w:name w:val="FollowedHyperlink"/>
    <w:basedOn w:val="DefaultParagraphFont"/>
    <w:rsid w:val="004C75DA"/>
    <w:rPr>
      <w:color w:val="800080" w:themeColor="followedHyperlink"/>
      <w:u w:val="single"/>
    </w:rPr>
  </w:style>
  <w:style w:type="character" w:customStyle="1" w:styleId="searchterm">
    <w:name w:val="searchterm"/>
    <w:basedOn w:val="DefaultParagraphFont"/>
    <w:rsid w:val="00C33F9F"/>
  </w:style>
  <w:style w:type="character" w:customStyle="1" w:styleId="cosearchterm">
    <w:name w:val="co_searchterm"/>
    <w:basedOn w:val="DefaultParagraphFont"/>
    <w:rsid w:val="0034033A"/>
  </w:style>
  <w:style w:type="character" w:customStyle="1" w:styleId="costarpage">
    <w:name w:val="co_starpage"/>
    <w:basedOn w:val="DefaultParagraphFont"/>
    <w:rsid w:val="0034033A"/>
  </w:style>
  <w:style w:type="character" w:customStyle="1" w:styleId="copinpointicon">
    <w:name w:val="co_pinpointicon"/>
    <w:basedOn w:val="DefaultParagraphFont"/>
    <w:rsid w:val="006B3A86"/>
  </w:style>
  <w:style w:type="character" w:customStyle="1" w:styleId="a-size-large">
    <w:name w:val="a-size-large"/>
    <w:basedOn w:val="DefaultParagraphFont"/>
    <w:rsid w:val="006547B9"/>
  </w:style>
  <w:style w:type="character" w:customStyle="1" w:styleId="cosmallcaps">
    <w:name w:val="co_smallcaps"/>
    <w:basedOn w:val="DefaultParagraphFont"/>
    <w:rsid w:val="006E6F24"/>
  </w:style>
  <w:style w:type="character" w:styleId="Emphasis">
    <w:name w:val="Emphasis"/>
    <w:basedOn w:val="DefaultParagraphFont"/>
    <w:uiPriority w:val="20"/>
    <w:qFormat/>
    <w:rsid w:val="008B198A"/>
    <w:rPr>
      <w:i/>
      <w:iCs/>
    </w:rPr>
  </w:style>
  <w:style w:type="character" w:customStyle="1" w:styleId="sssh">
    <w:name w:val="ss_sh"/>
    <w:basedOn w:val="DefaultParagraphFont"/>
    <w:rsid w:val="004B4E8D"/>
  </w:style>
  <w:style w:type="paragraph" w:styleId="TOCHeading">
    <w:name w:val="TOC Heading"/>
    <w:basedOn w:val="Heading1"/>
    <w:next w:val="Normal"/>
    <w:uiPriority w:val="39"/>
    <w:unhideWhenUsed/>
    <w:qFormat/>
    <w:rsid w:val="001D5CB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ableofContents1">
    <w:name w:val="Table of Contents 1"/>
    <w:basedOn w:val="ListParagraph"/>
    <w:link w:val="TableofContents1Char"/>
    <w:qFormat/>
    <w:rsid w:val="00AA52E0"/>
    <w:pPr>
      <w:numPr>
        <w:numId w:val="4"/>
      </w:numPr>
      <w:spacing w:after="120" w:line="240" w:lineRule="auto"/>
      <w:jc w:val="center"/>
    </w:pPr>
    <w:rPr>
      <w:rFonts w:ascii="Times New Roman" w:hAnsi="Times New Roman"/>
      <w:smallCaps/>
      <w:sz w:val="24"/>
      <w:szCs w:val="24"/>
    </w:rPr>
  </w:style>
  <w:style w:type="paragraph" w:customStyle="1" w:styleId="TableofContents2">
    <w:name w:val="Table of Contents 2"/>
    <w:basedOn w:val="ListParagraph"/>
    <w:link w:val="TableofContents2Char"/>
    <w:qFormat/>
    <w:rsid w:val="00AA52E0"/>
    <w:pPr>
      <w:numPr>
        <w:numId w:val="15"/>
      </w:numPr>
      <w:spacing w:after="120" w:line="240" w:lineRule="auto"/>
      <w:jc w:val="both"/>
    </w:pPr>
    <w:rPr>
      <w:rFonts w:ascii="Times New Roman" w:hAnsi="Times New Roman"/>
      <w:sz w:val="24"/>
      <w:szCs w:val="24"/>
    </w:rPr>
  </w:style>
  <w:style w:type="character" w:customStyle="1" w:styleId="ListParagraphChar">
    <w:name w:val="List Paragraph Char"/>
    <w:basedOn w:val="DefaultParagraphFont"/>
    <w:link w:val="ListParagraph"/>
    <w:uiPriority w:val="34"/>
    <w:rsid w:val="00AA52E0"/>
    <w:rPr>
      <w:rFonts w:ascii="Galliard" w:hAnsi="Galliard"/>
      <w:sz w:val="22"/>
    </w:rPr>
  </w:style>
  <w:style w:type="character" w:customStyle="1" w:styleId="TableofContents1Char">
    <w:name w:val="Table of Contents 1 Char"/>
    <w:basedOn w:val="ListParagraphChar"/>
    <w:link w:val="TableofContents1"/>
    <w:rsid w:val="00AA52E0"/>
    <w:rPr>
      <w:rFonts w:ascii="Galliard" w:hAnsi="Galliard"/>
      <w:smallCaps/>
      <w:sz w:val="24"/>
      <w:szCs w:val="24"/>
    </w:rPr>
  </w:style>
  <w:style w:type="paragraph" w:customStyle="1" w:styleId="TableofContents3">
    <w:name w:val="Table of Contents 3"/>
    <w:basedOn w:val="ListParagraph"/>
    <w:link w:val="TableofContents3Char"/>
    <w:qFormat/>
    <w:rsid w:val="00AA52E0"/>
    <w:pPr>
      <w:numPr>
        <w:ilvl w:val="1"/>
        <w:numId w:val="15"/>
      </w:numPr>
      <w:spacing w:after="120" w:line="240" w:lineRule="auto"/>
      <w:jc w:val="both"/>
    </w:pPr>
    <w:rPr>
      <w:rFonts w:ascii="Times New Roman" w:hAnsi="Times New Roman"/>
      <w:sz w:val="24"/>
      <w:szCs w:val="24"/>
    </w:rPr>
  </w:style>
  <w:style w:type="character" w:customStyle="1" w:styleId="TableofContents2Char">
    <w:name w:val="Table of Contents 2 Char"/>
    <w:basedOn w:val="ListParagraphChar"/>
    <w:link w:val="TableofContents2"/>
    <w:rsid w:val="00AA52E0"/>
    <w:rPr>
      <w:rFonts w:ascii="Galliard" w:hAnsi="Galliard"/>
      <w:sz w:val="24"/>
      <w:szCs w:val="24"/>
    </w:rPr>
  </w:style>
  <w:style w:type="character" w:customStyle="1" w:styleId="TableofContents3Char">
    <w:name w:val="Table of Contents 3 Char"/>
    <w:basedOn w:val="ListParagraphChar"/>
    <w:link w:val="TableofContents3"/>
    <w:rsid w:val="00AA52E0"/>
    <w:rPr>
      <w:rFonts w:ascii="Galliard" w:hAnsi="Galliard"/>
      <w:sz w:val="24"/>
      <w:szCs w:val="24"/>
    </w:rPr>
  </w:style>
  <w:style w:type="character" w:customStyle="1" w:styleId="FooterChar">
    <w:name w:val="Footer Char"/>
    <w:basedOn w:val="DefaultParagraphFont"/>
    <w:link w:val="Footer"/>
    <w:uiPriority w:val="99"/>
    <w:rsid w:val="00F17E63"/>
    <w:rPr>
      <w:rFonts w:ascii="Galliard" w:hAnsi="Galliard"/>
      <w:sz w:val="22"/>
    </w:rPr>
  </w:style>
  <w:style w:type="character" w:customStyle="1" w:styleId="il">
    <w:name w:val="il"/>
    <w:basedOn w:val="DefaultParagraphFont"/>
    <w:rsid w:val="00E0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848">
      <w:bodyDiv w:val="1"/>
      <w:marLeft w:val="0"/>
      <w:marRight w:val="0"/>
      <w:marTop w:val="0"/>
      <w:marBottom w:val="0"/>
      <w:divBdr>
        <w:top w:val="none" w:sz="0" w:space="0" w:color="auto"/>
        <w:left w:val="none" w:sz="0" w:space="0" w:color="auto"/>
        <w:bottom w:val="none" w:sz="0" w:space="0" w:color="auto"/>
        <w:right w:val="none" w:sz="0" w:space="0" w:color="auto"/>
      </w:divBdr>
    </w:div>
    <w:div w:id="38632083">
      <w:bodyDiv w:val="1"/>
      <w:marLeft w:val="0"/>
      <w:marRight w:val="0"/>
      <w:marTop w:val="0"/>
      <w:marBottom w:val="0"/>
      <w:divBdr>
        <w:top w:val="none" w:sz="0" w:space="0" w:color="auto"/>
        <w:left w:val="none" w:sz="0" w:space="0" w:color="auto"/>
        <w:bottom w:val="none" w:sz="0" w:space="0" w:color="auto"/>
        <w:right w:val="none" w:sz="0" w:space="0" w:color="auto"/>
      </w:divBdr>
    </w:div>
    <w:div w:id="294874736">
      <w:bodyDiv w:val="1"/>
      <w:marLeft w:val="0"/>
      <w:marRight w:val="0"/>
      <w:marTop w:val="0"/>
      <w:marBottom w:val="0"/>
      <w:divBdr>
        <w:top w:val="none" w:sz="0" w:space="0" w:color="auto"/>
        <w:left w:val="none" w:sz="0" w:space="0" w:color="auto"/>
        <w:bottom w:val="none" w:sz="0" w:space="0" w:color="auto"/>
        <w:right w:val="none" w:sz="0" w:space="0" w:color="auto"/>
      </w:divBdr>
    </w:div>
    <w:div w:id="346833603">
      <w:bodyDiv w:val="1"/>
      <w:marLeft w:val="0"/>
      <w:marRight w:val="0"/>
      <w:marTop w:val="0"/>
      <w:marBottom w:val="0"/>
      <w:divBdr>
        <w:top w:val="none" w:sz="0" w:space="0" w:color="auto"/>
        <w:left w:val="none" w:sz="0" w:space="0" w:color="auto"/>
        <w:bottom w:val="none" w:sz="0" w:space="0" w:color="auto"/>
        <w:right w:val="none" w:sz="0" w:space="0" w:color="auto"/>
      </w:divBdr>
    </w:div>
    <w:div w:id="420764370">
      <w:bodyDiv w:val="1"/>
      <w:marLeft w:val="0"/>
      <w:marRight w:val="0"/>
      <w:marTop w:val="0"/>
      <w:marBottom w:val="0"/>
      <w:divBdr>
        <w:top w:val="none" w:sz="0" w:space="0" w:color="auto"/>
        <w:left w:val="none" w:sz="0" w:space="0" w:color="auto"/>
        <w:bottom w:val="none" w:sz="0" w:space="0" w:color="auto"/>
        <w:right w:val="none" w:sz="0" w:space="0" w:color="auto"/>
      </w:divBdr>
    </w:div>
    <w:div w:id="491335421">
      <w:bodyDiv w:val="1"/>
      <w:marLeft w:val="0"/>
      <w:marRight w:val="0"/>
      <w:marTop w:val="0"/>
      <w:marBottom w:val="0"/>
      <w:divBdr>
        <w:top w:val="none" w:sz="0" w:space="0" w:color="auto"/>
        <w:left w:val="none" w:sz="0" w:space="0" w:color="auto"/>
        <w:bottom w:val="none" w:sz="0" w:space="0" w:color="auto"/>
        <w:right w:val="none" w:sz="0" w:space="0" w:color="auto"/>
      </w:divBdr>
      <w:divsChild>
        <w:div w:id="1883513305">
          <w:marLeft w:val="0"/>
          <w:marRight w:val="0"/>
          <w:marTop w:val="0"/>
          <w:marBottom w:val="0"/>
          <w:divBdr>
            <w:top w:val="none" w:sz="0" w:space="0" w:color="auto"/>
            <w:left w:val="none" w:sz="0" w:space="0" w:color="auto"/>
            <w:bottom w:val="none" w:sz="0" w:space="0" w:color="auto"/>
            <w:right w:val="none" w:sz="0" w:space="0" w:color="auto"/>
          </w:divBdr>
        </w:div>
      </w:divsChild>
    </w:div>
    <w:div w:id="530341826">
      <w:bodyDiv w:val="1"/>
      <w:marLeft w:val="0"/>
      <w:marRight w:val="0"/>
      <w:marTop w:val="0"/>
      <w:marBottom w:val="0"/>
      <w:divBdr>
        <w:top w:val="none" w:sz="0" w:space="0" w:color="auto"/>
        <w:left w:val="none" w:sz="0" w:space="0" w:color="auto"/>
        <w:bottom w:val="none" w:sz="0" w:space="0" w:color="auto"/>
        <w:right w:val="none" w:sz="0" w:space="0" w:color="auto"/>
      </w:divBdr>
    </w:div>
    <w:div w:id="568346075">
      <w:bodyDiv w:val="1"/>
      <w:marLeft w:val="0"/>
      <w:marRight w:val="0"/>
      <w:marTop w:val="0"/>
      <w:marBottom w:val="0"/>
      <w:divBdr>
        <w:top w:val="none" w:sz="0" w:space="0" w:color="auto"/>
        <w:left w:val="none" w:sz="0" w:space="0" w:color="auto"/>
        <w:bottom w:val="none" w:sz="0" w:space="0" w:color="auto"/>
        <w:right w:val="none" w:sz="0" w:space="0" w:color="auto"/>
      </w:divBdr>
    </w:div>
    <w:div w:id="733355248">
      <w:bodyDiv w:val="1"/>
      <w:marLeft w:val="0"/>
      <w:marRight w:val="0"/>
      <w:marTop w:val="0"/>
      <w:marBottom w:val="0"/>
      <w:divBdr>
        <w:top w:val="none" w:sz="0" w:space="0" w:color="auto"/>
        <w:left w:val="none" w:sz="0" w:space="0" w:color="auto"/>
        <w:bottom w:val="none" w:sz="0" w:space="0" w:color="auto"/>
        <w:right w:val="none" w:sz="0" w:space="0" w:color="auto"/>
      </w:divBdr>
    </w:div>
    <w:div w:id="894778498">
      <w:bodyDiv w:val="1"/>
      <w:marLeft w:val="0"/>
      <w:marRight w:val="0"/>
      <w:marTop w:val="0"/>
      <w:marBottom w:val="0"/>
      <w:divBdr>
        <w:top w:val="none" w:sz="0" w:space="0" w:color="auto"/>
        <w:left w:val="none" w:sz="0" w:space="0" w:color="auto"/>
        <w:bottom w:val="none" w:sz="0" w:space="0" w:color="auto"/>
        <w:right w:val="none" w:sz="0" w:space="0" w:color="auto"/>
      </w:divBdr>
      <w:divsChild>
        <w:div w:id="978876747">
          <w:marLeft w:val="0"/>
          <w:marRight w:val="0"/>
          <w:marTop w:val="0"/>
          <w:marBottom w:val="0"/>
          <w:divBdr>
            <w:top w:val="none" w:sz="0" w:space="0" w:color="auto"/>
            <w:left w:val="none" w:sz="0" w:space="0" w:color="auto"/>
            <w:bottom w:val="none" w:sz="0" w:space="0" w:color="auto"/>
            <w:right w:val="none" w:sz="0" w:space="0" w:color="auto"/>
          </w:divBdr>
        </w:div>
        <w:div w:id="1082146194">
          <w:marLeft w:val="0"/>
          <w:marRight w:val="0"/>
          <w:marTop w:val="240"/>
          <w:marBottom w:val="0"/>
          <w:divBdr>
            <w:top w:val="none" w:sz="0" w:space="0" w:color="auto"/>
            <w:left w:val="none" w:sz="0" w:space="0" w:color="auto"/>
            <w:bottom w:val="none" w:sz="0" w:space="0" w:color="auto"/>
            <w:right w:val="none" w:sz="0" w:space="0" w:color="auto"/>
          </w:divBdr>
          <w:divsChild>
            <w:div w:id="18809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0429">
      <w:bodyDiv w:val="1"/>
      <w:marLeft w:val="0"/>
      <w:marRight w:val="0"/>
      <w:marTop w:val="0"/>
      <w:marBottom w:val="0"/>
      <w:divBdr>
        <w:top w:val="none" w:sz="0" w:space="0" w:color="auto"/>
        <w:left w:val="none" w:sz="0" w:space="0" w:color="auto"/>
        <w:bottom w:val="none" w:sz="0" w:space="0" w:color="auto"/>
        <w:right w:val="none" w:sz="0" w:space="0" w:color="auto"/>
      </w:divBdr>
    </w:div>
    <w:div w:id="1058743468">
      <w:bodyDiv w:val="1"/>
      <w:marLeft w:val="0"/>
      <w:marRight w:val="0"/>
      <w:marTop w:val="0"/>
      <w:marBottom w:val="0"/>
      <w:divBdr>
        <w:top w:val="none" w:sz="0" w:space="0" w:color="auto"/>
        <w:left w:val="none" w:sz="0" w:space="0" w:color="auto"/>
        <w:bottom w:val="none" w:sz="0" w:space="0" w:color="auto"/>
        <w:right w:val="none" w:sz="0" w:space="0" w:color="auto"/>
      </w:divBdr>
    </w:div>
    <w:div w:id="1129857149">
      <w:bodyDiv w:val="1"/>
      <w:marLeft w:val="0"/>
      <w:marRight w:val="0"/>
      <w:marTop w:val="0"/>
      <w:marBottom w:val="0"/>
      <w:divBdr>
        <w:top w:val="none" w:sz="0" w:space="0" w:color="auto"/>
        <w:left w:val="none" w:sz="0" w:space="0" w:color="auto"/>
        <w:bottom w:val="none" w:sz="0" w:space="0" w:color="auto"/>
        <w:right w:val="none" w:sz="0" w:space="0" w:color="auto"/>
      </w:divBdr>
    </w:div>
    <w:div w:id="1209800889">
      <w:bodyDiv w:val="1"/>
      <w:marLeft w:val="0"/>
      <w:marRight w:val="0"/>
      <w:marTop w:val="0"/>
      <w:marBottom w:val="0"/>
      <w:divBdr>
        <w:top w:val="none" w:sz="0" w:space="0" w:color="auto"/>
        <w:left w:val="none" w:sz="0" w:space="0" w:color="auto"/>
        <w:bottom w:val="none" w:sz="0" w:space="0" w:color="auto"/>
        <w:right w:val="none" w:sz="0" w:space="0" w:color="auto"/>
      </w:divBdr>
      <w:divsChild>
        <w:div w:id="306014294">
          <w:marLeft w:val="0"/>
          <w:marRight w:val="0"/>
          <w:marTop w:val="0"/>
          <w:marBottom w:val="0"/>
          <w:divBdr>
            <w:top w:val="none" w:sz="0" w:space="0" w:color="auto"/>
            <w:left w:val="none" w:sz="0" w:space="0" w:color="auto"/>
            <w:bottom w:val="none" w:sz="0" w:space="0" w:color="auto"/>
            <w:right w:val="none" w:sz="0" w:space="0" w:color="auto"/>
          </w:divBdr>
        </w:div>
      </w:divsChild>
    </w:div>
    <w:div w:id="1339382448">
      <w:bodyDiv w:val="1"/>
      <w:marLeft w:val="0"/>
      <w:marRight w:val="0"/>
      <w:marTop w:val="0"/>
      <w:marBottom w:val="0"/>
      <w:divBdr>
        <w:top w:val="none" w:sz="0" w:space="0" w:color="auto"/>
        <w:left w:val="none" w:sz="0" w:space="0" w:color="auto"/>
        <w:bottom w:val="none" w:sz="0" w:space="0" w:color="auto"/>
        <w:right w:val="none" w:sz="0" w:space="0" w:color="auto"/>
      </w:divBdr>
    </w:div>
    <w:div w:id="1377241451">
      <w:bodyDiv w:val="1"/>
      <w:marLeft w:val="0"/>
      <w:marRight w:val="0"/>
      <w:marTop w:val="0"/>
      <w:marBottom w:val="0"/>
      <w:divBdr>
        <w:top w:val="none" w:sz="0" w:space="0" w:color="auto"/>
        <w:left w:val="none" w:sz="0" w:space="0" w:color="auto"/>
        <w:bottom w:val="none" w:sz="0" w:space="0" w:color="auto"/>
        <w:right w:val="none" w:sz="0" w:space="0" w:color="auto"/>
      </w:divBdr>
    </w:div>
    <w:div w:id="1382752095">
      <w:bodyDiv w:val="1"/>
      <w:marLeft w:val="0"/>
      <w:marRight w:val="0"/>
      <w:marTop w:val="0"/>
      <w:marBottom w:val="0"/>
      <w:divBdr>
        <w:top w:val="none" w:sz="0" w:space="0" w:color="auto"/>
        <w:left w:val="none" w:sz="0" w:space="0" w:color="auto"/>
        <w:bottom w:val="none" w:sz="0" w:space="0" w:color="auto"/>
        <w:right w:val="none" w:sz="0" w:space="0" w:color="auto"/>
      </w:divBdr>
    </w:div>
    <w:div w:id="1394545470">
      <w:bodyDiv w:val="1"/>
      <w:marLeft w:val="0"/>
      <w:marRight w:val="0"/>
      <w:marTop w:val="0"/>
      <w:marBottom w:val="0"/>
      <w:divBdr>
        <w:top w:val="none" w:sz="0" w:space="0" w:color="auto"/>
        <w:left w:val="none" w:sz="0" w:space="0" w:color="auto"/>
        <w:bottom w:val="none" w:sz="0" w:space="0" w:color="auto"/>
        <w:right w:val="none" w:sz="0" w:space="0" w:color="auto"/>
      </w:divBdr>
      <w:divsChild>
        <w:div w:id="133379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512672">
              <w:marLeft w:val="0"/>
              <w:marRight w:val="0"/>
              <w:marTop w:val="0"/>
              <w:marBottom w:val="0"/>
              <w:divBdr>
                <w:top w:val="none" w:sz="0" w:space="0" w:color="auto"/>
                <w:left w:val="none" w:sz="0" w:space="0" w:color="auto"/>
                <w:bottom w:val="none" w:sz="0" w:space="0" w:color="auto"/>
                <w:right w:val="none" w:sz="0" w:space="0" w:color="auto"/>
              </w:divBdr>
              <w:divsChild>
                <w:div w:id="1676881486">
                  <w:marLeft w:val="0"/>
                  <w:marRight w:val="0"/>
                  <w:marTop w:val="0"/>
                  <w:marBottom w:val="225"/>
                  <w:divBdr>
                    <w:top w:val="none" w:sz="0" w:space="0" w:color="auto"/>
                    <w:left w:val="none" w:sz="0" w:space="0" w:color="auto"/>
                    <w:bottom w:val="none" w:sz="0" w:space="0" w:color="auto"/>
                    <w:right w:val="none" w:sz="0" w:space="0" w:color="auto"/>
                  </w:divBdr>
                  <w:divsChild>
                    <w:div w:id="19267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04411">
      <w:bodyDiv w:val="1"/>
      <w:marLeft w:val="0"/>
      <w:marRight w:val="0"/>
      <w:marTop w:val="0"/>
      <w:marBottom w:val="0"/>
      <w:divBdr>
        <w:top w:val="none" w:sz="0" w:space="0" w:color="auto"/>
        <w:left w:val="none" w:sz="0" w:space="0" w:color="auto"/>
        <w:bottom w:val="none" w:sz="0" w:space="0" w:color="auto"/>
        <w:right w:val="none" w:sz="0" w:space="0" w:color="auto"/>
      </w:divBdr>
    </w:div>
    <w:div w:id="1553467721">
      <w:bodyDiv w:val="1"/>
      <w:marLeft w:val="0"/>
      <w:marRight w:val="0"/>
      <w:marTop w:val="0"/>
      <w:marBottom w:val="0"/>
      <w:divBdr>
        <w:top w:val="none" w:sz="0" w:space="0" w:color="auto"/>
        <w:left w:val="none" w:sz="0" w:space="0" w:color="auto"/>
        <w:bottom w:val="none" w:sz="0" w:space="0" w:color="auto"/>
        <w:right w:val="none" w:sz="0" w:space="0" w:color="auto"/>
      </w:divBdr>
      <w:divsChild>
        <w:div w:id="1884631005">
          <w:marLeft w:val="0"/>
          <w:marRight w:val="0"/>
          <w:marTop w:val="0"/>
          <w:marBottom w:val="0"/>
          <w:divBdr>
            <w:top w:val="none" w:sz="0" w:space="0" w:color="auto"/>
            <w:left w:val="none" w:sz="0" w:space="0" w:color="auto"/>
            <w:bottom w:val="none" w:sz="0" w:space="0" w:color="auto"/>
            <w:right w:val="none" w:sz="0" w:space="0" w:color="auto"/>
          </w:divBdr>
        </w:div>
        <w:div w:id="1022821839">
          <w:marLeft w:val="0"/>
          <w:marRight w:val="0"/>
          <w:marTop w:val="0"/>
          <w:marBottom w:val="0"/>
          <w:divBdr>
            <w:top w:val="none" w:sz="0" w:space="0" w:color="auto"/>
            <w:left w:val="none" w:sz="0" w:space="0" w:color="auto"/>
            <w:bottom w:val="none" w:sz="0" w:space="0" w:color="auto"/>
            <w:right w:val="none" w:sz="0" w:space="0" w:color="auto"/>
          </w:divBdr>
        </w:div>
        <w:div w:id="1860385098">
          <w:marLeft w:val="0"/>
          <w:marRight w:val="0"/>
          <w:marTop w:val="0"/>
          <w:marBottom w:val="0"/>
          <w:divBdr>
            <w:top w:val="none" w:sz="0" w:space="0" w:color="auto"/>
            <w:left w:val="none" w:sz="0" w:space="0" w:color="auto"/>
            <w:bottom w:val="none" w:sz="0" w:space="0" w:color="auto"/>
            <w:right w:val="none" w:sz="0" w:space="0" w:color="auto"/>
          </w:divBdr>
        </w:div>
      </w:divsChild>
    </w:div>
    <w:div w:id="1554124164">
      <w:bodyDiv w:val="1"/>
      <w:marLeft w:val="0"/>
      <w:marRight w:val="0"/>
      <w:marTop w:val="0"/>
      <w:marBottom w:val="0"/>
      <w:divBdr>
        <w:top w:val="none" w:sz="0" w:space="0" w:color="auto"/>
        <w:left w:val="none" w:sz="0" w:space="0" w:color="auto"/>
        <w:bottom w:val="none" w:sz="0" w:space="0" w:color="auto"/>
        <w:right w:val="none" w:sz="0" w:space="0" w:color="auto"/>
      </w:divBdr>
    </w:div>
    <w:div w:id="1578828967">
      <w:bodyDiv w:val="1"/>
      <w:marLeft w:val="0"/>
      <w:marRight w:val="0"/>
      <w:marTop w:val="0"/>
      <w:marBottom w:val="0"/>
      <w:divBdr>
        <w:top w:val="none" w:sz="0" w:space="0" w:color="auto"/>
        <w:left w:val="none" w:sz="0" w:space="0" w:color="auto"/>
        <w:bottom w:val="none" w:sz="0" w:space="0" w:color="auto"/>
        <w:right w:val="none" w:sz="0" w:space="0" w:color="auto"/>
      </w:divBdr>
    </w:div>
    <w:div w:id="1757826396">
      <w:bodyDiv w:val="1"/>
      <w:marLeft w:val="0"/>
      <w:marRight w:val="0"/>
      <w:marTop w:val="0"/>
      <w:marBottom w:val="0"/>
      <w:divBdr>
        <w:top w:val="none" w:sz="0" w:space="0" w:color="auto"/>
        <w:left w:val="none" w:sz="0" w:space="0" w:color="auto"/>
        <w:bottom w:val="none" w:sz="0" w:space="0" w:color="auto"/>
        <w:right w:val="none" w:sz="0" w:space="0" w:color="auto"/>
      </w:divBdr>
    </w:div>
    <w:div w:id="2046177738">
      <w:bodyDiv w:val="1"/>
      <w:marLeft w:val="0"/>
      <w:marRight w:val="0"/>
      <w:marTop w:val="0"/>
      <w:marBottom w:val="0"/>
      <w:divBdr>
        <w:top w:val="none" w:sz="0" w:space="0" w:color="auto"/>
        <w:left w:val="none" w:sz="0" w:space="0" w:color="auto"/>
        <w:bottom w:val="none" w:sz="0" w:space="0" w:color="auto"/>
        <w:right w:val="none" w:sz="0" w:space="0" w:color="auto"/>
      </w:divBdr>
    </w:div>
    <w:div w:id="21240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_SetBYU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8EE5-38BB-4D89-B4D1-9FE2409C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_SetBYU12</Template>
  <TotalTime>1</TotalTime>
  <Pages>23</Pages>
  <Words>5182</Words>
  <Characters>30108</Characters>
  <Application>Microsoft Office Word</Application>
  <DocSecurity>0</DocSecurity>
  <Lines>376</Lines>
  <Paragraphs>57</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35233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Orien</dc:creator>
  <cp:lastModifiedBy>Gordon Smith</cp:lastModifiedBy>
  <cp:revision>2</cp:revision>
  <cp:lastPrinted>2015-03-03T22:15:00Z</cp:lastPrinted>
  <dcterms:created xsi:type="dcterms:W3CDTF">2015-05-15T04:24:00Z</dcterms:created>
  <dcterms:modified xsi:type="dcterms:W3CDTF">2015-05-15T04:24:00Z</dcterms:modified>
</cp:coreProperties>
</file>