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EC" w:rsidRPr="00B503E6" w:rsidRDefault="005023EC" w:rsidP="00A11457">
      <w:pPr>
        <w:jc w:val="center"/>
        <w:rPr>
          <w:rFonts w:asciiTheme="majorBidi" w:hAnsiTheme="majorBidi" w:cstheme="majorBidi"/>
          <w:bCs/>
          <w:sz w:val="24"/>
          <w:szCs w:val="24"/>
        </w:rPr>
      </w:pPr>
      <w:r w:rsidRPr="00B503E6">
        <w:rPr>
          <w:rFonts w:asciiTheme="majorBidi" w:hAnsiTheme="majorBidi" w:cstheme="majorBidi"/>
          <w:bCs/>
          <w:sz w:val="24"/>
          <w:szCs w:val="24"/>
        </w:rPr>
        <w:t xml:space="preserve">The relationship between </w:t>
      </w:r>
      <w:r w:rsidR="00081E84" w:rsidRPr="00B503E6">
        <w:rPr>
          <w:rFonts w:asciiTheme="majorBidi" w:hAnsiTheme="majorBidi" w:cstheme="majorBidi"/>
          <w:bCs/>
          <w:sz w:val="24"/>
          <w:szCs w:val="24"/>
        </w:rPr>
        <w:t xml:space="preserve">inclusive </w:t>
      </w:r>
      <w:r w:rsidRPr="00B503E6">
        <w:rPr>
          <w:rFonts w:asciiTheme="majorBidi" w:hAnsiTheme="majorBidi" w:cstheme="majorBidi"/>
          <w:bCs/>
          <w:sz w:val="24"/>
          <w:szCs w:val="24"/>
        </w:rPr>
        <w:t>institutions</w:t>
      </w:r>
      <w:r w:rsidR="006D21BF" w:rsidRPr="00B503E6">
        <w:rPr>
          <w:rFonts w:asciiTheme="majorBidi" w:hAnsiTheme="majorBidi" w:cstheme="majorBidi"/>
          <w:bCs/>
          <w:sz w:val="24"/>
          <w:szCs w:val="24"/>
        </w:rPr>
        <w:t>, proximate causes of growth</w:t>
      </w:r>
      <w:r w:rsidRPr="00B503E6">
        <w:rPr>
          <w:rFonts w:asciiTheme="majorBidi" w:hAnsiTheme="majorBidi" w:cstheme="majorBidi"/>
          <w:bCs/>
          <w:sz w:val="24"/>
          <w:szCs w:val="24"/>
        </w:rPr>
        <w:t xml:space="preserve"> and economic growth: A </w:t>
      </w:r>
      <w:r w:rsidR="00A11457" w:rsidRPr="00B503E6">
        <w:rPr>
          <w:rFonts w:asciiTheme="majorBidi" w:hAnsiTheme="majorBidi" w:cstheme="majorBidi"/>
          <w:bCs/>
          <w:sz w:val="24"/>
          <w:szCs w:val="24"/>
        </w:rPr>
        <w:t xml:space="preserve">case study of </w:t>
      </w:r>
      <w:r w:rsidRPr="00B503E6">
        <w:rPr>
          <w:rFonts w:asciiTheme="majorBidi" w:hAnsiTheme="majorBidi" w:cstheme="majorBidi"/>
          <w:bCs/>
          <w:sz w:val="24"/>
          <w:szCs w:val="24"/>
        </w:rPr>
        <w:t xml:space="preserve">four </w:t>
      </w:r>
      <w:r w:rsidR="00E26C05" w:rsidRPr="00B503E6">
        <w:rPr>
          <w:rFonts w:asciiTheme="majorBidi" w:hAnsiTheme="majorBidi" w:cstheme="majorBidi"/>
          <w:bCs/>
          <w:sz w:val="24"/>
          <w:szCs w:val="24"/>
        </w:rPr>
        <w:t>Mandate</w:t>
      </w:r>
      <w:r w:rsidRPr="00B503E6">
        <w:rPr>
          <w:rFonts w:asciiTheme="majorBidi" w:hAnsiTheme="majorBidi" w:cstheme="majorBidi"/>
          <w:bCs/>
          <w:sz w:val="24"/>
          <w:szCs w:val="24"/>
        </w:rPr>
        <w:t xml:space="preserve"> territories, Lebanon, Palestine, Syria and Trans-Jordan</w:t>
      </w:r>
      <w:r w:rsidR="005A126F" w:rsidRPr="00B503E6">
        <w:rPr>
          <w:rFonts w:asciiTheme="majorBidi" w:hAnsiTheme="majorBidi" w:cstheme="majorBidi"/>
          <w:bCs/>
          <w:sz w:val="24"/>
          <w:szCs w:val="24"/>
        </w:rPr>
        <w:t>,</w:t>
      </w:r>
      <w:r w:rsidRPr="00B503E6">
        <w:rPr>
          <w:rFonts w:asciiTheme="majorBidi" w:hAnsiTheme="majorBidi" w:cstheme="majorBidi"/>
          <w:bCs/>
          <w:sz w:val="24"/>
          <w:szCs w:val="24"/>
        </w:rPr>
        <w:t xml:space="preserve"> 1918-1946/48</w:t>
      </w:r>
    </w:p>
    <w:p w:rsidR="005023EC" w:rsidRPr="00B503E6" w:rsidRDefault="005023EC" w:rsidP="005023EC">
      <w:pPr>
        <w:jc w:val="center"/>
        <w:rPr>
          <w:rFonts w:asciiTheme="majorBidi" w:hAnsiTheme="majorBidi" w:cstheme="majorBidi"/>
          <w:sz w:val="24"/>
          <w:szCs w:val="24"/>
        </w:rPr>
      </w:pPr>
    </w:p>
    <w:p w:rsidR="00BB2109" w:rsidRPr="00B503E6" w:rsidRDefault="00BB2109" w:rsidP="005023EC">
      <w:pPr>
        <w:jc w:val="center"/>
        <w:rPr>
          <w:rFonts w:asciiTheme="majorBidi" w:hAnsiTheme="majorBidi" w:cstheme="majorBidi"/>
          <w:sz w:val="24"/>
          <w:szCs w:val="24"/>
        </w:rPr>
      </w:pPr>
      <w:r w:rsidRPr="00B503E6">
        <w:rPr>
          <w:rFonts w:asciiTheme="majorBidi" w:hAnsiTheme="majorBidi" w:cstheme="majorBidi"/>
          <w:sz w:val="24"/>
          <w:szCs w:val="24"/>
        </w:rPr>
        <w:t>Andrew Schein</w:t>
      </w:r>
    </w:p>
    <w:p w:rsidR="00BB2109" w:rsidRPr="00B503E6" w:rsidRDefault="00BB2109" w:rsidP="005023EC">
      <w:pPr>
        <w:jc w:val="center"/>
        <w:rPr>
          <w:rFonts w:asciiTheme="majorBidi" w:hAnsiTheme="majorBidi" w:cstheme="majorBidi"/>
          <w:sz w:val="24"/>
          <w:szCs w:val="24"/>
        </w:rPr>
      </w:pPr>
      <w:r w:rsidRPr="00B503E6">
        <w:rPr>
          <w:rFonts w:asciiTheme="majorBidi" w:hAnsiTheme="majorBidi" w:cstheme="majorBidi"/>
          <w:sz w:val="24"/>
          <w:szCs w:val="24"/>
        </w:rPr>
        <w:t>Netanya Academic College</w:t>
      </w:r>
    </w:p>
    <w:p w:rsidR="007D3CD7" w:rsidRPr="00B503E6" w:rsidRDefault="007D3CD7" w:rsidP="007D3CD7">
      <w:pPr>
        <w:jc w:val="center"/>
        <w:rPr>
          <w:rFonts w:asciiTheme="majorBidi" w:hAnsiTheme="majorBidi" w:cstheme="majorBidi"/>
          <w:sz w:val="24"/>
          <w:szCs w:val="24"/>
        </w:rPr>
      </w:pPr>
      <w:r w:rsidRPr="00B503E6">
        <w:rPr>
          <w:rFonts w:asciiTheme="majorBidi" w:hAnsiTheme="majorBidi" w:cstheme="majorBidi"/>
          <w:sz w:val="24"/>
          <w:szCs w:val="24"/>
        </w:rPr>
        <w:t>Netanya, Israel</w:t>
      </w:r>
    </w:p>
    <w:p w:rsidR="00BB2109" w:rsidRPr="00B503E6" w:rsidRDefault="00541616" w:rsidP="00B503E6">
      <w:pPr>
        <w:jc w:val="center"/>
        <w:rPr>
          <w:rFonts w:asciiTheme="majorBidi" w:hAnsiTheme="majorBidi" w:cstheme="majorBidi"/>
          <w:sz w:val="24"/>
          <w:szCs w:val="24"/>
        </w:rPr>
      </w:pPr>
      <w:r w:rsidRPr="00B503E6">
        <w:rPr>
          <w:rFonts w:asciiTheme="majorBidi" w:hAnsiTheme="majorBidi" w:cstheme="majorBidi"/>
          <w:sz w:val="24"/>
          <w:szCs w:val="24"/>
        </w:rPr>
        <w:t>M</w:t>
      </w:r>
      <w:r w:rsidR="00B503E6">
        <w:rPr>
          <w:rFonts w:asciiTheme="majorBidi" w:hAnsiTheme="majorBidi" w:cstheme="majorBidi"/>
          <w:sz w:val="24"/>
          <w:szCs w:val="24"/>
        </w:rPr>
        <w:t>ay</w:t>
      </w:r>
      <w:r w:rsidRPr="00B503E6">
        <w:rPr>
          <w:rFonts w:asciiTheme="majorBidi" w:hAnsiTheme="majorBidi" w:cstheme="majorBidi"/>
          <w:sz w:val="24"/>
          <w:szCs w:val="24"/>
        </w:rPr>
        <w:t xml:space="preserve"> </w:t>
      </w:r>
      <w:r w:rsidR="006A42C9" w:rsidRPr="00B503E6">
        <w:rPr>
          <w:rFonts w:asciiTheme="majorBidi" w:hAnsiTheme="majorBidi" w:cstheme="majorBidi"/>
          <w:sz w:val="24"/>
          <w:szCs w:val="24"/>
        </w:rPr>
        <w:t>201</w:t>
      </w:r>
      <w:r w:rsidR="00AE7C57" w:rsidRPr="00B503E6">
        <w:rPr>
          <w:rFonts w:asciiTheme="majorBidi" w:hAnsiTheme="majorBidi" w:cstheme="majorBidi"/>
          <w:sz w:val="24"/>
          <w:szCs w:val="24"/>
        </w:rPr>
        <w:t>5</w:t>
      </w:r>
    </w:p>
    <w:p w:rsidR="00E94012" w:rsidRPr="00B503E6" w:rsidRDefault="00E94012" w:rsidP="005023EC">
      <w:pPr>
        <w:jc w:val="center"/>
        <w:rPr>
          <w:rFonts w:asciiTheme="majorBidi" w:hAnsiTheme="majorBidi" w:cstheme="majorBidi"/>
          <w:sz w:val="24"/>
          <w:szCs w:val="24"/>
        </w:rPr>
      </w:pPr>
      <w:r w:rsidRPr="00B503E6">
        <w:rPr>
          <w:rFonts w:asciiTheme="majorBidi" w:hAnsiTheme="majorBidi" w:cstheme="majorBidi"/>
          <w:sz w:val="24"/>
          <w:szCs w:val="24"/>
        </w:rPr>
        <w:t>ajayschein@gmail.com</w:t>
      </w:r>
    </w:p>
    <w:p w:rsidR="005023EC" w:rsidRPr="00B503E6" w:rsidRDefault="005023EC" w:rsidP="005023EC">
      <w:pPr>
        <w:jc w:val="center"/>
        <w:rPr>
          <w:rFonts w:asciiTheme="majorBidi" w:hAnsiTheme="majorBidi" w:cstheme="majorBidi"/>
          <w:sz w:val="24"/>
          <w:szCs w:val="24"/>
        </w:rPr>
      </w:pPr>
    </w:p>
    <w:p w:rsidR="008F77BA" w:rsidRPr="00B503E6" w:rsidRDefault="008F77BA" w:rsidP="00956700">
      <w:pPr>
        <w:spacing w:after="200" w:line="276" w:lineRule="auto"/>
        <w:rPr>
          <w:rFonts w:asciiTheme="majorBidi" w:hAnsiTheme="majorBidi" w:cstheme="majorBidi"/>
          <w:sz w:val="24"/>
          <w:szCs w:val="24"/>
        </w:rPr>
      </w:pPr>
    </w:p>
    <w:p w:rsidR="008F77BA" w:rsidRPr="00B503E6" w:rsidRDefault="008F77BA" w:rsidP="008F77BA">
      <w:pPr>
        <w:spacing w:after="200" w:line="276" w:lineRule="auto"/>
        <w:rPr>
          <w:rFonts w:asciiTheme="majorBidi" w:hAnsiTheme="majorBidi" w:cstheme="majorBidi"/>
          <w:sz w:val="24"/>
          <w:szCs w:val="24"/>
        </w:rPr>
      </w:pPr>
      <w:r w:rsidRPr="00B503E6">
        <w:rPr>
          <w:rFonts w:asciiTheme="majorBidi" w:hAnsiTheme="majorBidi" w:cstheme="majorBidi"/>
          <w:sz w:val="24"/>
          <w:szCs w:val="24"/>
        </w:rPr>
        <w:t>Abstract:</w:t>
      </w:r>
    </w:p>
    <w:p w:rsidR="008F77BA" w:rsidRPr="00B503E6" w:rsidRDefault="008F77BA" w:rsidP="00147D9F">
      <w:pPr>
        <w:spacing w:after="200" w:line="276" w:lineRule="auto"/>
        <w:jc w:val="both"/>
        <w:rPr>
          <w:rFonts w:asciiTheme="majorBidi" w:hAnsiTheme="majorBidi" w:cstheme="majorBidi"/>
          <w:sz w:val="24"/>
          <w:szCs w:val="24"/>
        </w:rPr>
      </w:pPr>
      <w:r w:rsidRPr="00B503E6">
        <w:rPr>
          <w:rFonts w:asciiTheme="majorBidi" w:hAnsiTheme="majorBidi" w:cstheme="majorBidi"/>
          <w:sz w:val="24"/>
          <w:szCs w:val="24"/>
        </w:rPr>
        <w:t xml:space="preserve">This paper presents a comparative historical study of the economic growth in four Mandate territories, Lebanon, Palestine, Syria and Trans-Jordan.  </w:t>
      </w:r>
      <w:r w:rsidR="006D21BF" w:rsidRPr="00B503E6">
        <w:rPr>
          <w:rFonts w:asciiTheme="majorBidi" w:hAnsiTheme="majorBidi" w:cstheme="majorBidi"/>
          <w:sz w:val="24"/>
          <w:szCs w:val="24"/>
        </w:rPr>
        <w:t>I</w:t>
      </w:r>
      <w:r w:rsidRPr="00B503E6">
        <w:rPr>
          <w:rFonts w:asciiTheme="majorBidi" w:hAnsiTheme="majorBidi" w:cstheme="majorBidi"/>
          <w:sz w:val="24"/>
          <w:szCs w:val="24"/>
        </w:rPr>
        <w:t xml:space="preserve">n all four areas, the ruling Western powers, Britain and France, attempted to introduce inclusive economic institutions with a strong emphasis on private property.  </w:t>
      </w:r>
      <w:r w:rsidR="00935371" w:rsidRPr="00B503E6">
        <w:rPr>
          <w:rFonts w:asciiTheme="majorBidi" w:hAnsiTheme="majorBidi" w:cstheme="majorBidi"/>
          <w:sz w:val="24"/>
          <w:szCs w:val="24"/>
        </w:rPr>
        <w:t>In all four areas, t</w:t>
      </w:r>
      <w:r w:rsidRPr="00B503E6">
        <w:rPr>
          <w:rFonts w:asciiTheme="majorBidi" w:hAnsiTheme="majorBidi" w:cstheme="majorBidi"/>
          <w:sz w:val="24"/>
          <w:szCs w:val="24"/>
        </w:rPr>
        <w:t>he inclusive institutions advanced economic growth</w:t>
      </w:r>
      <w:r w:rsidR="000F23F0" w:rsidRPr="00B503E6">
        <w:rPr>
          <w:rFonts w:asciiTheme="majorBidi" w:hAnsiTheme="majorBidi" w:cstheme="majorBidi"/>
          <w:sz w:val="24"/>
          <w:szCs w:val="24"/>
        </w:rPr>
        <w:t>,</w:t>
      </w:r>
      <w:r w:rsidRPr="00B503E6">
        <w:rPr>
          <w:rFonts w:asciiTheme="majorBidi" w:hAnsiTheme="majorBidi" w:cstheme="majorBidi"/>
          <w:sz w:val="24"/>
          <w:szCs w:val="24"/>
        </w:rPr>
        <w:t xml:space="preserve"> but </w:t>
      </w:r>
      <w:r w:rsidR="00B40BC6" w:rsidRPr="00B503E6">
        <w:rPr>
          <w:rFonts w:asciiTheme="majorBidi" w:hAnsiTheme="majorBidi" w:cstheme="majorBidi"/>
          <w:sz w:val="24"/>
          <w:szCs w:val="24"/>
        </w:rPr>
        <w:t>there were differences in the growth rates</w:t>
      </w:r>
      <w:r w:rsidR="00330711" w:rsidRPr="00B503E6">
        <w:rPr>
          <w:rFonts w:asciiTheme="majorBidi" w:hAnsiTheme="majorBidi" w:cstheme="majorBidi"/>
          <w:sz w:val="24"/>
          <w:szCs w:val="24"/>
        </w:rPr>
        <w:t xml:space="preserve">. </w:t>
      </w:r>
      <w:r w:rsidR="00B40BC6" w:rsidRPr="00B503E6">
        <w:rPr>
          <w:rFonts w:asciiTheme="majorBidi" w:hAnsiTheme="majorBidi" w:cstheme="majorBidi"/>
          <w:sz w:val="24"/>
          <w:szCs w:val="24"/>
        </w:rPr>
        <w:t xml:space="preserve">For example, </w:t>
      </w:r>
      <w:r w:rsidR="001E5FB5" w:rsidRPr="00B503E6">
        <w:rPr>
          <w:rFonts w:asciiTheme="majorBidi" w:hAnsiTheme="majorBidi" w:cstheme="majorBidi"/>
          <w:sz w:val="24"/>
          <w:szCs w:val="24"/>
        </w:rPr>
        <w:t>Palestine had the best growth even though the British were more successful in instituting inclusive institutions in Trans-Jordan than they were in Palestine since in Palestine there was also a huge increase in the proximate causes of growth which did not occur in Trans-Jordan.</w:t>
      </w:r>
      <w:r w:rsidR="006D21BF" w:rsidRPr="00B503E6">
        <w:rPr>
          <w:rFonts w:asciiTheme="majorBidi" w:hAnsiTheme="majorBidi" w:cstheme="majorBidi"/>
          <w:sz w:val="24"/>
          <w:szCs w:val="24"/>
        </w:rPr>
        <w:t xml:space="preserve">  </w:t>
      </w:r>
      <w:r w:rsidR="00B40BC6" w:rsidRPr="00B503E6">
        <w:rPr>
          <w:rFonts w:asciiTheme="majorBidi" w:hAnsiTheme="majorBidi" w:cstheme="majorBidi"/>
          <w:sz w:val="24"/>
          <w:szCs w:val="24"/>
        </w:rPr>
        <w:t>T</w:t>
      </w:r>
      <w:r w:rsidR="006D21BF" w:rsidRPr="00B503E6">
        <w:rPr>
          <w:rFonts w:asciiTheme="majorBidi" w:hAnsiTheme="majorBidi" w:cstheme="majorBidi"/>
          <w:sz w:val="24"/>
          <w:szCs w:val="24"/>
        </w:rPr>
        <w:t xml:space="preserve">he paper </w:t>
      </w:r>
      <w:r w:rsidR="0046799A" w:rsidRPr="00B503E6">
        <w:rPr>
          <w:rFonts w:asciiTheme="majorBidi" w:hAnsiTheme="majorBidi" w:cstheme="majorBidi"/>
          <w:sz w:val="24"/>
          <w:szCs w:val="24"/>
        </w:rPr>
        <w:t xml:space="preserve">suggests </w:t>
      </w:r>
      <w:r w:rsidR="006D21BF" w:rsidRPr="00B503E6">
        <w:rPr>
          <w:rFonts w:asciiTheme="majorBidi" w:hAnsiTheme="majorBidi" w:cstheme="majorBidi"/>
          <w:sz w:val="24"/>
          <w:szCs w:val="24"/>
        </w:rPr>
        <w:t>a refined formulation of the relationship between inclusive institutions, proximate causes of growth and economic growth.</w:t>
      </w:r>
      <w:r w:rsidR="00B40BC6" w:rsidRPr="00B503E6">
        <w:rPr>
          <w:rFonts w:asciiTheme="majorBidi" w:hAnsiTheme="majorBidi" w:cstheme="majorBidi"/>
          <w:sz w:val="24"/>
          <w:szCs w:val="24"/>
        </w:rPr>
        <w:t xml:space="preserve">  Inclusive institutions will cause economic growth but at a slow pace.  If a country is able to enhance its proximate causes of growth through investment, then the joint effect of </w:t>
      </w:r>
      <w:r w:rsidR="00E13545" w:rsidRPr="00B503E6">
        <w:rPr>
          <w:rFonts w:asciiTheme="majorBidi" w:hAnsiTheme="majorBidi" w:cstheme="majorBidi"/>
          <w:sz w:val="24"/>
          <w:szCs w:val="24"/>
        </w:rPr>
        <w:t xml:space="preserve">the </w:t>
      </w:r>
      <w:r w:rsidR="00B40BC6" w:rsidRPr="00B503E6">
        <w:rPr>
          <w:rFonts w:asciiTheme="majorBidi" w:hAnsiTheme="majorBidi" w:cstheme="majorBidi"/>
          <w:sz w:val="24"/>
          <w:szCs w:val="24"/>
        </w:rPr>
        <w:t xml:space="preserve">proximate causes of growth with inclusive institutions will lead to much quicker growth. </w:t>
      </w:r>
      <w:r w:rsidR="006D21BF" w:rsidRPr="00B503E6">
        <w:rPr>
          <w:rFonts w:asciiTheme="majorBidi" w:hAnsiTheme="majorBidi" w:cstheme="majorBidi"/>
          <w:sz w:val="24"/>
          <w:szCs w:val="24"/>
        </w:rPr>
        <w:t xml:space="preserve"> </w:t>
      </w:r>
      <w:r w:rsidRPr="00B503E6">
        <w:rPr>
          <w:rFonts w:asciiTheme="majorBidi" w:hAnsiTheme="majorBidi" w:cstheme="majorBidi"/>
          <w:sz w:val="24"/>
          <w:szCs w:val="24"/>
        </w:rPr>
        <w:t xml:space="preserve">  </w:t>
      </w:r>
    </w:p>
    <w:p w:rsidR="008F77BA" w:rsidRPr="00B503E6" w:rsidRDefault="008F77BA" w:rsidP="000F23F0">
      <w:pPr>
        <w:rPr>
          <w:rFonts w:asciiTheme="majorBidi" w:hAnsiTheme="majorBidi" w:cstheme="majorBidi"/>
          <w:sz w:val="24"/>
          <w:szCs w:val="24"/>
        </w:rPr>
      </w:pPr>
      <w:r w:rsidRPr="00B503E6">
        <w:rPr>
          <w:rFonts w:asciiTheme="majorBidi" w:hAnsiTheme="majorBidi" w:cstheme="majorBidi"/>
          <w:sz w:val="24"/>
          <w:szCs w:val="24"/>
        </w:rPr>
        <w:t>JEL Classification:  B52, N55, O43, O53, Q15</w:t>
      </w:r>
    </w:p>
    <w:p w:rsidR="008F77BA" w:rsidRPr="00B503E6" w:rsidRDefault="008F77BA" w:rsidP="008F77BA">
      <w:pPr>
        <w:rPr>
          <w:rFonts w:asciiTheme="majorBidi" w:hAnsiTheme="majorBidi" w:cstheme="majorBidi"/>
          <w:sz w:val="24"/>
          <w:szCs w:val="24"/>
        </w:rPr>
      </w:pPr>
    </w:p>
    <w:p w:rsidR="008F77BA" w:rsidRPr="00B503E6" w:rsidRDefault="008F77BA" w:rsidP="00E13545">
      <w:pPr>
        <w:rPr>
          <w:rFonts w:asciiTheme="majorBidi" w:hAnsiTheme="majorBidi" w:cstheme="majorBidi"/>
          <w:sz w:val="24"/>
          <w:szCs w:val="24"/>
        </w:rPr>
      </w:pPr>
      <w:r w:rsidRPr="00B503E6">
        <w:rPr>
          <w:rFonts w:asciiTheme="majorBidi" w:hAnsiTheme="majorBidi" w:cstheme="majorBidi"/>
          <w:sz w:val="24"/>
          <w:szCs w:val="24"/>
        </w:rPr>
        <w:t xml:space="preserve">Keywords: </w:t>
      </w:r>
      <w:r w:rsidR="00E13545" w:rsidRPr="00B503E6">
        <w:rPr>
          <w:rFonts w:asciiTheme="majorBidi" w:hAnsiTheme="majorBidi" w:cstheme="majorBidi"/>
          <w:sz w:val="24"/>
          <w:szCs w:val="24"/>
        </w:rPr>
        <w:t xml:space="preserve">economic development, </w:t>
      </w:r>
      <w:r w:rsidRPr="00B503E6">
        <w:rPr>
          <w:rFonts w:asciiTheme="majorBidi" w:hAnsiTheme="majorBidi" w:cstheme="majorBidi"/>
          <w:sz w:val="24"/>
          <w:szCs w:val="24"/>
        </w:rPr>
        <w:t xml:space="preserve">Middle East   </w:t>
      </w:r>
    </w:p>
    <w:p w:rsidR="005023EC" w:rsidRPr="00B503E6" w:rsidRDefault="005023EC" w:rsidP="00956700">
      <w:pPr>
        <w:spacing w:after="200" w:line="276" w:lineRule="auto"/>
        <w:rPr>
          <w:rFonts w:asciiTheme="majorBidi" w:hAnsiTheme="majorBidi" w:cstheme="majorBidi"/>
          <w:sz w:val="24"/>
          <w:szCs w:val="24"/>
        </w:rPr>
      </w:pPr>
      <w:r w:rsidRPr="00B503E6">
        <w:rPr>
          <w:rFonts w:asciiTheme="majorBidi" w:hAnsiTheme="majorBidi" w:cstheme="majorBidi"/>
          <w:sz w:val="24"/>
          <w:szCs w:val="24"/>
        </w:rPr>
        <w:br w:type="page"/>
      </w:r>
    </w:p>
    <w:p w:rsidR="000D2EA0" w:rsidRPr="00B503E6" w:rsidRDefault="00B65E53" w:rsidP="00E13657">
      <w:pPr>
        <w:spacing w:line="480" w:lineRule="auto"/>
        <w:jc w:val="both"/>
        <w:rPr>
          <w:rFonts w:asciiTheme="majorBidi" w:hAnsiTheme="majorBidi" w:cstheme="majorBidi"/>
          <w:sz w:val="24"/>
          <w:szCs w:val="24"/>
        </w:rPr>
      </w:pPr>
      <w:r w:rsidRPr="00B503E6">
        <w:rPr>
          <w:rFonts w:asciiTheme="majorBidi" w:hAnsiTheme="majorBidi" w:cstheme="majorBidi"/>
          <w:sz w:val="24"/>
          <w:szCs w:val="24"/>
        </w:rPr>
        <w:lastRenderedPageBreak/>
        <w:t xml:space="preserve">Daron </w:t>
      </w:r>
      <w:r w:rsidR="000D2EA0" w:rsidRPr="00B503E6">
        <w:rPr>
          <w:rFonts w:asciiTheme="majorBidi" w:hAnsiTheme="majorBidi" w:cstheme="majorBidi"/>
          <w:sz w:val="24"/>
          <w:szCs w:val="24"/>
        </w:rPr>
        <w:t xml:space="preserve">Acemoglu (2009) distinguishes between the proximate causes of economic growth, technology, physical capital and human capital, </w:t>
      </w:r>
      <w:r w:rsidR="00782D09" w:rsidRPr="00B503E6">
        <w:rPr>
          <w:rFonts w:asciiTheme="majorBidi" w:hAnsiTheme="majorBidi" w:cstheme="majorBidi"/>
          <w:sz w:val="24"/>
          <w:szCs w:val="24"/>
        </w:rPr>
        <w:t xml:space="preserve">from the Solow growth model </w:t>
      </w:r>
      <w:r w:rsidR="000D2EA0" w:rsidRPr="00B503E6">
        <w:rPr>
          <w:rFonts w:asciiTheme="majorBidi" w:hAnsiTheme="majorBidi" w:cstheme="majorBidi"/>
          <w:sz w:val="24"/>
          <w:szCs w:val="24"/>
        </w:rPr>
        <w:t xml:space="preserve">and the fundamental cause of economic growth, which Acemoglu argues is </w:t>
      </w:r>
      <w:r w:rsidR="000E3FDE" w:rsidRPr="00B503E6">
        <w:rPr>
          <w:rFonts w:asciiTheme="majorBidi" w:hAnsiTheme="majorBidi" w:cstheme="majorBidi"/>
          <w:sz w:val="24"/>
          <w:szCs w:val="24"/>
        </w:rPr>
        <w:t>“</w:t>
      </w:r>
      <w:r w:rsidR="002D4A56" w:rsidRPr="00B503E6">
        <w:rPr>
          <w:rFonts w:asciiTheme="majorBidi" w:hAnsiTheme="majorBidi" w:cstheme="majorBidi"/>
          <w:sz w:val="24"/>
          <w:szCs w:val="24"/>
        </w:rPr>
        <w:t>private rights institutions</w:t>
      </w:r>
      <w:r w:rsidR="006A42C9" w:rsidRPr="00B503E6">
        <w:rPr>
          <w:rFonts w:asciiTheme="majorBidi" w:hAnsiTheme="majorBidi" w:cstheme="majorBidi"/>
          <w:sz w:val="24"/>
          <w:szCs w:val="24"/>
        </w:rPr>
        <w:t>.</w:t>
      </w:r>
      <w:r w:rsidR="000E3FDE" w:rsidRPr="00B503E6">
        <w:rPr>
          <w:rFonts w:asciiTheme="majorBidi" w:hAnsiTheme="majorBidi" w:cstheme="majorBidi"/>
          <w:sz w:val="24"/>
          <w:szCs w:val="24"/>
        </w:rPr>
        <w:t>”</w:t>
      </w:r>
      <w:r w:rsidR="002D4A56" w:rsidRPr="00B503E6">
        <w:rPr>
          <w:rFonts w:asciiTheme="majorBidi" w:hAnsiTheme="majorBidi" w:cstheme="majorBidi"/>
          <w:sz w:val="24"/>
          <w:szCs w:val="24"/>
        </w:rPr>
        <w:t xml:space="preserve">  </w:t>
      </w:r>
      <w:r w:rsidR="006A42C9" w:rsidRPr="00B503E6">
        <w:rPr>
          <w:rFonts w:asciiTheme="majorBidi" w:hAnsiTheme="majorBidi" w:cstheme="majorBidi"/>
          <w:sz w:val="24"/>
          <w:szCs w:val="24"/>
        </w:rPr>
        <w:t>Private rights institutions are institutions that support private property and constraint government and elite expropriation</w:t>
      </w:r>
      <w:r w:rsidR="00337D07" w:rsidRPr="00B503E6">
        <w:rPr>
          <w:rFonts w:asciiTheme="majorBidi" w:hAnsiTheme="majorBidi" w:cstheme="majorBidi"/>
          <w:sz w:val="24"/>
          <w:szCs w:val="24"/>
        </w:rPr>
        <w:t xml:space="preserve"> of a person's property</w:t>
      </w:r>
      <w:r w:rsidR="00E13657">
        <w:rPr>
          <w:rFonts w:asciiTheme="majorBidi" w:hAnsiTheme="majorBidi" w:cstheme="majorBidi"/>
          <w:sz w:val="24"/>
          <w:szCs w:val="24"/>
        </w:rPr>
        <w:t xml:space="preserve">. </w:t>
      </w:r>
      <w:r w:rsidR="006A42C9" w:rsidRPr="00B503E6">
        <w:rPr>
          <w:rFonts w:asciiTheme="majorBidi" w:hAnsiTheme="majorBidi" w:cstheme="majorBidi"/>
          <w:sz w:val="24"/>
          <w:szCs w:val="24"/>
        </w:rPr>
        <w:t xml:space="preserve"> </w:t>
      </w:r>
      <w:r w:rsidR="00E13657">
        <w:rPr>
          <w:rFonts w:asciiTheme="majorBidi" w:hAnsiTheme="majorBidi" w:cstheme="majorBidi"/>
          <w:sz w:val="24"/>
          <w:szCs w:val="24"/>
        </w:rPr>
        <w:t>I</w:t>
      </w:r>
      <w:r w:rsidR="006A42C9" w:rsidRPr="00B503E6">
        <w:rPr>
          <w:rFonts w:asciiTheme="majorBidi" w:hAnsiTheme="majorBidi" w:cstheme="majorBidi"/>
          <w:sz w:val="24"/>
          <w:szCs w:val="24"/>
        </w:rPr>
        <w:t xml:space="preserve">n his book, </w:t>
      </w:r>
      <w:r w:rsidR="006A42C9" w:rsidRPr="00B503E6">
        <w:rPr>
          <w:rFonts w:asciiTheme="majorBidi" w:hAnsiTheme="majorBidi" w:cstheme="majorBidi"/>
          <w:i/>
          <w:iCs/>
          <w:sz w:val="24"/>
          <w:szCs w:val="24"/>
        </w:rPr>
        <w:t>Why Nations Fail</w:t>
      </w:r>
      <w:r w:rsidR="006A42C9" w:rsidRPr="00B503E6">
        <w:rPr>
          <w:rFonts w:asciiTheme="majorBidi" w:hAnsiTheme="majorBidi" w:cstheme="majorBidi"/>
          <w:sz w:val="24"/>
          <w:szCs w:val="24"/>
        </w:rPr>
        <w:t xml:space="preserve"> </w:t>
      </w:r>
      <w:r w:rsidR="00337D07" w:rsidRPr="00B503E6">
        <w:rPr>
          <w:rFonts w:asciiTheme="majorBidi" w:hAnsiTheme="majorBidi" w:cstheme="majorBidi"/>
          <w:sz w:val="24"/>
          <w:szCs w:val="24"/>
        </w:rPr>
        <w:t xml:space="preserve">(2012) </w:t>
      </w:r>
      <w:r w:rsidR="006A42C9" w:rsidRPr="00B503E6">
        <w:rPr>
          <w:rFonts w:asciiTheme="majorBidi" w:hAnsiTheme="majorBidi" w:cstheme="majorBidi"/>
          <w:sz w:val="24"/>
          <w:szCs w:val="24"/>
        </w:rPr>
        <w:t xml:space="preserve">with James Robinson, they label these institutions as </w:t>
      </w:r>
      <w:r w:rsidR="00337D07" w:rsidRPr="00B503E6">
        <w:rPr>
          <w:rFonts w:asciiTheme="majorBidi" w:hAnsiTheme="majorBidi" w:cstheme="majorBidi"/>
          <w:sz w:val="24"/>
          <w:szCs w:val="24"/>
        </w:rPr>
        <w:t xml:space="preserve">inclusive institutions.  </w:t>
      </w:r>
      <w:r w:rsidR="002D4A56" w:rsidRPr="00B503E6">
        <w:rPr>
          <w:rFonts w:asciiTheme="majorBidi" w:hAnsiTheme="majorBidi" w:cstheme="majorBidi"/>
          <w:sz w:val="24"/>
          <w:szCs w:val="24"/>
        </w:rPr>
        <w:t xml:space="preserve">The idea </w:t>
      </w:r>
      <w:r w:rsidR="00E6286D" w:rsidRPr="00B503E6">
        <w:rPr>
          <w:rFonts w:asciiTheme="majorBidi" w:hAnsiTheme="majorBidi" w:cstheme="majorBidi"/>
          <w:sz w:val="24"/>
          <w:szCs w:val="24"/>
        </w:rPr>
        <w:t>is</w:t>
      </w:r>
      <w:r w:rsidR="002D4A56" w:rsidRPr="00B503E6">
        <w:rPr>
          <w:rFonts w:asciiTheme="majorBidi" w:hAnsiTheme="majorBidi" w:cstheme="majorBidi"/>
          <w:sz w:val="24"/>
          <w:szCs w:val="24"/>
        </w:rPr>
        <w:t xml:space="preserve"> that even if </w:t>
      </w:r>
      <w:r w:rsidR="00FD06DE" w:rsidRPr="00B503E6">
        <w:rPr>
          <w:rFonts w:asciiTheme="majorBidi" w:hAnsiTheme="majorBidi" w:cstheme="majorBidi"/>
          <w:sz w:val="24"/>
          <w:szCs w:val="24"/>
        </w:rPr>
        <w:t xml:space="preserve">a </w:t>
      </w:r>
      <w:r w:rsidR="002D4A56" w:rsidRPr="00B503E6">
        <w:rPr>
          <w:rFonts w:asciiTheme="majorBidi" w:hAnsiTheme="majorBidi" w:cstheme="majorBidi"/>
          <w:sz w:val="24"/>
          <w:szCs w:val="24"/>
        </w:rPr>
        <w:t xml:space="preserve">country has </w:t>
      </w:r>
      <w:r w:rsidR="00FD06DE" w:rsidRPr="00B503E6">
        <w:rPr>
          <w:rFonts w:asciiTheme="majorBidi" w:hAnsiTheme="majorBidi" w:cstheme="majorBidi"/>
          <w:sz w:val="24"/>
          <w:szCs w:val="24"/>
        </w:rPr>
        <w:t>the proximate causes of economic growth</w:t>
      </w:r>
      <w:r w:rsidR="00E13545" w:rsidRPr="00B503E6">
        <w:rPr>
          <w:rFonts w:asciiTheme="majorBidi" w:hAnsiTheme="majorBidi" w:cstheme="majorBidi"/>
          <w:sz w:val="24"/>
          <w:szCs w:val="24"/>
        </w:rPr>
        <w:t>,</w:t>
      </w:r>
      <w:r w:rsidR="00FD06DE" w:rsidRPr="00B503E6">
        <w:rPr>
          <w:rFonts w:asciiTheme="majorBidi" w:hAnsiTheme="majorBidi" w:cstheme="majorBidi"/>
          <w:sz w:val="24"/>
          <w:szCs w:val="24"/>
        </w:rPr>
        <w:t xml:space="preserve"> without </w:t>
      </w:r>
      <w:r w:rsidR="00CB508B" w:rsidRPr="00B503E6">
        <w:rPr>
          <w:rFonts w:asciiTheme="majorBidi" w:hAnsiTheme="majorBidi" w:cstheme="majorBidi"/>
          <w:sz w:val="24"/>
          <w:szCs w:val="24"/>
        </w:rPr>
        <w:t xml:space="preserve">inclusive </w:t>
      </w:r>
      <w:r w:rsidR="00FD06DE" w:rsidRPr="00B503E6">
        <w:rPr>
          <w:rFonts w:asciiTheme="majorBidi" w:hAnsiTheme="majorBidi" w:cstheme="majorBidi"/>
          <w:sz w:val="24"/>
          <w:szCs w:val="24"/>
        </w:rPr>
        <w:t xml:space="preserve">institutions the country will not prosper.  </w:t>
      </w:r>
      <w:r w:rsidR="007D3CD7" w:rsidRPr="00B503E6">
        <w:rPr>
          <w:rFonts w:asciiTheme="majorBidi" w:hAnsiTheme="majorBidi" w:cstheme="majorBidi"/>
          <w:sz w:val="24"/>
          <w:szCs w:val="24"/>
        </w:rPr>
        <w:t>W</w:t>
      </w:r>
      <w:r w:rsidR="00FD06DE" w:rsidRPr="00B503E6">
        <w:rPr>
          <w:rFonts w:asciiTheme="majorBidi" w:hAnsiTheme="majorBidi" w:cstheme="majorBidi"/>
          <w:sz w:val="24"/>
          <w:szCs w:val="24"/>
        </w:rPr>
        <w:t xml:space="preserve">hat about the opposite case? If </w:t>
      </w:r>
      <w:r w:rsidR="0063320B" w:rsidRPr="00B503E6">
        <w:rPr>
          <w:rFonts w:asciiTheme="majorBidi" w:hAnsiTheme="majorBidi" w:cstheme="majorBidi"/>
          <w:sz w:val="24"/>
          <w:szCs w:val="24"/>
        </w:rPr>
        <w:t xml:space="preserve">a </w:t>
      </w:r>
      <w:r w:rsidR="00FD06DE" w:rsidRPr="00B503E6">
        <w:rPr>
          <w:rFonts w:asciiTheme="majorBidi" w:hAnsiTheme="majorBidi" w:cstheme="majorBidi"/>
          <w:sz w:val="24"/>
          <w:szCs w:val="24"/>
        </w:rPr>
        <w:t xml:space="preserve">country has inclusive institutions, but is lacking in physical capital, human capital and technology, will the country grow?  </w:t>
      </w:r>
    </w:p>
    <w:p w:rsidR="00B12036" w:rsidRPr="00B503E6" w:rsidRDefault="006E404C" w:rsidP="00DF7C70">
      <w:pPr>
        <w:spacing w:line="480" w:lineRule="auto"/>
        <w:ind w:firstLine="567"/>
        <w:jc w:val="both"/>
        <w:rPr>
          <w:rFonts w:asciiTheme="majorBidi" w:hAnsiTheme="majorBidi" w:cstheme="majorBidi"/>
          <w:sz w:val="24"/>
          <w:szCs w:val="24"/>
        </w:rPr>
      </w:pPr>
      <w:r w:rsidRPr="00B503E6">
        <w:rPr>
          <w:rFonts w:asciiTheme="majorBidi" w:hAnsiTheme="majorBidi" w:cstheme="majorBidi"/>
          <w:sz w:val="24"/>
          <w:szCs w:val="24"/>
        </w:rPr>
        <w:t xml:space="preserve">This paper will </w:t>
      </w:r>
      <w:r w:rsidR="001F223F" w:rsidRPr="00B503E6">
        <w:rPr>
          <w:rFonts w:asciiTheme="majorBidi" w:hAnsiTheme="majorBidi" w:cstheme="majorBidi"/>
          <w:sz w:val="24"/>
          <w:szCs w:val="24"/>
        </w:rPr>
        <w:t xml:space="preserve">examine the relationship between </w:t>
      </w:r>
      <w:r w:rsidR="00CB508B" w:rsidRPr="00B503E6">
        <w:rPr>
          <w:rFonts w:asciiTheme="majorBidi" w:hAnsiTheme="majorBidi" w:cstheme="majorBidi"/>
          <w:sz w:val="24"/>
          <w:szCs w:val="24"/>
        </w:rPr>
        <w:t>institutions</w:t>
      </w:r>
      <w:r w:rsidR="001F223F" w:rsidRPr="00B503E6">
        <w:rPr>
          <w:rFonts w:asciiTheme="majorBidi" w:hAnsiTheme="majorBidi" w:cstheme="majorBidi"/>
          <w:sz w:val="24"/>
          <w:szCs w:val="24"/>
        </w:rPr>
        <w:t>, proximate causes of growth</w:t>
      </w:r>
      <w:r w:rsidR="00CB508B" w:rsidRPr="00B503E6">
        <w:rPr>
          <w:rFonts w:asciiTheme="majorBidi" w:hAnsiTheme="majorBidi" w:cstheme="majorBidi"/>
          <w:sz w:val="24"/>
          <w:szCs w:val="24"/>
        </w:rPr>
        <w:t xml:space="preserve"> and economic growth </w:t>
      </w:r>
      <w:r w:rsidR="001F223F" w:rsidRPr="00B503E6">
        <w:rPr>
          <w:rFonts w:asciiTheme="majorBidi" w:hAnsiTheme="majorBidi" w:cstheme="majorBidi"/>
          <w:sz w:val="24"/>
          <w:szCs w:val="24"/>
        </w:rPr>
        <w:t xml:space="preserve">through a study of </w:t>
      </w:r>
      <w:r w:rsidR="00CB508B" w:rsidRPr="00B503E6">
        <w:rPr>
          <w:rFonts w:asciiTheme="majorBidi" w:hAnsiTheme="majorBidi" w:cstheme="majorBidi"/>
          <w:sz w:val="24"/>
          <w:szCs w:val="24"/>
        </w:rPr>
        <w:t xml:space="preserve">four </w:t>
      </w:r>
      <w:r w:rsidR="00FB1306" w:rsidRPr="00B503E6">
        <w:rPr>
          <w:rFonts w:asciiTheme="majorBidi" w:hAnsiTheme="majorBidi" w:cstheme="majorBidi"/>
          <w:sz w:val="24"/>
          <w:szCs w:val="24"/>
        </w:rPr>
        <w:t xml:space="preserve">neighboring </w:t>
      </w:r>
      <w:r w:rsidR="00CB508B" w:rsidRPr="00B503E6">
        <w:rPr>
          <w:rFonts w:asciiTheme="majorBidi" w:hAnsiTheme="majorBidi" w:cstheme="majorBidi"/>
          <w:sz w:val="24"/>
          <w:szCs w:val="24"/>
        </w:rPr>
        <w:t xml:space="preserve">territories, </w:t>
      </w:r>
      <w:r w:rsidR="00CA18EC" w:rsidRPr="00B503E6">
        <w:rPr>
          <w:rFonts w:asciiTheme="majorBidi" w:hAnsiTheme="majorBidi" w:cstheme="majorBidi"/>
          <w:sz w:val="24"/>
          <w:szCs w:val="24"/>
        </w:rPr>
        <w:t>Lebanon, Palestine, Syria, and Trans-Jordan</w:t>
      </w:r>
      <w:r w:rsidR="006D24FC" w:rsidRPr="00B503E6">
        <w:rPr>
          <w:rFonts w:asciiTheme="majorBidi" w:hAnsiTheme="majorBidi" w:cstheme="majorBidi"/>
          <w:sz w:val="24"/>
          <w:szCs w:val="24"/>
        </w:rPr>
        <w:t xml:space="preserve"> (henceforth LPST)</w:t>
      </w:r>
      <w:r w:rsidR="00CB508B" w:rsidRPr="00B503E6">
        <w:rPr>
          <w:rFonts w:asciiTheme="majorBidi" w:hAnsiTheme="majorBidi" w:cstheme="majorBidi"/>
          <w:sz w:val="24"/>
          <w:szCs w:val="24"/>
        </w:rPr>
        <w:t>,</w:t>
      </w:r>
      <w:r w:rsidR="00CA18EC" w:rsidRPr="00B503E6">
        <w:rPr>
          <w:rFonts w:asciiTheme="majorBidi" w:hAnsiTheme="majorBidi" w:cstheme="majorBidi"/>
          <w:sz w:val="24"/>
          <w:szCs w:val="24"/>
        </w:rPr>
        <w:t xml:space="preserve"> when they were under </w:t>
      </w:r>
      <w:r w:rsidR="00A7592F" w:rsidRPr="00B503E6">
        <w:rPr>
          <w:rFonts w:asciiTheme="majorBidi" w:hAnsiTheme="majorBidi" w:cstheme="majorBidi"/>
          <w:sz w:val="24"/>
          <w:szCs w:val="24"/>
        </w:rPr>
        <w:t xml:space="preserve">British and French </w:t>
      </w:r>
      <w:r w:rsidR="00CA18EC" w:rsidRPr="00B503E6">
        <w:rPr>
          <w:rFonts w:asciiTheme="majorBidi" w:hAnsiTheme="majorBidi" w:cstheme="majorBidi"/>
          <w:sz w:val="24"/>
          <w:szCs w:val="24"/>
        </w:rPr>
        <w:t>control from 1918-1946/48.</w:t>
      </w:r>
      <w:r w:rsidR="00CB508B" w:rsidRPr="00B503E6">
        <w:rPr>
          <w:rFonts w:asciiTheme="majorBidi" w:hAnsiTheme="majorBidi" w:cstheme="majorBidi"/>
          <w:sz w:val="24"/>
          <w:szCs w:val="24"/>
        </w:rPr>
        <w:t xml:space="preserve">  </w:t>
      </w:r>
      <w:r w:rsidR="000E3FDE" w:rsidRPr="00B503E6">
        <w:rPr>
          <w:rFonts w:asciiTheme="majorBidi" w:hAnsiTheme="majorBidi" w:cstheme="majorBidi"/>
          <w:sz w:val="24"/>
          <w:szCs w:val="24"/>
        </w:rPr>
        <w:t>T</w:t>
      </w:r>
      <w:r w:rsidR="00CC163B" w:rsidRPr="00B503E6">
        <w:rPr>
          <w:rFonts w:asciiTheme="majorBidi" w:hAnsiTheme="majorBidi" w:cstheme="majorBidi"/>
          <w:sz w:val="24"/>
          <w:szCs w:val="24"/>
        </w:rPr>
        <w:t xml:space="preserve">hese four areas </w:t>
      </w:r>
      <w:r w:rsidR="000E3FDE" w:rsidRPr="00B503E6">
        <w:rPr>
          <w:rFonts w:asciiTheme="majorBidi" w:hAnsiTheme="majorBidi" w:cstheme="majorBidi"/>
          <w:sz w:val="24"/>
          <w:szCs w:val="24"/>
        </w:rPr>
        <w:t xml:space="preserve">had many similarities. </w:t>
      </w:r>
      <w:r w:rsidR="00FD7400" w:rsidRPr="00B503E6">
        <w:rPr>
          <w:rFonts w:asciiTheme="majorBidi" w:hAnsiTheme="majorBidi" w:cstheme="majorBidi"/>
          <w:sz w:val="24"/>
          <w:szCs w:val="24"/>
        </w:rPr>
        <w:t>Prior to th</w:t>
      </w:r>
      <w:r w:rsidR="00CE3ABD" w:rsidRPr="00B503E6">
        <w:rPr>
          <w:rFonts w:asciiTheme="majorBidi" w:hAnsiTheme="majorBidi" w:cstheme="majorBidi"/>
          <w:sz w:val="24"/>
          <w:szCs w:val="24"/>
        </w:rPr>
        <w:t xml:space="preserve">e mandate </w:t>
      </w:r>
      <w:r w:rsidR="00FD7400" w:rsidRPr="00B503E6">
        <w:rPr>
          <w:rFonts w:asciiTheme="majorBidi" w:hAnsiTheme="majorBidi" w:cstheme="majorBidi"/>
          <w:sz w:val="24"/>
          <w:szCs w:val="24"/>
        </w:rPr>
        <w:t xml:space="preserve">period, all </w:t>
      </w:r>
      <w:r w:rsidR="00CB508B" w:rsidRPr="00B503E6">
        <w:rPr>
          <w:rFonts w:asciiTheme="majorBidi" w:hAnsiTheme="majorBidi" w:cstheme="majorBidi"/>
          <w:sz w:val="24"/>
          <w:szCs w:val="24"/>
        </w:rPr>
        <w:t xml:space="preserve">four territories </w:t>
      </w:r>
      <w:r w:rsidR="00067633" w:rsidRPr="00B503E6">
        <w:rPr>
          <w:rFonts w:asciiTheme="majorBidi" w:hAnsiTheme="majorBidi" w:cstheme="majorBidi"/>
          <w:sz w:val="24"/>
          <w:szCs w:val="24"/>
        </w:rPr>
        <w:t xml:space="preserve">shared a common heritage </w:t>
      </w:r>
      <w:r w:rsidR="00CC163B" w:rsidRPr="00B503E6">
        <w:rPr>
          <w:rFonts w:asciiTheme="majorBidi" w:hAnsiTheme="majorBidi" w:cstheme="majorBidi"/>
          <w:sz w:val="24"/>
          <w:szCs w:val="24"/>
        </w:rPr>
        <w:t xml:space="preserve">of being </w:t>
      </w:r>
      <w:r w:rsidR="00067633" w:rsidRPr="00B503E6">
        <w:rPr>
          <w:rFonts w:asciiTheme="majorBidi" w:hAnsiTheme="majorBidi" w:cstheme="majorBidi"/>
          <w:sz w:val="24"/>
          <w:szCs w:val="24"/>
        </w:rPr>
        <w:t>under Ottoman rule</w:t>
      </w:r>
      <w:r w:rsidR="00CC163B" w:rsidRPr="00B503E6">
        <w:rPr>
          <w:rFonts w:asciiTheme="majorBidi" w:hAnsiTheme="majorBidi" w:cstheme="majorBidi"/>
          <w:sz w:val="24"/>
          <w:szCs w:val="24"/>
        </w:rPr>
        <w:t xml:space="preserve"> for 400 years</w:t>
      </w:r>
      <w:r w:rsidR="003E05E3" w:rsidRPr="00B503E6">
        <w:rPr>
          <w:rFonts w:asciiTheme="majorBidi" w:hAnsiTheme="majorBidi" w:cstheme="majorBidi"/>
          <w:sz w:val="24"/>
          <w:szCs w:val="24"/>
        </w:rPr>
        <w:t>,</w:t>
      </w:r>
      <w:r w:rsidR="00067633" w:rsidRPr="00B503E6">
        <w:rPr>
          <w:rFonts w:asciiTheme="majorBidi" w:hAnsiTheme="majorBidi" w:cstheme="majorBidi"/>
          <w:sz w:val="24"/>
          <w:szCs w:val="24"/>
        </w:rPr>
        <w:t xml:space="preserve"> and </w:t>
      </w:r>
      <w:r w:rsidR="00A7592F" w:rsidRPr="00B503E6">
        <w:rPr>
          <w:rFonts w:asciiTheme="majorBidi" w:hAnsiTheme="majorBidi" w:cstheme="majorBidi"/>
          <w:sz w:val="24"/>
          <w:szCs w:val="24"/>
        </w:rPr>
        <w:t xml:space="preserve">the western rule began and ended at almost the same time. </w:t>
      </w:r>
      <w:r w:rsidR="00CC163B" w:rsidRPr="00B503E6">
        <w:rPr>
          <w:rFonts w:asciiTheme="majorBidi" w:hAnsiTheme="majorBidi" w:cstheme="majorBidi"/>
          <w:sz w:val="24"/>
          <w:szCs w:val="24"/>
        </w:rPr>
        <w:t>The majority of the population in all four areas were Arab Muslims, though in Lebanon</w:t>
      </w:r>
      <w:r w:rsidR="00A7592F" w:rsidRPr="00B503E6">
        <w:rPr>
          <w:rFonts w:asciiTheme="majorBidi" w:hAnsiTheme="majorBidi" w:cstheme="majorBidi"/>
          <w:sz w:val="24"/>
          <w:szCs w:val="24"/>
        </w:rPr>
        <w:t xml:space="preserve">, there was a sizeable Maronite </w:t>
      </w:r>
      <w:r w:rsidR="009866F1" w:rsidRPr="00B503E6">
        <w:rPr>
          <w:rFonts w:asciiTheme="majorBidi" w:hAnsiTheme="majorBidi" w:cstheme="majorBidi"/>
          <w:sz w:val="24"/>
          <w:szCs w:val="24"/>
        </w:rPr>
        <w:t xml:space="preserve">Christian </w:t>
      </w:r>
      <w:r w:rsidR="00A7592F" w:rsidRPr="00B503E6">
        <w:rPr>
          <w:rFonts w:asciiTheme="majorBidi" w:hAnsiTheme="majorBidi" w:cstheme="majorBidi"/>
          <w:sz w:val="24"/>
          <w:szCs w:val="24"/>
        </w:rPr>
        <w:t>community (around 30% of the population) which strongly supported and was supported by the French, and in Palestine, there was a Jewish minority, which comprised approxim</w:t>
      </w:r>
      <w:r w:rsidR="009866F1" w:rsidRPr="00B503E6">
        <w:rPr>
          <w:rFonts w:asciiTheme="majorBidi" w:hAnsiTheme="majorBidi" w:cstheme="majorBidi"/>
          <w:sz w:val="24"/>
          <w:szCs w:val="24"/>
        </w:rPr>
        <w:t>ately</w:t>
      </w:r>
      <w:r w:rsidR="00A7592F" w:rsidRPr="00B503E6">
        <w:rPr>
          <w:rFonts w:asciiTheme="majorBidi" w:hAnsiTheme="majorBidi" w:cstheme="majorBidi"/>
          <w:sz w:val="24"/>
          <w:szCs w:val="24"/>
        </w:rPr>
        <w:t xml:space="preserve"> </w:t>
      </w:r>
      <w:r w:rsidR="009866F1" w:rsidRPr="00B503E6">
        <w:rPr>
          <w:rFonts w:asciiTheme="majorBidi" w:hAnsiTheme="majorBidi" w:cstheme="majorBidi"/>
          <w:sz w:val="24"/>
          <w:szCs w:val="24"/>
        </w:rPr>
        <w:t>8% of the population in 1918 and would grow to 31% in 1946.</w:t>
      </w:r>
      <w:r w:rsidR="00DF7C70">
        <w:rPr>
          <w:rStyle w:val="EndnoteReference"/>
          <w:rFonts w:asciiTheme="majorBidi" w:hAnsiTheme="majorBidi" w:cstheme="majorBidi"/>
          <w:sz w:val="24"/>
          <w:szCs w:val="24"/>
        </w:rPr>
        <w:endnoteReference w:id="1"/>
      </w:r>
    </w:p>
    <w:p w:rsidR="00EC027D" w:rsidRPr="00B503E6" w:rsidRDefault="00027511" w:rsidP="00DF7C70">
      <w:pPr>
        <w:spacing w:line="480" w:lineRule="auto"/>
        <w:ind w:firstLine="567"/>
        <w:jc w:val="both"/>
        <w:rPr>
          <w:rFonts w:asciiTheme="majorBidi" w:hAnsiTheme="majorBidi" w:cstheme="majorBidi"/>
          <w:sz w:val="24"/>
          <w:szCs w:val="24"/>
        </w:rPr>
      </w:pPr>
      <w:r w:rsidRPr="00B503E6">
        <w:rPr>
          <w:rFonts w:asciiTheme="majorBidi" w:hAnsiTheme="majorBidi" w:cstheme="majorBidi"/>
          <w:sz w:val="24"/>
          <w:szCs w:val="24"/>
        </w:rPr>
        <w:t xml:space="preserve">Prior to </w:t>
      </w:r>
      <w:r w:rsidR="00FF7D37" w:rsidRPr="00B503E6">
        <w:rPr>
          <w:rFonts w:asciiTheme="majorBidi" w:hAnsiTheme="majorBidi" w:cstheme="majorBidi"/>
          <w:sz w:val="24"/>
          <w:szCs w:val="24"/>
        </w:rPr>
        <w:t xml:space="preserve">WWI, </w:t>
      </w:r>
      <w:r w:rsidRPr="00B503E6">
        <w:rPr>
          <w:rFonts w:asciiTheme="majorBidi" w:hAnsiTheme="majorBidi" w:cstheme="majorBidi"/>
          <w:sz w:val="24"/>
          <w:szCs w:val="24"/>
        </w:rPr>
        <w:t xml:space="preserve">the economics in all four areas were heavily based on agriculture with very limited </w:t>
      </w:r>
      <w:r w:rsidR="00577817" w:rsidRPr="00B503E6">
        <w:rPr>
          <w:rFonts w:asciiTheme="majorBidi" w:hAnsiTheme="majorBidi" w:cstheme="majorBidi"/>
          <w:sz w:val="24"/>
          <w:szCs w:val="24"/>
        </w:rPr>
        <w:t>industry</w:t>
      </w:r>
      <w:r w:rsidR="00BC0A5C" w:rsidRPr="00B503E6">
        <w:rPr>
          <w:rFonts w:asciiTheme="majorBidi" w:hAnsiTheme="majorBidi" w:cstheme="majorBidi"/>
          <w:sz w:val="24"/>
          <w:szCs w:val="24"/>
        </w:rPr>
        <w:t>.</w:t>
      </w:r>
      <w:r w:rsidR="00DF7C70">
        <w:rPr>
          <w:rStyle w:val="EndnoteReference"/>
          <w:rFonts w:asciiTheme="majorBidi" w:hAnsiTheme="majorBidi" w:cstheme="majorBidi"/>
          <w:sz w:val="24"/>
          <w:szCs w:val="24"/>
        </w:rPr>
        <w:endnoteReference w:id="2"/>
      </w:r>
      <w:r w:rsidR="00577817" w:rsidRPr="00B503E6">
        <w:rPr>
          <w:rFonts w:asciiTheme="majorBidi" w:hAnsiTheme="majorBidi" w:cstheme="majorBidi"/>
          <w:sz w:val="24"/>
          <w:szCs w:val="24"/>
        </w:rPr>
        <w:t xml:space="preserve"> </w:t>
      </w:r>
      <w:r w:rsidR="009C4368" w:rsidRPr="00B503E6">
        <w:rPr>
          <w:rFonts w:asciiTheme="majorBidi" w:hAnsiTheme="majorBidi" w:cstheme="majorBidi"/>
          <w:sz w:val="24"/>
          <w:szCs w:val="24"/>
        </w:rPr>
        <w:t xml:space="preserve">There were no vast differences in the standard of living </w:t>
      </w:r>
      <w:r w:rsidR="0037019C" w:rsidRPr="00B503E6">
        <w:rPr>
          <w:rFonts w:asciiTheme="majorBidi" w:hAnsiTheme="majorBidi" w:cstheme="majorBidi"/>
          <w:sz w:val="24"/>
          <w:szCs w:val="24"/>
        </w:rPr>
        <w:t xml:space="preserve">amongst the people </w:t>
      </w:r>
      <w:r w:rsidR="009C4368" w:rsidRPr="00B503E6">
        <w:rPr>
          <w:rFonts w:asciiTheme="majorBidi" w:hAnsiTheme="majorBidi" w:cstheme="majorBidi"/>
          <w:sz w:val="24"/>
          <w:szCs w:val="24"/>
        </w:rPr>
        <w:t xml:space="preserve">in the four areas, though using urbanization as a proxy for a measure of </w:t>
      </w:r>
      <w:r w:rsidR="00A7592F" w:rsidRPr="00B503E6">
        <w:rPr>
          <w:rFonts w:asciiTheme="majorBidi" w:hAnsiTheme="majorBidi" w:cstheme="majorBidi"/>
          <w:sz w:val="24"/>
          <w:szCs w:val="24"/>
        </w:rPr>
        <w:t>economic development</w:t>
      </w:r>
      <w:r w:rsidR="009C4368" w:rsidRPr="00B503E6">
        <w:rPr>
          <w:rFonts w:asciiTheme="majorBidi" w:hAnsiTheme="majorBidi" w:cstheme="majorBidi"/>
          <w:sz w:val="24"/>
          <w:szCs w:val="24"/>
        </w:rPr>
        <w:t>, Trans-Jordan was the least developed</w:t>
      </w:r>
      <w:r w:rsidR="009D47DF" w:rsidRPr="00B503E6">
        <w:rPr>
          <w:rFonts w:asciiTheme="majorBidi" w:hAnsiTheme="majorBidi" w:cstheme="majorBidi"/>
          <w:sz w:val="24"/>
          <w:szCs w:val="24"/>
        </w:rPr>
        <w:t xml:space="preserve"> in the </w:t>
      </w:r>
      <w:r w:rsidR="009D47DF" w:rsidRPr="00B503E6">
        <w:rPr>
          <w:rFonts w:asciiTheme="majorBidi" w:hAnsiTheme="majorBidi" w:cstheme="majorBidi"/>
          <w:sz w:val="24"/>
          <w:szCs w:val="24"/>
        </w:rPr>
        <w:lastRenderedPageBreak/>
        <w:t>beginning of the Mandate period</w:t>
      </w:r>
      <w:r w:rsidR="007D3CD7" w:rsidRPr="00B503E6">
        <w:rPr>
          <w:rFonts w:asciiTheme="majorBidi" w:hAnsiTheme="majorBidi" w:cstheme="majorBidi"/>
          <w:sz w:val="24"/>
          <w:szCs w:val="24"/>
        </w:rPr>
        <w:t>.</w:t>
      </w:r>
      <w:r w:rsidR="009C4368" w:rsidRPr="00B503E6">
        <w:rPr>
          <w:rFonts w:asciiTheme="majorBidi" w:hAnsiTheme="majorBidi" w:cstheme="majorBidi"/>
          <w:sz w:val="24"/>
          <w:szCs w:val="24"/>
        </w:rPr>
        <w:t xml:space="preserve"> </w:t>
      </w:r>
      <w:r w:rsidR="007D3CD7" w:rsidRPr="00B503E6">
        <w:rPr>
          <w:rFonts w:asciiTheme="majorBidi" w:hAnsiTheme="majorBidi" w:cstheme="majorBidi"/>
          <w:sz w:val="24"/>
          <w:szCs w:val="24"/>
        </w:rPr>
        <w:t>I</w:t>
      </w:r>
      <w:r w:rsidR="00BD312D" w:rsidRPr="00B503E6">
        <w:rPr>
          <w:rFonts w:asciiTheme="majorBidi" w:hAnsiTheme="majorBidi" w:cstheme="majorBidi"/>
          <w:sz w:val="24"/>
          <w:szCs w:val="24"/>
        </w:rPr>
        <w:t>n 1922</w:t>
      </w:r>
      <w:r w:rsidR="007D3CD7" w:rsidRPr="00B503E6">
        <w:rPr>
          <w:rFonts w:asciiTheme="majorBidi" w:hAnsiTheme="majorBidi" w:cstheme="majorBidi"/>
          <w:sz w:val="24"/>
          <w:szCs w:val="24"/>
        </w:rPr>
        <w:t>, Trans-Jordan</w:t>
      </w:r>
      <w:r w:rsidR="00BD312D" w:rsidRPr="00B503E6">
        <w:rPr>
          <w:rFonts w:asciiTheme="majorBidi" w:hAnsiTheme="majorBidi" w:cstheme="majorBidi"/>
          <w:sz w:val="24"/>
          <w:szCs w:val="24"/>
        </w:rPr>
        <w:t xml:space="preserve"> only </w:t>
      </w:r>
      <w:r w:rsidR="007D3CD7" w:rsidRPr="00B503E6">
        <w:rPr>
          <w:rFonts w:asciiTheme="majorBidi" w:hAnsiTheme="majorBidi" w:cstheme="majorBidi"/>
          <w:sz w:val="24"/>
          <w:szCs w:val="24"/>
        </w:rPr>
        <w:t xml:space="preserve">had </w:t>
      </w:r>
      <w:r w:rsidR="00BD312D" w:rsidRPr="00B503E6">
        <w:rPr>
          <w:rFonts w:asciiTheme="majorBidi" w:hAnsiTheme="majorBidi" w:cstheme="majorBidi"/>
          <w:sz w:val="24"/>
          <w:szCs w:val="24"/>
        </w:rPr>
        <w:t xml:space="preserve">one city with a population of more than 10,000 people (Salt, 20,000) and its capital, Amman, had a population </w:t>
      </w:r>
      <w:r w:rsidR="00FE61B5" w:rsidRPr="00B503E6">
        <w:rPr>
          <w:rFonts w:asciiTheme="majorBidi" w:hAnsiTheme="majorBidi" w:cstheme="majorBidi"/>
          <w:sz w:val="24"/>
          <w:szCs w:val="24"/>
        </w:rPr>
        <w:t>of just 2</w:t>
      </w:r>
      <w:r w:rsidR="00BD312D" w:rsidRPr="00B503E6">
        <w:rPr>
          <w:rFonts w:asciiTheme="majorBidi" w:hAnsiTheme="majorBidi" w:cstheme="majorBidi"/>
          <w:sz w:val="24"/>
          <w:szCs w:val="24"/>
        </w:rPr>
        <w:t>,</w:t>
      </w:r>
      <w:r w:rsidR="00FE61B5" w:rsidRPr="00B503E6">
        <w:rPr>
          <w:rFonts w:asciiTheme="majorBidi" w:hAnsiTheme="majorBidi" w:cstheme="majorBidi"/>
          <w:sz w:val="24"/>
          <w:szCs w:val="24"/>
        </w:rPr>
        <w:t>4</w:t>
      </w:r>
      <w:r w:rsidR="00BD312D" w:rsidRPr="00B503E6">
        <w:rPr>
          <w:rFonts w:asciiTheme="majorBidi" w:hAnsiTheme="majorBidi" w:cstheme="majorBidi"/>
          <w:sz w:val="24"/>
          <w:szCs w:val="24"/>
        </w:rPr>
        <w:t>00</w:t>
      </w:r>
      <w:r w:rsidR="00FE61B5" w:rsidRPr="00B503E6">
        <w:rPr>
          <w:rFonts w:asciiTheme="majorBidi" w:hAnsiTheme="majorBidi" w:cstheme="majorBidi"/>
          <w:sz w:val="24"/>
          <w:szCs w:val="24"/>
        </w:rPr>
        <w:t xml:space="preserve">, </w:t>
      </w:r>
      <w:r w:rsidR="00BD312D" w:rsidRPr="00B503E6">
        <w:rPr>
          <w:rFonts w:asciiTheme="majorBidi" w:hAnsiTheme="majorBidi" w:cstheme="majorBidi"/>
          <w:sz w:val="24"/>
          <w:szCs w:val="24"/>
        </w:rPr>
        <w:t xml:space="preserve">while in Syria, there were several large cities, (in 1914: Damascus, 220,000, Aleppo, 200,000, Homs, 80,000), </w:t>
      </w:r>
      <w:r w:rsidR="00EC027D" w:rsidRPr="00B503E6">
        <w:rPr>
          <w:rFonts w:asciiTheme="majorBidi" w:hAnsiTheme="majorBidi" w:cstheme="majorBidi"/>
          <w:sz w:val="24"/>
          <w:szCs w:val="24"/>
        </w:rPr>
        <w:t xml:space="preserve">Lebanon had one large city (in 1914, </w:t>
      </w:r>
      <w:r w:rsidR="00BD312D" w:rsidRPr="00B503E6">
        <w:rPr>
          <w:rFonts w:asciiTheme="majorBidi" w:hAnsiTheme="majorBidi" w:cstheme="majorBidi"/>
          <w:sz w:val="24"/>
          <w:szCs w:val="24"/>
        </w:rPr>
        <w:t>Beirut</w:t>
      </w:r>
      <w:r w:rsidR="00EC027D" w:rsidRPr="00B503E6">
        <w:rPr>
          <w:rFonts w:asciiTheme="majorBidi" w:hAnsiTheme="majorBidi" w:cstheme="majorBidi"/>
          <w:sz w:val="24"/>
          <w:szCs w:val="24"/>
        </w:rPr>
        <w:t xml:space="preserve">, </w:t>
      </w:r>
      <w:r w:rsidR="00BD312D" w:rsidRPr="00B503E6">
        <w:rPr>
          <w:rFonts w:asciiTheme="majorBidi" w:hAnsiTheme="majorBidi" w:cstheme="majorBidi"/>
          <w:sz w:val="24"/>
          <w:szCs w:val="24"/>
        </w:rPr>
        <w:t xml:space="preserve">150,000) and </w:t>
      </w:r>
      <w:r w:rsidR="00EC027D" w:rsidRPr="00B503E6">
        <w:rPr>
          <w:rFonts w:asciiTheme="majorBidi" w:hAnsiTheme="majorBidi" w:cstheme="majorBidi"/>
          <w:sz w:val="24"/>
          <w:szCs w:val="24"/>
        </w:rPr>
        <w:t>Palestine also had one large city (in 1914, Jerusalem, 80,000).</w:t>
      </w:r>
      <w:r w:rsidR="00DF7C70">
        <w:rPr>
          <w:rStyle w:val="EndnoteReference"/>
          <w:rFonts w:asciiTheme="majorBidi" w:hAnsiTheme="majorBidi" w:cstheme="majorBidi"/>
          <w:sz w:val="24"/>
          <w:szCs w:val="24"/>
        </w:rPr>
        <w:endnoteReference w:id="3"/>
      </w:r>
    </w:p>
    <w:p w:rsidR="00541616" w:rsidRPr="00B503E6" w:rsidRDefault="00541616" w:rsidP="00FA5D4C">
      <w:pPr>
        <w:spacing w:line="480" w:lineRule="auto"/>
        <w:ind w:firstLine="567"/>
        <w:jc w:val="both"/>
        <w:rPr>
          <w:rFonts w:asciiTheme="majorBidi" w:hAnsiTheme="majorBidi" w:cstheme="majorBidi"/>
          <w:sz w:val="24"/>
          <w:szCs w:val="24"/>
        </w:rPr>
      </w:pPr>
      <w:r w:rsidRPr="00B503E6">
        <w:rPr>
          <w:rFonts w:asciiTheme="majorBidi" w:hAnsiTheme="majorBidi" w:cstheme="majorBidi"/>
          <w:sz w:val="24"/>
          <w:szCs w:val="24"/>
        </w:rPr>
        <w:t xml:space="preserve">Syria was the largest </w:t>
      </w:r>
      <w:r w:rsidR="00C60E72" w:rsidRPr="00B503E6">
        <w:rPr>
          <w:rFonts w:asciiTheme="majorBidi" w:hAnsiTheme="majorBidi" w:cstheme="majorBidi"/>
          <w:sz w:val="24"/>
          <w:szCs w:val="24"/>
        </w:rPr>
        <w:t xml:space="preserve">of the four areas </w:t>
      </w:r>
      <w:r w:rsidRPr="00B503E6">
        <w:rPr>
          <w:rFonts w:asciiTheme="majorBidi" w:hAnsiTheme="majorBidi" w:cstheme="majorBidi"/>
          <w:sz w:val="24"/>
          <w:szCs w:val="24"/>
        </w:rPr>
        <w:t>(171,104 sq</w:t>
      </w:r>
      <w:r w:rsidR="00066E35" w:rsidRPr="00B503E6">
        <w:rPr>
          <w:rFonts w:asciiTheme="majorBidi" w:hAnsiTheme="majorBidi" w:cstheme="majorBidi"/>
          <w:sz w:val="24"/>
          <w:szCs w:val="24"/>
        </w:rPr>
        <w:t>uare</w:t>
      </w:r>
      <w:r w:rsidRPr="00B503E6">
        <w:rPr>
          <w:rFonts w:asciiTheme="majorBidi" w:hAnsiTheme="majorBidi" w:cstheme="majorBidi"/>
          <w:sz w:val="24"/>
          <w:szCs w:val="24"/>
        </w:rPr>
        <w:t xml:space="preserve"> k</w:t>
      </w:r>
      <w:r w:rsidR="00066E35" w:rsidRPr="00B503E6">
        <w:rPr>
          <w:rFonts w:asciiTheme="majorBidi" w:hAnsiTheme="majorBidi" w:cstheme="majorBidi"/>
          <w:sz w:val="24"/>
          <w:szCs w:val="24"/>
        </w:rPr>
        <w:t>ilometers</w:t>
      </w:r>
      <w:r w:rsidRPr="00B503E6">
        <w:rPr>
          <w:rFonts w:asciiTheme="majorBidi" w:hAnsiTheme="majorBidi" w:cstheme="majorBidi"/>
          <w:sz w:val="24"/>
          <w:szCs w:val="24"/>
        </w:rPr>
        <w:t xml:space="preserve">, </w:t>
      </w:r>
      <w:r w:rsidR="00066E35" w:rsidRPr="00B503E6">
        <w:rPr>
          <w:rFonts w:asciiTheme="majorBidi" w:hAnsiTheme="majorBidi" w:cstheme="majorBidi"/>
          <w:sz w:val="24"/>
          <w:szCs w:val="24"/>
        </w:rPr>
        <w:t xml:space="preserve">sq km, </w:t>
      </w:r>
      <w:r w:rsidRPr="00B503E6">
        <w:rPr>
          <w:rFonts w:asciiTheme="majorBidi" w:hAnsiTheme="majorBidi" w:cstheme="majorBidi"/>
          <w:sz w:val="24"/>
          <w:szCs w:val="24"/>
        </w:rPr>
        <w:t xml:space="preserve">excluding the </w:t>
      </w:r>
      <w:r w:rsidRPr="00B503E6">
        <w:rPr>
          <w:rFonts w:asciiTheme="majorBidi" w:hAnsiTheme="majorBidi" w:cstheme="majorBidi"/>
          <w:i/>
          <w:iCs/>
          <w:sz w:val="24"/>
          <w:szCs w:val="24"/>
        </w:rPr>
        <w:t>sanjaq</w:t>
      </w:r>
      <w:r w:rsidRPr="00B503E6">
        <w:rPr>
          <w:rFonts w:asciiTheme="majorBidi" w:hAnsiTheme="majorBidi" w:cstheme="majorBidi"/>
          <w:sz w:val="24"/>
          <w:szCs w:val="24"/>
        </w:rPr>
        <w:t xml:space="preserve"> of Alexandretta, which consisted of 4,805 sq km)</w:t>
      </w:r>
      <w:r w:rsidR="00C60E72" w:rsidRPr="00B503E6">
        <w:rPr>
          <w:rFonts w:asciiTheme="majorBidi" w:hAnsiTheme="majorBidi" w:cstheme="majorBidi"/>
          <w:sz w:val="24"/>
          <w:szCs w:val="24"/>
        </w:rPr>
        <w:t xml:space="preserve">, </w:t>
      </w:r>
      <w:r w:rsidR="00F236D8" w:rsidRPr="00B503E6">
        <w:rPr>
          <w:rFonts w:asciiTheme="majorBidi" w:hAnsiTheme="majorBidi" w:cstheme="majorBidi"/>
          <w:sz w:val="24"/>
          <w:szCs w:val="24"/>
        </w:rPr>
        <w:t xml:space="preserve">but due to deserts, only </w:t>
      </w:r>
      <w:r w:rsidRPr="00B503E6">
        <w:rPr>
          <w:rFonts w:asciiTheme="majorBidi" w:hAnsiTheme="majorBidi" w:cstheme="majorBidi"/>
          <w:sz w:val="24"/>
          <w:szCs w:val="24"/>
        </w:rPr>
        <w:t xml:space="preserve">around 31% (53,136 sq km) </w:t>
      </w:r>
      <w:r w:rsidR="005953D8" w:rsidRPr="00B503E6">
        <w:rPr>
          <w:rFonts w:asciiTheme="majorBidi" w:hAnsiTheme="majorBidi" w:cstheme="majorBidi"/>
          <w:sz w:val="24"/>
          <w:szCs w:val="24"/>
        </w:rPr>
        <w:t xml:space="preserve">of the land </w:t>
      </w:r>
      <w:r w:rsidRPr="00B503E6">
        <w:rPr>
          <w:rFonts w:asciiTheme="majorBidi" w:hAnsiTheme="majorBidi" w:cstheme="majorBidi"/>
          <w:sz w:val="24"/>
          <w:szCs w:val="24"/>
        </w:rPr>
        <w:t xml:space="preserve">was estimated to be cultivable. Afterwards, Trans-Jordan consisted of 90,000 sq km, but due to its large desert areas, only approximately 10% (8,700 sq km) </w:t>
      </w:r>
      <w:r w:rsidR="005953D8" w:rsidRPr="00B503E6">
        <w:rPr>
          <w:rFonts w:asciiTheme="majorBidi" w:hAnsiTheme="majorBidi" w:cstheme="majorBidi"/>
          <w:sz w:val="24"/>
          <w:szCs w:val="24"/>
        </w:rPr>
        <w:t xml:space="preserve">of its territory </w:t>
      </w:r>
      <w:r w:rsidRPr="00B503E6">
        <w:rPr>
          <w:rFonts w:asciiTheme="majorBidi" w:hAnsiTheme="majorBidi" w:cstheme="majorBidi"/>
          <w:sz w:val="24"/>
          <w:szCs w:val="24"/>
        </w:rPr>
        <w:t>was estimated to be cultivable.  Next, Palestine, consisted of 27,009 sq km, but because it had less desert areas, its amount of cultivable land was estimated to be 32%</w:t>
      </w:r>
      <w:r w:rsidR="00E13657">
        <w:rPr>
          <w:rFonts w:asciiTheme="majorBidi" w:hAnsiTheme="majorBidi" w:cstheme="majorBidi"/>
          <w:sz w:val="24"/>
          <w:szCs w:val="24"/>
        </w:rPr>
        <w:t xml:space="preserve"> of its territory</w:t>
      </w:r>
      <w:r w:rsidRPr="00B503E6">
        <w:rPr>
          <w:rFonts w:asciiTheme="majorBidi" w:hAnsiTheme="majorBidi" w:cstheme="majorBidi"/>
          <w:sz w:val="24"/>
          <w:szCs w:val="24"/>
        </w:rPr>
        <w:t>, which in terms of area (8,760 sq km) was similar to Trans-Jordan. The smallest area was Lebanon, which consisted of 10,170 sq km, but because it had no deserts, a far larger percentage, 55% (5,604 sq km) of its land, was estimated to be cultivable.</w:t>
      </w:r>
      <w:r w:rsidR="00FA5D4C">
        <w:rPr>
          <w:rStyle w:val="EndnoteReference"/>
          <w:rFonts w:asciiTheme="majorBidi" w:hAnsiTheme="majorBidi" w:cstheme="majorBidi"/>
          <w:sz w:val="24"/>
          <w:szCs w:val="24"/>
        </w:rPr>
        <w:endnoteReference w:id="4"/>
      </w:r>
    </w:p>
    <w:p w:rsidR="004936D1" w:rsidRPr="00B503E6" w:rsidRDefault="00067633" w:rsidP="00E13657">
      <w:pPr>
        <w:spacing w:line="480" w:lineRule="auto"/>
        <w:ind w:firstLine="567"/>
        <w:jc w:val="both"/>
        <w:rPr>
          <w:rFonts w:asciiTheme="majorBidi" w:hAnsiTheme="majorBidi" w:cstheme="majorBidi"/>
          <w:sz w:val="24"/>
          <w:szCs w:val="24"/>
        </w:rPr>
      </w:pPr>
      <w:r w:rsidRPr="00B503E6">
        <w:rPr>
          <w:rFonts w:asciiTheme="majorBidi" w:hAnsiTheme="majorBidi" w:cstheme="majorBidi"/>
          <w:sz w:val="24"/>
          <w:szCs w:val="24"/>
        </w:rPr>
        <w:t>D</w:t>
      </w:r>
      <w:r w:rsidR="008948A2" w:rsidRPr="00B503E6">
        <w:rPr>
          <w:rFonts w:asciiTheme="majorBidi" w:hAnsiTheme="majorBidi" w:cstheme="majorBidi"/>
          <w:sz w:val="24"/>
          <w:szCs w:val="24"/>
        </w:rPr>
        <w:t>uring the Mandate period, Britain and France attempted to institute inclusive institutions in all four territories</w:t>
      </w:r>
      <w:r w:rsidR="00E13657">
        <w:rPr>
          <w:rFonts w:asciiTheme="majorBidi" w:hAnsiTheme="majorBidi" w:cstheme="majorBidi"/>
          <w:sz w:val="24"/>
          <w:szCs w:val="24"/>
        </w:rPr>
        <w:t xml:space="preserve">. This </w:t>
      </w:r>
      <w:r w:rsidR="00CE3ABD" w:rsidRPr="00B503E6">
        <w:rPr>
          <w:rFonts w:asciiTheme="majorBidi" w:hAnsiTheme="majorBidi" w:cstheme="majorBidi"/>
          <w:sz w:val="24"/>
          <w:szCs w:val="24"/>
        </w:rPr>
        <w:t xml:space="preserve">allows </w:t>
      </w:r>
      <w:r w:rsidR="005C1FAF" w:rsidRPr="00B503E6">
        <w:rPr>
          <w:rFonts w:asciiTheme="majorBidi" w:hAnsiTheme="majorBidi" w:cstheme="majorBidi"/>
          <w:sz w:val="24"/>
          <w:szCs w:val="24"/>
        </w:rPr>
        <w:t xml:space="preserve">one </w:t>
      </w:r>
      <w:r w:rsidR="00CE3ABD" w:rsidRPr="00B503E6">
        <w:rPr>
          <w:rFonts w:asciiTheme="majorBidi" w:hAnsiTheme="majorBidi" w:cstheme="majorBidi"/>
          <w:sz w:val="24"/>
          <w:szCs w:val="24"/>
        </w:rPr>
        <w:t xml:space="preserve">to examine the effects of the inclusive institutions in general, and to compare possible differences between the British territories and the French territories. In addition, </w:t>
      </w:r>
      <w:r w:rsidRPr="00B503E6">
        <w:rPr>
          <w:rFonts w:asciiTheme="majorBidi" w:hAnsiTheme="majorBidi" w:cstheme="majorBidi"/>
          <w:sz w:val="24"/>
          <w:szCs w:val="24"/>
        </w:rPr>
        <w:t xml:space="preserve">each power </w:t>
      </w:r>
      <w:r w:rsidR="000E3FDE" w:rsidRPr="00B503E6">
        <w:rPr>
          <w:rFonts w:asciiTheme="majorBidi" w:hAnsiTheme="majorBidi" w:cstheme="majorBidi"/>
          <w:sz w:val="24"/>
          <w:szCs w:val="24"/>
        </w:rPr>
        <w:t>“</w:t>
      </w:r>
      <w:r w:rsidR="00CE3ABD" w:rsidRPr="00B503E6">
        <w:rPr>
          <w:rFonts w:asciiTheme="majorBidi" w:hAnsiTheme="majorBidi" w:cstheme="majorBidi"/>
          <w:sz w:val="24"/>
          <w:szCs w:val="24"/>
        </w:rPr>
        <w:t>subdivided</w:t>
      </w:r>
      <w:r w:rsidR="000E3FDE" w:rsidRPr="00B503E6">
        <w:rPr>
          <w:rFonts w:asciiTheme="majorBidi" w:hAnsiTheme="majorBidi" w:cstheme="majorBidi"/>
          <w:sz w:val="24"/>
          <w:szCs w:val="24"/>
        </w:rPr>
        <w:t>”</w:t>
      </w:r>
      <w:r w:rsidR="00CE3ABD" w:rsidRPr="00B503E6">
        <w:rPr>
          <w:rFonts w:asciiTheme="majorBidi" w:hAnsiTheme="majorBidi" w:cstheme="majorBidi"/>
          <w:sz w:val="24"/>
          <w:szCs w:val="24"/>
        </w:rPr>
        <w:t xml:space="preserve"> its mandate into t</w:t>
      </w:r>
      <w:r w:rsidRPr="00B503E6">
        <w:rPr>
          <w:rFonts w:asciiTheme="majorBidi" w:hAnsiTheme="majorBidi" w:cstheme="majorBidi"/>
          <w:sz w:val="24"/>
          <w:szCs w:val="24"/>
        </w:rPr>
        <w:t>wo neighboring territories, Palestine and Trans-Jordan for Britain and Lebanon and Syria for France</w:t>
      </w:r>
      <w:r w:rsidR="00B56501" w:rsidRPr="00B503E6">
        <w:rPr>
          <w:rFonts w:asciiTheme="majorBidi" w:hAnsiTheme="majorBidi" w:cstheme="majorBidi"/>
          <w:sz w:val="24"/>
          <w:szCs w:val="24"/>
        </w:rPr>
        <w:t>. T</w:t>
      </w:r>
      <w:r w:rsidR="00CE3ABD" w:rsidRPr="00B503E6">
        <w:rPr>
          <w:rFonts w:asciiTheme="majorBidi" w:hAnsiTheme="majorBidi" w:cstheme="majorBidi"/>
          <w:sz w:val="24"/>
          <w:szCs w:val="24"/>
        </w:rPr>
        <w:t xml:space="preserve">his </w:t>
      </w:r>
      <w:r w:rsidR="00B56501" w:rsidRPr="00B503E6">
        <w:rPr>
          <w:rFonts w:asciiTheme="majorBidi" w:hAnsiTheme="majorBidi" w:cstheme="majorBidi"/>
          <w:sz w:val="24"/>
          <w:szCs w:val="24"/>
        </w:rPr>
        <w:t xml:space="preserve">division </w:t>
      </w:r>
      <w:r w:rsidR="00CE3ABD" w:rsidRPr="00B503E6">
        <w:rPr>
          <w:rFonts w:asciiTheme="majorBidi" w:hAnsiTheme="majorBidi" w:cstheme="majorBidi"/>
          <w:sz w:val="24"/>
          <w:szCs w:val="24"/>
        </w:rPr>
        <w:t xml:space="preserve">allows us to examine differences within each European power, though here the analysis is more difficult since </w:t>
      </w:r>
      <w:r w:rsidR="00B56501" w:rsidRPr="00B503E6">
        <w:rPr>
          <w:rFonts w:asciiTheme="majorBidi" w:hAnsiTheme="majorBidi" w:cstheme="majorBidi"/>
          <w:sz w:val="24"/>
          <w:szCs w:val="24"/>
        </w:rPr>
        <w:t xml:space="preserve">the </w:t>
      </w:r>
      <w:r w:rsidR="00CE3ABD" w:rsidRPr="00B503E6">
        <w:rPr>
          <w:rFonts w:asciiTheme="majorBidi" w:hAnsiTheme="majorBidi" w:cstheme="majorBidi"/>
          <w:sz w:val="24"/>
          <w:szCs w:val="24"/>
        </w:rPr>
        <w:t>two sub-areas were not independent of each other and some data, as for example trade data for Syria and Lebanon, is combined in the two sub-areas.</w:t>
      </w:r>
      <w:r w:rsidR="008948A2" w:rsidRPr="00B503E6">
        <w:rPr>
          <w:rFonts w:asciiTheme="majorBidi" w:hAnsiTheme="majorBidi" w:cstheme="majorBidi"/>
          <w:sz w:val="24"/>
          <w:szCs w:val="24"/>
        </w:rPr>
        <w:t xml:space="preserve">  </w:t>
      </w:r>
    </w:p>
    <w:p w:rsidR="002B017C" w:rsidRPr="00B503E6" w:rsidRDefault="009F32D8" w:rsidP="00F236D8">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lastRenderedPageBreak/>
        <w:t xml:space="preserve">We start with a brief </w:t>
      </w:r>
      <w:r w:rsidR="0046799A" w:rsidRPr="00B503E6">
        <w:rPr>
          <w:rFonts w:asciiTheme="majorBidi" w:hAnsiTheme="majorBidi" w:cstheme="majorBidi"/>
          <w:sz w:val="24"/>
          <w:szCs w:val="24"/>
        </w:rPr>
        <w:t xml:space="preserve">discussion of the relationship between property and economic growth and then present a short </w:t>
      </w:r>
      <w:r w:rsidRPr="00B503E6">
        <w:rPr>
          <w:rFonts w:asciiTheme="majorBidi" w:hAnsiTheme="majorBidi" w:cstheme="majorBidi"/>
          <w:sz w:val="24"/>
          <w:szCs w:val="24"/>
        </w:rPr>
        <w:t>historical and political review of the four territories.  Afterwards, we will describe the institutional settings in the countries</w:t>
      </w:r>
      <w:r w:rsidR="00337D07" w:rsidRPr="00B503E6">
        <w:rPr>
          <w:rFonts w:asciiTheme="majorBidi" w:hAnsiTheme="majorBidi" w:cstheme="majorBidi"/>
          <w:sz w:val="24"/>
          <w:szCs w:val="24"/>
        </w:rPr>
        <w:t xml:space="preserve"> in the Mandate period</w:t>
      </w:r>
      <w:r w:rsidRPr="00B503E6">
        <w:rPr>
          <w:rFonts w:asciiTheme="majorBidi" w:hAnsiTheme="majorBidi" w:cstheme="majorBidi"/>
          <w:sz w:val="24"/>
          <w:szCs w:val="24"/>
        </w:rPr>
        <w:t>, present various indicators of economic growth in the four areas</w:t>
      </w:r>
      <w:r w:rsidR="00946135" w:rsidRPr="00B503E6">
        <w:rPr>
          <w:rFonts w:asciiTheme="majorBidi" w:hAnsiTheme="majorBidi" w:cstheme="majorBidi"/>
          <w:sz w:val="24"/>
          <w:szCs w:val="24"/>
        </w:rPr>
        <w:t xml:space="preserve">, and compare the economic growth with </w:t>
      </w:r>
      <w:r w:rsidR="00AC2F4D" w:rsidRPr="00B503E6">
        <w:rPr>
          <w:rFonts w:asciiTheme="majorBidi" w:hAnsiTheme="majorBidi" w:cstheme="majorBidi"/>
          <w:sz w:val="24"/>
          <w:szCs w:val="24"/>
        </w:rPr>
        <w:t xml:space="preserve">regard to </w:t>
      </w:r>
      <w:r w:rsidR="00946135" w:rsidRPr="00B503E6">
        <w:rPr>
          <w:rFonts w:asciiTheme="majorBidi" w:hAnsiTheme="majorBidi" w:cstheme="majorBidi"/>
          <w:sz w:val="24"/>
          <w:szCs w:val="24"/>
        </w:rPr>
        <w:t>the institutional settings.</w:t>
      </w:r>
      <w:r w:rsidR="007B5E4A" w:rsidRPr="00B503E6">
        <w:rPr>
          <w:rFonts w:asciiTheme="majorBidi" w:hAnsiTheme="majorBidi" w:cstheme="majorBidi"/>
          <w:sz w:val="24"/>
          <w:szCs w:val="24"/>
        </w:rPr>
        <w:t xml:space="preserve">  We argue that the institutions in these four areas were </w:t>
      </w:r>
      <w:r w:rsidR="005A126F" w:rsidRPr="00B503E6">
        <w:rPr>
          <w:rFonts w:asciiTheme="majorBidi" w:hAnsiTheme="majorBidi" w:cstheme="majorBidi"/>
          <w:sz w:val="24"/>
          <w:szCs w:val="24"/>
        </w:rPr>
        <w:t xml:space="preserve">generally </w:t>
      </w:r>
      <w:r w:rsidR="007B5E4A" w:rsidRPr="00B503E6">
        <w:rPr>
          <w:rFonts w:asciiTheme="majorBidi" w:hAnsiTheme="majorBidi" w:cstheme="majorBidi"/>
          <w:sz w:val="24"/>
          <w:szCs w:val="24"/>
        </w:rPr>
        <w:t xml:space="preserve">similar, but the growth in the countries was not.  </w:t>
      </w:r>
      <w:r w:rsidR="00415B36" w:rsidRPr="00B503E6">
        <w:rPr>
          <w:rFonts w:asciiTheme="majorBidi" w:hAnsiTheme="majorBidi" w:cstheme="majorBidi"/>
          <w:sz w:val="24"/>
          <w:szCs w:val="24"/>
        </w:rPr>
        <w:t xml:space="preserve">This </w:t>
      </w:r>
      <w:r w:rsidR="00C87196" w:rsidRPr="00B503E6">
        <w:rPr>
          <w:rFonts w:asciiTheme="majorBidi" w:hAnsiTheme="majorBidi" w:cstheme="majorBidi"/>
          <w:sz w:val="24"/>
          <w:szCs w:val="24"/>
        </w:rPr>
        <w:t xml:space="preserve">result </w:t>
      </w:r>
      <w:r w:rsidR="0021390B" w:rsidRPr="00B503E6">
        <w:rPr>
          <w:rFonts w:asciiTheme="majorBidi" w:hAnsiTheme="majorBidi" w:cstheme="majorBidi"/>
          <w:sz w:val="24"/>
          <w:szCs w:val="24"/>
        </w:rPr>
        <w:t xml:space="preserve">enables us to </w:t>
      </w:r>
      <w:r w:rsidR="00F236D8" w:rsidRPr="00B503E6">
        <w:rPr>
          <w:rFonts w:asciiTheme="majorBidi" w:hAnsiTheme="majorBidi" w:cstheme="majorBidi"/>
          <w:sz w:val="24"/>
          <w:szCs w:val="24"/>
        </w:rPr>
        <w:t xml:space="preserve">reformulate the relationship between inclusive institutions and economic growth. </w:t>
      </w:r>
      <w:r w:rsidR="0021390B" w:rsidRPr="00B503E6">
        <w:rPr>
          <w:rFonts w:asciiTheme="majorBidi" w:hAnsiTheme="majorBidi" w:cstheme="majorBidi"/>
          <w:sz w:val="24"/>
          <w:szCs w:val="24"/>
        </w:rPr>
        <w:t xml:space="preserve">Inclusive </w:t>
      </w:r>
      <w:r w:rsidR="00415B36" w:rsidRPr="00B503E6">
        <w:rPr>
          <w:rFonts w:asciiTheme="majorBidi" w:hAnsiTheme="majorBidi" w:cstheme="majorBidi"/>
          <w:sz w:val="24"/>
          <w:szCs w:val="24"/>
        </w:rPr>
        <w:t xml:space="preserve">institutions </w:t>
      </w:r>
      <w:r w:rsidR="0021390B" w:rsidRPr="00B503E6">
        <w:rPr>
          <w:rFonts w:asciiTheme="majorBidi" w:hAnsiTheme="majorBidi" w:cstheme="majorBidi"/>
          <w:sz w:val="24"/>
          <w:szCs w:val="24"/>
        </w:rPr>
        <w:t>will lead to economic growth without foreign infusion of capital and technology but it will be a very slow process</w:t>
      </w:r>
      <w:r w:rsidR="00FD7400" w:rsidRPr="00B503E6">
        <w:rPr>
          <w:rFonts w:asciiTheme="majorBidi" w:hAnsiTheme="majorBidi" w:cstheme="majorBidi"/>
          <w:sz w:val="24"/>
          <w:szCs w:val="24"/>
        </w:rPr>
        <w:t>. W</w:t>
      </w:r>
      <w:r w:rsidR="0021390B" w:rsidRPr="00B503E6">
        <w:rPr>
          <w:rFonts w:asciiTheme="majorBidi" w:hAnsiTheme="majorBidi" w:cstheme="majorBidi"/>
          <w:sz w:val="24"/>
          <w:szCs w:val="24"/>
        </w:rPr>
        <w:t xml:space="preserve">hen a country can combine the inclusive institutions with additions of the proximate causes of growth then the economic growth will be much enhanced. </w:t>
      </w:r>
      <w:r w:rsidR="00FD7400" w:rsidRPr="00B503E6">
        <w:rPr>
          <w:rFonts w:asciiTheme="majorBidi" w:hAnsiTheme="majorBidi" w:cstheme="majorBidi"/>
          <w:sz w:val="24"/>
          <w:szCs w:val="24"/>
        </w:rPr>
        <w:t>T</w:t>
      </w:r>
      <w:r w:rsidR="0021390B" w:rsidRPr="00B503E6">
        <w:rPr>
          <w:rFonts w:asciiTheme="majorBidi" w:hAnsiTheme="majorBidi" w:cstheme="majorBidi"/>
          <w:sz w:val="24"/>
          <w:szCs w:val="24"/>
        </w:rPr>
        <w:t xml:space="preserve">he </w:t>
      </w:r>
      <w:r w:rsidR="00FD7400" w:rsidRPr="00B503E6">
        <w:rPr>
          <w:rFonts w:asciiTheme="majorBidi" w:hAnsiTheme="majorBidi" w:cstheme="majorBidi"/>
          <w:sz w:val="24"/>
          <w:szCs w:val="24"/>
        </w:rPr>
        <w:t xml:space="preserve">growth </w:t>
      </w:r>
      <w:r w:rsidR="0021390B" w:rsidRPr="00B503E6">
        <w:rPr>
          <w:rFonts w:asciiTheme="majorBidi" w:hAnsiTheme="majorBidi" w:cstheme="majorBidi"/>
          <w:sz w:val="24"/>
          <w:szCs w:val="24"/>
        </w:rPr>
        <w:t xml:space="preserve">process can also be accelerated if there exists </w:t>
      </w:r>
      <w:r w:rsidR="00FD7400" w:rsidRPr="00B503E6">
        <w:rPr>
          <w:rFonts w:asciiTheme="majorBidi" w:hAnsiTheme="majorBidi" w:cstheme="majorBidi"/>
          <w:sz w:val="24"/>
          <w:szCs w:val="24"/>
        </w:rPr>
        <w:t xml:space="preserve">large </w:t>
      </w:r>
      <w:r w:rsidR="0021390B" w:rsidRPr="00B503E6">
        <w:rPr>
          <w:rFonts w:asciiTheme="majorBidi" w:hAnsiTheme="majorBidi" w:cstheme="majorBidi"/>
          <w:sz w:val="24"/>
          <w:szCs w:val="24"/>
        </w:rPr>
        <w:t xml:space="preserve">demand </w:t>
      </w:r>
      <w:r w:rsidR="00FD7400" w:rsidRPr="00B503E6">
        <w:rPr>
          <w:rFonts w:asciiTheme="majorBidi" w:hAnsiTheme="majorBidi" w:cstheme="majorBidi"/>
          <w:sz w:val="24"/>
          <w:szCs w:val="24"/>
        </w:rPr>
        <w:t xml:space="preserve">in the world </w:t>
      </w:r>
      <w:r w:rsidR="0021390B" w:rsidRPr="00B503E6">
        <w:rPr>
          <w:rFonts w:asciiTheme="majorBidi" w:hAnsiTheme="majorBidi" w:cstheme="majorBidi"/>
          <w:sz w:val="24"/>
          <w:szCs w:val="24"/>
        </w:rPr>
        <w:t xml:space="preserve">for </w:t>
      </w:r>
      <w:r w:rsidR="00FD7400" w:rsidRPr="00B503E6">
        <w:rPr>
          <w:rFonts w:asciiTheme="majorBidi" w:hAnsiTheme="majorBidi" w:cstheme="majorBidi"/>
          <w:sz w:val="24"/>
          <w:szCs w:val="24"/>
        </w:rPr>
        <w:t xml:space="preserve">a </w:t>
      </w:r>
      <w:r w:rsidR="0021390B" w:rsidRPr="00B503E6">
        <w:rPr>
          <w:rFonts w:asciiTheme="majorBidi" w:hAnsiTheme="majorBidi" w:cstheme="majorBidi"/>
          <w:sz w:val="24"/>
          <w:szCs w:val="24"/>
        </w:rPr>
        <w:t xml:space="preserve">product </w:t>
      </w:r>
      <w:r w:rsidR="00FD7400" w:rsidRPr="00B503E6">
        <w:rPr>
          <w:rFonts w:asciiTheme="majorBidi" w:hAnsiTheme="majorBidi" w:cstheme="majorBidi"/>
          <w:sz w:val="24"/>
          <w:szCs w:val="24"/>
        </w:rPr>
        <w:t xml:space="preserve">that </w:t>
      </w:r>
      <w:r w:rsidR="0021390B" w:rsidRPr="00B503E6">
        <w:rPr>
          <w:rFonts w:asciiTheme="majorBidi" w:hAnsiTheme="majorBidi" w:cstheme="majorBidi"/>
          <w:sz w:val="24"/>
          <w:szCs w:val="24"/>
        </w:rPr>
        <w:t xml:space="preserve">the country </w:t>
      </w:r>
      <w:r w:rsidR="00FD7400" w:rsidRPr="00B503E6">
        <w:rPr>
          <w:rFonts w:asciiTheme="majorBidi" w:hAnsiTheme="majorBidi" w:cstheme="majorBidi"/>
          <w:sz w:val="24"/>
          <w:szCs w:val="24"/>
        </w:rPr>
        <w:t xml:space="preserve">exports. </w:t>
      </w:r>
    </w:p>
    <w:p w:rsidR="0046799A" w:rsidRPr="00B503E6" w:rsidRDefault="0046799A" w:rsidP="008D2790">
      <w:pPr>
        <w:spacing w:line="480" w:lineRule="auto"/>
        <w:ind w:firstLine="567"/>
        <w:contextualSpacing/>
        <w:jc w:val="both"/>
        <w:rPr>
          <w:rFonts w:asciiTheme="majorBidi" w:hAnsiTheme="majorBidi" w:cstheme="majorBidi"/>
          <w:sz w:val="24"/>
          <w:szCs w:val="24"/>
        </w:rPr>
      </w:pPr>
    </w:p>
    <w:p w:rsidR="00F67782" w:rsidRPr="00B503E6" w:rsidRDefault="00B172E4" w:rsidP="004D146A">
      <w:pPr>
        <w:pStyle w:val="ListParagraph"/>
        <w:numPr>
          <w:ilvl w:val="0"/>
          <w:numId w:val="4"/>
        </w:numPr>
        <w:spacing w:line="480" w:lineRule="auto"/>
        <w:ind w:left="426" w:hanging="426"/>
        <w:jc w:val="both"/>
        <w:rPr>
          <w:rFonts w:asciiTheme="majorBidi" w:hAnsiTheme="majorBidi" w:cstheme="majorBidi"/>
          <w:sz w:val="24"/>
          <w:szCs w:val="24"/>
        </w:rPr>
      </w:pPr>
      <w:r w:rsidRPr="00B503E6">
        <w:rPr>
          <w:rFonts w:asciiTheme="majorBidi" w:hAnsiTheme="majorBidi" w:cstheme="majorBidi"/>
          <w:sz w:val="24"/>
          <w:szCs w:val="24"/>
        </w:rPr>
        <w:t>Private p</w:t>
      </w:r>
      <w:r w:rsidR="0046799A" w:rsidRPr="00B503E6">
        <w:rPr>
          <w:rFonts w:asciiTheme="majorBidi" w:hAnsiTheme="majorBidi" w:cstheme="majorBidi"/>
          <w:sz w:val="24"/>
          <w:szCs w:val="24"/>
        </w:rPr>
        <w:t>roperty</w:t>
      </w:r>
      <w:r w:rsidR="000D0A76" w:rsidRPr="00B503E6">
        <w:rPr>
          <w:rFonts w:asciiTheme="majorBidi" w:hAnsiTheme="majorBidi" w:cstheme="majorBidi"/>
          <w:sz w:val="24"/>
          <w:szCs w:val="24"/>
        </w:rPr>
        <w:t>, inclusive institutions</w:t>
      </w:r>
      <w:r w:rsidR="004D146A" w:rsidRPr="00B503E6">
        <w:rPr>
          <w:rFonts w:asciiTheme="majorBidi" w:hAnsiTheme="majorBidi" w:cstheme="majorBidi"/>
          <w:sz w:val="24"/>
          <w:szCs w:val="24"/>
        </w:rPr>
        <w:t xml:space="preserve"> </w:t>
      </w:r>
      <w:r w:rsidR="0046799A" w:rsidRPr="00B503E6">
        <w:rPr>
          <w:rFonts w:asciiTheme="majorBidi" w:hAnsiTheme="majorBidi" w:cstheme="majorBidi"/>
          <w:sz w:val="24"/>
          <w:szCs w:val="24"/>
        </w:rPr>
        <w:t xml:space="preserve">and </w:t>
      </w:r>
      <w:r w:rsidR="007D3CD7" w:rsidRPr="00B503E6">
        <w:rPr>
          <w:rFonts w:asciiTheme="majorBidi" w:hAnsiTheme="majorBidi" w:cstheme="majorBidi"/>
          <w:sz w:val="24"/>
          <w:szCs w:val="24"/>
        </w:rPr>
        <w:t>e</w:t>
      </w:r>
      <w:r w:rsidR="0046799A" w:rsidRPr="00B503E6">
        <w:rPr>
          <w:rFonts w:asciiTheme="majorBidi" w:hAnsiTheme="majorBidi" w:cstheme="majorBidi"/>
          <w:sz w:val="24"/>
          <w:szCs w:val="24"/>
        </w:rPr>
        <w:t xml:space="preserve">conomic </w:t>
      </w:r>
      <w:r w:rsidR="007D3CD7" w:rsidRPr="00B503E6">
        <w:rPr>
          <w:rFonts w:asciiTheme="majorBidi" w:hAnsiTheme="majorBidi" w:cstheme="majorBidi"/>
          <w:sz w:val="24"/>
          <w:szCs w:val="24"/>
        </w:rPr>
        <w:t>g</w:t>
      </w:r>
      <w:r w:rsidR="0046799A" w:rsidRPr="00B503E6">
        <w:rPr>
          <w:rFonts w:asciiTheme="majorBidi" w:hAnsiTheme="majorBidi" w:cstheme="majorBidi"/>
          <w:sz w:val="24"/>
          <w:szCs w:val="24"/>
        </w:rPr>
        <w:t>rowth</w:t>
      </w:r>
      <w:r w:rsidR="007B1EB6" w:rsidRPr="00B503E6">
        <w:rPr>
          <w:rFonts w:asciiTheme="majorBidi" w:hAnsiTheme="majorBidi" w:cstheme="majorBidi"/>
          <w:sz w:val="24"/>
          <w:szCs w:val="24"/>
        </w:rPr>
        <w:t xml:space="preserve">  </w:t>
      </w:r>
      <w:r w:rsidR="0046799A" w:rsidRPr="00B503E6">
        <w:rPr>
          <w:rFonts w:asciiTheme="majorBidi" w:hAnsiTheme="majorBidi" w:cstheme="majorBidi"/>
          <w:sz w:val="24"/>
          <w:szCs w:val="24"/>
        </w:rPr>
        <w:t xml:space="preserve"> </w:t>
      </w:r>
    </w:p>
    <w:p w:rsidR="00FB6373" w:rsidRPr="00B503E6" w:rsidRDefault="00B172E4" w:rsidP="00981A55">
      <w:pPr>
        <w:spacing w:line="480" w:lineRule="auto"/>
        <w:contextualSpacing/>
        <w:jc w:val="both"/>
        <w:rPr>
          <w:rFonts w:asciiTheme="majorBidi" w:hAnsiTheme="majorBidi" w:cstheme="majorBidi"/>
          <w:sz w:val="24"/>
          <w:szCs w:val="24"/>
        </w:rPr>
      </w:pPr>
      <w:proofErr w:type="spellStart"/>
      <w:r w:rsidRPr="00B503E6">
        <w:rPr>
          <w:rFonts w:asciiTheme="majorBidi" w:hAnsiTheme="majorBidi" w:cstheme="majorBidi"/>
          <w:sz w:val="24"/>
          <w:szCs w:val="24"/>
        </w:rPr>
        <w:t>H</w:t>
      </w:r>
      <w:r w:rsidR="003E0AC3" w:rsidRPr="00B503E6">
        <w:rPr>
          <w:rFonts w:asciiTheme="majorBidi" w:hAnsiTheme="majorBidi" w:cstheme="majorBidi"/>
          <w:sz w:val="24"/>
          <w:szCs w:val="24"/>
        </w:rPr>
        <w:t>onoré</w:t>
      </w:r>
      <w:proofErr w:type="spellEnd"/>
      <w:r w:rsidR="003E0AC3" w:rsidRPr="00B503E6">
        <w:rPr>
          <w:rFonts w:asciiTheme="majorBidi" w:hAnsiTheme="majorBidi" w:cstheme="majorBidi"/>
          <w:sz w:val="24"/>
          <w:szCs w:val="24"/>
        </w:rPr>
        <w:t xml:space="preserve"> (</w:t>
      </w:r>
      <w:r w:rsidR="004B2B44" w:rsidRPr="00B503E6">
        <w:rPr>
          <w:rFonts w:asciiTheme="majorBidi" w:hAnsiTheme="majorBidi" w:cstheme="majorBidi"/>
          <w:sz w:val="24"/>
          <w:szCs w:val="24"/>
        </w:rPr>
        <w:t>1961</w:t>
      </w:r>
      <w:r w:rsidR="003E0AC3" w:rsidRPr="00B503E6">
        <w:rPr>
          <w:rFonts w:asciiTheme="majorBidi" w:hAnsiTheme="majorBidi" w:cstheme="majorBidi"/>
          <w:sz w:val="24"/>
          <w:szCs w:val="24"/>
        </w:rPr>
        <w:t xml:space="preserve">) distinguishes between eleven degrees of ownership </w:t>
      </w:r>
      <w:r w:rsidR="00FB4CD2" w:rsidRPr="00B503E6">
        <w:rPr>
          <w:rFonts w:asciiTheme="majorBidi" w:hAnsiTheme="majorBidi" w:cstheme="majorBidi"/>
          <w:sz w:val="24"/>
          <w:szCs w:val="24"/>
        </w:rPr>
        <w:t xml:space="preserve">depending on how much control and legal rights a person has of an item.  </w:t>
      </w:r>
      <w:r w:rsidR="006E0718" w:rsidRPr="00B503E6">
        <w:rPr>
          <w:rFonts w:asciiTheme="majorBidi" w:hAnsiTheme="majorBidi" w:cstheme="majorBidi"/>
          <w:sz w:val="24"/>
          <w:szCs w:val="24"/>
        </w:rPr>
        <w:t xml:space="preserve">For </w:t>
      </w:r>
      <w:r w:rsidR="00FB4CD2" w:rsidRPr="00B503E6">
        <w:rPr>
          <w:rFonts w:asciiTheme="majorBidi" w:hAnsiTheme="majorBidi" w:cstheme="majorBidi"/>
          <w:sz w:val="24"/>
          <w:szCs w:val="24"/>
        </w:rPr>
        <w:t>example</w:t>
      </w:r>
      <w:r w:rsidR="00C043FA" w:rsidRPr="00B503E6">
        <w:rPr>
          <w:rFonts w:asciiTheme="majorBidi" w:hAnsiTheme="majorBidi" w:cstheme="majorBidi"/>
          <w:sz w:val="24"/>
          <w:szCs w:val="24"/>
        </w:rPr>
        <w:t>,</w:t>
      </w:r>
      <w:r w:rsidR="006E0718" w:rsidRPr="00B503E6">
        <w:rPr>
          <w:rFonts w:asciiTheme="majorBidi" w:hAnsiTheme="majorBidi" w:cstheme="majorBidi"/>
          <w:sz w:val="24"/>
          <w:szCs w:val="24"/>
        </w:rPr>
        <w:t xml:space="preserve"> </w:t>
      </w:r>
      <w:r w:rsidR="00FB6373" w:rsidRPr="00B503E6">
        <w:rPr>
          <w:rFonts w:asciiTheme="majorBidi" w:hAnsiTheme="majorBidi" w:cstheme="majorBidi"/>
          <w:sz w:val="24"/>
          <w:szCs w:val="24"/>
        </w:rPr>
        <w:t xml:space="preserve">a person </w:t>
      </w:r>
      <w:r w:rsidR="003962A8" w:rsidRPr="00B503E6">
        <w:rPr>
          <w:rFonts w:asciiTheme="majorBidi" w:hAnsiTheme="majorBidi" w:cstheme="majorBidi"/>
          <w:sz w:val="24"/>
          <w:szCs w:val="24"/>
        </w:rPr>
        <w:t xml:space="preserve">might </w:t>
      </w:r>
      <w:r w:rsidR="00FB6373" w:rsidRPr="00B503E6">
        <w:rPr>
          <w:rFonts w:asciiTheme="majorBidi" w:hAnsiTheme="majorBidi" w:cstheme="majorBidi"/>
          <w:sz w:val="24"/>
          <w:szCs w:val="24"/>
        </w:rPr>
        <w:t>hav</w:t>
      </w:r>
      <w:r w:rsidR="003962A8" w:rsidRPr="00B503E6">
        <w:rPr>
          <w:rFonts w:asciiTheme="majorBidi" w:hAnsiTheme="majorBidi" w:cstheme="majorBidi"/>
          <w:sz w:val="24"/>
          <w:szCs w:val="24"/>
        </w:rPr>
        <w:t xml:space="preserve">e </w:t>
      </w:r>
      <w:r w:rsidR="006E0718" w:rsidRPr="00B503E6">
        <w:rPr>
          <w:rFonts w:asciiTheme="majorBidi" w:hAnsiTheme="majorBidi" w:cstheme="majorBidi"/>
          <w:sz w:val="24"/>
          <w:szCs w:val="24"/>
        </w:rPr>
        <w:t xml:space="preserve">the right to use an item and to derive </w:t>
      </w:r>
      <w:r w:rsidR="00FB6373" w:rsidRPr="00B503E6">
        <w:rPr>
          <w:rFonts w:asciiTheme="majorBidi" w:hAnsiTheme="majorBidi" w:cstheme="majorBidi"/>
          <w:sz w:val="24"/>
          <w:szCs w:val="24"/>
        </w:rPr>
        <w:t xml:space="preserve">income from the item, while lacking the right to the capital or the right to alienate the item by way of a sale.  </w:t>
      </w:r>
      <w:r w:rsidR="00981A55" w:rsidRPr="00B503E6">
        <w:rPr>
          <w:rFonts w:asciiTheme="majorBidi" w:hAnsiTheme="majorBidi" w:cstheme="majorBidi"/>
          <w:sz w:val="24"/>
          <w:szCs w:val="24"/>
        </w:rPr>
        <w:t xml:space="preserve">In this case, the inability to sell the land might stop the person from fully developing the land. </w:t>
      </w:r>
      <w:r w:rsidR="00894A2D" w:rsidRPr="00B503E6">
        <w:rPr>
          <w:rFonts w:asciiTheme="majorBidi" w:hAnsiTheme="majorBidi" w:cstheme="majorBidi"/>
          <w:sz w:val="24"/>
          <w:szCs w:val="24"/>
        </w:rPr>
        <w:t xml:space="preserve">This situation corresponds to the </w:t>
      </w:r>
      <w:r w:rsidR="00AA1950" w:rsidRPr="00B503E6">
        <w:rPr>
          <w:rFonts w:asciiTheme="majorBidi" w:hAnsiTheme="majorBidi" w:cstheme="majorBidi"/>
          <w:sz w:val="24"/>
          <w:szCs w:val="24"/>
        </w:rPr>
        <w:t xml:space="preserve">official Ottoman law with regard to </w:t>
      </w:r>
      <w:r w:rsidR="007C0797" w:rsidRPr="00B503E6">
        <w:rPr>
          <w:rFonts w:asciiTheme="majorBidi" w:hAnsiTheme="majorBidi" w:cstheme="majorBidi"/>
          <w:sz w:val="24"/>
          <w:szCs w:val="24"/>
        </w:rPr>
        <w:t xml:space="preserve">rural land </w:t>
      </w:r>
      <w:r w:rsidR="005064FC" w:rsidRPr="00B503E6">
        <w:rPr>
          <w:rFonts w:asciiTheme="majorBidi" w:hAnsiTheme="majorBidi" w:cstheme="majorBidi"/>
          <w:sz w:val="24"/>
          <w:szCs w:val="24"/>
        </w:rPr>
        <w:t xml:space="preserve">in </w:t>
      </w:r>
      <w:r w:rsidR="004B1B02" w:rsidRPr="00B503E6">
        <w:rPr>
          <w:rFonts w:asciiTheme="majorBidi" w:hAnsiTheme="majorBidi" w:cstheme="majorBidi"/>
          <w:sz w:val="24"/>
          <w:szCs w:val="24"/>
        </w:rPr>
        <w:t xml:space="preserve">LPST </w:t>
      </w:r>
      <w:r w:rsidR="00AA1950" w:rsidRPr="00B503E6">
        <w:rPr>
          <w:rFonts w:asciiTheme="majorBidi" w:hAnsiTheme="majorBidi" w:cstheme="majorBidi"/>
          <w:sz w:val="24"/>
          <w:szCs w:val="24"/>
        </w:rPr>
        <w:t xml:space="preserve">during the </w:t>
      </w:r>
      <w:r w:rsidR="005064FC" w:rsidRPr="00B503E6">
        <w:rPr>
          <w:rFonts w:asciiTheme="majorBidi" w:hAnsiTheme="majorBidi" w:cstheme="majorBidi"/>
          <w:sz w:val="24"/>
          <w:szCs w:val="24"/>
        </w:rPr>
        <w:t xml:space="preserve">Ottoman </w:t>
      </w:r>
      <w:r w:rsidR="00AA1950" w:rsidRPr="00B503E6">
        <w:rPr>
          <w:rFonts w:asciiTheme="majorBidi" w:hAnsiTheme="majorBidi" w:cstheme="majorBidi"/>
          <w:sz w:val="24"/>
          <w:szCs w:val="24"/>
        </w:rPr>
        <w:t xml:space="preserve">period, </w:t>
      </w:r>
      <w:r w:rsidR="00FD140C" w:rsidRPr="00B503E6">
        <w:rPr>
          <w:rFonts w:asciiTheme="majorBidi" w:hAnsiTheme="majorBidi" w:cstheme="majorBidi"/>
          <w:sz w:val="24"/>
          <w:szCs w:val="24"/>
        </w:rPr>
        <w:t>1516</w:t>
      </w:r>
      <w:r w:rsidR="00AA1950" w:rsidRPr="00B503E6">
        <w:rPr>
          <w:rFonts w:asciiTheme="majorBidi" w:hAnsiTheme="majorBidi" w:cstheme="majorBidi"/>
          <w:sz w:val="24"/>
          <w:szCs w:val="24"/>
        </w:rPr>
        <w:t>-1917/18</w:t>
      </w:r>
      <w:r w:rsidR="00DE1959" w:rsidRPr="00B503E6">
        <w:rPr>
          <w:rFonts w:asciiTheme="majorBidi" w:hAnsiTheme="majorBidi" w:cstheme="majorBidi"/>
          <w:sz w:val="24"/>
          <w:szCs w:val="24"/>
        </w:rPr>
        <w:t xml:space="preserve">. </w:t>
      </w:r>
      <w:r w:rsidR="005064FC" w:rsidRPr="00B503E6">
        <w:rPr>
          <w:rFonts w:asciiTheme="majorBidi" w:hAnsiTheme="majorBidi" w:cstheme="majorBidi"/>
          <w:sz w:val="24"/>
          <w:szCs w:val="24"/>
        </w:rPr>
        <w:t xml:space="preserve"> </w:t>
      </w:r>
      <w:r w:rsidR="00C043FA" w:rsidRPr="00B503E6">
        <w:rPr>
          <w:rFonts w:asciiTheme="majorBidi" w:hAnsiTheme="majorBidi" w:cstheme="majorBidi"/>
          <w:sz w:val="24"/>
          <w:szCs w:val="24"/>
        </w:rPr>
        <w:t xml:space="preserve"> </w:t>
      </w:r>
    </w:p>
    <w:p w:rsidR="00CF6268" w:rsidRPr="00B503E6" w:rsidRDefault="00AA1950" w:rsidP="00FA5D4C">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Under the Ottomans, r</w:t>
      </w:r>
      <w:r w:rsidR="00FD140C" w:rsidRPr="00B503E6">
        <w:rPr>
          <w:rFonts w:asciiTheme="majorBidi" w:hAnsiTheme="majorBidi" w:cstheme="majorBidi"/>
          <w:sz w:val="24"/>
          <w:szCs w:val="24"/>
        </w:rPr>
        <w:t xml:space="preserve">ural land was designated as </w:t>
      </w:r>
      <w:r w:rsidR="00FD140C" w:rsidRPr="00B503E6">
        <w:rPr>
          <w:rFonts w:asciiTheme="majorBidi" w:hAnsiTheme="majorBidi" w:cstheme="majorBidi"/>
          <w:i/>
          <w:iCs/>
          <w:sz w:val="24"/>
          <w:szCs w:val="24"/>
        </w:rPr>
        <w:t>miri</w:t>
      </w:r>
      <w:r w:rsidR="00FD140C" w:rsidRPr="00B503E6">
        <w:rPr>
          <w:rFonts w:asciiTheme="majorBidi" w:hAnsiTheme="majorBidi" w:cstheme="majorBidi"/>
          <w:sz w:val="24"/>
          <w:szCs w:val="24"/>
        </w:rPr>
        <w:t xml:space="preserve"> land</w:t>
      </w:r>
      <w:r w:rsidRPr="00B503E6">
        <w:rPr>
          <w:rFonts w:asciiTheme="majorBidi" w:hAnsiTheme="majorBidi" w:cstheme="majorBidi"/>
          <w:sz w:val="24"/>
          <w:szCs w:val="24"/>
        </w:rPr>
        <w:t xml:space="preserve">, which </w:t>
      </w:r>
      <w:r w:rsidR="00FD140C" w:rsidRPr="00B503E6">
        <w:rPr>
          <w:rFonts w:asciiTheme="majorBidi" w:hAnsiTheme="majorBidi" w:cstheme="majorBidi"/>
          <w:sz w:val="24"/>
          <w:szCs w:val="24"/>
        </w:rPr>
        <w:t xml:space="preserve">meant that the state </w:t>
      </w:r>
      <w:r w:rsidRPr="00B503E6">
        <w:rPr>
          <w:rFonts w:asciiTheme="majorBidi" w:hAnsiTheme="majorBidi" w:cstheme="majorBidi"/>
          <w:sz w:val="24"/>
          <w:szCs w:val="24"/>
        </w:rPr>
        <w:t xml:space="preserve">officially </w:t>
      </w:r>
      <w:r w:rsidR="00FD140C" w:rsidRPr="00B503E6">
        <w:rPr>
          <w:rFonts w:asciiTheme="majorBidi" w:hAnsiTheme="majorBidi" w:cstheme="majorBidi"/>
          <w:sz w:val="24"/>
          <w:szCs w:val="24"/>
        </w:rPr>
        <w:t>owned the land</w:t>
      </w:r>
      <w:r w:rsidRPr="00B503E6">
        <w:rPr>
          <w:rFonts w:asciiTheme="majorBidi" w:hAnsiTheme="majorBidi" w:cstheme="majorBidi"/>
          <w:sz w:val="24"/>
          <w:szCs w:val="24"/>
        </w:rPr>
        <w:t>.  However</w:t>
      </w:r>
      <w:r w:rsidR="00BB0830" w:rsidRPr="00B503E6">
        <w:rPr>
          <w:rFonts w:asciiTheme="majorBidi" w:hAnsiTheme="majorBidi" w:cstheme="majorBidi"/>
          <w:sz w:val="24"/>
          <w:szCs w:val="24"/>
        </w:rPr>
        <w:t xml:space="preserve">, </w:t>
      </w:r>
      <w:r w:rsidR="00FD140C" w:rsidRPr="00B503E6">
        <w:rPr>
          <w:rFonts w:asciiTheme="majorBidi" w:hAnsiTheme="majorBidi" w:cstheme="majorBidi"/>
          <w:sz w:val="24"/>
          <w:szCs w:val="24"/>
        </w:rPr>
        <w:t xml:space="preserve">the peasants </w:t>
      </w:r>
      <w:r w:rsidR="007C0797" w:rsidRPr="00B503E6">
        <w:rPr>
          <w:rFonts w:asciiTheme="majorBidi" w:hAnsiTheme="majorBidi" w:cstheme="majorBidi"/>
          <w:sz w:val="24"/>
          <w:szCs w:val="24"/>
        </w:rPr>
        <w:t xml:space="preserve">who lived on the land </w:t>
      </w:r>
      <w:r w:rsidR="00FD140C" w:rsidRPr="00B503E6">
        <w:rPr>
          <w:rFonts w:asciiTheme="majorBidi" w:hAnsiTheme="majorBidi" w:cstheme="majorBidi"/>
          <w:sz w:val="24"/>
          <w:szCs w:val="24"/>
        </w:rPr>
        <w:t xml:space="preserve">had </w:t>
      </w:r>
      <w:r w:rsidR="00FF671A" w:rsidRPr="00B503E6">
        <w:rPr>
          <w:rFonts w:asciiTheme="majorBidi" w:hAnsiTheme="majorBidi" w:cstheme="majorBidi"/>
          <w:sz w:val="24"/>
          <w:szCs w:val="24"/>
        </w:rPr>
        <w:t xml:space="preserve">the </w:t>
      </w:r>
      <w:r w:rsidR="00FD140C" w:rsidRPr="00B503E6">
        <w:rPr>
          <w:rFonts w:asciiTheme="majorBidi" w:hAnsiTheme="majorBidi" w:cstheme="majorBidi"/>
          <w:sz w:val="24"/>
          <w:szCs w:val="24"/>
        </w:rPr>
        <w:t xml:space="preserve">right to cultivate the land in </w:t>
      </w:r>
      <w:r w:rsidR="00263B77" w:rsidRPr="00B503E6">
        <w:rPr>
          <w:rFonts w:asciiTheme="majorBidi" w:hAnsiTheme="majorBidi" w:cstheme="majorBidi"/>
          <w:sz w:val="24"/>
          <w:szCs w:val="24"/>
        </w:rPr>
        <w:t>perpetuity</w:t>
      </w:r>
      <w:r w:rsidR="00FD140C" w:rsidRPr="00B503E6">
        <w:rPr>
          <w:rFonts w:asciiTheme="majorBidi" w:hAnsiTheme="majorBidi" w:cstheme="majorBidi"/>
          <w:sz w:val="24"/>
          <w:szCs w:val="24"/>
        </w:rPr>
        <w:t xml:space="preserve"> </w:t>
      </w:r>
      <w:r w:rsidR="00C043FA" w:rsidRPr="00B503E6">
        <w:rPr>
          <w:rFonts w:asciiTheme="majorBidi" w:hAnsiTheme="majorBidi" w:cstheme="majorBidi"/>
          <w:sz w:val="24"/>
          <w:szCs w:val="24"/>
        </w:rPr>
        <w:t>(</w:t>
      </w:r>
      <w:r w:rsidR="00B479F6" w:rsidRPr="00B503E6">
        <w:rPr>
          <w:rFonts w:asciiTheme="majorBidi" w:hAnsiTheme="majorBidi" w:cstheme="majorBidi"/>
          <w:i/>
          <w:iCs/>
          <w:sz w:val="24"/>
          <w:szCs w:val="24"/>
        </w:rPr>
        <w:t>usus fructus</w:t>
      </w:r>
      <w:r w:rsidR="00B479F6" w:rsidRPr="00B503E6">
        <w:rPr>
          <w:rFonts w:asciiTheme="majorBidi" w:hAnsiTheme="majorBidi" w:cstheme="majorBidi"/>
          <w:sz w:val="24"/>
          <w:szCs w:val="24"/>
        </w:rPr>
        <w:t xml:space="preserve"> rights</w:t>
      </w:r>
      <w:r w:rsidR="00C043FA" w:rsidRPr="00B503E6">
        <w:rPr>
          <w:rFonts w:asciiTheme="majorBidi" w:hAnsiTheme="majorBidi" w:cstheme="majorBidi"/>
          <w:sz w:val="24"/>
          <w:szCs w:val="24"/>
        </w:rPr>
        <w:t xml:space="preserve">) </w:t>
      </w:r>
      <w:r w:rsidR="00FD140C" w:rsidRPr="00B503E6">
        <w:rPr>
          <w:rFonts w:asciiTheme="majorBidi" w:hAnsiTheme="majorBidi" w:cstheme="majorBidi"/>
          <w:sz w:val="24"/>
          <w:szCs w:val="24"/>
        </w:rPr>
        <w:t xml:space="preserve">on the condition that </w:t>
      </w:r>
      <w:r w:rsidR="00FD140C" w:rsidRPr="00B503E6">
        <w:rPr>
          <w:rFonts w:asciiTheme="majorBidi" w:hAnsiTheme="majorBidi" w:cstheme="majorBidi"/>
          <w:sz w:val="24"/>
          <w:szCs w:val="24"/>
        </w:rPr>
        <w:lastRenderedPageBreak/>
        <w:t>they worked the land and paid their taxes, but they could not sell the land</w:t>
      </w:r>
      <w:r w:rsidR="004C2567" w:rsidRPr="00B503E6">
        <w:rPr>
          <w:rFonts w:asciiTheme="majorBidi" w:hAnsiTheme="majorBidi" w:cstheme="majorBidi"/>
          <w:sz w:val="24"/>
          <w:szCs w:val="24"/>
        </w:rPr>
        <w:t xml:space="preserve"> (</w:t>
      </w:r>
      <w:r w:rsidR="00263B77" w:rsidRPr="00B503E6">
        <w:rPr>
          <w:rFonts w:asciiTheme="majorBidi" w:hAnsiTheme="majorBidi" w:cstheme="majorBidi"/>
          <w:sz w:val="24"/>
          <w:szCs w:val="24"/>
        </w:rPr>
        <w:t>Inalcik</w:t>
      </w:r>
      <w:r w:rsidR="00FD140C" w:rsidRPr="00B503E6">
        <w:rPr>
          <w:rFonts w:asciiTheme="majorBidi" w:hAnsiTheme="majorBidi" w:cstheme="majorBidi"/>
          <w:sz w:val="24"/>
          <w:szCs w:val="24"/>
        </w:rPr>
        <w:t>, 1994</w:t>
      </w:r>
      <w:r w:rsidR="004C2567" w:rsidRPr="00B503E6">
        <w:rPr>
          <w:rFonts w:asciiTheme="majorBidi" w:hAnsiTheme="majorBidi" w:cstheme="majorBidi"/>
          <w:sz w:val="24"/>
          <w:szCs w:val="24"/>
        </w:rPr>
        <w:t>)</w:t>
      </w:r>
      <w:r w:rsidR="00FD140C" w:rsidRPr="00B503E6">
        <w:rPr>
          <w:rFonts w:asciiTheme="majorBidi" w:hAnsiTheme="majorBidi" w:cstheme="majorBidi"/>
          <w:sz w:val="24"/>
          <w:szCs w:val="24"/>
        </w:rPr>
        <w:t>.</w:t>
      </w:r>
      <w:r w:rsidR="00FA5D4C">
        <w:rPr>
          <w:rStyle w:val="EndnoteReference"/>
          <w:rFonts w:asciiTheme="majorBidi" w:hAnsiTheme="majorBidi" w:cstheme="majorBidi"/>
          <w:sz w:val="24"/>
          <w:szCs w:val="24"/>
        </w:rPr>
        <w:endnoteReference w:id="5"/>
      </w:r>
      <w:r w:rsidR="003962A8" w:rsidRPr="00B503E6">
        <w:rPr>
          <w:rFonts w:asciiTheme="majorBidi" w:hAnsiTheme="majorBidi" w:cstheme="majorBidi"/>
          <w:sz w:val="24"/>
          <w:szCs w:val="24"/>
        </w:rPr>
        <w:t xml:space="preserve">  </w:t>
      </w:r>
      <w:r w:rsidR="000647BD" w:rsidRPr="00B503E6">
        <w:rPr>
          <w:rFonts w:asciiTheme="majorBidi" w:hAnsiTheme="majorBidi" w:cstheme="majorBidi"/>
          <w:sz w:val="24"/>
          <w:szCs w:val="24"/>
        </w:rPr>
        <w:t xml:space="preserve">Within </w:t>
      </w:r>
      <w:r w:rsidR="00632C0D" w:rsidRPr="00B503E6">
        <w:rPr>
          <w:rFonts w:asciiTheme="majorBidi" w:hAnsiTheme="majorBidi" w:cstheme="majorBidi"/>
          <w:sz w:val="24"/>
          <w:szCs w:val="24"/>
        </w:rPr>
        <w:t xml:space="preserve">some of the </w:t>
      </w:r>
      <w:r w:rsidR="000647BD" w:rsidRPr="00B503E6">
        <w:rPr>
          <w:rFonts w:asciiTheme="majorBidi" w:hAnsiTheme="majorBidi" w:cstheme="majorBidi"/>
          <w:sz w:val="24"/>
          <w:szCs w:val="24"/>
        </w:rPr>
        <w:t xml:space="preserve">land designated as </w:t>
      </w:r>
      <w:r w:rsidR="000647BD" w:rsidRPr="00B503E6">
        <w:rPr>
          <w:rFonts w:asciiTheme="majorBidi" w:hAnsiTheme="majorBidi" w:cstheme="majorBidi"/>
          <w:i/>
          <w:iCs/>
          <w:sz w:val="24"/>
          <w:szCs w:val="24"/>
        </w:rPr>
        <w:t>miri</w:t>
      </w:r>
      <w:r w:rsidR="000647BD" w:rsidRPr="00B503E6">
        <w:rPr>
          <w:rFonts w:asciiTheme="majorBidi" w:hAnsiTheme="majorBidi" w:cstheme="majorBidi"/>
          <w:sz w:val="24"/>
          <w:szCs w:val="24"/>
        </w:rPr>
        <w:t xml:space="preserve">, </w:t>
      </w:r>
      <w:r w:rsidR="00A053F1" w:rsidRPr="00B503E6">
        <w:rPr>
          <w:rFonts w:asciiTheme="majorBidi" w:hAnsiTheme="majorBidi" w:cstheme="majorBidi"/>
          <w:sz w:val="24"/>
          <w:szCs w:val="24"/>
        </w:rPr>
        <w:t xml:space="preserve">there developed </w:t>
      </w:r>
      <w:r w:rsidR="000647BD" w:rsidRPr="00B503E6">
        <w:rPr>
          <w:rFonts w:asciiTheme="majorBidi" w:hAnsiTheme="majorBidi" w:cstheme="majorBidi"/>
          <w:sz w:val="24"/>
          <w:szCs w:val="24"/>
        </w:rPr>
        <w:t xml:space="preserve">in LPST </w:t>
      </w:r>
      <w:r w:rsidR="00A053F1" w:rsidRPr="00B503E6">
        <w:rPr>
          <w:rFonts w:asciiTheme="majorBidi" w:hAnsiTheme="majorBidi" w:cstheme="majorBidi"/>
          <w:sz w:val="24"/>
          <w:szCs w:val="24"/>
        </w:rPr>
        <w:t xml:space="preserve">a </w:t>
      </w:r>
      <w:r w:rsidR="000647BD" w:rsidRPr="00B503E6">
        <w:rPr>
          <w:rFonts w:asciiTheme="majorBidi" w:hAnsiTheme="majorBidi" w:cstheme="majorBidi"/>
          <w:sz w:val="24"/>
          <w:szCs w:val="24"/>
        </w:rPr>
        <w:t xml:space="preserve">system of </w:t>
      </w:r>
      <w:r w:rsidR="00A053F1" w:rsidRPr="00B503E6">
        <w:rPr>
          <w:rFonts w:asciiTheme="majorBidi" w:hAnsiTheme="majorBidi" w:cstheme="majorBidi"/>
          <w:sz w:val="24"/>
          <w:szCs w:val="24"/>
        </w:rPr>
        <w:t>communal ownership</w:t>
      </w:r>
      <w:r w:rsidR="000647BD" w:rsidRPr="00B503E6">
        <w:rPr>
          <w:rFonts w:asciiTheme="majorBidi" w:hAnsiTheme="majorBidi" w:cstheme="majorBidi"/>
          <w:sz w:val="24"/>
          <w:szCs w:val="24"/>
        </w:rPr>
        <w:t xml:space="preserve"> </w:t>
      </w:r>
      <w:r w:rsidR="00A053F1" w:rsidRPr="00B503E6">
        <w:rPr>
          <w:rFonts w:asciiTheme="majorBidi" w:hAnsiTheme="majorBidi" w:cstheme="majorBidi"/>
          <w:sz w:val="24"/>
          <w:szCs w:val="24"/>
        </w:rPr>
        <w:t xml:space="preserve">called the </w:t>
      </w:r>
      <w:r w:rsidR="00A053F1" w:rsidRPr="00B503E6">
        <w:rPr>
          <w:rFonts w:asciiTheme="majorBidi" w:hAnsiTheme="majorBidi" w:cstheme="majorBidi"/>
          <w:i/>
          <w:iCs/>
          <w:sz w:val="24"/>
          <w:szCs w:val="24"/>
        </w:rPr>
        <w:t>musha</w:t>
      </w:r>
      <w:r w:rsidR="00633335" w:rsidRPr="00B503E6">
        <w:rPr>
          <w:rFonts w:asciiTheme="majorBidi" w:hAnsiTheme="majorBidi" w:cstheme="majorBidi"/>
          <w:sz w:val="24"/>
          <w:szCs w:val="24"/>
        </w:rPr>
        <w:t>`</w:t>
      </w:r>
      <w:r w:rsidR="00AF3B80">
        <w:rPr>
          <w:rFonts w:asciiTheme="majorBidi" w:hAnsiTheme="majorBidi" w:cstheme="majorBidi"/>
          <w:sz w:val="24"/>
          <w:szCs w:val="24"/>
        </w:rPr>
        <w:t xml:space="preserve"> </w:t>
      </w:r>
      <w:r w:rsidR="00A053F1" w:rsidRPr="00B503E6">
        <w:rPr>
          <w:rFonts w:asciiTheme="majorBidi" w:hAnsiTheme="majorBidi" w:cstheme="majorBidi"/>
          <w:sz w:val="24"/>
          <w:szCs w:val="24"/>
        </w:rPr>
        <w:t>system</w:t>
      </w:r>
      <w:r w:rsidR="00535B6B" w:rsidRPr="00B503E6">
        <w:rPr>
          <w:rFonts w:asciiTheme="majorBidi" w:hAnsiTheme="majorBidi" w:cstheme="majorBidi"/>
          <w:sz w:val="24"/>
          <w:szCs w:val="24"/>
        </w:rPr>
        <w:t>.</w:t>
      </w:r>
      <w:r w:rsidR="00FA5D4C">
        <w:rPr>
          <w:rStyle w:val="EndnoteReference"/>
          <w:rFonts w:asciiTheme="majorBidi" w:hAnsiTheme="majorBidi" w:cstheme="majorBidi"/>
          <w:sz w:val="24"/>
          <w:szCs w:val="24"/>
        </w:rPr>
        <w:endnoteReference w:id="6"/>
      </w:r>
      <w:r w:rsidR="00A053F1" w:rsidRPr="00B503E6">
        <w:rPr>
          <w:rFonts w:asciiTheme="majorBidi" w:hAnsiTheme="majorBidi" w:cstheme="majorBidi"/>
          <w:sz w:val="24"/>
          <w:szCs w:val="24"/>
        </w:rPr>
        <w:t xml:space="preserve">  </w:t>
      </w:r>
      <w:r w:rsidR="008B0F90" w:rsidRPr="00B503E6">
        <w:rPr>
          <w:rFonts w:asciiTheme="majorBidi" w:hAnsiTheme="majorBidi" w:cstheme="majorBidi"/>
          <w:sz w:val="24"/>
          <w:szCs w:val="24"/>
        </w:rPr>
        <w:t xml:space="preserve">With this system, </w:t>
      </w:r>
      <w:r w:rsidR="00A053F1" w:rsidRPr="00B503E6">
        <w:rPr>
          <w:rFonts w:asciiTheme="majorBidi" w:hAnsiTheme="majorBidi" w:cstheme="majorBidi"/>
          <w:sz w:val="24"/>
          <w:szCs w:val="24"/>
        </w:rPr>
        <w:t xml:space="preserve">the village as a whole </w:t>
      </w:r>
      <w:r w:rsidR="00367D66" w:rsidRPr="00B503E6">
        <w:rPr>
          <w:rFonts w:asciiTheme="majorBidi" w:hAnsiTheme="majorBidi" w:cstheme="majorBidi"/>
          <w:sz w:val="24"/>
          <w:szCs w:val="24"/>
        </w:rPr>
        <w:t xml:space="preserve">would distribute the </w:t>
      </w:r>
      <w:r w:rsidR="00A053F1" w:rsidRPr="00B503E6">
        <w:rPr>
          <w:rFonts w:asciiTheme="majorBidi" w:hAnsiTheme="majorBidi" w:cstheme="majorBidi"/>
          <w:sz w:val="24"/>
          <w:szCs w:val="24"/>
        </w:rPr>
        <w:t>land</w:t>
      </w:r>
      <w:r w:rsidR="00367D66" w:rsidRPr="00B503E6">
        <w:rPr>
          <w:rFonts w:asciiTheme="majorBidi" w:hAnsiTheme="majorBidi" w:cstheme="majorBidi"/>
          <w:sz w:val="24"/>
          <w:szCs w:val="24"/>
        </w:rPr>
        <w:t xml:space="preserve"> amongst the villagers, and every two or three years, the land would be re-divided.</w:t>
      </w:r>
      <w:r w:rsidR="00FA5D4C">
        <w:rPr>
          <w:rStyle w:val="EndnoteReference"/>
          <w:rFonts w:asciiTheme="majorBidi" w:hAnsiTheme="majorBidi" w:cstheme="majorBidi"/>
          <w:sz w:val="24"/>
          <w:szCs w:val="24"/>
        </w:rPr>
        <w:endnoteReference w:id="7"/>
      </w:r>
      <w:r w:rsidR="00367D66" w:rsidRPr="00B503E6">
        <w:rPr>
          <w:rFonts w:asciiTheme="majorBidi" w:hAnsiTheme="majorBidi" w:cstheme="majorBidi"/>
          <w:sz w:val="24"/>
          <w:szCs w:val="24"/>
        </w:rPr>
        <w:t xml:space="preserve">  In this case, the</w:t>
      </w:r>
      <w:r w:rsidR="00C043FA" w:rsidRPr="00B503E6">
        <w:rPr>
          <w:rFonts w:asciiTheme="majorBidi" w:hAnsiTheme="majorBidi" w:cstheme="majorBidi"/>
          <w:sz w:val="24"/>
          <w:szCs w:val="24"/>
        </w:rPr>
        <w:t xml:space="preserve"> peasants had even more limited rights of use and income of the land than under </w:t>
      </w:r>
      <w:r w:rsidR="00C043FA" w:rsidRPr="00B503E6">
        <w:rPr>
          <w:rFonts w:asciiTheme="majorBidi" w:hAnsiTheme="majorBidi" w:cstheme="majorBidi"/>
          <w:i/>
          <w:iCs/>
          <w:sz w:val="24"/>
          <w:szCs w:val="24"/>
        </w:rPr>
        <w:t>miri</w:t>
      </w:r>
      <w:r w:rsidR="00C043FA" w:rsidRPr="00B503E6">
        <w:rPr>
          <w:rFonts w:asciiTheme="majorBidi" w:hAnsiTheme="majorBidi" w:cstheme="majorBidi"/>
          <w:sz w:val="24"/>
          <w:szCs w:val="24"/>
        </w:rPr>
        <w:t xml:space="preserve"> land that was not part of the </w:t>
      </w:r>
      <w:r w:rsidR="00C043FA" w:rsidRPr="00B503E6">
        <w:rPr>
          <w:rFonts w:asciiTheme="majorBidi" w:hAnsiTheme="majorBidi" w:cstheme="majorBidi"/>
          <w:i/>
          <w:iCs/>
          <w:sz w:val="24"/>
          <w:szCs w:val="24"/>
        </w:rPr>
        <w:t>musha</w:t>
      </w:r>
      <w:r w:rsidR="00633335" w:rsidRPr="00B503E6">
        <w:rPr>
          <w:rFonts w:asciiTheme="majorBidi" w:hAnsiTheme="majorBidi" w:cstheme="majorBidi"/>
          <w:i/>
          <w:iCs/>
          <w:sz w:val="24"/>
          <w:szCs w:val="24"/>
        </w:rPr>
        <w:t>`</w:t>
      </w:r>
      <w:r w:rsidR="00C043FA" w:rsidRPr="00B503E6">
        <w:rPr>
          <w:rFonts w:asciiTheme="majorBidi" w:hAnsiTheme="majorBidi" w:cstheme="majorBidi"/>
          <w:sz w:val="24"/>
          <w:szCs w:val="24"/>
        </w:rPr>
        <w:t xml:space="preserve"> system</w:t>
      </w:r>
      <w:r w:rsidR="00981A55" w:rsidRPr="00B503E6">
        <w:rPr>
          <w:rFonts w:asciiTheme="majorBidi" w:hAnsiTheme="majorBidi" w:cstheme="majorBidi"/>
          <w:sz w:val="24"/>
          <w:szCs w:val="24"/>
        </w:rPr>
        <w:t>, and there was less incentive to invest and develop the land</w:t>
      </w:r>
      <w:r w:rsidR="00C043FA" w:rsidRPr="00B503E6">
        <w:rPr>
          <w:rFonts w:asciiTheme="majorBidi" w:hAnsiTheme="majorBidi" w:cstheme="majorBidi"/>
          <w:sz w:val="24"/>
          <w:szCs w:val="24"/>
        </w:rPr>
        <w:t>.</w:t>
      </w:r>
    </w:p>
    <w:p w:rsidR="00B36804" w:rsidRPr="00B503E6" w:rsidRDefault="00367D66" w:rsidP="0082028F">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In 1858, the Ottomans instituted a land code that gave farmers of </w:t>
      </w:r>
      <w:r w:rsidRPr="00B503E6">
        <w:rPr>
          <w:rFonts w:asciiTheme="majorBidi" w:hAnsiTheme="majorBidi" w:cstheme="majorBidi"/>
          <w:i/>
          <w:iCs/>
          <w:sz w:val="24"/>
          <w:szCs w:val="24"/>
        </w:rPr>
        <w:t>miri</w:t>
      </w:r>
      <w:r w:rsidRPr="00B503E6">
        <w:rPr>
          <w:rFonts w:asciiTheme="majorBidi" w:hAnsiTheme="majorBidi" w:cstheme="majorBidi"/>
          <w:sz w:val="24"/>
          <w:szCs w:val="24"/>
        </w:rPr>
        <w:t xml:space="preserve"> lands more rights to their land, as for example they could officially sell the</w:t>
      </w:r>
      <w:r w:rsidR="001F5FC2" w:rsidRPr="00B503E6">
        <w:rPr>
          <w:rFonts w:asciiTheme="majorBidi" w:hAnsiTheme="majorBidi" w:cstheme="majorBidi"/>
          <w:sz w:val="24"/>
          <w:szCs w:val="24"/>
        </w:rPr>
        <w:t xml:space="preserve"> their user rights to the</w:t>
      </w:r>
      <w:r w:rsidRPr="00B503E6">
        <w:rPr>
          <w:rFonts w:asciiTheme="majorBidi" w:hAnsiTheme="majorBidi" w:cstheme="majorBidi"/>
          <w:sz w:val="24"/>
          <w:szCs w:val="24"/>
        </w:rPr>
        <w:t xml:space="preserve"> land, but the</w:t>
      </w:r>
      <w:r w:rsidR="001F5FC2" w:rsidRPr="00B503E6">
        <w:rPr>
          <w:rFonts w:asciiTheme="majorBidi" w:hAnsiTheme="majorBidi" w:cstheme="majorBidi"/>
          <w:sz w:val="24"/>
          <w:szCs w:val="24"/>
        </w:rPr>
        <w:t xml:space="preserve"> state could still revoke these rights and a person </w:t>
      </w:r>
      <w:r w:rsidRPr="00B503E6">
        <w:rPr>
          <w:rFonts w:asciiTheme="majorBidi" w:hAnsiTheme="majorBidi" w:cstheme="majorBidi"/>
          <w:sz w:val="24"/>
          <w:szCs w:val="24"/>
        </w:rPr>
        <w:t>could not dedicate the land as</w:t>
      </w:r>
      <w:r w:rsidR="0014019C" w:rsidRPr="00B503E6">
        <w:rPr>
          <w:rFonts w:asciiTheme="majorBidi" w:hAnsiTheme="majorBidi" w:cstheme="majorBidi"/>
          <w:sz w:val="24"/>
          <w:szCs w:val="24"/>
        </w:rPr>
        <w:t xml:space="preserve"> a</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waqf</w:t>
      </w:r>
      <w:r w:rsidRPr="00B503E6">
        <w:rPr>
          <w:rFonts w:asciiTheme="majorBidi" w:hAnsiTheme="majorBidi" w:cstheme="majorBidi"/>
          <w:sz w:val="24"/>
          <w:szCs w:val="24"/>
        </w:rPr>
        <w:t xml:space="preserve"> </w:t>
      </w:r>
      <w:r w:rsidR="001F5FC2" w:rsidRPr="00B503E6">
        <w:rPr>
          <w:rFonts w:asciiTheme="majorBidi" w:hAnsiTheme="majorBidi" w:cstheme="majorBidi"/>
          <w:sz w:val="24"/>
          <w:szCs w:val="24"/>
        </w:rPr>
        <w:t>(Fischbach, 2000, 25,26)</w:t>
      </w:r>
      <w:r w:rsidRPr="00B503E6">
        <w:rPr>
          <w:rFonts w:asciiTheme="majorBidi" w:hAnsiTheme="majorBidi" w:cstheme="majorBidi"/>
          <w:sz w:val="24"/>
          <w:szCs w:val="24"/>
        </w:rPr>
        <w:t xml:space="preserve">. </w:t>
      </w:r>
      <w:r w:rsidR="00A053F1" w:rsidRPr="00B503E6">
        <w:rPr>
          <w:rFonts w:asciiTheme="majorBidi" w:hAnsiTheme="majorBidi" w:cstheme="majorBidi"/>
          <w:sz w:val="24"/>
          <w:szCs w:val="24"/>
        </w:rPr>
        <w:t xml:space="preserve"> </w:t>
      </w:r>
      <w:r w:rsidR="00DE4868" w:rsidRPr="00B503E6">
        <w:rPr>
          <w:rFonts w:asciiTheme="majorBidi" w:hAnsiTheme="majorBidi" w:cstheme="majorBidi"/>
          <w:sz w:val="24"/>
          <w:szCs w:val="24"/>
        </w:rPr>
        <w:t xml:space="preserve">In addition, the land code required the landholder to register their land in the government land register and then </w:t>
      </w:r>
      <w:r w:rsidR="00570B66" w:rsidRPr="00B503E6">
        <w:rPr>
          <w:rFonts w:asciiTheme="majorBidi" w:hAnsiTheme="majorBidi" w:cstheme="majorBidi"/>
          <w:sz w:val="24"/>
          <w:szCs w:val="24"/>
        </w:rPr>
        <w:t xml:space="preserve">the landholder was </w:t>
      </w:r>
      <w:r w:rsidR="00DE4868" w:rsidRPr="00B503E6">
        <w:rPr>
          <w:rFonts w:asciiTheme="majorBidi" w:hAnsiTheme="majorBidi" w:cstheme="majorBidi"/>
          <w:sz w:val="24"/>
          <w:szCs w:val="24"/>
        </w:rPr>
        <w:t>to rec</w:t>
      </w:r>
      <w:r w:rsidR="006E408D" w:rsidRPr="00B503E6">
        <w:rPr>
          <w:rFonts w:asciiTheme="majorBidi" w:hAnsiTheme="majorBidi" w:cstheme="majorBidi"/>
          <w:sz w:val="24"/>
          <w:szCs w:val="24"/>
        </w:rPr>
        <w:t>ei</w:t>
      </w:r>
      <w:r w:rsidR="00DE4868" w:rsidRPr="00B503E6">
        <w:rPr>
          <w:rFonts w:asciiTheme="majorBidi" w:hAnsiTheme="majorBidi" w:cstheme="majorBidi"/>
          <w:sz w:val="24"/>
          <w:szCs w:val="24"/>
        </w:rPr>
        <w:t>ve a title deed to the land.</w:t>
      </w:r>
      <w:r w:rsidR="00A053F1" w:rsidRPr="00B503E6">
        <w:rPr>
          <w:rFonts w:asciiTheme="majorBidi" w:hAnsiTheme="majorBidi" w:cstheme="majorBidi"/>
          <w:sz w:val="24"/>
          <w:szCs w:val="24"/>
        </w:rPr>
        <w:t xml:space="preserve"> </w:t>
      </w:r>
      <w:r w:rsidR="006E408D" w:rsidRPr="00B503E6">
        <w:rPr>
          <w:rFonts w:asciiTheme="majorBidi" w:hAnsiTheme="majorBidi" w:cstheme="majorBidi"/>
          <w:sz w:val="24"/>
          <w:szCs w:val="24"/>
        </w:rPr>
        <w:t xml:space="preserve"> </w:t>
      </w:r>
    </w:p>
    <w:p w:rsidR="006E408D" w:rsidRPr="00B503E6" w:rsidRDefault="006E408D" w:rsidP="00E144AF">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Gerber (1987, 82) argues that this clause </w:t>
      </w:r>
      <w:r w:rsidR="003962A8" w:rsidRPr="00B503E6">
        <w:rPr>
          <w:rFonts w:asciiTheme="majorBidi" w:hAnsiTheme="majorBidi" w:cstheme="majorBidi"/>
          <w:sz w:val="24"/>
          <w:szCs w:val="24"/>
        </w:rPr>
        <w:t xml:space="preserve">to register the land </w:t>
      </w:r>
      <w:r w:rsidRPr="00B503E6">
        <w:rPr>
          <w:rFonts w:asciiTheme="majorBidi" w:hAnsiTheme="majorBidi" w:cstheme="majorBidi"/>
          <w:sz w:val="24"/>
          <w:szCs w:val="24"/>
        </w:rPr>
        <w:t xml:space="preserve">in the code </w:t>
      </w:r>
      <w:r w:rsidR="0088721C" w:rsidRPr="00B503E6">
        <w:rPr>
          <w:rFonts w:asciiTheme="majorBidi" w:hAnsiTheme="majorBidi" w:cstheme="majorBidi"/>
          <w:sz w:val="24"/>
          <w:szCs w:val="24"/>
        </w:rPr>
        <w:t xml:space="preserve">unintentionally </w:t>
      </w:r>
      <w:r w:rsidR="00B36804" w:rsidRPr="00B503E6">
        <w:rPr>
          <w:rFonts w:asciiTheme="majorBidi" w:hAnsiTheme="majorBidi" w:cstheme="majorBidi"/>
          <w:sz w:val="24"/>
          <w:szCs w:val="24"/>
        </w:rPr>
        <w:t xml:space="preserve">enabled wealthy individuals to purchase large tracts of land.  One example </w:t>
      </w:r>
      <w:r w:rsidR="00520B85" w:rsidRPr="00B503E6">
        <w:rPr>
          <w:rFonts w:asciiTheme="majorBidi" w:hAnsiTheme="majorBidi" w:cstheme="majorBidi"/>
          <w:sz w:val="24"/>
          <w:szCs w:val="24"/>
        </w:rPr>
        <w:t>was the Sursoq family from Beirut that bought 200</w:t>
      </w:r>
      <w:r w:rsidR="00AB1C1D" w:rsidRPr="00B503E6">
        <w:rPr>
          <w:rFonts w:asciiTheme="majorBidi" w:hAnsiTheme="majorBidi" w:cstheme="majorBidi"/>
          <w:sz w:val="24"/>
          <w:szCs w:val="24"/>
        </w:rPr>
        <w:t xml:space="preserve"> sq km </w:t>
      </w:r>
      <w:r w:rsidR="00520B85" w:rsidRPr="00B503E6">
        <w:rPr>
          <w:rFonts w:asciiTheme="majorBidi" w:hAnsiTheme="majorBidi" w:cstheme="majorBidi"/>
          <w:sz w:val="24"/>
          <w:szCs w:val="24"/>
        </w:rPr>
        <w:t>in the Plain of Esdraelon in Northern Pales</w:t>
      </w:r>
      <w:r w:rsidR="0051682A" w:rsidRPr="00B503E6">
        <w:rPr>
          <w:rFonts w:asciiTheme="majorBidi" w:hAnsiTheme="majorBidi" w:cstheme="majorBidi"/>
          <w:sz w:val="24"/>
          <w:szCs w:val="24"/>
        </w:rPr>
        <w:t>t</w:t>
      </w:r>
      <w:r w:rsidR="00520B85" w:rsidRPr="00B503E6">
        <w:rPr>
          <w:rFonts w:asciiTheme="majorBidi" w:hAnsiTheme="majorBidi" w:cstheme="majorBidi"/>
          <w:sz w:val="24"/>
          <w:szCs w:val="24"/>
        </w:rPr>
        <w:t xml:space="preserve">ine.  </w:t>
      </w:r>
      <w:r w:rsidR="000E7DD9" w:rsidRPr="00B503E6">
        <w:rPr>
          <w:rFonts w:asciiTheme="majorBidi" w:hAnsiTheme="majorBidi" w:cstheme="majorBidi"/>
          <w:sz w:val="24"/>
          <w:szCs w:val="24"/>
        </w:rPr>
        <w:t xml:space="preserve">Prior to this purchase, </w:t>
      </w:r>
      <w:r w:rsidR="0051682A" w:rsidRPr="00B503E6">
        <w:rPr>
          <w:rFonts w:asciiTheme="majorBidi" w:hAnsiTheme="majorBidi" w:cstheme="majorBidi"/>
          <w:sz w:val="24"/>
          <w:szCs w:val="24"/>
        </w:rPr>
        <w:t xml:space="preserve">Bedouins occasionally camped and plundered the land, </w:t>
      </w:r>
      <w:r w:rsidR="006C5E2F" w:rsidRPr="00B503E6">
        <w:rPr>
          <w:rFonts w:asciiTheme="majorBidi" w:hAnsiTheme="majorBidi" w:cstheme="majorBidi"/>
          <w:sz w:val="24"/>
          <w:szCs w:val="24"/>
        </w:rPr>
        <w:t xml:space="preserve">but </w:t>
      </w:r>
      <w:r w:rsidR="0051682A" w:rsidRPr="00B503E6">
        <w:rPr>
          <w:rFonts w:asciiTheme="majorBidi" w:hAnsiTheme="majorBidi" w:cstheme="majorBidi"/>
          <w:sz w:val="24"/>
          <w:szCs w:val="24"/>
        </w:rPr>
        <w:t>after the purchase of the land, the</w:t>
      </w:r>
      <w:r w:rsidR="00570B66" w:rsidRPr="00B503E6">
        <w:rPr>
          <w:rFonts w:asciiTheme="majorBidi" w:hAnsiTheme="majorBidi" w:cstheme="majorBidi"/>
          <w:sz w:val="24"/>
          <w:szCs w:val="24"/>
        </w:rPr>
        <w:t xml:space="preserve"> Bedouin's </w:t>
      </w:r>
      <w:r w:rsidR="0051682A" w:rsidRPr="00B503E6">
        <w:rPr>
          <w:rFonts w:asciiTheme="majorBidi" w:hAnsiTheme="majorBidi" w:cstheme="majorBidi"/>
          <w:sz w:val="24"/>
          <w:szCs w:val="24"/>
        </w:rPr>
        <w:t xml:space="preserve">presence was limited to </w:t>
      </w:r>
      <w:r w:rsidR="00570B66" w:rsidRPr="00B503E6">
        <w:rPr>
          <w:rFonts w:asciiTheme="majorBidi" w:hAnsiTheme="majorBidi" w:cstheme="majorBidi"/>
          <w:sz w:val="24"/>
          <w:szCs w:val="24"/>
        </w:rPr>
        <w:t xml:space="preserve">the </w:t>
      </w:r>
      <w:r w:rsidR="0051682A" w:rsidRPr="00B503E6">
        <w:rPr>
          <w:rFonts w:asciiTheme="majorBidi" w:hAnsiTheme="majorBidi" w:cstheme="majorBidi"/>
          <w:sz w:val="24"/>
          <w:szCs w:val="24"/>
        </w:rPr>
        <w:t>southern edges of the plain</w:t>
      </w:r>
      <w:r w:rsidR="00AB1C1D" w:rsidRPr="00B503E6">
        <w:rPr>
          <w:rFonts w:asciiTheme="majorBidi" w:hAnsiTheme="majorBidi" w:cstheme="majorBidi"/>
          <w:sz w:val="24"/>
          <w:szCs w:val="24"/>
        </w:rPr>
        <w:t xml:space="preserve">. </w:t>
      </w:r>
      <w:r w:rsidR="000E7DD9" w:rsidRPr="00B503E6">
        <w:rPr>
          <w:rFonts w:asciiTheme="majorBidi" w:hAnsiTheme="majorBidi" w:cstheme="majorBidi"/>
          <w:sz w:val="24"/>
          <w:szCs w:val="24"/>
        </w:rPr>
        <w:t>This case i</w:t>
      </w:r>
      <w:r w:rsidR="00523BC6" w:rsidRPr="00B503E6">
        <w:rPr>
          <w:rFonts w:asciiTheme="majorBidi" w:hAnsiTheme="majorBidi" w:cstheme="majorBidi"/>
          <w:sz w:val="24"/>
          <w:szCs w:val="24"/>
        </w:rPr>
        <w:t xml:space="preserve">llustrates that </w:t>
      </w:r>
      <w:r w:rsidR="006C5E2F" w:rsidRPr="00B503E6">
        <w:rPr>
          <w:rFonts w:asciiTheme="majorBidi" w:hAnsiTheme="majorBidi" w:cstheme="majorBidi"/>
          <w:sz w:val="24"/>
          <w:szCs w:val="24"/>
        </w:rPr>
        <w:t xml:space="preserve">private property is not synonymous with the </w:t>
      </w:r>
      <w:r w:rsidR="00C900FA" w:rsidRPr="00B503E6">
        <w:rPr>
          <w:rFonts w:asciiTheme="majorBidi" w:hAnsiTheme="majorBidi" w:cstheme="majorBidi"/>
          <w:sz w:val="24"/>
          <w:szCs w:val="24"/>
        </w:rPr>
        <w:t xml:space="preserve">term </w:t>
      </w:r>
      <w:r w:rsidR="006C5E2F" w:rsidRPr="00B503E6">
        <w:rPr>
          <w:rFonts w:asciiTheme="majorBidi" w:hAnsiTheme="majorBidi" w:cstheme="majorBidi"/>
          <w:sz w:val="24"/>
          <w:szCs w:val="24"/>
        </w:rPr>
        <w:t>inclusive</w:t>
      </w:r>
      <w:r w:rsidR="00B46700" w:rsidRPr="00B503E6">
        <w:rPr>
          <w:rFonts w:asciiTheme="majorBidi" w:hAnsiTheme="majorBidi" w:cstheme="majorBidi"/>
          <w:sz w:val="24"/>
          <w:szCs w:val="24"/>
        </w:rPr>
        <w:t xml:space="preserve">, </w:t>
      </w:r>
      <w:r w:rsidR="004D146A" w:rsidRPr="00B503E6">
        <w:rPr>
          <w:rFonts w:asciiTheme="majorBidi" w:hAnsiTheme="majorBidi" w:cstheme="majorBidi"/>
          <w:sz w:val="24"/>
          <w:szCs w:val="24"/>
        </w:rPr>
        <w:t>a</w:t>
      </w:r>
      <w:r w:rsidR="00523BC6" w:rsidRPr="00B503E6">
        <w:rPr>
          <w:rFonts w:asciiTheme="majorBidi" w:hAnsiTheme="majorBidi" w:cstheme="majorBidi"/>
          <w:sz w:val="24"/>
          <w:szCs w:val="24"/>
        </w:rPr>
        <w:t xml:space="preserve">s here the Bedouins were unable to roam the </w:t>
      </w:r>
      <w:r w:rsidR="001D40BD" w:rsidRPr="00B503E6">
        <w:rPr>
          <w:rFonts w:asciiTheme="majorBidi" w:hAnsiTheme="majorBidi" w:cstheme="majorBidi"/>
          <w:sz w:val="24"/>
          <w:szCs w:val="24"/>
        </w:rPr>
        <w:t>Plain of Esdraelon</w:t>
      </w:r>
      <w:r w:rsidR="006C5E2F" w:rsidRPr="00B503E6">
        <w:rPr>
          <w:rFonts w:asciiTheme="majorBidi" w:hAnsiTheme="majorBidi" w:cstheme="majorBidi"/>
          <w:sz w:val="24"/>
          <w:szCs w:val="24"/>
        </w:rPr>
        <w:t xml:space="preserve">.  Instead, inclusive institutions </w:t>
      </w:r>
      <w:r w:rsidR="00E144AF">
        <w:rPr>
          <w:rFonts w:asciiTheme="majorBidi" w:hAnsiTheme="majorBidi" w:cstheme="majorBidi"/>
          <w:sz w:val="24"/>
          <w:szCs w:val="24"/>
        </w:rPr>
        <w:t xml:space="preserve">is when the institutions in a country </w:t>
      </w:r>
      <w:r w:rsidR="00523BC6" w:rsidRPr="00B503E6">
        <w:rPr>
          <w:rFonts w:asciiTheme="majorBidi" w:hAnsiTheme="majorBidi" w:cstheme="majorBidi"/>
          <w:sz w:val="24"/>
          <w:szCs w:val="24"/>
        </w:rPr>
        <w:t>limit</w:t>
      </w:r>
      <w:r w:rsidR="00E144AF">
        <w:rPr>
          <w:rFonts w:asciiTheme="majorBidi" w:hAnsiTheme="majorBidi" w:cstheme="majorBidi"/>
          <w:sz w:val="24"/>
          <w:szCs w:val="24"/>
        </w:rPr>
        <w:t xml:space="preserve"> </w:t>
      </w:r>
      <w:r w:rsidR="00107E4D" w:rsidRPr="00B503E6">
        <w:rPr>
          <w:rFonts w:asciiTheme="majorBidi" w:hAnsiTheme="majorBidi" w:cstheme="majorBidi"/>
          <w:sz w:val="24"/>
          <w:szCs w:val="24"/>
        </w:rPr>
        <w:t xml:space="preserve">the </w:t>
      </w:r>
      <w:r w:rsidR="008925DC" w:rsidRPr="00B503E6">
        <w:rPr>
          <w:rFonts w:asciiTheme="majorBidi" w:hAnsiTheme="majorBidi" w:cstheme="majorBidi"/>
          <w:sz w:val="24"/>
          <w:szCs w:val="24"/>
        </w:rPr>
        <w:t xml:space="preserve">power of the </w:t>
      </w:r>
      <w:r w:rsidR="00107E4D" w:rsidRPr="00B503E6">
        <w:rPr>
          <w:rFonts w:asciiTheme="majorBidi" w:hAnsiTheme="majorBidi" w:cstheme="majorBidi"/>
          <w:sz w:val="24"/>
          <w:szCs w:val="24"/>
        </w:rPr>
        <w:t xml:space="preserve">government and </w:t>
      </w:r>
      <w:r w:rsidR="008925DC" w:rsidRPr="00B503E6">
        <w:rPr>
          <w:rFonts w:asciiTheme="majorBidi" w:hAnsiTheme="majorBidi" w:cstheme="majorBidi"/>
          <w:sz w:val="24"/>
          <w:szCs w:val="24"/>
        </w:rPr>
        <w:t>elites</w:t>
      </w:r>
      <w:r w:rsidR="000D0A76" w:rsidRPr="00B503E6">
        <w:rPr>
          <w:rFonts w:asciiTheme="majorBidi" w:hAnsiTheme="majorBidi" w:cstheme="majorBidi"/>
          <w:sz w:val="24"/>
          <w:szCs w:val="24"/>
        </w:rPr>
        <w:t>, in this case Bedouins,</w:t>
      </w:r>
      <w:r w:rsidR="008925DC" w:rsidRPr="00B503E6">
        <w:rPr>
          <w:rFonts w:asciiTheme="majorBidi" w:hAnsiTheme="majorBidi" w:cstheme="majorBidi"/>
          <w:sz w:val="24"/>
          <w:szCs w:val="24"/>
        </w:rPr>
        <w:t xml:space="preserve"> </w:t>
      </w:r>
      <w:r w:rsidR="00523BC6" w:rsidRPr="00B503E6">
        <w:rPr>
          <w:rFonts w:asciiTheme="majorBidi" w:hAnsiTheme="majorBidi" w:cstheme="majorBidi"/>
          <w:sz w:val="24"/>
          <w:szCs w:val="24"/>
        </w:rPr>
        <w:t xml:space="preserve">to </w:t>
      </w:r>
      <w:r w:rsidR="006479BF" w:rsidRPr="00B503E6">
        <w:rPr>
          <w:rFonts w:asciiTheme="majorBidi" w:hAnsiTheme="majorBidi" w:cstheme="majorBidi"/>
          <w:sz w:val="24"/>
          <w:szCs w:val="24"/>
        </w:rPr>
        <w:t xml:space="preserve">steal </w:t>
      </w:r>
      <w:r w:rsidR="00467D79" w:rsidRPr="00B503E6">
        <w:rPr>
          <w:rFonts w:asciiTheme="majorBidi" w:hAnsiTheme="majorBidi" w:cstheme="majorBidi"/>
          <w:sz w:val="24"/>
          <w:szCs w:val="24"/>
        </w:rPr>
        <w:t xml:space="preserve">or extract money or wealth </w:t>
      </w:r>
      <w:r w:rsidR="006479BF" w:rsidRPr="00B503E6">
        <w:rPr>
          <w:rFonts w:asciiTheme="majorBidi" w:hAnsiTheme="majorBidi" w:cstheme="majorBidi"/>
          <w:sz w:val="24"/>
          <w:szCs w:val="24"/>
        </w:rPr>
        <w:t xml:space="preserve">from the common </w:t>
      </w:r>
      <w:r w:rsidR="006C5E2F" w:rsidRPr="00B503E6">
        <w:rPr>
          <w:rFonts w:asciiTheme="majorBidi" w:hAnsiTheme="majorBidi" w:cstheme="majorBidi"/>
          <w:sz w:val="24"/>
          <w:szCs w:val="24"/>
        </w:rPr>
        <w:t>“</w:t>
      </w:r>
      <w:r w:rsidR="006479BF" w:rsidRPr="00B503E6">
        <w:rPr>
          <w:rFonts w:asciiTheme="majorBidi" w:hAnsiTheme="majorBidi" w:cstheme="majorBidi"/>
          <w:sz w:val="24"/>
          <w:szCs w:val="24"/>
        </w:rPr>
        <w:t>man</w:t>
      </w:r>
      <w:r w:rsidR="004D146A" w:rsidRPr="00B503E6">
        <w:rPr>
          <w:rFonts w:asciiTheme="majorBidi" w:hAnsiTheme="majorBidi" w:cstheme="majorBidi"/>
          <w:sz w:val="24"/>
          <w:szCs w:val="24"/>
        </w:rPr>
        <w:t>.</w:t>
      </w:r>
      <w:r w:rsidR="006C5E2F" w:rsidRPr="00B503E6">
        <w:rPr>
          <w:rFonts w:asciiTheme="majorBidi" w:hAnsiTheme="majorBidi" w:cstheme="majorBidi"/>
          <w:sz w:val="24"/>
          <w:szCs w:val="24"/>
        </w:rPr>
        <w:t xml:space="preserve">” </w:t>
      </w:r>
    </w:p>
    <w:p w:rsidR="005F4463" w:rsidRPr="00B503E6" w:rsidRDefault="00107E4D" w:rsidP="00FA5D4C">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In addition to the p</w:t>
      </w:r>
      <w:r w:rsidR="009956BE" w:rsidRPr="00B503E6">
        <w:rPr>
          <w:rFonts w:asciiTheme="majorBidi" w:hAnsiTheme="majorBidi" w:cstheme="majorBidi"/>
          <w:sz w:val="24"/>
          <w:szCs w:val="24"/>
        </w:rPr>
        <w:t xml:space="preserve">illaging </w:t>
      </w:r>
      <w:r w:rsidRPr="00B503E6">
        <w:rPr>
          <w:rFonts w:asciiTheme="majorBidi" w:hAnsiTheme="majorBidi" w:cstheme="majorBidi"/>
          <w:sz w:val="24"/>
          <w:szCs w:val="24"/>
        </w:rPr>
        <w:t>by the Bedouins, a</w:t>
      </w:r>
      <w:r w:rsidR="00467D79" w:rsidRPr="00B503E6">
        <w:rPr>
          <w:rFonts w:asciiTheme="majorBidi" w:hAnsiTheme="majorBidi" w:cstheme="majorBidi"/>
          <w:sz w:val="24"/>
          <w:szCs w:val="24"/>
        </w:rPr>
        <w:t xml:space="preserve">nother example of extraction </w:t>
      </w:r>
      <w:r w:rsidR="00DF11E7" w:rsidRPr="00B503E6">
        <w:rPr>
          <w:rFonts w:asciiTheme="majorBidi" w:hAnsiTheme="majorBidi" w:cstheme="majorBidi"/>
          <w:sz w:val="24"/>
          <w:szCs w:val="24"/>
        </w:rPr>
        <w:t xml:space="preserve">by powerful elites </w:t>
      </w:r>
      <w:r w:rsidR="00467D79" w:rsidRPr="00B503E6">
        <w:rPr>
          <w:rFonts w:asciiTheme="majorBidi" w:hAnsiTheme="majorBidi" w:cstheme="majorBidi"/>
          <w:sz w:val="24"/>
          <w:szCs w:val="24"/>
        </w:rPr>
        <w:t xml:space="preserve">in LPST </w:t>
      </w:r>
      <w:r w:rsidR="00037DC7" w:rsidRPr="00B503E6">
        <w:rPr>
          <w:rFonts w:asciiTheme="majorBidi" w:hAnsiTheme="majorBidi" w:cstheme="majorBidi"/>
          <w:sz w:val="24"/>
          <w:szCs w:val="24"/>
        </w:rPr>
        <w:t xml:space="preserve">in the Ottoman period </w:t>
      </w:r>
      <w:r w:rsidR="00467D79" w:rsidRPr="00B503E6">
        <w:rPr>
          <w:rFonts w:asciiTheme="majorBidi" w:hAnsiTheme="majorBidi" w:cstheme="majorBidi"/>
          <w:sz w:val="24"/>
          <w:szCs w:val="24"/>
        </w:rPr>
        <w:t xml:space="preserve">was </w:t>
      </w:r>
      <w:r w:rsidR="001F04A0" w:rsidRPr="00B503E6">
        <w:rPr>
          <w:rFonts w:asciiTheme="majorBidi" w:hAnsiTheme="majorBidi" w:cstheme="majorBidi"/>
          <w:sz w:val="24"/>
          <w:szCs w:val="24"/>
        </w:rPr>
        <w:t xml:space="preserve">tax farming, </w:t>
      </w:r>
      <w:r w:rsidR="00BA0CB9" w:rsidRPr="00B503E6">
        <w:rPr>
          <w:rFonts w:asciiTheme="majorBidi" w:hAnsiTheme="majorBidi" w:cstheme="majorBidi"/>
          <w:sz w:val="24"/>
          <w:szCs w:val="24"/>
        </w:rPr>
        <w:t xml:space="preserve">which was estimated </w:t>
      </w:r>
      <w:r w:rsidR="00BA0CB9" w:rsidRPr="00B503E6">
        <w:rPr>
          <w:rFonts w:asciiTheme="majorBidi" w:hAnsiTheme="majorBidi" w:cstheme="majorBidi"/>
          <w:sz w:val="24"/>
          <w:szCs w:val="24"/>
        </w:rPr>
        <w:lastRenderedPageBreak/>
        <w:t>to have accounted for 95% of the collection of taxes before WWI</w:t>
      </w:r>
      <w:r w:rsidR="00467D79" w:rsidRPr="00B503E6">
        <w:rPr>
          <w:rFonts w:asciiTheme="majorBidi" w:hAnsiTheme="majorBidi" w:cstheme="majorBidi"/>
          <w:sz w:val="24"/>
          <w:szCs w:val="24"/>
        </w:rPr>
        <w:t xml:space="preserve"> in the Ottoman Empire</w:t>
      </w:r>
      <w:r w:rsidR="001D40BD" w:rsidRPr="00B503E6">
        <w:rPr>
          <w:rFonts w:asciiTheme="majorBidi" w:hAnsiTheme="majorBidi" w:cstheme="majorBidi"/>
          <w:sz w:val="24"/>
          <w:szCs w:val="24"/>
        </w:rPr>
        <w:t xml:space="preserve"> (Quataert 1994, 855)</w:t>
      </w:r>
      <w:r w:rsidR="00580FF3" w:rsidRPr="00B503E6">
        <w:rPr>
          <w:rFonts w:asciiTheme="majorBidi" w:hAnsiTheme="majorBidi" w:cstheme="majorBidi"/>
          <w:sz w:val="24"/>
          <w:szCs w:val="24"/>
        </w:rPr>
        <w:t>.  T</w:t>
      </w:r>
      <w:r w:rsidR="00467D79" w:rsidRPr="00B503E6">
        <w:rPr>
          <w:rFonts w:asciiTheme="majorBidi" w:hAnsiTheme="majorBidi" w:cstheme="majorBidi"/>
          <w:sz w:val="24"/>
          <w:szCs w:val="24"/>
        </w:rPr>
        <w:t xml:space="preserve">he tax farmers would collect much more than the official taxes and the peasants had little incentive to develop their lands </w:t>
      </w:r>
      <w:r w:rsidR="004C2567" w:rsidRPr="00B503E6">
        <w:rPr>
          <w:rFonts w:asciiTheme="majorBidi" w:hAnsiTheme="majorBidi" w:cstheme="majorBidi"/>
          <w:sz w:val="24"/>
          <w:szCs w:val="24"/>
        </w:rPr>
        <w:t>(</w:t>
      </w:r>
      <w:r w:rsidR="001F04A0" w:rsidRPr="00B503E6">
        <w:rPr>
          <w:rFonts w:asciiTheme="majorBidi" w:hAnsiTheme="majorBidi" w:cstheme="majorBidi"/>
          <w:sz w:val="24"/>
          <w:szCs w:val="24"/>
        </w:rPr>
        <w:t>Schein 2012</w:t>
      </w:r>
      <w:r w:rsidR="004C2567" w:rsidRPr="00B503E6">
        <w:rPr>
          <w:rFonts w:asciiTheme="majorBidi" w:hAnsiTheme="majorBidi" w:cstheme="majorBidi"/>
          <w:sz w:val="24"/>
          <w:szCs w:val="24"/>
        </w:rPr>
        <w:t>)</w:t>
      </w:r>
      <w:r w:rsidR="001F04A0" w:rsidRPr="00B503E6">
        <w:rPr>
          <w:rFonts w:asciiTheme="majorBidi" w:hAnsiTheme="majorBidi" w:cstheme="majorBidi"/>
          <w:sz w:val="24"/>
          <w:szCs w:val="24"/>
        </w:rPr>
        <w:t xml:space="preserve">.  </w:t>
      </w:r>
      <w:r w:rsidR="00CB1F47" w:rsidRPr="00B503E6">
        <w:rPr>
          <w:rFonts w:asciiTheme="majorBidi" w:hAnsiTheme="majorBidi" w:cstheme="majorBidi"/>
          <w:sz w:val="24"/>
          <w:szCs w:val="24"/>
        </w:rPr>
        <w:t xml:space="preserve">This would be the problem of </w:t>
      </w:r>
      <w:r w:rsidR="00467D79" w:rsidRPr="00B503E6">
        <w:rPr>
          <w:rFonts w:asciiTheme="majorBidi" w:hAnsiTheme="majorBidi" w:cstheme="majorBidi"/>
          <w:sz w:val="24"/>
          <w:szCs w:val="24"/>
        </w:rPr>
        <w:t>ex</w:t>
      </w:r>
      <w:r w:rsidR="00541616" w:rsidRPr="00B503E6">
        <w:rPr>
          <w:rFonts w:asciiTheme="majorBidi" w:hAnsiTheme="majorBidi" w:cstheme="majorBidi"/>
          <w:sz w:val="24"/>
          <w:szCs w:val="24"/>
        </w:rPr>
        <w:t xml:space="preserve">tractive </w:t>
      </w:r>
      <w:r w:rsidR="00CB1F47" w:rsidRPr="00B503E6">
        <w:rPr>
          <w:rFonts w:asciiTheme="majorBidi" w:hAnsiTheme="majorBidi" w:cstheme="majorBidi"/>
          <w:sz w:val="24"/>
          <w:szCs w:val="24"/>
        </w:rPr>
        <w:t xml:space="preserve">institutions that because of the political power of the government and/ or of elites in a country, that gives these people to ability to expropriate the income and capital of an item, the user of the item </w:t>
      </w:r>
      <w:r w:rsidR="00C309D1" w:rsidRPr="00B503E6">
        <w:rPr>
          <w:rFonts w:asciiTheme="majorBidi" w:hAnsiTheme="majorBidi" w:cstheme="majorBidi"/>
          <w:sz w:val="24"/>
          <w:szCs w:val="24"/>
        </w:rPr>
        <w:t>has little of no ince</w:t>
      </w:r>
      <w:r w:rsidR="008B0F90" w:rsidRPr="00B503E6">
        <w:rPr>
          <w:rFonts w:asciiTheme="majorBidi" w:hAnsiTheme="majorBidi" w:cstheme="majorBidi"/>
          <w:sz w:val="24"/>
          <w:szCs w:val="24"/>
        </w:rPr>
        <w:t>n</w:t>
      </w:r>
      <w:r w:rsidR="00C309D1" w:rsidRPr="00B503E6">
        <w:rPr>
          <w:rFonts w:asciiTheme="majorBidi" w:hAnsiTheme="majorBidi" w:cstheme="majorBidi"/>
          <w:sz w:val="24"/>
          <w:szCs w:val="24"/>
        </w:rPr>
        <w:t>tive to save a</w:t>
      </w:r>
      <w:r w:rsidR="008B0F90" w:rsidRPr="00B503E6">
        <w:rPr>
          <w:rFonts w:asciiTheme="majorBidi" w:hAnsiTheme="majorBidi" w:cstheme="majorBidi"/>
          <w:sz w:val="24"/>
          <w:szCs w:val="24"/>
        </w:rPr>
        <w:t>n</w:t>
      </w:r>
      <w:r w:rsidR="00C309D1" w:rsidRPr="00B503E6">
        <w:rPr>
          <w:rFonts w:asciiTheme="majorBidi" w:hAnsiTheme="majorBidi" w:cstheme="majorBidi"/>
          <w:sz w:val="24"/>
          <w:szCs w:val="24"/>
        </w:rPr>
        <w:t xml:space="preserve">d invest to improve the item.  </w:t>
      </w:r>
      <w:r w:rsidR="008F4F2F" w:rsidRPr="00B503E6">
        <w:rPr>
          <w:rFonts w:asciiTheme="majorBidi" w:hAnsiTheme="majorBidi" w:cstheme="majorBidi"/>
          <w:sz w:val="24"/>
          <w:szCs w:val="24"/>
        </w:rPr>
        <w:t>Some e</w:t>
      </w:r>
      <w:r w:rsidR="00C309D1" w:rsidRPr="00B503E6">
        <w:rPr>
          <w:rFonts w:asciiTheme="majorBidi" w:hAnsiTheme="majorBidi" w:cstheme="majorBidi"/>
          <w:sz w:val="24"/>
          <w:szCs w:val="24"/>
        </w:rPr>
        <w:t xml:space="preserve">vidence for this proposition is that </w:t>
      </w:r>
      <w:r w:rsidR="005C4DA2" w:rsidRPr="00B503E6">
        <w:rPr>
          <w:rFonts w:asciiTheme="majorBidi" w:hAnsiTheme="majorBidi" w:cstheme="majorBidi"/>
          <w:sz w:val="24"/>
          <w:szCs w:val="24"/>
        </w:rPr>
        <w:t xml:space="preserve">towards </w:t>
      </w:r>
      <w:r w:rsidR="00C309D1" w:rsidRPr="00B503E6">
        <w:rPr>
          <w:rFonts w:asciiTheme="majorBidi" w:hAnsiTheme="majorBidi" w:cstheme="majorBidi"/>
          <w:sz w:val="24"/>
          <w:szCs w:val="24"/>
        </w:rPr>
        <w:t xml:space="preserve">the end of the Ottoman period, </w:t>
      </w:r>
      <w:r w:rsidR="0026657E" w:rsidRPr="00B503E6">
        <w:rPr>
          <w:rFonts w:asciiTheme="majorBidi" w:hAnsiTheme="majorBidi" w:cstheme="majorBidi"/>
          <w:sz w:val="24"/>
          <w:szCs w:val="24"/>
        </w:rPr>
        <w:t>t</w:t>
      </w:r>
      <w:r w:rsidR="00E65200" w:rsidRPr="00B503E6">
        <w:rPr>
          <w:rFonts w:asciiTheme="majorBidi" w:hAnsiTheme="majorBidi" w:cstheme="majorBidi"/>
          <w:sz w:val="24"/>
          <w:szCs w:val="24"/>
        </w:rPr>
        <w:t xml:space="preserve">he </w:t>
      </w:r>
      <w:r w:rsidR="001F04A0" w:rsidRPr="00B503E6">
        <w:rPr>
          <w:rFonts w:asciiTheme="majorBidi" w:hAnsiTheme="majorBidi" w:cstheme="majorBidi"/>
          <w:sz w:val="24"/>
          <w:szCs w:val="24"/>
        </w:rPr>
        <w:t xml:space="preserve">agriculture </w:t>
      </w:r>
      <w:r w:rsidR="00633335" w:rsidRPr="00B503E6">
        <w:rPr>
          <w:rFonts w:asciiTheme="majorBidi" w:hAnsiTheme="majorBidi" w:cstheme="majorBidi"/>
          <w:sz w:val="24"/>
          <w:szCs w:val="24"/>
        </w:rPr>
        <w:t>implements</w:t>
      </w:r>
      <w:r w:rsidR="00D3345A" w:rsidRPr="00B503E6">
        <w:rPr>
          <w:rFonts w:asciiTheme="majorBidi" w:hAnsiTheme="majorBidi" w:cstheme="majorBidi"/>
          <w:sz w:val="24"/>
          <w:szCs w:val="24"/>
        </w:rPr>
        <w:t>, such as ploughs, threshing instruments, and olive presses,</w:t>
      </w:r>
      <w:r w:rsidR="00633335" w:rsidRPr="00B503E6">
        <w:rPr>
          <w:rFonts w:asciiTheme="majorBidi" w:hAnsiTheme="majorBidi" w:cstheme="majorBidi"/>
          <w:sz w:val="24"/>
          <w:szCs w:val="24"/>
        </w:rPr>
        <w:t xml:space="preserve"> in </w:t>
      </w:r>
      <w:r w:rsidR="00E65200" w:rsidRPr="00B503E6">
        <w:rPr>
          <w:rFonts w:asciiTheme="majorBidi" w:hAnsiTheme="majorBidi" w:cstheme="majorBidi"/>
          <w:sz w:val="24"/>
          <w:szCs w:val="24"/>
        </w:rPr>
        <w:t>LPST</w:t>
      </w:r>
      <w:r w:rsidR="00535B6B" w:rsidRPr="00B503E6">
        <w:rPr>
          <w:rFonts w:asciiTheme="majorBidi" w:hAnsiTheme="majorBidi" w:cstheme="majorBidi"/>
          <w:sz w:val="24"/>
          <w:szCs w:val="24"/>
        </w:rPr>
        <w:t xml:space="preserve"> </w:t>
      </w:r>
      <w:r w:rsidR="00E65200" w:rsidRPr="00B503E6">
        <w:rPr>
          <w:rFonts w:asciiTheme="majorBidi" w:hAnsiTheme="majorBidi" w:cstheme="majorBidi"/>
          <w:sz w:val="24"/>
          <w:szCs w:val="24"/>
        </w:rPr>
        <w:t>w</w:t>
      </w:r>
      <w:r w:rsidR="00D3345A" w:rsidRPr="00B503E6">
        <w:rPr>
          <w:rFonts w:asciiTheme="majorBidi" w:hAnsiTheme="majorBidi" w:cstheme="majorBidi"/>
          <w:sz w:val="24"/>
          <w:szCs w:val="24"/>
        </w:rPr>
        <w:t>ere</w:t>
      </w:r>
      <w:r w:rsidR="00E65200" w:rsidRPr="00B503E6">
        <w:rPr>
          <w:rFonts w:asciiTheme="majorBidi" w:hAnsiTheme="majorBidi" w:cstheme="majorBidi"/>
          <w:sz w:val="24"/>
          <w:szCs w:val="24"/>
        </w:rPr>
        <w:t xml:space="preserve"> practically identical to the Roman period, </w:t>
      </w:r>
      <w:r w:rsidR="004C2567" w:rsidRPr="00B503E6">
        <w:rPr>
          <w:rFonts w:asciiTheme="majorBidi" w:hAnsiTheme="majorBidi" w:cstheme="majorBidi"/>
          <w:sz w:val="24"/>
          <w:szCs w:val="24"/>
        </w:rPr>
        <w:t>(</w:t>
      </w:r>
      <w:r w:rsidR="00E65200" w:rsidRPr="00B503E6">
        <w:rPr>
          <w:rFonts w:asciiTheme="majorBidi" w:hAnsiTheme="majorBidi" w:cstheme="majorBidi"/>
          <w:sz w:val="24"/>
          <w:szCs w:val="24"/>
        </w:rPr>
        <w:t>Issawi 1988, 271</w:t>
      </w:r>
      <w:r w:rsidR="004C2567" w:rsidRPr="00B503E6">
        <w:rPr>
          <w:rFonts w:asciiTheme="majorBidi" w:hAnsiTheme="majorBidi" w:cstheme="majorBidi"/>
          <w:sz w:val="24"/>
          <w:szCs w:val="24"/>
        </w:rPr>
        <w:t>)</w:t>
      </w:r>
      <w:r w:rsidR="00E65200" w:rsidRPr="00B503E6">
        <w:rPr>
          <w:rFonts w:asciiTheme="majorBidi" w:hAnsiTheme="majorBidi" w:cstheme="majorBidi"/>
          <w:sz w:val="24"/>
          <w:szCs w:val="24"/>
        </w:rPr>
        <w:t>.</w:t>
      </w:r>
      <w:r w:rsidR="00FA5D4C">
        <w:rPr>
          <w:rStyle w:val="EndnoteReference"/>
          <w:rFonts w:asciiTheme="majorBidi" w:hAnsiTheme="majorBidi" w:cstheme="majorBidi"/>
          <w:sz w:val="24"/>
          <w:szCs w:val="24"/>
        </w:rPr>
        <w:endnoteReference w:id="8"/>
      </w:r>
      <w:r w:rsidR="00E65200" w:rsidRPr="00B503E6">
        <w:rPr>
          <w:rFonts w:asciiTheme="majorBidi" w:hAnsiTheme="majorBidi" w:cstheme="majorBidi"/>
          <w:sz w:val="24"/>
          <w:szCs w:val="24"/>
        </w:rPr>
        <w:t xml:space="preserve">     </w:t>
      </w:r>
      <w:r w:rsidR="001F04A0" w:rsidRPr="00B503E6">
        <w:rPr>
          <w:rFonts w:asciiTheme="majorBidi" w:hAnsiTheme="majorBidi" w:cstheme="majorBidi"/>
          <w:sz w:val="24"/>
          <w:szCs w:val="24"/>
        </w:rPr>
        <w:t xml:space="preserve"> </w:t>
      </w:r>
    </w:p>
    <w:p w:rsidR="0046799A" w:rsidRPr="00B503E6" w:rsidRDefault="00A053F1" w:rsidP="00FD140C">
      <w:pPr>
        <w:spacing w:line="480" w:lineRule="auto"/>
        <w:contextualSpacing/>
        <w:jc w:val="both"/>
        <w:rPr>
          <w:rFonts w:asciiTheme="majorBidi" w:hAnsiTheme="majorBidi" w:cstheme="majorBidi"/>
          <w:sz w:val="24"/>
          <w:szCs w:val="24"/>
        </w:rPr>
      </w:pPr>
      <w:r w:rsidRPr="00B503E6">
        <w:rPr>
          <w:rFonts w:asciiTheme="majorBidi" w:hAnsiTheme="majorBidi" w:cstheme="majorBidi"/>
          <w:sz w:val="24"/>
          <w:szCs w:val="24"/>
        </w:rPr>
        <w:tab/>
      </w:r>
      <w:r w:rsidR="00FD140C" w:rsidRPr="00B503E6">
        <w:rPr>
          <w:rFonts w:asciiTheme="majorBidi" w:hAnsiTheme="majorBidi" w:cstheme="majorBidi"/>
          <w:sz w:val="24"/>
          <w:szCs w:val="24"/>
        </w:rPr>
        <w:t xml:space="preserve"> </w:t>
      </w:r>
      <w:r w:rsidR="005064FC" w:rsidRPr="00B503E6">
        <w:rPr>
          <w:rFonts w:asciiTheme="majorBidi" w:hAnsiTheme="majorBidi" w:cstheme="majorBidi"/>
          <w:sz w:val="24"/>
          <w:szCs w:val="24"/>
        </w:rPr>
        <w:t xml:space="preserve"> </w:t>
      </w:r>
      <w:r w:rsidR="004B1B02" w:rsidRPr="00B503E6">
        <w:rPr>
          <w:rFonts w:asciiTheme="majorBidi" w:hAnsiTheme="majorBidi" w:cstheme="majorBidi"/>
          <w:sz w:val="24"/>
          <w:szCs w:val="24"/>
        </w:rPr>
        <w:t xml:space="preserve">    </w:t>
      </w:r>
      <w:r w:rsidR="00A95C27" w:rsidRPr="00B503E6">
        <w:rPr>
          <w:rFonts w:asciiTheme="majorBidi" w:hAnsiTheme="majorBidi" w:cstheme="majorBidi"/>
          <w:sz w:val="24"/>
          <w:szCs w:val="24"/>
        </w:rPr>
        <w:t xml:space="preserve">  </w:t>
      </w:r>
    </w:p>
    <w:p w:rsidR="00397117" w:rsidRPr="00B503E6" w:rsidRDefault="00397117" w:rsidP="00535B6B">
      <w:pPr>
        <w:pStyle w:val="ListParagraph"/>
        <w:numPr>
          <w:ilvl w:val="0"/>
          <w:numId w:val="4"/>
        </w:numPr>
        <w:spacing w:line="480" w:lineRule="auto"/>
        <w:ind w:left="426" w:hanging="426"/>
        <w:rPr>
          <w:rFonts w:asciiTheme="majorBidi" w:hAnsiTheme="majorBidi" w:cstheme="majorBidi"/>
          <w:sz w:val="24"/>
          <w:szCs w:val="24"/>
        </w:rPr>
      </w:pPr>
      <w:r w:rsidRPr="00B503E6">
        <w:rPr>
          <w:rFonts w:asciiTheme="majorBidi" w:hAnsiTheme="majorBidi" w:cstheme="majorBidi"/>
          <w:sz w:val="24"/>
          <w:szCs w:val="24"/>
        </w:rPr>
        <w:t>Historical and political background</w:t>
      </w:r>
      <w:r w:rsidR="00107E4D" w:rsidRPr="00B503E6">
        <w:rPr>
          <w:rFonts w:asciiTheme="majorBidi" w:hAnsiTheme="majorBidi" w:cstheme="majorBidi"/>
          <w:sz w:val="24"/>
          <w:szCs w:val="24"/>
        </w:rPr>
        <w:t xml:space="preserve"> of LPST in the Mandate period</w:t>
      </w:r>
    </w:p>
    <w:p w:rsidR="00ED4860" w:rsidRPr="00B503E6" w:rsidRDefault="00854AE5" w:rsidP="009900BE">
      <w:pPr>
        <w:spacing w:line="480" w:lineRule="auto"/>
        <w:contextualSpacing/>
        <w:jc w:val="both"/>
        <w:rPr>
          <w:rFonts w:asciiTheme="majorBidi" w:hAnsiTheme="majorBidi" w:cstheme="majorBidi"/>
          <w:sz w:val="24"/>
          <w:szCs w:val="24"/>
        </w:rPr>
      </w:pPr>
      <w:r w:rsidRPr="00B503E6">
        <w:rPr>
          <w:rFonts w:asciiTheme="majorBidi" w:hAnsiTheme="majorBidi" w:cstheme="majorBidi"/>
          <w:sz w:val="24"/>
          <w:szCs w:val="24"/>
        </w:rPr>
        <w:t>In 1917</w:t>
      </w:r>
      <w:r w:rsidR="0014019C" w:rsidRPr="00B503E6">
        <w:rPr>
          <w:rFonts w:asciiTheme="majorBidi" w:hAnsiTheme="majorBidi" w:cstheme="majorBidi"/>
          <w:sz w:val="24"/>
          <w:szCs w:val="24"/>
        </w:rPr>
        <w:t>/</w:t>
      </w:r>
      <w:r w:rsidRPr="00B503E6">
        <w:rPr>
          <w:rFonts w:asciiTheme="majorBidi" w:hAnsiTheme="majorBidi" w:cstheme="majorBidi"/>
          <w:sz w:val="24"/>
          <w:szCs w:val="24"/>
        </w:rPr>
        <w:t>18</w:t>
      </w:r>
      <w:r w:rsidR="00A95E14"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2B017C" w:rsidRPr="00B503E6">
        <w:rPr>
          <w:rFonts w:asciiTheme="majorBidi" w:hAnsiTheme="majorBidi" w:cstheme="majorBidi"/>
          <w:sz w:val="24"/>
          <w:szCs w:val="24"/>
        </w:rPr>
        <w:t>in the mid</w:t>
      </w:r>
      <w:r w:rsidR="00E03C23" w:rsidRPr="00B503E6">
        <w:rPr>
          <w:rFonts w:asciiTheme="majorBidi" w:hAnsiTheme="majorBidi" w:cstheme="majorBidi"/>
          <w:sz w:val="24"/>
          <w:szCs w:val="24"/>
        </w:rPr>
        <w:t>st</w:t>
      </w:r>
      <w:r w:rsidR="002B017C" w:rsidRPr="00B503E6">
        <w:rPr>
          <w:rFonts w:asciiTheme="majorBidi" w:hAnsiTheme="majorBidi" w:cstheme="majorBidi"/>
          <w:sz w:val="24"/>
          <w:szCs w:val="24"/>
        </w:rPr>
        <w:t xml:space="preserve"> of WWI, </w:t>
      </w:r>
      <w:r w:rsidRPr="00B503E6">
        <w:rPr>
          <w:rFonts w:asciiTheme="majorBidi" w:hAnsiTheme="majorBidi" w:cstheme="majorBidi"/>
          <w:sz w:val="24"/>
          <w:szCs w:val="24"/>
        </w:rPr>
        <w:t>Britain conquered the Middle East from the Ottomans</w:t>
      </w:r>
      <w:r w:rsidR="00ED4860" w:rsidRPr="00B503E6">
        <w:rPr>
          <w:rFonts w:asciiTheme="majorBidi" w:hAnsiTheme="majorBidi" w:cstheme="majorBidi"/>
          <w:sz w:val="24"/>
          <w:szCs w:val="24"/>
        </w:rPr>
        <w:t>.</w:t>
      </w:r>
      <w:r w:rsidR="00275894" w:rsidRPr="00B503E6">
        <w:rPr>
          <w:rFonts w:asciiTheme="majorBidi" w:hAnsiTheme="majorBidi" w:cstheme="majorBidi"/>
          <w:sz w:val="24"/>
          <w:szCs w:val="24"/>
        </w:rPr>
        <w:t xml:space="preserve">  </w:t>
      </w:r>
      <w:r w:rsidR="008B0F90" w:rsidRPr="00B503E6">
        <w:rPr>
          <w:rFonts w:asciiTheme="majorBidi" w:hAnsiTheme="majorBidi" w:cstheme="majorBidi"/>
          <w:sz w:val="24"/>
          <w:szCs w:val="24"/>
        </w:rPr>
        <w:t xml:space="preserve">In April 1920, </w:t>
      </w:r>
      <w:r w:rsidR="00E52FD2" w:rsidRPr="00B503E6">
        <w:rPr>
          <w:rFonts w:asciiTheme="majorBidi" w:hAnsiTheme="majorBidi" w:cstheme="majorBidi"/>
          <w:sz w:val="24"/>
          <w:szCs w:val="24"/>
        </w:rPr>
        <w:t>i</w:t>
      </w:r>
      <w:r w:rsidR="00A24872" w:rsidRPr="00B503E6">
        <w:rPr>
          <w:rFonts w:asciiTheme="majorBidi" w:hAnsiTheme="majorBidi" w:cstheme="majorBidi"/>
          <w:sz w:val="24"/>
          <w:szCs w:val="24"/>
        </w:rPr>
        <w:t>n the San Remo conference</w:t>
      </w:r>
      <w:r w:rsidR="008B0F90" w:rsidRPr="00B503E6">
        <w:rPr>
          <w:rFonts w:asciiTheme="majorBidi" w:hAnsiTheme="majorBidi" w:cstheme="majorBidi"/>
          <w:sz w:val="24"/>
          <w:szCs w:val="24"/>
        </w:rPr>
        <w:t xml:space="preserve">, </w:t>
      </w:r>
      <w:r w:rsidR="00275894" w:rsidRPr="00B503E6">
        <w:rPr>
          <w:rFonts w:asciiTheme="majorBidi" w:hAnsiTheme="majorBidi" w:cstheme="majorBidi"/>
          <w:sz w:val="24"/>
          <w:szCs w:val="24"/>
        </w:rPr>
        <w:t xml:space="preserve">the </w:t>
      </w:r>
      <w:r w:rsidR="00A24872" w:rsidRPr="00B503E6">
        <w:rPr>
          <w:rFonts w:asciiTheme="majorBidi" w:hAnsiTheme="majorBidi" w:cstheme="majorBidi"/>
          <w:sz w:val="24"/>
          <w:szCs w:val="24"/>
        </w:rPr>
        <w:t xml:space="preserve">British </w:t>
      </w:r>
      <w:r w:rsidR="00275894" w:rsidRPr="00B503E6">
        <w:rPr>
          <w:rFonts w:asciiTheme="majorBidi" w:hAnsiTheme="majorBidi" w:cstheme="majorBidi"/>
          <w:sz w:val="24"/>
          <w:szCs w:val="24"/>
        </w:rPr>
        <w:t xml:space="preserve">were </w:t>
      </w:r>
      <w:r w:rsidR="00993768" w:rsidRPr="00B503E6">
        <w:rPr>
          <w:rFonts w:asciiTheme="majorBidi" w:hAnsiTheme="majorBidi" w:cstheme="majorBidi"/>
          <w:sz w:val="24"/>
          <w:szCs w:val="24"/>
        </w:rPr>
        <w:t>“</w:t>
      </w:r>
      <w:r w:rsidR="00E52FD2" w:rsidRPr="00B503E6">
        <w:rPr>
          <w:rFonts w:asciiTheme="majorBidi" w:hAnsiTheme="majorBidi" w:cstheme="majorBidi"/>
          <w:sz w:val="24"/>
          <w:szCs w:val="24"/>
        </w:rPr>
        <w:t>awarded</w:t>
      </w:r>
      <w:r w:rsidR="00993768" w:rsidRPr="00B503E6">
        <w:rPr>
          <w:rFonts w:asciiTheme="majorBidi" w:hAnsiTheme="majorBidi" w:cstheme="majorBidi"/>
          <w:sz w:val="24"/>
          <w:szCs w:val="24"/>
        </w:rPr>
        <w:t>”</w:t>
      </w:r>
      <w:r w:rsidR="00E52FD2" w:rsidRPr="00B503E6">
        <w:rPr>
          <w:rFonts w:asciiTheme="majorBidi" w:hAnsiTheme="majorBidi" w:cstheme="majorBidi"/>
          <w:sz w:val="24"/>
          <w:szCs w:val="24"/>
        </w:rPr>
        <w:t xml:space="preserve"> </w:t>
      </w:r>
      <w:r w:rsidR="00275894" w:rsidRPr="00B503E6">
        <w:rPr>
          <w:rFonts w:asciiTheme="majorBidi" w:hAnsiTheme="majorBidi" w:cstheme="majorBidi"/>
          <w:sz w:val="24"/>
          <w:szCs w:val="24"/>
        </w:rPr>
        <w:t xml:space="preserve">a </w:t>
      </w:r>
      <w:r w:rsidR="00E52FD2" w:rsidRPr="00B503E6">
        <w:rPr>
          <w:rFonts w:asciiTheme="majorBidi" w:hAnsiTheme="majorBidi" w:cstheme="majorBidi"/>
          <w:sz w:val="24"/>
          <w:szCs w:val="24"/>
        </w:rPr>
        <w:t xml:space="preserve">League of Nations </w:t>
      </w:r>
      <w:r w:rsidR="00E26C05" w:rsidRPr="00B503E6">
        <w:rPr>
          <w:rFonts w:asciiTheme="majorBidi" w:hAnsiTheme="majorBidi" w:cstheme="majorBidi"/>
          <w:sz w:val="24"/>
          <w:szCs w:val="24"/>
        </w:rPr>
        <w:t>Mandate</w:t>
      </w:r>
      <w:r w:rsidR="00275894" w:rsidRPr="00B503E6">
        <w:rPr>
          <w:rFonts w:asciiTheme="majorBidi" w:hAnsiTheme="majorBidi" w:cstheme="majorBidi"/>
          <w:sz w:val="24"/>
          <w:szCs w:val="24"/>
        </w:rPr>
        <w:t xml:space="preserve"> </w:t>
      </w:r>
      <w:r w:rsidR="00E52FD2" w:rsidRPr="00B503E6">
        <w:rPr>
          <w:rFonts w:asciiTheme="majorBidi" w:hAnsiTheme="majorBidi" w:cstheme="majorBidi"/>
          <w:sz w:val="24"/>
          <w:szCs w:val="24"/>
        </w:rPr>
        <w:t>f</w:t>
      </w:r>
      <w:r w:rsidR="00275894" w:rsidRPr="00B503E6">
        <w:rPr>
          <w:rFonts w:asciiTheme="majorBidi" w:hAnsiTheme="majorBidi" w:cstheme="majorBidi"/>
          <w:sz w:val="24"/>
          <w:szCs w:val="24"/>
        </w:rPr>
        <w:t>or</w:t>
      </w:r>
      <w:r w:rsidR="00062245" w:rsidRPr="00B503E6">
        <w:rPr>
          <w:rFonts w:asciiTheme="majorBidi" w:hAnsiTheme="majorBidi" w:cstheme="majorBidi"/>
          <w:sz w:val="24"/>
          <w:szCs w:val="24"/>
        </w:rPr>
        <w:t xml:space="preserve"> Palestine, </w:t>
      </w:r>
      <w:r w:rsidR="002413B2" w:rsidRPr="00B503E6">
        <w:rPr>
          <w:rFonts w:asciiTheme="majorBidi" w:hAnsiTheme="majorBidi" w:cstheme="majorBidi"/>
          <w:sz w:val="24"/>
          <w:szCs w:val="24"/>
        </w:rPr>
        <w:t xml:space="preserve">from </w:t>
      </w:r>
      <w:r w:rsidR="00A175D8" w:rsidRPr="00B503E6">
        <w:rPr>
          <w:rFonts w:asciiTheme="majorBidi" w:hAnsiTheme="majorBidi" w:cstheme="majorBidi"/>
          <w:sz w:val="24"/>
          <w:szCs w:val="24"/>
        </w:rPr>
        <w:t xml:space="preserve">which </w:t>
      </w:r>
      <w:r w:rsidR="002413B2" w:rsidRPr="00B503E6">
        <w:rPr>
          <w:rFonts w:asciiTheme="majorBidi" w:hAnsiTheme="majorBidi" w:cstheme="majorBidi"/>
          <w:sz w:val="24"/>
          <w:szCs w:val="24"/>
        </w:rPr>
        <w:t xml:space="preserve">in April 1921 the British would </w:t>
      </w:r>
      <w:r w:rsidR="004C2567" w:rsidRPr="00B503E6">
        <w:rPr>
          <w:rFonts w:asciiTheme="majorBidi" w:hAnsiTheme="majorBidi" w:cstheme="majorBidi"/>
          <w:sz w:val="24"/>
          <w:szCs w:val="24"/>
        </w:rPr>
        <w:t xml:space="preserve">carve out </w:t>
      </w:r>
      <w:r w:rsidR="00A175D8" w:rsidRPr="00B503E6">
        <w:rPr>
          <w:rFonts w:asciiTheme="majorBidi" w:hAnsiTheme="majorBidi" w:cstheme="majorBidi"/>
          <w:sz w:val="24"/>
          <w:szCs w:val="24"/>
        </w:rPr>
        <w:t xml:space="preserve">Trans-Jordan, </w:t>
      </w:r>
      <w:r w:rsidR="002413B2" w:rsidRPr="00B503E6">
        <w:rPr>
          <w:rFonts w:asciiTheme="majorBidi" w:hAnsiTheme="majorBidi" w:cstheme="majorBidi"/>
          <w:sz w:val="24"/>
          <w:szCs w:val="24"/>
        </w:rPr>
        <w:t xml:space="preserve">and </w:t>
      </w:r>
      <w:r w:rsidR="00062245" w:rsidRPr="00B503E6">
        <w:rPr>
          <w:rFonts w:asciiTheme="majorBidi" w:hAnsiTheme="majorBidi" w:cstheme="majorBidi"/>
          <w:sz w:val="24"/>
          <w:szCs w:val="24"/>
        </w:rPr>
        <w:t xml:space="preserve">the French </w:t>
      </w:r>
      <w:r w:rsidR="00275894" w:rsidRPr="00B503E6">
        <w:rPr>
          <w:rFonts w:asciiTheme="majorBidi" w:hAnsiTheme="majorBidi" w:cstheme="majorBidi"/>
          <w:sz w:val="24"/>
          <w:szCs w:val="24"/>
        </w:rPr>
        <w:t xml:space="preserve">were given a </w:t>
      </w:r>
      <w:r w:rsidR="00E52FD2" w:rsidRPr="00B503E6">
        <w:rPr>
          <w:rFonts w:asciiTheme="majorBidi" w:hAnsiTheme="majorBidi" w:cstheme="majorBidi"/>
          <w:sz w:val="24"/>
          <w:szCs w:val="24"/>
        </w:rPr>
        <w:t xml:space="preserve">League of Nations </w:t>
      </w:r>
      <w:r w:rsidR="00E26C05" w:rsidRPr="00B503E6">
        <w:rPr>
          <w:rFonts w:asciiTheme="majorBidi" w:hAnsiTheme="majorBidi" w:cstheme="majorBidi"/>
          <w:sz w:val="24"/>
          <w:szCs w:val="24"/>
        </w:rPr>
        <w:t>Mandate</w:t>
      </w:r>
      <w:r w:rsidR="00062245" w:rsidRPr="00B503E6">
        <w:rPr>
          <w:rFonts w:asciiTheme="majorBidi" w:hAnsiTheme="majorBidi" w:cstheme="majorBidi"/>
          <w:sz w:val="24"/>
          <w:szCs w:val="24"/>
        </w:rPr>
        <w:t xml:space="preserve"> </w:t>
      </w:r>
      <w:r w:rsidR="00275894" w:rsidRPr="00B503E6">
        <w:rPr>
          <w:rFonts w:asciiTheme="majorBidi" w:hAnsiTheme="majorBidi" w:cstheme="majorBidi"/>
          <w:sz w:val="24"/>
          <w:szCs w:val="24"/>
        </w:rPr>
        <w:t xml:space="preserve">for </w:t>
      </w:r>
      <w:r w:rsidR="00062245" w:rsidRPr="00B503E6">
        <w:rPr>
          <w:rFonts w:asciiTheme="majorBidi" w:hAnsiTheme="majorBidi" w:cstheme="majorBidi"/>
          <w:sz w:val="24"/>
          <w:szCs w:val="24"/>
        </w:rPr>
        <w:t>Syria</w:t>
      </w:r>
      <w:r w:rsidR="002413B2" w:rsidRPr="00B503E6">
        <w:rPr>
          <w:rFonts w:asciiTheme="majorBidi" w:hAnsiTheme="majorBidi" w:cstheme="majorBidi"/>
          <w:sz w:val="24"/>
          <w:szCs w:val="24"/>
        </w:rPr>
        <w:t xml:space="preserve">. </w:t>
      </w:r>
      <w:r w:rsidR="00E12794" w:rsidRPr="00B503E6">
        <w:rPr>
          <w:rFonts w:asciiTheme="majorBidi" w:hAnsiTheme="majorBidi" w:cstheme="majorBidi"/>
          <w:sz w:val="24"/>
          <w:szCs w:val="24"/>
        </w:rPr>
        <w:t xml:space="preserve"> The French divided their </w:t>
      </w:r>
      <w:r w:rsidR="009900BE" w:rsidRPr="00B503E6">
        <w:rPr>
          <w:rFonts w:asciiTheme="majorBidi" w:hAnsiTheme="majorBidi" w:cstheme="majorBidi"/>
          <w:sz w:val="24"/>
          <w:szCs w:val="24"/>
        </w:rPr>
        <w:t>m</w:t>
      </w:r>
      <w:r w:rsidR="00E12794" w:rsidRPr="00B503E6">
        <w:rPr>
          <w:rFonts w:asciiTheme="majorBidi" w:hAnsiTheme="majorBidi" w:cstheme="majorBidi"/>
          <w:sz w:val="24"/>
          <w:szCs w:val="24"/>
        </w:rPr>
        <w:t xml:space="preserve">andate into various states, one of whom was the state of </w:t>
      </w:r>
      <w:r w:rsidR="00062245" w:rsidRPr="00B503E6">
        <w:rPr>
          <w:rFonts w:asciiTheme="majorBidi" w:hAnsiTheme="majorBidi" w:cstheme="majorBidi"/>
          <w:sz w:val="24"/>
          <w:szCs w:val="24"/>
        </w:rPr>
        <w:t>Lebanon</w:t>
      </w:r>
      <w:r w:rsidR="00E12794" w:rsidRPr="00B503E6">
        <w:rPr>
          <w:rFonts w:asciiTheme="majorBidi" w:hAnsiTheme="majorBidi" w:cstheme="majorBidi"/>
          <w:sz w:val="24"/>
          <w:szCs w:val="24"/>
        </w:rPr>
        <w:t xml:space="preserve"> (officially Greater Lebanon), and the remaining states, except </w:t>
      </w:r>
      <w:r w:rsidR="00F016CF" w:rsidRPr="00B503E6">
        <w:rPr>
          <w:rFonts w:asciiTheme="majorBidi" w:hAnsiTheme="majorBidi" w:cstheme="majorBidi"/>
          <w:sz w:val="24"/>
          <w:szCs w:val="24"/>
        </w:rPr>
        <w:t xml:space="preserve">the </w:t>
      </w:r>
      <w:r w:rsidR="00F016CF" w:rsidRPr="00B503E6">
        <w:rPr>
          <w:rFonts w:asciiTheme="majorBidi" w:hAnsiTheme="majorBidi" w:cstheme="majorBidi"/>
          <w:i/>
          <w:iCs/>
          <w:sz w:val="24"/>
          <w:szCs w:val="24"/>
        </w:rPr>
        <w:t>sanjaq</w:t>
      </w:r>
      <w:r w:rsidR="00F016CF" w:rsidRPr="00B503E6">
        <w:rPr>
          <w:rFonts w:asciiTheme="majorBidi" w:hAnsiTheme="majorBidi" w:cstheme="majorBidi"/>
          <w:sz w:val="24"/>
          <w:szCs w:val="24"/>
        </w:rPr>
        <w:t xml:space="preserve"> of </w:t>
      </w:r>
      <w:r w:rsidR="00E12794" w:rsidRPr="00B503E6">
        <w:rPr>
          <w:rFonts w:asciiTheme="majorBidi" w:hAnsiTheme="majorBidi" w:cstheme="majorBidi"/>
          <w:sz w:val="24"/>
          <w:szCs w:val="24"/>
        </w:rPr>
        <w:t>Alexandretta, which became part of Turkey in 1939, would become Syria</w:t>
      </w:r>
      <w:r w:rsidR="00062245" w:rsidRPr="00B503E6">
        <w:rPr>
          <w:rFonts w:asciiTheme="majorBidi" w:hAnsiTheme="majorBidi" w:cstheme="majorBidi"/>
          <w:sz w:val="24"/>
          <w:szCs w:val="24"/>
        </w:rPr>
        <w:t>.</w:t>
      </w:r>
      <w:r w:rsidR="00A24872" w:rsidRPr="00B503E6">
        <w:rPr>
          <w:rFonts w:asciiTheme="majorBidi" w:hAnsiTheme="majorBidi" w:cstheme="majorBidi"/>
          <w:sz w:val="24"/>
          <w:szCs w:val="24"/>
        </w:rPr>
        <w:t xml:space="preserve"> </w:t>
      </w:r>
      <w:r w:rsidR="00ED4860" w:rsidRPr="00B503E6">
        <w:rPr>
          <w:rFonts w:asciiTheme="majorBidi" w:hAnsiTheme="majorBidi" w:cstheme="majorBidi"/>
          <w:sz w:val="24"/>
          <w:szCs w:val="24"/>
        </w:rPr>
        <w:t xml:space="preserve"> </w:t>
      </w:r>
    </w:p>
    <w:p w:rsidR="00B73F96" w:rsidRPr="00B503E6" w:rsidRDefault="000F3D4F" w:rsidP="00277CA7">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Both the British and the French established </w:t>
      </w:r>
      <w:r w:rsidR="00D27094" w:rsidRPr="00B503E6">
        <w:rPr>
          <w:rFonts w:asciiTheme="majorBidi" w:hAnsiTheme="majorBidi" w:cstheme="majorBidi"/>
          <w:sz w:val="24"/>
          <w:szCs w:val="24"/>
        </w:rPr>
        <w:t xml:space="preserve">customs </w:t>
      </w:r>
      <w:r w:rsidR="001D3A78" w:rsidRPr="00B503E6">
        <w:rPr>
          <w:rFonts w:asciiTheme="majorBidi" w:hAnsiTheme="majorBidi" w:cstheme="majorBidi"/>
          <w:sz w:val="24"/>
          <w:szCs w:val="24"/>
        </w:rPr>
        <w:t xml:space="preserve">and </w:t>
      </w:r>
      <w:r w:rsidR="00D27094" w:rsidRPr="00B503E6">
        <w:rPr>
          <w:rFonts w:asciiTheme="majorBidi" w:hAnsiTheme="majorBidi" w:cstheme="majorBidi"/>
          <w:sz w:val="24"/>
          <w:szCs w:val="24"/>
        </w:rPr>
        <w:t>currency union</w:t>
      </w:r>
      <w:r w:rsidRPr="00B503E6">
        <w:rPr>
          <w:rFonts w:asciiTheme="majorBidi" w:hAnsiTheme="majorBidi" w:cstheme="majorBidi"/>
          <w:sz w:val="24"/>
          <w:szCs w:val="24"/>
        </w:rPr>
        <w:t xml:space="preserve"> in their respective territories. </w:t>
      </w:r>
      <w:r w:rsidR="003F1B87" w:rsidRPr="00B503E6">
        <w:rPr>
          <w:rFonts w:asciiTheme="majorBidi" w:hAnsiTheme="majorBidi" w:cstheme="majorBidi"/>
          <w:sz w:val="24"/>
          <w:szCs w:val="24"/>
        </w:rPr>
        <w:t>In 1920, t</w:t>
      </w:r>
      <w:r w:rsidR="00D27094" w:rsidRPr="00B503E6">
        <w:rPr>
          <w:rFonts w:asciiTheme="majorBidi" w:hAnsiTheme="majorBidi" w:cstheme="majorBidi"/>
          <w:sz w:val="24"/>
          <w:szCs w:val="24"/>
        </w:rPr>
        <w:t>he</w:t>
      </w:r>
      <w:r w:rsidR="00297FE8" w:rsidRPr="00B503E6">
        <w:rPr>
          <w:rFonts w:asciiTheme="majorBidi" w:hAnsiTheme="majorBidi" w:cstheme="majorBidi"/>
          <w:sz w:val="24"/>
          <w:szCs w:val="24"/>
        </w:rPr>
        <w:t xml:space="preserve"> French introduced a new currency</w:t>
      </w:r>
      <w:r w:rsidR="00896156" w:rsidRPr="00B503E6">
        <w:rPr>
          <w:rFonts w:asciiTheme="majorBidi" w:hAnsiTheme="majorBidi" w:cstheme="majorBidi"/>
          <w:sz w:val="24"/>
          <w:szCs w:val="24"/>
        </w:rPr>
        <w:t xml:space="preserve">, </w:t>
      </w:r>
      <w:r w:rsidR="00297FE8" w:rsidRPr="00B503E6">
        <w:rPr>
          <w:rFonts w:asciiTheme="majorBidi" w:hAnsiTheme="majorBidi" w:cstheme="majorBidi"/>
          <w:sz w:val="24"/>
          <w:szCs w:val="24"/>
        </w:rPr>
        <w:t>the Syrian-Lebanese pound (£S), whose value was fixed at a rate of 20 French francs to 1 £S</w:t>
      </w:r>
      <w:r w:rsidR="00D4697D" w:rsidRPr="00B503E6">
        <w:rPr>
          <w:rFonts w:asciiTheme="majorBidi" w:hAnsiTheme="majorBidi" w:cstheme="majorBidi"/>
          <w:sz w:val="24"/>
          <w:szCs w:val="24"/>
        </w:rPr>
        <w:t xml:space="preserve">. </w:t>
      </w:r>
      <w:r w:rsidR="003C5210" w:rsidRPr="00B503E6">
        <w:rPr>
          <w:rFonts w:asciiTheme="majorBidi" w:hAnsiTheme="majorBidi" w:cstheme="majorBidi"/>
          <w:sz w:val="24"/>
          <w:szCs w:val="24"/>
        </w:rPr>
        <w:t xml:space="preserve">This linkage to the French pound would prove to be harmful during the Great Depression when France stayed on the gold standard until September 1936, five years </w:t>
      </w:r>
      <w:r w:rsidR="00E24D62" w:rsidRPr="00B503E6">
        <w:rPr>
          <w:rFonts w:asciiTheme="majorBidi" w:hAnsiTheme="majorBidi" w:cstheme="majorBidi"/>
          <w:sz w:val="24"/>
          <w:szCs w:val="24"/>
        </w:rPr>
        <w:t xml:space="preserve">after </w:t>
      </w:r>
      <w:r w:rsidR="003C5210" w:rsidRPr="00B503E6">
        <w:rPr>
          <w:rFonts w:asciiTheme="majorBidi" w:hAnsiTheme="majorBidi" w:cstheme="majorBidi"/>
          <w:sz w:val="24"/>
          <w:szCs w:val="24"/>
        </w:rPr>
        <w:t xml:space="preserve">Great Britain </w:t>
      </w:r>
      <w:r w:rsidR="00E24D62" w:rsidRPr="00B503E6">
        <w:rPr>
          <w:rFonts w:asciiTheme="majorBidi" w:hAnsiTheme="majorBidi" w:cstheme="majorBidi"/>
          <w:sz w:val="24"/>
          <w:szCs w:val="24"/>
        </w:rPr>
        <w:t xml:space="preserve">left </w:t>
      </w:r>
      <w:r w:rsidR="003C5210" w:rsidRPr="00B503E6">
        <w:rPr>
          <w:rFonts w:asciiTheme="majorBidi" w:hAnsiTheme="majorBidi" w:cstheme="majorBidi"/>
          <w:sz w:val="24"/>
          <w:szCs w:val="24"/>
        </w:rPr>
        <w:t xml:space="preserve">(Eichengreen 1995, 377).  </w:t>
      </w:r>
      <w:r w:rsidR="00944F71" w:rsidRPr="00B503E6">
        <w:rPr>
          <w:rFonts w:asciiTheme="majorBidi" w:hAnsiTheme="majorBidi" w:cstheme="majorBidi"/>
          <w:sz w:val="24"/>
          <w:szCs w:val="24"/>
        </w:rPr>
        <w:t>I</w:t>
      </w:r>
      <w:r w:rsidR="003F1B87" w:rsidRPr="00B503E6">
        <w:rPr>
          <w:rFonts w:asciiTheme="majorBidi" w:hAnsiTheme="majorBidi" w:cstheme="majorBidi"/>
          <w:sz w:val="24"/>
          <w:szCs w:val="24"/>
        </w:rPr>
        <w:t xml:space="preserve">n 1927, </w:t>
      </w:r>
      <w:r w:rsidR="00896156" w:rsidRPr="00B503E6">
        <w:rPr>
          <w:rFonts w:asciiTheme="majorBidi" w:hAnsiTheme="majorBidi" w:cstheme="majorBidi"/>
          <w:sz w:val="24"/>
          <w:szCs w:val="24"/>
        </w:rPr>
        <w:t xml:space="preserve">the British launched the </w:t>
      </w:r>
      <w:r w:rsidR="00896156" w:rsidRPr="00B503E6">
        <w:rPr>
          <w:rFonts w:asciiTheme="majorBidi" w:hAnsiTheme="majorBidi" w:cstheme="majorBidi"/>
          <w:sz w:val="24"/>
          <w:szCs w:val="24"/>
        </w:rPr>
        <w:lastRenderedPageBreak/>
        <w:t>Palestinian pound (£P)</w:t>
      </w:r>
      <w:r w:rsidR="003C5210" w:rsidRPr="00B503E6">
        <w:rPr>
          <w:rFonts w:asciiTheme="majorBidi" w:hAnsiTheme="majorBidi" w:cstheme="majorBidi"/>
          <w:sz w:val="24"/>
          <w:szCs w:val="24"/>
        </w:rPr>
        <w:t xml:space="preserve"> for both </w:t>
      </w:r>
      <w:r w:rsidR="00944F71" w:rsidRPr="00B503E6">
        <w:rPr>
          <w:rFonts w:asciiTheme="majorBidi" w:hAnsiTheme="majorBidi" w:cstheme="majorBidi"/>
          <w:sz w:val="24"/>
          <w:szCs w:val="24"/>
        </w:rPr>
        <w:t xml:space="preserve">Palestine and Trans-Jordan, </w:t>
      </w:r>
      <w:r w:rsidR="00896156" w:rsidRPr="00B503E6">
        <w:rPr>
          <w:rFonts w:asciiTheme="majorBidi" w:hAnsiTheme="majorBidi" w:cstheme="majorBidi"/>
          <w:sz w:val="24"/>
          <w:szCs w:val="24"/>
        </w:rPr>
        <w:t>whose value was fixed as one to one to the British pound.</w:t>
      </w:r>
    </w:p>
    <w:p w:rsidR="00062245" w:rsidRPr="00B503E6" w:rsidRDefault="004721B3" w:rsidP="00277CA7">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In </w:t>
      </w:r>
      <w:r w:rsidR="00535581" w:rsidRPr="00B503E6">
        <w:rPr>
          <w:rFonts w:asciiTheme="majorBidi" w:hAnsiTheme="majorBidi" w:cstheme="majorBidi"/>
          <w:sz w:val="24"/>
          <w:szCs w:val="24"/>
        </w:rPr>
        <w:t xml:space="preserve">July </w:t>
      </w:r>
      <w:r w:rsidR="00306CC0" w:rsidRPr="00B503E6">
        <w:rPr>
          <w:rFonts w:asciiTheme="majorBidi" w:hAnsiTheme="majorBidi" w:cstheme="majorBidi"/>
          <w:sz w:val="24"/>
          <w:szCs w:val="24"/>
        </w:rPr>
        <w:t>1925</w:t>
      </w:r>
      <w:r w:rsidR="00B73F96" w:rsidRPr="00B503E6">
        <w:rPr>
          <w:rFonts w:asciiTheme="majorBidi" w:hAnsiTheme="majorBidi" w:cstheme="majorBidi"/>
          <w:sz w:val="24"/>
          <w:szCs w:val="24"/>
        </w:rPr>
        <w:t xml:space="preserve"> </w:t>
      </w:r>
      <w:r w:rsidRPr="00B503E6">
        <w:rPr>
          <w:rFonts w:asciiTheme="majorBidi" w:hAnsiTheme="majorBidi" w:cstheme="majorBidi"/>
          <w:sz w:val="24"/>
          <w:szCs w:val="24"/>
        </w:rPr>
        <w:t xml:space="preserve">there was </w:t>
      </w:r>
      <w:r w:rsidR="00535581" w:rsidRPr="00B503E6">
        <w:rPr>
          <w:rFonts w:asciiTheme="majorBidi" w:hAnsiTheme="majorBidi" w:cstheme="majorBidi"/>
          <w:sz w:val="24"/>
          <w:szCs w:val="24"/>
        </w:rPr>
        <w:t xml:space="preserve">a revolt by the Druze </w:t>
      </w:r>
      <w:r w:rsidRPr="00B503E6">
        <w:rPr>
          <w:rFonts w:asciiTheme="majorBidi" w:hAnsiTheme="majorBidi" w:cstheme="majorBidi"/>
          <w:sz w:val="24"/>
          <w:szCs w:val="24"/>
        </w:rPr>
        <w:t xml:space="preserve">that </w:t>
      </w:r>
      <w:r w:rsidR="00B73F96" w:rsidRPr="00B503E6">
        <w:rPr>
          <w:rFonts w:asciiTheme="majorBidi" w:hAnsiTheme="majorBidi" w:cstheme="majorBidi"/>
          <w:sz w:val="24"/>
          <w:szCs w:val="24"/>
        </w:rPr>
        <w:t xml:space="preserve">started </w:t>
      </w:r>
      <w:r w:rsidR="00535581" w:rsidRPr="00B503E6">
        <w:rPr>
          <w:rFonts w:asciiTheme="majorBidi" w:hAnsiTheme="majorBidi" w:cstheme="majorBidi"/>
          <w:sz w:val="24"/>
          <w:szCs w:val="24"/>
        </w:rPr>
        <w:t xml:space="preserve">in southern Syria and spread to several cities including Damascus. </w:t>
      </w:r>
      <w:r w:rsidR="00B61060" w:rsidRPr="00B503E6">
        <w:rPr>
          <w:rFonts w:asciiTheme="majorBidi" w:hAnsiTheme="majorBidi" w:cstheme="majorBidi"/>
          <w:sz w:val="24"/>
          <w:szCs w:val="24"/>
        </w:rPr>
        <w:t xml:space="preserve">The revolt </w:t>
      </w:r>
      <w:r w:rsidR="00535581" w:rsidRPr="00B503E6">
        <w:rPr>
          <w:rFonts w:asciiTheme="majorBidi" w:hAnsiTheme="majorBidi" w:cstheme="majorBidi"/>
          <w:sz w:val="24"/>
          <w:szCs w:val="24"/>
        </w:rPr>
        <w:t xml:space="preserve">ended in </w:t>
      </w:r>
      <w:r w:rsidR="00DF029F" w:rsidRPr="00B503E6">
        <w:rPr>
          <w:rFonts w:asciiTheme="majorBidi" w:hAnsiTheme="majorBidi" w:cstheme="majorBidi"/>
          <w:sz w:val="24"/>
          <w:szCs w:val="24"/>
        </w:rPr>
        <w:t>mid-</w:t>
      </w:r>
      <w:r w:rsidR="00535581" w:rsidRPr="00B503E6">
        <w:rPr>
          <w:rFonts w:asciiTheme="majorBidi" w:hAnsiTheme="majorBidi" w:cstheme="majorBidi"/>
          <w:sz w:val="24"/>
          <w:szCs w:val="24"/>
        </w:rPr>
        <w:t>1927</w:t>
      </w:r>
      <w:r w:rsidR="00B61060" w:rsidRPr="00B503E6">
        <w:rPr>
          <w:rFonts w:asciiTheme="majorBidi" w:hAnsiTheme="majorBidi" w:cstheme="majorBidi"/>
          <w:sz w:val="24"/>
          <w:szCs w:val="24"/>
        </w:rPr>
        <w:t>, and i</w:t>
      </w:r>
      <w:r w:rsidR="00535581" w:rsidRPr="00B503E6">
        <w:rPr>
          <w:rFonts w:asciiTheme="majorBidi" w:hAnsiTheme="majorBidi" w:cstheme="majorBidi"/>
          <w:sz w:val="24"/>
          <w:szCs w:val="24"/>
        </w:rPr>
        <w:t xml:space="preserve">t is estimated that </w:t>
      </w:r>
      <w:r w:rsidR="0041000D" w:rsidRPr="00B503E6">
        <w:rPr>
          <w:rFonts w:asciiTheme="majorBidi" w:hAnsiTheme="majorBidi" w:cstheme="majorBidi"/>
          <w:sz w:val="24"/>
          <w:szCs w:val="24"/>
        </w:rPr>
        <w:t xml:space="preserve">up to </w:t>
      </w:r>
      <w:r w:rsidR="00535581" w:rsidRPr="00B503E6">
        <w:rPr>
          <w:rFonts w:asciiTheme="majorBidi" w:hAnsiTheme="majorBidi" w:cstheme="majorBidi"/>
          <w:sz w:val="24"/>
          <w:szCs w:val="24"/>
        </w:rPr>
        <w:t>6,000 rebels died due to the revolt</w:t>
      </w:r>
      <w:r w:rsidR="002C2375" w:rsidRPr="00B503E6">
        <w:rPr>
          <w:rFonts w:asciiTheme="majorBidi" w:hAnsiTheme="majorBidi" w:cstheme="majorBidi"/>
          <w:sz w:val="24"/>
          <w:szCs w:val="24"/>
        </w:rPr>
        <w:t xml:space="preserve"> (Khoury 1987</w:t>
      </w:r>
      <w:r w:rsidR="00DF029F" w:rsidRPr="00B503E6">
        <w:rPr>
          <w:rFonts w:asciiTheme="majorBidi" w:hAnsiTheme="majorBidi" w:cstheme="majorBidi"/>
          <w:sz w:val="24"/>
          <w:szCs w:val="24"/>
        </w:rPr>
        <w:t>,</w:t>
      </w:r>
      <w:r w:rsidR="002C2375" w:rsidRPr="00B503E6">
        <w:rPr>
          <w:rFonts w:asciiTheme="majorBidi" w:hAnsiTheme="majorBidi" w:cstheme="majorBidi"/>
          <w:sz w:val="24"/>
          <w:szCs w:val="24"/>
        </w:rPr>
        <w:t xml:space="preserve"> 151-204, 237</w:t>
      </w:r>
      <w:r w:rsidR="00277CA7" w:rsidRPr="00B503E6">
        <w:rPr>
          <w:rFonts w:asciiTheme="majorBidi" w:hAnsiTheme="majorBidi" w:cstheme="majorBidi"/>
          <w:sz w:val="24"/>
          <w:szCs w:val="24"/>
        </w:rPr>
        <w:t>, Provence 2005</w:t>
      </w:r>
      <w:r w:rsidR="002C2375" w:rsidRPr="00B503E6">
        <w:rPr>
          <w:rFonts w:asciiTheme="majorBidi" w:hAnsiTheme="majorBidi" w:cstheme="majorBidi"/>
          <w:sz w:val="24"/>
          <w:szCs w:val="24"/>
        </w:rPr>
        <w:t xml:space="preserve">).  </w:t>
      </w:r>
      <w:r w:rsidR="00B73F96" w:rsidRPr="00B503E6">
        <w:rPr>
          <w:rFonts w:asciiTheme="majorBidi" w:hAnsiTheme="majorBidi" w:cstheme="majorBidi"/>
          <w:sz w:val="24"/>
          <w:szCs w:val="24"/>
        </w:rPr>
        <w:t xml:space="preserve">This revolt was the worst violence in the French </w:t>
      </w:r>
      <w:r w:rsidR="009001E6" w:rsidRPr="00B503E6">
        <w:rPr>
          <w:rFonts w:asciiTheme="majorBidi" w:hAnsiTheme="majorBidi" w:cstheme="majorBidi"/>
          <w:sz w:val="24"/>
          <w:szCs w:val="24"/>
        </w:rPr>
        <w:t xml:space="preserve">territories </w:t>
      </w:r>
      <w:r w:rsidR="0042363C" w:rsidRPr="00B503E6">
        <w:rPr>
          <w:rFonts w:asciiTheme="majorBidi" w:hAnsiTheme="majorBidi" w:cstheme="majorBidi"/>
          <w:sz w:val="24"/>
          <w:szCs w:val="24"/>
        </w:rPr>
        <w:t xml:space="preserve">during the </w:t>
      </w:r>
      <w:r w:rsidR="00BF7962" w:rsidRPr="00B503E6">
        <w:rPr>
          <w:rFonts w:asciiTheme="majorBidi" w:hAnsiTheme="majorBidi" w:cstheme="majorBidi"/>
          <w:sz w:val="24"/>
          <w:szCs w:val="24"/>
        </w:rPr>
        <w:t>m</w:t>
      </w:r>
      <w:r w:rsidR="0042363C" w:rsidRPr="00B503E6">
        <w:rPr>
          <w:rFonts w:asciiTheme="majorBidi" w:hAnsiTheme="majorBidi" w:cstheme="majorBidi"/>
          <w:sz w:val="24"/>
          <w:szCs w:val="24"/>
        </w:rPr>
        <w:t>andate period</w:t>
      </w:r>
      <w:r w:rsidR="00B73F96" w:rsidRPr="00B503E6">
        <w:rPr>
          <w:rFonts w:asciiTheme="majorBidi" w:hAnsiTheme="majorBidi" w:cstheme="majorBidi"/>
          <w:sz w:val="24"/>
          <w:szCs w:val="24"/>
        </w:rPr>
        <w:t xml:space="preserve">. </w:t>
      </w:r>
      <w:r w:rsidR="00535581" w:rsidRPr="00B503E6">
        <w:rPr>
          <w:rFonts w:asciiTheme="majorBidi" w:hAnsiTheme="majorBidi" w:cstheme="majorBidi"/>
          <w:sz w:val="24"/>
          <w:szCs w:val="24"/>
        </w:rPr>
        <w:t xml:space="preserve">  </w:t>
      </w:r>
      <w:r w:rsidR="00306CC0" w:rsidRPr="00B503E6">
        <w:rPr>
          <w:rFonts w:asciiTheme="majorBidi" w:hAnsiTheme="majorBidi" w:cstheme="majorBidi"/>
          <w:sz w:val="24"/>
          <w:szCs w:val="24"/>
        </w:rPr>
        <w:t xml:space="preserve">  </w:t>
      </w:r>
    </w:p>
    <w:p w:rsidR="00404493" w:rsidRPr="00B503E6" w:rsidRDefault="00296D36" w:rsidP="00993768">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In May 1926, a constitution was adopted in Lebanon and in May 1930, a constitution was unilaterally declared by the French in Syria. </w:t>
      </w:r>
      <w:r w:rsidR="002F3665" w:rsidRPr="00B503E6">
        <w:rPr>
          <w:rFonts w:asciiTheme="majorBidi" w:hAnsiTheme="majorBidi" w:cstheme="majorBidi"/>
          <w:sz w:val="24"/>
          <w:szCs w:val="24"/>
        </w:rPr>
        <w:t xml:space="preserve"> These constitutions provided for a measure of self-rule, but the French still maintained ultimate control over the territories</w:t>
      </w:r>
      <w:r w:rsidR="00C5621F" w:rsidRPr="00B503E6">
        <w:rPr>
          <w:rFonts w:asciiTheme="majorBidi" w:hAnsiTheme="majorBidi" w:cstheme="majorBidi"/>
          <w:sz w:val="24"/>
          <w:szCs w:val="24"/>
        </w:rPr>
        <w:t xml:space="preserve"> until 1946 </w:t>
      </w:r>
      <w:r w:rsidR="00C66710" w:rsidRPr="00B503E6">
        <w:rPr>
          <w:rFonts w:asciiTheme="majorBidi" w:hAnsiTheme="majorBidi" w:cstheme="majorBidi"/>
          <w:sz w:val="24"/>
          <w:szCs w:val="24"/>
        </w:rPr>
        <w:t xml:space="preserve">when </w:t>
      </w:r>
      <w:r w:rsidR="00C5621F" w:rsidRPr="00B503E6">
        <w:rPr>
          <w:rFonts w:asciiTheme="majorBidi" w:hAnsiTheme="majorBidi" w:cstheme="majorBidi"/>
          <w:sz w:val="24"/>
          <w:szCs w:val="24"/>
        </w:rPr>
        <w:t>French troops left the two areas and the countries became independent.</w:t>
      </w:r>
      <w:r w:rsidR="001421EF" w:rsidRPr="00B503E6">
        <w:rPr>
          <w:rFonts w:asciiTheme="majorBidi" w:hAnsiTheme="majorBidi" w:cstheme="majorBidi"/>
          <w:sz w:val="24"/>
          <w:szCs w:val="24"/>
        </w:rPr>
        <w:t xml:space="preserve">  </w:t>
      </w:r>
      <w:r w:rsidR="00A97407" w:rsidRPr="00B503E6">
        <w:rPr>
          <w:rFonts w:asciiTheme="majorBidi" w:hAnsiTheme="majorBidi" w:cstheme="majorBidi"/>
          <w:sz w:val="24"/>
          <w:szCs w:val="24"/>
        </w:rPr>
        <w:t xml:space="preserve">David </w:t>
      </w:r>
      <w:r w:rsidR="001421EF" w:rsidRPr="00B503E6">
        <w:rPr>
          <w:rFonts w:asciiTheme="majorBidi" w:hAnsiTheme="majorBidi" w:cstheme="majorBidi"/>
          <w:sz w:val="24"/>
          <w:szCs w:val="24"/>
        </w:rPr>
        <w:t>Fieldhouse (2006</w:t>
      </w:r>
      <w:r w:rsidR="00E52FD2" w:rsidRPr="00B503E6">
        <w:rPr>
          <w:rFonts w:asciiTheme="majorBidi" w:hAnsiTheme="majorBidi" w:cstheme="majorBidi"/>
          <w:sz w:val="24"/>
          <w:szCs w:val="24"/>
        </w:rPr>
        <w:t>,</w:t>
      </w:r>
      <w:r w:rsidR="00D5574A" w:rsidRPr="00B503E6">
        <w:rPr>
          <w:rFonts w:asciiTheme="majorBidi" w:hAnsiTheme="majorBidi" w:cstheme="majorBidi"/>
          <w:sz w:val="24"/>
          <w:szCs w:val="24"/>
        </w:rPr>
        <w:t xml:space="preserve"> </w:t>
      </w:r>
      <w:r w:rsidR="001421EF" w:rsidRPr="00B503E6">
        <w:rPr>
          <w:rFonts w:asciiTheme="majorBidi" w:hAnsiTheme="majorBidi" w:cstheme="majorBidi"/>
          <w:sz w:val="24"/>
          <w:szCs w:val="24"/>
        </w:rPr>
        <w:t xml:space="preserve">259) notes, the </w:t>
      </w:r>
      <w:r w:rsidR="00993768" w:rsidRPr="00B503E6">
        <w:rPr>
          <w:rFonts w:asciiTheme="majorBidi" w:hAnsiTheme="majorBidi" w:cstheme="majorBidi"/>
          <w:sz w:val="24"/>
          <w:szCs w:val="24"/>
        </w:rPr>
        <w:t>“</w:t>
      </w:r>
      <w:r w:rsidR="001421EF" w:rsidRPr="00B503E6">
        <w:rPr>
          <w:rFonts w:asciiTheme="majorBidi" w:hAnsiTheme="majorBidi" w:cstheme="majorBidi"/>
          <w:sz w:val="24"/>
          <w:szCs w:val="24"/>
        </w:rPr>
        <w:t>structure of French administrators and advisors ensured that France ruled Syria as effectively as any colony. No significant decision could be taken at any level without French approval.</w:t>
      </w:r>
      <w:r w:rsidR="00993768" w:rsidRPr="00B503E6">
        <w:rPr>
          <w:rFonts w:asciiTheme="majorBidi" w:hAnsiTheme="majorBidi" w:cstheme="majorBidi"/>
          <w:sz w:val="24"/>
          <w:szCs w:val="24"/>
        </w:rPr>
        <w:t>”</w:t>
      </w:r>
      <w:r w:rsidR="0008079D" w:rsidRPr="00B503E6">
        <w:rPr>
          <w:rFonts w:asciiTheme="majorBidi" w:hAnsiTheme="majorBidi" w:cstheme="majorBidi"/>
          <w:sz w:val="24"/>
          <w:szCs w:val="24"/>
        </w:rPr>
        <w:t xml:space="preserve">  </w:t>
      </w:r>
    </w:p>
    <w:p w:rsidR="00473195" w:rsidRPr="00B503E6" w:rsidRDefault="001C408E" w:rsidP="00FA5D4C">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The dominance of Britain in Palestine and Trans-Jordan was similar to th</w:t>
      </w:r>
      <w:r w:rsidR="00586BD7" w:rsidRPr="00B503E6">
        <w:rPr>
          <w:rFonts w:asciiTheme="majorBidi" w:hAnsiTheme="majorBidi" w:cstheme="majorBidi"/>
          <w:sz w:val="24"/>
          <w:szCs w:val="24"/>
        </w:rPr>
        <w:t>at of th</w:t>
      </w:r>
      <w:r w:rsidRPr="00B503E6">
        <w:rPr>
          <w:rFonts w:asciiTheme="majorBidi" w:hAnsiTheme="majorBidi" w:cstheme="majorBidi"/>
          <w:sz w:val="24"/>
          <w:szCs w:val="24"/>
        </w:rPr>
        <w:t>e French in Syria and Lebanon.  In March 1921, the British appointed Abdullah ibn Hussein to be the ruler of Trans-Jordan</w:t>
      </w:r>
      <w:r w:rsidR="00473195" w:rsidRPr="00B503E6">
        <w:rPr>
          <w:rFonts w:asciiTheme="majorBidi" w:hAnsiTheme="majorBidi" w:cstheme="majorBidi"/>
          <w:sz w:val="24"/>
          <w:szCs w:val="24"/>
        </w:rPr>
        <w:t>, and i</w:t>
      </w:r>
      <w:r w:rsidRPr="00B503E6">
        <w:rPr>
          <w:rFonts w:asciiTheme="majorBidi" w:hAnsiTheme="majorBidi" w:cstheme="majorBidi"/>
          <w:sz w:val="24"/>
          <w:szCs w:val="24"/>
        </w:rPr>
        <w:t xml:space="preserve">n 1928 there was a treaty between Abdullah and the British, that in return for British financial assistance, Abdullah would be </w:t>
      </w:r>
      <w:r w:rsidR="00993768" w:rsidRPr="00B503E6">
        <w:rPr>
          <w:rFonts w:asciiTheme="majorBidi" w:hAnsiTheme="majorBidi" w:cstheme="majorBidi"/>
          <w:sz w:val="24"/>
          <w:szCs w:val="24"/>
        </w:rPr>
        <w:t>“</w:t>
      </w:r>
      <w:r w:rsidRPr="00B503E6">
        <w:rPr>
          <w:rFonts w:asciiTheme="majorBidi" w:hAnsiTheme="majorBidi" w:cstheme="majorBidi"/>
          <w:sz w:val="24"/>
          <w:szCs w:val="24"/>
        </w:rPr>
        <w:t>advised</w:t>
      </w:r>
      <w:r w:rsidR="00993768" w:rsidRPr="00B503E6">
        <w:rPr>
          <w:rFonts w:asciiTheme="majorBidi" w:hAnsiTheme="majorBidi" w:cstheme="majorBidi"/>
          <w:sz w:val="24"/>
          <w:szCs w:val="24"/>
        </w:rPr>
        <w:t>”</w:t>
      </w:r>
      <w:r w:rsidRPr="00B503E6">
        <w:rPr>
          <w:rFonts w:asciiTheme="majorBidi" w:hAnsiTheme="majorBidi" w:cstheme="majorBidi"/>
          <w:sz w:val="24"/>
          <w:szCs w:val="24"/>
        </w:rPr>
        <w:t xml:space="preserve"> by the British.  Yoav Alon (2009, 61) notes that the result of this treaty was that, </w:t>
      </w:r>
      <w:r w:rsidR="00993768" w:rsidRPr="00B503E6">
        <w:rPr>
          <w:rFonts w:asciiTheme="majorBidi" w:hAnsiTheme="majorBidi" w:cstheme="majorBidi"/>
          <w:sz w:val="24"/>
          <w:szCs w:val="24"/>
        </w:rPr>
        <w:t>“</w:t>
      </w:r>
      <w:r w:rsidRPr="00B503E6">
        <w:rPr>
          <w:rFonts w:asciiTheme="majorBidi" w:hAnsiTheme="majorBidi" w:cstheme="majorBidi"/>
          <w:sz w:val="24"/>
          <w:szCs w:val="24"/>
        </w:rPr>
        <w:t>At times, Abdullah and his Arab government were reduced to the role of executers of British policy. From their newly acquired position of dominance the Mandate authorities could impose British ideas of how a modern state should function.</w:t>
      </w:r>
      <w:r w:rsidR="00993768" w:rsidRPr="00B503E6">
        <w:rPr>
          <w:rFonts w:asciiTheme="majorBidi" w:hAnsiTheme="majorBidi" w:cstheme="majorBidi"/>
          <w:sz w:val="24"/>
          <w:szCs w:val="24"/>
        </w:rPr>
        <w:t>”</w:t>
      </w:r>
      <w:r w:rsidR="00CF6268" w:rsidRPr="00B503E6">
        <w:rPr>
          <w:rFonts w:asciiTheme="majorBidi" w:hAnsiTheme="majorBidi" w:cstheme="majorBidi"/>
          <w:sz w:val="24"/>
          <w:szCs w:val="24"/>
        </w:rPr>
        <w:t xml:space="preserve">  It took a few years for Abdullah to gain support from the local inhabitants of Trans-Jordan, but afterwards the region was relatively peaceful both externally and internally since the British successfully put an end to Bedouin raids from inside and </w:t>
      </w:r>
      <w:r w:rsidR="00CF6268" w:rsidRPr="00B503E6">
        <w:rPr>
          <w:rFonts w:asciiTheme="majorBidi" w:hAnsiTheme="majorBidi" w:cstheme="majorBidi"/>
          <w:sz w:val="24"/>
          <w:szCs w:val="24"/>
        </w:rPr>
        <w:lastRenderedPageBreak/>
        <w:t>outside the country.</w:t>
      </w:r>
      <w:r w:rsidR="00FA5D4C">
        <w:rPr>
          <w:rStyle w:val="EndnoteReference"/>
          <w:rFonts w:asciiTheme="majorBidi" w:hAnsiTheme="majorBidi" w:cstheme="majorBidi"/>
          <w:sz w:val="24"/>
          <w:szCs w:val="24"/>
        </w:rPr>
        <w:endnoteReference w:id="9"/>
      </w:r>
      <w:r w:rsidR="00CF6268" w:rsidRPr="00B503E6">
        <w:rPr>
          <w:rFonts w:asciiTheme="majorBidi" w:hAnsiTheme="majorBidi" w:cstheme="majorBidi"/>
          <w:sz w:val="24"/>
          <w:szCs w:val="24"/>
        </w:rPr>
        <w:t xml:space="preserve">  Abdullah, with British assistance, would rule Trans-Jordan throughout the Mandate period which ended in 1946.</w:t>
      </w:r>
    </w:p>
    <w:p w:rsidR="001C408E" w:rsidRPr="00B503E6" w:rsidRDefault="001C408E" w:rsidP="00993768">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With regard to Palestine, while </w:t>
      </w:r>
      <w:r w:rsidR="00955DF6" w:rsidRPr="00B503E6">
        <w:rPr>
          <w:rFonts w:asciiTheme="majorBidi" w:hAnsiTheme="majorBidi" w:cstheme="majorBidi"/>
          <w:sz w:val="24"/>
          <w:szCs w:val="24"/>
        </w:rPr>
        <w:t xml:space="preserve">the British made </w:t>
      </w:r>
      <w:r w:rsidRPr="00B503E6">
        <w:rPr>
          <w:rFonts w:asciiTheme="majorBidi" w:hAnsiTheme="majorBidi" w:cstheme="majorBidi"/>
          <w:sz w:val="24"/>
          <w:szCs w:val="24"/>
        </w:rPr>
        <w:t>some minor attempts at self-rule</w:t>
      </w:r>
      <w:r w:rsidR="00E76FAE" w:rsidRPr="00B503E6">
        <w:rPr>
          <w:rFonts w:asciiTheme="majorBidi" w:hAnsiTheme="majorBidi" w:cstheme="majorBidi"/>
          <w:sz w:val="24"/>
          <w:szCs w:val="24"/>
        </w:rPr>
        <w:t xml:space="preserve">, </w:t>
      </w:r>
      <w:r w:rsidRPr="00B503E6">
        <w:rPr>
          <w:rFonts w:asciiTheme="majorBidi" w:hAnsiTheme="majorBidi" w:cstheme="majorBidi"/>
          <w:sz w:val="24"/>
          <w:szCs w:val="24"/>
        </w:rPr>
        <w:t>they did not succeed</w:t>
      </w:r>
      <w:r w:rsidR="00BE5285" w:rsidRPr="00B503E6">
        <w:rPr>
          <w:rFonts w:asciiTheme="majorBidi" w:hAnsiTheme="majorBidi" w:cstheme="majorBidi"/>
          <w:sz w:val="24"/>
          <w:szCs w:val="24"/>
        </w:rPr>
        <w:t xml:space="preserve">. </w:t>
      </w:r>
      <w:r w:rsidRPr="00B503E6">
        <w:rPr>
          <w:rFonts w:asciiTheme="majorBidi" w:hAnsiTheme="majorBidi" w:cstheme="majorBidi"/>
          <w:sz w:val="24"/>
          <w:szCs w:val="24"/>
        </w:rPr>
        <w:t xml:space="preserve">Fieldhouse (2006, 151) notes, </w:t>
      </w:r>
      <w:r w:rsidR="00993768" w:rsidRPr="00B503E6">
        <w:rPr>
          <w:rFonts w:asciiTheme="majorBidi" w:hAnsiTheme="majorBidi" w:cstheme="majorBidi"/>
          <w:sz w:val="24"/>
          <w:szCs w:val="24"/>
        </w:rPr>
        <w:t>“</w:t>
      </w:r>
      <w:r w:rsidRPr="00B503E6">
        <w:rPr>
          <w:rFonts w:asciiTheme="majorBidi" w:hAnsiTheme="majorBidi" w:cstheme="majorBidi"/>
          <w:sz w:val="24"/>
          <w:szCs w:val="24"/>
        </w:rPr>
        <w:t>Palestine never had any self-government in any form: it was ruled by the British through the most autocratic of colonial systems – governor, executive council, nominated advisory council and no legislative council.</w:t>
      </w:r>
      <w:r w:rsidR="00993768" w:rsidRPr="00B503E6">
        <w:rPr>
          <w:rFonts w:asciiTheme="majorBidi" w:hAnsiTheme="majorBidi" w:cstheme="majorBidi"/>
          <w:sz w:val="24"/>
          <w:szCs w:val="24"/>
        </w:rPr>
        <w:t>”</w:t>
      </w:r>
      <w:r w:rsidRPr="00B503E6">
        <w:rPr>
          <w:rFonts w:asciiTheme="majorBidi" w:hAnsiTheme="majorBidi" w:cstheme="majorBidi"/>
          <w:sz w:val="24"/>
          <w:szCs w:val="24"/>
        </w:rPr>
        <w:t xml:space="preserve"> </w:t>
      </w:r>
    </w:p>
    <w:p w:rsidR="00FF3B2E" w:rsidRPr="00B503E6" w:rsidRDefault="005E226B" w:rsidP="00277CA7">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T</w:t>
      </w:r>
      <w:r w:rsidR="00620C88" w:rsidRPr="00B503E6">
        <w:rPr>
          <w:rFonts w:asciiTheme="majorBidi" w:hAnsiTheme="majorBidi" w:cstheme="majorBidi"/>
          <w:sz w:val="24"/>
          <w:szCs w:val="24"/>
        </w:rPr>
        <w:t xml:space="preserve">he British </w:t>
      </w:r>
      <w:r w:rsidR="00E26C05" w:rsidRPr="00B503E6">
        <w:rPr>
          <w:rFonts w:asciiTheme="majorBidi" w:hAnsiTheme="majorBidi" w:cstheme="majorBidi"/>
          <w:sz w:val="24"/>
          <w:szCs w:val="24"/>
        </w:rPr>
        <w:t>Mandate</w:t>
      </w:r>
      <w:r w:rsidR="00620C88" w:rsidRPr="00B503E6">
        <w:rPr>
          <w:rFonts w:asciiTheme="majorBidi" w:hAnsiTheme="majorBidi" w:cstheme="majorBidi"/>
          <w:sz w:val="24"/>
          <w:szCs w:val="24"/>
        </w:rPr>
        <w:t xml:space="preserve"> of Palestine</w:t>
      </w:r>
      <w:r w:rsidR="00D60A64" w:rsidRPr="00B503E6">
        <w:rPr>
          <w:rFonts w:asciiTheme="majorBidi" w:hAnsiTheme="majorBidi" w:cstheme="majorBidi"/>
          <w:sz w:val="24"/>
          <w:szCs w:val="24"/>
        </w:rPr>
        <w:t xml:space="preserve"> </w:t>
      </w:r>
      <w:r w:rsidR="004A2205" w:rsidRPr="00B503E6">
        <w:rPr>
          <w:rFonts w:asciiTheme="majorBidi" w:hAnsiTheme="majorBidi" w:cstheme="majorBidi"/>
          <w:sz w:val="24"/>
          <w:szCs w:val="24"/>
        </w:rPr>
        <w:t>experienced t</w:t>
      </w:r>
      <w:r w:rsidRPr="00B503E6">
        <w:rPr>
          <w:rFonts w:asciiTheme="majorBidi" w:hAnsiTheme="majorBidi" w:cstheme="majorBidi"/>
          <w:sz w:val="24"/>
          <w:szCs w:val="24"/>
        </w:rPr>
        <w:t xml:space="preserve">he most violence of all four areas </w:t>
      </w:r>
      <w:r w:rsidR="00620C88" w:rsidRPr="00B503E6">
        <w:rPr>
          <w:rFonts w:asciiTheme="majorBidi" w:hAnsiTheme="majorBidi" w:cstheme="majorBidi"/>
          <w:sz w:val="24"/>
          <w:szCs w:val="24"/>
        </w:rPr>
        <w:t>due to the conflict between the Arabs and Jews.</w:t>
      </w:r>
      <w:r w:rsidR="00490BBE" w:rsidRPr="00B503E6">
        <w:rPr>
          <w:rFonts w:asciiTheme="majorBidi" w:hAnsiTheme="majorBidi" w:cstheme="majorBidi"/>
          <w:sz w:val="24"/>
          <w:szCs w:val="24"/>
        </w:rPr>
        <w:t xml:space="preserve">  </w:t>
      </w:r>
      <w:r w:rsidR="00586BD7" w:rsidRPr="00B503E6">
        <w:rPr>
          <w:rFonts w:asciiTheme="majorBidi" w:hAnsiTheme="majorBidi" w:cstheme="majorBidi"/>
          <w:sz w:val="24"/>
          <w:szCs w:val="24"/>
        </w:rPr>
        <w:t xml:space="preserve">In 1920, 1921, 1929 and 1933, there </w:t>
      </w:r>
      <w:r w:rsidR="005D0A11" w:rsidRPr="00B503E6">
        <w:rPr>
          <w:rFonts w:asciiTheme="majorBidi" w:hAnsiTheme="majorBidi" w:cstheme="majorBidi"/>
          <w:sz w:val="24"/>
          <w:szCs w:val="24"/>
        </w:rPr>
        <w:t xml:space="preserve">were </w:t>
      </w:r>
      <w:r w:rsidR="00586BD7" w:rsidRPr="00B503E6">
        <w:rPr>
          <w:rFonts w:asciiTheme="majorBidi" w:hAnsiTheme="majorBidi" w:cstheme="majorBidi"/>
          <w:sz w:val="24"/>
          <w:szCs w:val="24"/>
        </w:rPr>
        <w:t>short bouts of violence, but then i</w:t>
      </w:r>
      <w:r w:rsidR="00856B69" w:rsidRPr="00B503E6">
        <w:rPr>
          <w:rFonts w:asciiTheme="majorBidi" w:hAnsiTheme="majorBidi" w:cstheme="majorBidi"/>
          <w:sz w:val="24"/>
          <w:szCs w:val="24"/>
        </w:rPr>
        <w:t xml:space="preserve">n April 1936, </w:t>
      </w:r>
      <w:r w:rsidR="000747CE" w:rsidRPr="00B503E6">
        <w:rPr>
          <w:rFonts w:asciiTheme="majorBidi" w:hAnsiTheme="majorBidi" w:cstheme="majorBidi"/>
          <w:sz w:val="24"/>
          <w:szCs w:val="24"/>
        </w:rPr>
        <w:t>the</w:t>
      </w:r>
      <w:r w:rsidR="00586BD7" w:rsidRPr="00B503E6">
        <w:rPr>
          <w:rFonts w:asciiTheme="majorBidi" w:hAnsiTheme="majorBidi" w:cstheme="majorBidi"/>
          <w:sz w:val="24"/>
          <w:szCs w:val="24"/>
        </w:rPr>
        <w:t>re began an extended period of violence</w:t>
      </w:r>
      <w:r w:rsidR="002D13C0" w:rsidRPr="00B503E6">
        <w:rPr>
          <w:rFonts w:asciiTheme="majorBidi" w:hAnsiTheme="majorBidi" w:cstheme="majorBidi"/>
          <w:sz w:val="24"/>
          <w:szCs w:val="24"/>
        </w:rPr>
        <w:t>, which has been labeled the Arab revolt,</w:t>
      </w:r>
      <w:r w:rsidR="00586BD7" w:rsidRPr="00B503E6">
        <w:rPr>
          <w:rFonts w:asciiTheme="majorBidi" w:hAnsiTheme="majorBidi" w:cstheme="majorBidi"/>
          <w:sz w:val="24"/>
          <w:szCs w:val="24"/>
        </w:rPr>
        <w:t xml:space="preserve"> when </w:t>
      </w:r>
      <w:r w:rsidR="000747CE" w:rsidRPr="00B503E6">
        <w:rPr>
          <w:rFonts w:asciiTheme="majorBidi" w:hAnsiTheme="majorBidi" w:cstheme="majorBidi"/>
          <w:sz w:val="24"/>
          <w:szCs w:val="24"/>
        </w:rPr>
        <w:t xml:space="preserve">Arabs began to attack the British and the Jews to protest Jewish </w:t>
      </w:r>
      <w:r w:rsidR="00265FA6" w:rsidRPr="00B503E6">
        <w:rPr>
          <w:rFonts w:asciiTheme="majorBidi" w:hAnsiTheme="majorBidi" w:cstheme="majorBidi"/>
          <w:sz w:val="24"/>
          <w:szCs w:val="24"/>
        </w:rPr>
        <w:t xml:space="preserve">immigration to </w:t>
      </w:r>
      <w:r w:rsidR="000747CE" w:rsidRPr="00B503E6">
        <w:rPr>
          <w:rFonts w:asciiTheme="majorBidi" w:hAnsiTheme="majorBidi" w:cstheme="majorBidi"/>
          <w:sz w:val="24"/>
          <w:szCs w:val="24"/>
        </w:rPr>
        <w:t xml:space="preserve">Palestine.  The first wave </w:t>
      </w:r>
      <w:r w:rsidR="005D17E6" w:rsidRPr="00B503E6">
        <w:rPr>
          <w:rFonts w:asciiTheme="majorBidi" w:hAnsiTheme="majorBidi" w:cstheme="majorBidi"/>
          <w:sz w:val="24"/>
          <w:szCs w:val="24"/>
        </w:rPr>
        <w:t>of the revolt lasted to October 1936, and then it began again in September 1937 through the summer of 1939</w:t>
      </w:r>
      <w:r w:rsidR="005C6C15" w:rsidRPr="00B503E6">
        <w:rPr>
          <w:rFonts w:asciiTheme="majorBidi" w:hAnsiTheme="majorBidi" w:cstheme="majorBidi"/>
          <w:sz w:val="24"/>
          <w:szCs w:val="24"/>
        </w:rPr>
        <w:t xml:space="preserve">, when the British finally succeeded </w:t>
      </w:r>
      <w:r w:rsidR="0042409C" w:rsidRPr="00B503E6">
        <w:rPr>
          <w:rFonts w:asciiTheme="majorBidi" w:hAnsiTheme="majorBidi" w:cstheme="majorBidi"/>
          <w:sz w:val="24"/>
          <w:szCs w:val="24"/>
        </w:rPr>
        <w:t xml:space="preserve">in suppressing </w:t>
      </w:r>
      <w:r w:rsidR="005C6C15" w:rsidRPr="00B503E6">
        <w:rPr>
          <w:rFonts w:asciiTheme="majorBidi" w:hAnsiTheme="majorBidi" w:cstheme="majorBidi"/>
          <w:sz w:val="24"/>
          <w:szCs w:val="24"/>
        </w:rPr>
        <w:t>it.</w:t>
      </w:r>
      <w:r w:rsidR="005D17E6" w:rsidRPr="00B503E6">
        <w:rPr>
          <w:rFonts w:asciiTheme="majorBidi" w:hAnsiTheme="majorBidi" w:cstheme="majorBidi"/>
          <w:sz w:val="24"/>
          <w:szCs w:val="24"/>
        </w:rPr>
        <w:t xml:space="preserve">  It is estimated </w:t>
      </w:r>
      <w:r w:rsidR="005C6C15" w:rsidRPr="00B503E6">
        <w:rPr>
          <w:rFonts w:asciiTheme="majorBidi" w:hAnsiTheme="majorBidi" w:cstheme="majorBidi"/>
          <w:sz w:val="24"/>
          <w:szCs w:val="24"/>
        </w:rPr>
        <w:t xml:space="preserve">that </w:t>
      </w:r>
      <w:r w:rsidR="00E24D62" w:rsidRPr="00B503E6">
        <w:rPr>
          <w:rFonts w:asciiTheme="majorBidi" w:hAnsiTheme="majorBidi" w:cstheme="majorBidi"/>
          <w:sz w:val="24"/>
          <w:szCs w:val="24"/>
        </w:rPr>
        <w:t xml:space="preserve">3,000 Arabs, 2,000 Jews and 600 British were killed in this revolt </w:t>
      </w:r>
      <w:r w:rsidR="00586BD7" w:rsidRPr="00B503E6">
        <w:rPr>
          <w:rFonts w:asciiTheme="majorBidi" w:hAnsiTheme="majorBidi" w:cstheme="majorBidi"/>
          <w:sz w:val="24"/>
          <w:szCs w:val="24"/>
        </w:rPr>
        <w:t>(</w:t>
      </w:r>
      <w:r w:rsidR="00E24D62" w:rsidRPr="00B503E6">
        <w:rPr>
          <w:rFonts w:asciiTheme="majorBidi" w:hAnsiTheme="majorBidi" w:cstheme="majorBidi"/>
          <w:sz w:val="24"/>
          <w:szCs w:val="24"/>
        </w:rPr>
        <w:t>Cleveland 2004, 260</w:t>
      </w:r>
      <w:r w:rsidR="00586BD7" w:rsidRPr="00B503E6">
        <w:rPr>
          <w:rFonts w:asciiTheme="majorBidi" w:hAnsiTheme="majorBidi" w:cstheme="majorBidi"/>
          <w:sz w:val="24"/>
          <w:szCs w:val="24"/>
        </w:rPr>
        <w:t>)</w:t>
      </w:r>
      <w:r w:rsidR="005C6C15" w:rsidRPr="00B503E6">
        <w:rPr>
          <w:rFonts w:asciiTheme="majorBidi" w:hAnsiTheme="majorBidi" w:cstheme="majorBidi"/>
          <w:sz w:val="24"/>
          <w:szCs w:val="24"/>
        </w:rPr>
        <w:t xml:space="preserve">. </w:t>
      </w:r>
      <w:r w:rsidR="005D17E6" w:rsidRPr="00B503E6">
        <w:rPr>
          <w:rFonts w:asciiTheme="majorBidi" w:hAnsiTheme="majorBidi" w:cstheme="majorBidi"/>
          <w:sz w:val="24"/>
          <w:szCs w:val="24"/>
        </w:rPr>
        <w:t xml:space="preserve">  </w:t>
      </w:r>
      <w:r w:rsidR="000747CE" w:rsidRPr="00B503E6">
        <w:rPr>
          <w:rFonts w:asciiTheme="majorBidi" w:hAnsiTheme="majorBidi" w:cstheme="majorBidi"/>
          <w:sz w:val="24"/>
          <w:szCs w:val="24"/>
        </w:rPr>
        <w:t xml:space="preserve">  </w:t>
      </w:r>
      <w:r w:rsidR="00856B69" w:rsidRPr="00B503E6">
        <w:rPr>
          <w:rFonts w:asciiTheme="majorBidi" w:hAnsiTheme="majorBidi" w:cstheme="majorBidi"/>
          <w:sz w:val="24"/>
          <w:szCs w:val="24"/>
        </w:rPr>
        <w:t xml:space="preserve"> </w:t>
      </w:r>
    </w:p>
    <w:p w:rsidR="00F5528D" w:rsidRPr="00B503E6" w:rsidRDefault="0080216C" w:rsidP="006D3A03">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In response to the </w:t>
      </w:r>
      <w:r w:rsidR="00FF3B2E" w:rsidRPr="00B503E6">
        <w:rPr>
          <w:rFonts w:asciiTheme="majorBidi" w:hAnsiTheme="majorBidi" w:cstheme="majorBidi"/>
          <w:sz w:val="24"/>
          <w:szCs w:val="24"/>
        </w:rPr>
        <w:t>Arab revolt, the British severely curtailed Jewish immigration</w:t>
      </w:r>
      <w:r w:rsidR="00023F59" w:rsidRPr="00B503E6">
        <w:rPr>
          <w:rFonts w:asciiTheme="majorBidi" w:hAnsiTheme="majorBidi" w:cstheme="majorBidi"/>
          <w:sz w:val="24"/>
          <w:szCs w:val="24"/>
        </w:rPr>
        <w:t xml:space="preserve"> to Palestine</w:t>
      </w:r>
      <w:r w:rsidR="003D3C40" w:rsidRPr="00B503E6">
        <w:rPr>
          <w:rFonts w:asciiTheme="majorBidi" w:hAnsiTheme="majorBidi" w:cstheme="majorBidi"/>
          <w:sz w:val="24"/>
          <w:szCs w:val="24"/>
        </w:rPr>
        <w:t xml:space="preserve">. This led the </w:t>
      </w:r>
      <w:r w:rsidRPr="00B503E6">
        <w:rPr>
          <w:rFonts w:asciiTheme="majorBidi" w:hAnsiTheme="majorBidi" w:cstheme="majorBidi"/>
          <w:sz w:val="24"/>
          <w:szCs w:val="24"/>
        </w:rPr>
        <w:t xml:space="preserve">Jews </w:t>
      </w:r>
      <w:r w:rsidR="003D3C40" w:rsidRPr="00B503E6">
        <w:rPr>
          <w:rFonts w:asciiTheme="majorBidi" w:hAnsiTheme="majorBidi" w:cstheme="majorBidi"/>
          <w:sz w:val="24"/>
          <w:szCs w:val="24"/>
        </w:rPr>
        <w:t>t</w:t>
      </w:r>
      <w:r w:rsidRPr="00B503E6">
        <w:rPr>
          <w:rFonts w:asciiTheme="majorBidi" w:hAnsiTheme="majorBidi" w:cstheme="majorBidi"/>
          <w:sz w:val="24"/>
          <w:szCs w:val="24"/>
        </w:rPr>
        <w:t>o support illegal immigration to Palestine, and when this was suppressed, violence be</w:t>
      </w:r>
      <w:r w:rsidR="003D3C40" w:rsidRPr="00B503E6">
        <w:rPr>
          <w:rFonts w:asciiTheme="majorBidi" w:hAnsiTheme="majorBidi" w:cstheme="majorBidi"/>
          <w:sz w:val="24"/>
          <w:szCs w:val="24"/>
        </w:rPr>
        <w:t>gan be</w:t>
      </w:r>
      <w:r w:rsidRPr="00B503E6">
        <w:rPr>
          <w:rFonts w:asciiTheme="majorBidi" w:hAnsiTheme="majorBidi" w:cstheme="majorBidi"/>
          <w:sz w:val="24"/>
          <w:szCs w:val="24"/>
        </w:rPr>
        <w:t xml:space="preserve">tween the Jews and the British.  </w:t>
      </w:r>
      <w:r w:rsidR="00841A02" w:rsidRPr="00B503E6">
        <w:rPr>
          <w:rFonts w:asciiTheme="majorBidi" w:hAnsiTheme="majorBidi" w:cstheme="majorBidi"/>
          <w:sz w:val="24"/>
          <w:szCs w:val="24"/>
        </w:rPr>
        <w:t xml:space="preserve">From 1939-1944, </w:t>
      </w:r>
      <w:r w:rsidRPr="00B503E6">
        <w:rPr>
          <w:rFonts w:asciiTheme="majorBidi" w:hAnsiTheme="majorBidi" w:cstheme="majorBidi"/>
          <w:sz w:val="24"/>
          <w:szCs w:val="24"/>
        </w:rPr>
        <w:t>there w</w:t>
      </w:r>
      <w:r w:rsidR="001858B5" w:rsidRPr="00B503E6">
        <w:rPr>
          <w:rFonts w:asciiTheme="majorBidi" w:hAnsiTheme="majorBidi" w:cstheme="majorBidi"/>
          <w:sz w:val="24"/>
          <w:szCs w:val="24"/>
        </w:rPr>
        <w:t>ere</w:t>
      </w:r>
      <w:r w:rsidRPr="00B503E6">
        <w:rPr>
          <w:rFonts w:asciiTheme="majorBidi" w:hAnsiTheme="majorBidi" w:cstheme="majorBidi"/>
          <w:sz w:val="24"/>
          <w:szCs w:val="24"/>
        </w:rPr>
        <w:t xml:space="preserve"> relatively peaceful conditions in the country, but afterwards, the violence began to spiral</w:t>
      </w:r>
      <w:r w:rsidR="003D3C40" w:rsidRPr="00B503E6">
        <w:rPr>
          <w:rFonts w:asciiTheme="majorBidi" w:hAnsiTheme="majorBidi" w:cstheme="majorBidi"/>
          <w:sz w:val="24"/>
          <w:szCs w:val="24"/>
        </w:rPr>
        <w:t xml:space="preserve"> (</w:t>
      </w:r>
      <w:r w:rsidR="003D3C40" w:rsidRPr="00B503E6">
        <w:rPr>
          <w:rFonts w:asciiTheme="majorBidi" w:hAnsiTheme="majorBidi" w:cstheme="majorBidi"/>
          <w:i/>
          <w:iCs/>
          <w:sz w:val="24"/>
          <w:szCs w:val="24"/>
        </w:rPr>
        <w:t>The Economist</w:t>
      </w:r>
      <w:r w:rsidR="003D3C40" w:rsidRPr="00B503E6">
        <w:rPr>
          <w:rFonts w:asciiTheme="majorBidi" w:hAnsiTheme="majorBidi" w:cstheme="majorBidi"/>
          <w:sz w:val="24"/>
          <w:szCs w:val="24"/>
        </w:rPr>
        <w:t xml:space="preserve"> 1944, 539)</w:t>
      </w:r>
      <w:r w:rsidR="001858B5" w:rsidRPr="00B503E6">
        <w:rPr>
          <w:rFonts w:asciiTheme="majorBidi" w:hAnsiTheme="majorBidi" w:cstheme="majorBidi"/>
          <w:sz w:val="24"/>
          <w:szCs w:val="24"/>
        </w:rPr>
        <w:t xml:space="preserve">. During the period leading up to the end of the </w:t>
      </w:r>
      <w:r w:rsidR="00E26C05" w:rsidRPr="00B503E6">
        <w:rPr>
          <w:rFonts w:asciiTheme="majorBidi" w:hAnsiTheme="majorBidi" w:cstheme="majorBidi"/>
          <w:sz w:val="24"/>
          <w:szCs w:val="24"/>
        </w:rPr>
        <w:t>Mandate</w:t>
      </w:r>
      <w:r w:rsidR="001858B5" w:rsidRPr="00B503E6">
        <w:rPr>
          <w:rFonts w:asciiTheme="majorBidi" w:hAnsiTheme="majorBidi" w:cstheme="majorBidi"/>
          <w:sz w:val="24"/>
          <w:szCs w:val="24"/>
        </w:rPr>
        <w:t xml:space="preserve"> on May 1</w:t>
      </w:r>
      <w:r w:rsidR="001D1A79" w:rsidRPr="00B503E6">
        <w:rPr>
          <w:rFonts w:asciiTheme="majorBidi" w:hAnsiTheme="majorBidi" w:cstheme="majorBidi"/>
          <w:sz w:val="24"/>
          <w:szCs w:val="24"/>
        </w:rPr>
        <w:t>5</w:t>
      </w:r>
      <w:r w:rsidR="001858B5" w:rsidRPr="00B503E6">
        <w:rPr>
          <w:rFonts w:asciiTheme="majorBidi" w:hAnsiTheme="majorBidi" w:cstheme="majorBidi"/>
          <w:sz w:val="24"/>
          <w:szCs w:val="24"/>
        </w:rPr>
        <w:t xml:space="preserve">, 1948, the country descended into a civil war between the Jews and the Arabs with the British by and large on the sidelines.  </w:t>
      </w:r>
      <w:r w:rsidRPr="00B503E6">
        <w:rPr>
          <w:rFonts w:asciiTheme="majorBidi" w:hAnsiTheme="majorBidi" w:cstheme="majorBidi"/>
          <w:sz w:val="24"/>
          <w:szCs w:val="24"/>
        </w:rPr>
        <w:t xml:space="preserve">    </w:t>
      </w:r>
      <w:r w:rsidR="00FF3B2E" w:rsidRPr="00B503E6">
        <w:rPr>
          <w:rFonts w:asciiTheme="majorBidi" w:hAnsiTheme="majorBidi" w:cstheme="majorBidi"/>
          <w:sz w:val="24"/>
          <w:szCs w:val="24"/>
        </w:rPr>
        <w:t xml:space="preserve">  </w:t>
      </w:r>
      <w:r w:rsidR="00856B69" w:rsidRPr="00B503E6">
        <w:rPr>
          <w:rFonts w:asciiTheme="majorBidi" w:hAnsiTheme="majorBidi" w:cstheme="majorBidi"/>
          <w:sz w:val="24"/>
          <w:szCs w:val="24"/>
        </w:rPr>
        <w:t xml:space="preserve"> </w:t>
      </w:r>
      <w:r w:rsidR="00620C88" w:rsidRPr="00B503E6">
        <w:rPr>
          <w:rFonts w:asciiTheme="majorBidi" w:hAnsiTheme="majorBidi" w:cstheme="majorBidi"/>
          <w:sz w:val="24"/>
          <w:szCs w:val="24"/>
        </w:rPr>
        <w:t xml:space="preserve">    </w:t>
      </w:r>
      <w:r w:rsidR="00350E0E" w:rsidRPr="00B503E6">
        <w:rPr>
          <w:rFonts w:asciiTheme="majorBidi" w:hAnsiTheme="majorBidi" w:cstheme="majorBidi"/>
          <w:sz w:val="24"/>
          <w:szCs w:val="24"/>
        </w:rPr>
        <w:t xml:space="preserve">  </w:t>
      </w:r>
    </w:p>
    <w:p w:rsidR="00275894" w:rsidRPr="00B503E6" w:rsidRDefault="00275894" w:rsidP="00900C82">
      <w:pPr>
        <w:spacing w:line="480" w:lineRule="auto"/>
        <w:contextualSpacing/>
        <w:jc w:val="both"/>
        <w:rPr>
          <w:rFonts w:asciiTheme="majorBidi" w:hAnsiTheme="majorBidi" w:cstheme="majorBidi"/>
          <w:sz w:val="24"/>
          <w:szCs w:val="24"/>
        </w:rPr>
      </w:pPr>
    </w:p>
    <w:p w:rsidR="00275894" w:rsidRPr="00B503E6" w:rsidRDefault="00275894" w:rsidP="00BE5285">
      <w:pPr>
        <w:pStyle w:val="ListParagraph"/>
        <w:numPr>
          <w:ilvl w:val="0"/>
          <w:numId w:val="4"/>
        </w:numPr>
        <w:spacing w:line="480" w:lineRule="auto"/>
        <w:ind w:left="567" w:hanging="567"/>
        <w:rPr>
          <w:rFonts w:asciiTheme="majorBidi" w:hAnsiTheme="majorBidi" w:cstheme="majorBidi"/>
          <w:sz w:val="24"/>
          <w:szCs w:val="24"/>
        </w:rPr>
      </w:pPr>
      <w:r w:rsidRPr="00B503E6">
        <w:rPr>
          <w:rFonts w:asciiTheme="majorBidi" w:hAnsiTheme="majorBidi" w:cstheme="majorBidi"/>
          <w:sz w:val="24"/>
          <w:szCs w:val="24"/>
        </w:rPr>
        <w:t>Institutional and economic changes</w:t>
      </w:r>
      <w:r w:rsidR="00E51AD9" w:rsidRPr="00B503E6">
        <w:rPr>
          <w:rFonts w:asciiTheme="majorBidi" w:hAnsiTheme="majorBidi" w:cstheme="majorBidi"/>
          <w:sz w:val="24"/>
          <w:szCs w:val="24"/>
        </w:rPr>
        <w:t xml:space="preserve"> in LPST in the mandate period</w:t>
      </w:r>
    </w:p>
    <w:p w:rsidR="004B798A" w:rsidRPr="00B503E6" w:rsidRDefault="00486A12" w:rsidP="00FA5D4C">
      <w:pPr>
        <w:spacing w:line="480" w:lineRule="auto"/>
        <w:contextualSpacing/>
        <w:jc w:val="both"/>
        <w:rPr>
          <w:rFonts w:asciiTheme="majorBidi" w:hAnsiTheme="majorBidi" w:cstheme="majorBidi"/>
          <w:sz w:val="24"/>
          <w:szCs w:val="24"/>
        </w:rPr>
      </w:pPr>
      <w:r w:rsidRPr="00B503E6">
        <w:rPr>
          <w:rFonts w:asciiTheme="majorBidi" w:hAnsiTheme="majorBidi" w:cstheme="majorBidi"/>
          <w:sz w:val="24"/>
          <w:szCs w:val="24"/>
        </w:rPr>
        <w:lastRenderedPageBreak/>
        <w:t xml:space="preserve">Both the French and British attempted to improve </w:t>
      </w:r>
      <w:r w:rsidR="001C5CDA" w:rsidRPr="00B503E6">
        <w:rPr>
          <w:rFonts w:asciiTheme="majorBidi" w:hAnsiTheme="majorBidi" w:cstheme="majorBidi"/>
          <w:sz w:val="24"/>
          <w:szCs w:val="24"/>
        </w:rPr>
        <w:t xml:space="preserve">the </w:t>
      </w:r>
      <w:r w:rsidR="00C7161C" w:rsidRPr="00B503E6">
        <w:rPr>
          <w:rFonts w:asciiTheme="majorBidi" w:hAnsiTheme="majorBidi" w:cstheme="majorBidi"/>
          <w:sz w:val="24"/>
          <w:szCs w:val="24"/>
        </w:rPr>
        <w:t xml:space="preserve">economies in their respective mandates, partly as a means of justifying their control of these areas.  These efforts included investing in the </w:t>
      </w:r>
      <w:r w:rsidR="001C5CDA" w:rsidRPr="00B503E6">
        <w:rPr>
          <w:rFonts w:asciiTheme="majorBidi" w:hAnsiTheme="majorBidi" w:cstheme="majorBidi"/>
          <w:sz w:val="24"/>
          <w:szCs w:val="24"/>
        </w:rPr>
        <w:t>infrastructure</w:t>
      </w:r>
      <w:r w:rsidR="009A6283" w:rsidRPr="00B503E6">
        <w:rPr>
          <w:rFonts w:asciiTheme="majorBidi" w:hAnsiTheme="majorBidi" w:cstheme="majorBidi"/>
          <w:sz w:val="24"/>
          <w:szCs w:val="24"/>
        </w:rPr>
        <w:t xml:space="preserve"> in the region.</w:t>
      </w:r>
      <w:r w:rsidR="001C5CDA" w:rsidRPr="00B503E6">
        <w:rPr>
          <w:rFonts w:asciiTheme="majorBidi" w:hAnsiTheme="majorBidi" w:cstheme="majorBidi"/>
          <w:sz w:val="24"/>
          <w:szCs w:val="24"/>
        </w:rPr>
        <w:t xml:space="preserve">  </w:t>
      </w:r>
      <w:r w:rsidR="006722CE" w:rsidRPr="00B503E6">
        <w:rPr>
          <w:rFonts w:asciiTheme="majorBidi" w:hAnsiTheme="majorBidi" w:cstheme="majorBidi"/>
          <w:sz w:val="24"/>
          <w:szCs w:val="24"/>
        </w:rPr>
        <w:t xml:space="preserve">In Haifa, the British built a new modern port in 1933, and </w:t>
      </w:r>
      <w:r w:rsidR="003A6CED" w:rsidRPr="00B503E6">
        <w:rPr>
          <w:rFonts w:asciiTheme="majorBidi" w:hAnsiTheme="majorBidi" w:cstheme="majorBidi"/>
          <w:sz w:val="24"/>
          <w:szCs w:val="24"/>
        </w:rPr>
        <w:t>in response</w:t>
      </w:r>
      <w:r w:rsidR="00FC0E4F" w:rsidRPr="00B503E6">
        <w:rPr>
          <w:rFonts w:asciiTheme="majorBidi" w:hAnsiTheme="majorBidi" w:cstheme="majorBidi"/>
          <w:sz w:val="24"/>
          <w:szCs w:val="24"/>
        </w:rPr>
        <w:t xml:space="preserve"> </w:t>
      </w:r>
      <w:r w:rsidR="003A4636" w:rsidRPr="00B503E6">
        <w:rPr>
          <w:rFonts w:asciiTheme="majorBidi" w:hAnsiTheme="majorBidi" w:cstheme="majorBidi"/>
          <w:sz w:val="24"/>
          <w:szCs w:val="24"/>
        </w:rPr>
        <w:t xml:space="preserve">the French deepened and widened </w:t>
      </w:r>
      <w:r w:rsidR="00A848A1" w:rsidRPr="00B503E6">
        <w:rPr>
          <w:rFonts w:asciiTheme="majorBidi" w:hAnsiTheme="majorBidi" w:cstheme="majorBidi"/>
          <w:sz w:val="24"/>
          <w:szCs w:val="24"/>
        </w:rPr>
        <w:t>the port in Beirut in 193</w:t>
      </w:r>
      <w:r w:rsidR="003A6CED" w:rsidRPr="00B503E6">
        <w:rPr>
          <w:rFonts w:asciiTheme="majorBidi" w:hAnsiTheme="majorBidi" w:cstheme="majorBidi"/>
          <w:sz w:val="24"/>
          <w:szCs w:val="24"/>
        </w:rPr>
        <w:t>8</w:t>
      </w:r>
      <w:r w:rsidR="00FC44AB" w:rsidRPr="00B503E6">
        <w:rPr>
          <w:rFonts w:asciiTheme="majorBidi" w:hAnsiTheme="majorBidi" w:cstheme="majorBidi"/>
          <w:sz w:val="24"/>
          <w:szCs w:val="24"/>
        </w:rPr>
        <w:t>.</w:t>
      </w:r>
      <w:r w:rsidR="00FA5D4C">
        <w:rPr>
          <w:rStyle w:val="EndnoteReference"/>
          <w:rFonts w:asciiTheme="majorBidi" w:hAnsiTheme="majorBidi" w:cstheme="majorBidi"/>
          <w:sz w:val="24"/>
          <w:szCs w:val="24"/>
        </w:rPr>
        <w:endnoteReference w:id="10"/>
      </w:r>
      <w:r w:rsidR="007A68AF" w:rsidRPr="00B503E6">
        <w:rPr>
          <w:rFonts w:asciiTheme="majorBidi" w:hAnsiTheme="majorBidi" w:cstheme="majorBidi"/>
          <w:sz w:val="24"/>
          <w:szCs w:val="24"/>
        </w:rPr>
        <w:t xml:space="preserve">  </w:t>
      </w:r>
      <w:r w:rsidR="000F505E" w:rsidRPr="00B503E6">
        <w:rPr>
          <w:rFonts w:asciiTheme="majorBidi" w:hAnsiTheme="majorBidi" w:cstheme="majorBidi"/>
          <w:sz w:val="24"/>
          <w:szCs w:val="24"/>
        </w:rPr>
        <w:t xml:space="preserve">Civilian airports were built in central Palestine (Lod) in 1937/38 and </w:t>
      </w:r>
      <w:r w:rsidR="003A6CED" w:rsidRPr="00B503E6">
        <w:rPr>
          <w:rFonts w:asciiTheme="majorBidi" w:hAnsiTheme="majorBidi" w:cstheme="majorBidi"/>
          <w:sz w:val="24"/>
          <w:szCs w:val="24"/>
        </w:rPr>
        <w:t xml:space="preserve">in 1938 the largest and most modern airport at the time in the Middle East </w:t>
      </w:r>
      <w:r w:rsidR="00900C82" w:rsidRPr="00B503E6">
        <w:rPr>
          <w:rFonts w:asciiTheme="majorBidi" w:hAnsiTheme="majorBidi" w:cstheme="majorBidi"/>
          <w:sz w:val="24"/>
          <w:szCs w:val="24"/>
        </w:rPr>
        <w:t xml:space="preserve">was built </w:t>
      </w:r>
      <w:r w:rsidR="003A6CED" w:rsidRPr="00B503E6">
        <w:rPr>
          <w:rFonts w:asciiTheme="majorBidi" w:hAnsiTheme="majorBidi" w:cstheme="majorBidi"/>
          <w:sz w:val="24"/>
          <w:szCs w:val="24"/>
        </w:rPr>
        <w:t xml:space="preserve">in Khaldeh near </w:t>
      </w:r>
      <w:r w:rsidR="000F505E" w:rsidRPr="00B503E6">
        <w:rPr>
          <w:rFonts w:asciiTheme="majorBidi" w:hAnsiTheme="majorBidi" w:cstheme="majorBidi"/>
          <w:sz w:val="24"/>
          <w:szCs w:val="24"/>
        </w:rPr>
        <w:t>Beirut.</w:t>
      </w:r>
      <w:r w:rsidR="00FA5D4C">
        <w:rPr>
          <w:rStyle w:val="EndnoteReference"/>
          <w:rFonts w:asciiTheme="majorBidi" w:hAnsiTheme="majorBidi" w:cstheme="majorBidi"/>
          <w:sz w:val="24"/>
          <w:szCs w:val="24"/>
        </w:rPr>
        <w:endnoteReference w:id="11"/>
      </w:r>
      <w:r w:rsidR="000F505E" w:rsidRPr="00B503E6">
        <w:rPr>
          <w:rFonts w:asciiTheme="majorBidi" w:hAnsiTheme="majorBidi" w:cstheme="majorBidi"/>
          <w:sz w:val="24"/>
          <w:szCs w:val="24"/>
        </w:rPr>
        <w:t xml:space="preserve"> </w:t>
      </w:r>
      <w:r w:rsidR="007A68AF" w:rsidRPr="00B503E6">
        <w:rPr>
          <w:rFonts w:asciiTheme="majorBidi" w:hAnsiTheme="majorBidi" w:cstheme="majorBidi"/>
          <w:sz w:val="24"/>
          <w:szCs w:val="24"/>
        </w:rPr>
        <w:t xml:space="preserve">Roads </w:t>
      </w:r>
      <w:r w:rsidR="000F505E" w:rsidRPr="00B503E6">
        <w:rPr>
          <w:rFonts w:asciiTheme="majorBidi" w:hAnsiTheme="majorBidi" w:cstheme="majorBidi"/>
          <w:sz w:val="24"/>
          <w:szCs w:val="24"/>
        </w:rPr>
        <w:t xml:space="preserve">and bridges </w:t>
      </w:r>
      <w:r w:rsidR="007A68AF" w:rsidRPr="00B503E6">
        <w:rPr>
          <w:rFonts w:asciiTheme="majorBidi" w:hAnsiTheme="majorBidi" w:cstheme="majorBidi"/>
          <w:sz w:val="24"/>
          <w:szCs w:val="24"/>
        </w:rPr>
        <w:t>were built and improved in all four areas</w:t>
      </w:r>
      <w:r w:rsidR="00D10B51" w:rsidRPr="00B503E6">
        <w:rPr>
          <w:rFonts w:asciiTheme="majorBidi" w:hAnsiTheme="majorBidi" w:cstheme="majorBidi"/>
          <w:sz w:val="24"/>
          <w:szCs w:val="24"/>
        </w:rPr>
        <w:t>.  In Trans-Jordan</w:t>
      </w:r>
      <w:r w:rsidR="007A68AF" w:rsidRPr="00B503E6">
        <w:rPr>
          <w:rFonts w:asciiTheme="majorBidi" w:hAnsiTheme="majorBidi" w:cstheme="majorBidi"/>
          <w:sz w:val="24"/>
          <w:szCs w:val="24"/>
        </w:rPr>
        <w:t xml:space="preserve">, </w:t>
      </w:r>
      <w:r w:rsidR="00D10B51" w:rsidRPr="00B503E6">
        <w:rPr>
          <w:rFonts w:asciiTheme="majorBidi" w:hAnsiTheme="majorBidi" w:cstheme="majorBidi"/>
          <w:sz w:val="24"/>
          <w:szCs w:val="24"/>
        </w:rPr>
        <w:t xml:space="preserve">the length of paved roads in the early 1920s was 30 kilometers (km), by 1936 there were 49 km of paved roads, and by 1944 there were 600 km of paved roads. </w:t>
      </w:r>
      <w:r w:rsidR="00553A07" w:rsidRPr="00B503E6">
        <w:rPr>
          <w:rFonts w:asciiTheme="majorBidi" w:hAnsiTheme="majorBidi" w:cstheme="majorBidi"/>
          <w:sz w:val="24"/>
          <w:szCs w:val="24"/>
        </w:rPr>
        <w:t xml:space="preserve">In Palestine, </w:t>
      </w:r>
      <w:r w:rsidR="001D3A78" w:rsidRPr="00B503E6">
        <w:rPr>
          <w:rFonts w:asciiTheme="majorBidi" w:hAnsiTheme="majorBidi" w:cstheme="majorBidi"/>
          <w:sz w:val="24"/>
          <w:szCs w:val="24"/>
        </w:rPr>
        <w:t xml:space="preserve">in 1922 </w:t>
      </w:r>
      <w:r w:rsidR="00553A07" w:rsidRPr="00B503E6">
        <w:rPr>
          <w:rFonts w:asciiTheme="majorBidi" w:hAnsiTheme="majorBidi" w:cstheme="majorBidi"/>
          <w:sz w:val="24"/>
          <w:szCs w:val="24"/>
        </w:rPr>
        <w:t xml:space="preserve">there were </w:t>
      </w:r>
      <w:r w:rsidR="006273D3" w:rsidRPr="00B503E6">
        <w:rPr>
          <w:rFonts w:asciiTheme="majorBidi" w:hAnsiTheme="majorBidi" w:cstheme="majorBidi"/>
          <w:sz w:val="24"/>
          <w:szCs w:val="24"/>
        </w:rPr>
        <w:t>450 km of all weather roads</w:t>
      </w:r>
      <w:r w:rsidR="001D3A78" w:rsidRPr="00B503E6">
        <w:rPr>
          <w:rFonts w:asciiTheme="majorBidi" w:hAnsiTheme="majorBidi" w:cstheme="majorBidi"/>
          <w:sz w:val="24"/>
          <w:szCs w:val="24"/>
        </w:rPr>
        <w:t>,</w:t>
      </w:r>
      <w:r w:rsidR="006273D3" w:rsidRPr="00B503E6">
        <w:rPr>
          <w:rFonts w:asciiTheme="majorBidi" w:hAnsiTheme="majorBidi" w:cstheme="majorBidi"/>
          <w:sz w:val="24"/>
          <w:szCs w:val="24"/>
        </w:rPr>
        <w:t xml:space="preserve"> and by 1944 there </w:t>
      </w:r>
      <w:r w:rsidR="003A4636" w:rsidRPr="00B503E6">
        <w:rPr>
          <w:rFonts w:asciiTheme="majorBidi" w:hAnsiTheme="majorBidi" w:cstheme="majorBidi"/>
          <w:sz w:val="24"/>
          <w:szCs w:val="24"/>
        </w:rPr>
        <w:t xml:space="preserve">were </w:t>
      </w:r>
      <w:r w:rsidR="006273D3" w:rsidRPr="00B503E6">
        <w:rPr>
          <w:rFonts w:asciiTheme="majorBidi" w:hAnsiTheme="majorBidi" w:cstheme="majorBidi"/>
          <w:sz w:val="24"/>
          <w:szCs w:val="24"/>
        </w:rPr>
        <w:t>2,640 km</w:t>
      </w:r>
      <w:r w:rsidR="001A4EE2" w:rsidRPr="00B503E6">
        <w:rPr>
          <w:rFonts w:asciiTheme="majorBidi" w:hAnsiTheme="majorBidi" w:cstheme="majorBidi"/>
          <w:sz w:val="24"/>
          <w:szCs w:val="24"/>
        </w:rPr>
        <w:t>.</w:t>
      </w:r>
      <w:r w:rsidR="00472006" w:rsidRPr="00B503E6">
        <w:rPr>
          <w:rFonts w:asciiTheme="majorBidi" w:hAnsiTheme="majorBidi" w:cstheme="majorBidi"/>
          <w:sz w:val="24"/>
          <w:szCs w:val="24"/>
        </w:rPr>
        <w:t xml:space="preserve">  In Syria and Lebanon, </w:t>
      </w:r>
      <w:r w:rsidR="003A4636" w:rsidRPr="00B503E6">
        <w:rPr>
          <w:rFonts w:asciiTheme="majorBidi" w:hAnsiTheme="majorBidi" w:cstheme="majorBidi"/>
          <w:sz w:val="24"/>
          <w:szCs w:val="24"/>
        </w:rPr>
        <w:t xml:space="preserve">in 1920 </w:t>
      </w:r>
      <w:r w:rsidR="0057777C" w:rsidRPr="00B503E6">
        <w:rPr>
          <w:rFonts w:asciiTheme="majorBidi" w:hAnsiTheme="majorBidi" w:cstheme="majorBidi"/>
          <w:sz w:val="24"/>
          <w:szCs w:val="24"/>
        </w:rPr>
        <w:t>there were 730 km of paved roads, in 1930, 2,100 km and in 1939, 2,900 km.</w:t>
      </w:r>
      <w:r w:rsidR="00FA5D4C">
        <w:rPr>
          <w:rStyle w:val="EndnoteReference"/>
          <w:rFonts w:asciiTheme="majorBidi" w:hAnsiTheme="majorBidi" w:cstheme="majorBidi"/>
          <w:sz w:val="24"/>
          <w:szCs w:val="24"/>
        </w:rPr>
        <w:endnoteReference w:id="12"/>
      </w:r>
      <w:r w:rsidR="0057777C" w:rsidRPr="00B503E6">
        <w:rPr>
          <w:rFonts w:asciiTheme="majorBidi" w:hAnsiTheme="majorBidi" w:cstheme="majorBidi"/>
          <w:sz w:val="24"/>
          <w:szCs w:val="24"/>
        </w:rPr>
        <w:t xml:space="preserve">  </w:t>
      </w:r>
    </w:p>
    <w:p w:rsidR="00203982" w:rsidRPr="00B503E6" w:rsidRDefault="008839E8" w:rsidP="006D2C6E">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T</w:t>
      </w:r>
      <w:r w:rsidR="00ED3DC8" w:rsidRPr="00B503E6">
        <w:rPr>
          <w:rFonts w:asciiTheme="majorBidi" w:hAnsiTheme="majorBidi" w:cstheme="majorBidi"/>
          <w:sz w:val="24"/>
          <w:szCs w:val="24"/>
        </w:rPr>
        <w:t xml:space="preserve">he British and the French </w:t>
      </w:r>
      <w:r w:rsidR="00C7161C" w:rsidRPr="00B503E6">
        <w:rPr>
          <w:rFonts w:asciiTheme="majorBidi" w:hAnsiTheme="majorBidi" w:cstheme="majorBidi"/>
          <w:sz w:val="24"/>
          <w:szCs w:val="24"/>
        </w:rPr>
        <w:t xml:space="preserve">also </w:t>
      </w:r>
      <w:r w:rsidR="00ED3DC8" w:rsidRPr="00B503E6">
        <w:rPr>
          <w:rFonts w:asciiTheme="majorBidi" w:hAnsiTheme="majorBidi" w:cstheme="majorBidi"/>
          <w:sz w:val="24"/>
          <w:szCs w:val="24"/>
        </w:rPr>
        <w:t xml:space="preserve">attempted to improve the agricultural sector in their respective </w:t>
      </w:r>
      <w:r w:rsidR="00955DF6" w:rsidRPr="00B503E6">
        <w:rPr>
          <w:rFonts w:asciiTheme="majorBidi" w:hAnsiTheme="majorBidi" w:cstheme="majorBidi"/>
          <w:sz w:val="24"/>
          <w:szCs w:val="24"/>
        </w:rPr>
        <w:t>m</w:t>
      </w:r>
      <w:r w:rsidR="00E26C05" w:rsidRPr="00B503E6">
        <w:rPr>
          <w:rFonts w:asciiTheme="majorBidi" w:hAnsiTheme="majorBidi" w:cstheme="majorBidi"/>
          <w:sz w:val="24"/>
          <w:szCs w:val="24"/>
        </w:rPr>
        <w:t>andate</w:t>
      </w:r>
      <w:r w:rsidR="00ED3DC8" w:rsidRPr="00B503E6">
        <w:rPr>
          <w:rFonts w:asciiTheme="majorBidi" w:hAnsiTheme="majorBidi" w:cstheme="majorBidi"/>
          <w:sz w:val="24"/>
          <w:szCs w:val="24"/>
        </w:rPr>
        <w:t>s</w:t>
      </w:r>
      <w:r w:rsidR="00B879B8" w:rsidRPr="00B503E6">
        <w:rPr>
          <w:rFonts w:asciiTheme="majorBidi" w:hAnsiTheme="majorBidi" w:cstheme="majorBidi"/>
          <w:sz w:val="24"/>
          <w:szCs w:val="24"/>
        </w:rPr>
        <w:t>.</w:t>
      </w:r>
      <w:r w:rsidR="00ED3DC8" w:rsidRPr="00B503E6">
        <w:rPr>
          <w:rFonts w:asciiTheme="majorBidi" w:hAnsiTheme="majorBidi" w:cstheme="majorBidi"/>
          <w:sz w:val="24"/>
          <w:szCs w:val="24"/>
        </w:rPr>
        <w:t xml:space="preserve"> </w:t>
      </w:r>
      <w:r w:rsidR="00B879B8" w:rsidRPr="00B503E6">
        <w:rPr>
          <w:rFonts w:asciiTheme="majorBidi" w:hAnsiTheme="majorBidi" w:cstheme="majorBidi"/>
          <w:sz w:val="24"/>
          <w:szCs w:val="24"/>
        </w:rPr>
        <w:t xml:space="preserve"> </w:t>
      </w:r>
      <w:r w:rsidR="00227B7A" w:rsidRPr="00B503E6">
        <w:rPr>
          <w:rFonts w:asciiTheme="majorBidi" w:hAnsiTheme="majorBidi" w:cstheme="majorBidi"/>
          <w:sz w:val="24"/>
          <w:szCs w:val="24"/>
        </w:rPr>
        <w:t>Program</w:t>
      </w:r>
      <w:r w:rsidR="00A725F9" w:rsidRPr="00B503E6">
        <w:rPr>
          <w:rFonts w:asciiTheme="majorBidi" w:hAnsiTheme="majorBidi" w:cstheme="majorBidi"/>
          <w:sz w:val="24"/>
          <w:szCs w:val="24"/>
        </w:rPr>
        <w:t>s</w:t>
      </w:r>
      <w:r w:rsidR="00227B7A" w:rsidRPr="00B503E6">
        <w:rPr>
          <w:rFonts w:asciiTheme="majorBidi" w:hAnsiTheme="majorBidi" w:cstheme="majorBidi"/>
          <w:sz w:val="24"/>
          <w:szCs w:val="24"/>
        </w:rPr>
        <w:t xml:space="preserve"> were instituted </w:t>
      </w:r>
      <w:r w:rsidR="00C344C9" w:rsidRPr="00B503E6">
        <w:rPr>
          <w:rFonts w:asciiTheme="majorBidi" w:hAnsiTheme="majorBidi" w:cstheme="majorBidi"/>
          <w:sz w:val="24"/>
          <w:szCs w:val="24"/>
        </w:rPr>
        <w:t>to educate the fa</w:t>
      </w:r>
      <w:r w:rsidR="00A725F9" w:rsidRPr="00B503E6">
        <w:rPr>
          <w:rFonts w:asciiTheme="majorBidi" w:hAnsiTheme="majorBidi" w:cstheme="majorBidi"/>
          <w:sz w:val="24"/>
          <w:szCs w:val="24"/>
        </w:rPr>
        <w:t>r</w:t>
      </w:r>
      <w:r w:rsidR="00C344C9" w:rsidRPr="00B503E6">
        <w:rPr>
          <w:rFonts w:asciiTheme="majorBidi" w:hAnsiTheme="majorBidi" w:cstheme="majorBidi"/>
          <w:sz w:val="24"/>
          <w:szCs w:val="24"/>
        </w:rPr>
        <w:t xml:space="preserve">mers, to provide research to improve productivity of the land, to import new crops and breeds, </w:t>
      </w:r>
      <w:r w:rsidR="005D6770" w:rsidRPr="00B503E6">
        <w:rPr>
          <w:rFonts w:asciiTheme="majorBidi" w:hAnsiTheme="majorBidi" w:cstheme="majorBidi"/>
          <w:sz w:val="24"/>
          <w:szCs w:val="24"/>
        </w:rPr>
        <w:t xml:space="preserve">and </w:t>
      </w:r>
      <w:r w:rsidR="0087649C" w:rsidRPr="00B503E6">
        <w:rPr>
          <w:rFonts w:asciiTheme="majorBidi" w:hAnsiTheme="majorBidi" w:cstheme="majorBidi"/>
          <w:sz w:val="24"/>
          <w:szCs w:val="24"/>
        </w:rPr>
        <w:t>to eradicate pests that damaged crops and livestock</w:t>
      </w:r>
      <w:r w:rsidR="005D6770" w:rsidRPr="00B503E6">
        <w:rPr>
          <w:rFonts w:asciiTheme="majorBidi" w:hAnsiTheme="majorBidi" w:cstheme="majorBidi"/>
          <w:sz w:val="24"/>
          <w:szCs w:val="24"/>
        </w:rPr>
        <w:t>.</w:t>
      </w:r>
      <w:r w:rsidR="00FA5D4C">
        <w:rPr>
          <w:rStyle w:val="EndnoteReference"/>
          <w:rFonts w:asciiTheme="majorBidi" w:hAnsiTheme="majorBidi" w:cstheme="majorBidi"/>
          <w:sz w:val="24"/>
          <w:szCs w:val="24"/>
        </w:rPr>
        <w:endnoteReference w:id="13"/>
      </w:r>
      <w:r w:rsidR="006D2C6E">
        <w:rPr>
          <w:rFonts w:asciiTheme="majorBidi" w:hAnsiTheme="majorBidi" w:cstheme="majorBidi"/>
          <w:sz w:val="24"/>
          <w:szCs w:val="24"/>
        </w:rPr>
        <w:t xml:space="preserve"> </w:t>
      </w:r>
      <w:r w:rsidR="00C344C9" w:rsidRPr="00B503E6">
        <w:rPr>
          <w:rFonts w:asciiTheme="majorBidi" w:hAnsiTheme="majorBidi" w:cstheme="majorBidi"/>
          <w:sz w:val="24"/>
          <w:szCs w:val="24"/>
        </w:rPr>
        <w:t xml:space="preserve"> </w:t>
      </w:r>
      <w:r w:rsidR="005D6770" w:rsidRPr="00B503E6">
        <w:rPr>
          <w:rFonts w:asciiTheme="majorBidi" w:hAnsiTheme="majorBidi" w:cstheme="majorBidi"/>
          <w:sz w:val="24"/>
          <w:szCs w:val="24"/>
        </w:rPr>
        <w:t xml:space="preserve">Efforts were also made to increase the amount of irrigated land, but this had limited success. </w:t>
      </w:r>
      <w:r w:rsidR="0087649C" w:rsidRPr="00B503E6">
        <w:rPr>
          <w:rFonts w:asciiTheme="majorBidi" w:hAnsiTheme="majorBidi" w:cstheme="majorBidi"/>
          <w:sz w:val="24"/>
          <w:szCs w:val="24"/>
        </w:rPr>
        <w:t xml:space="preserve"> </w:t>
      </w:r>
      <w:r w:rsidR="00026A86" w:rsidRPr="00B503E6">
        <w:rPr>
          <w:rFonts w:asciiTheme="majorBidi" w:hAnsiTheme="majorBidi" w:cstheme="majorBidi"/>
          <w:sz w:val="24"/>
          <w:szCs w:val="24"/>
        </w:rPr>
        <w:t xml:space="preserve">The governments also provided </w:t>
      </w:r>
      <w:r w:rsidR="00EE36F6" w:rsidRPr="00B503E6">
        <w:rPr>
          <w:rFonts w:asciiTheme="majorBidi" w:hAnsiTheme="majorBidi" w:cstheme="majorBidi"/>
          <w:sz w:val="24"/>
          <w:szCs w:val="24"/>
        </w:rPr>
        <w:t xml:space="preserve">low interest </w:t>
      </w:r>
      <w:r w:rsidR="00026A86" w:rsidRPr="00B503E6">
        <w:rPr>
          <w:rFonts w:asciiTheme="majorBidi" w:hAnsiTheme="majorBidi" w:cstheme="majorBidi"/>
          <w:sz w:val="24"/>
          <w:szCs w:val="24"/>
        </w:rPr>
        <w:t>loans to the fa</w:t>
      </w:r>
      <w:r w:rsidR="006424A7" w:rsidRPr="00B503E6">
        <w:rPr>
          <w:rFonts w:asciiTheme="majorBidi" w:hAnsiTheme="majorBidi" w:cstheme="majorBidi"/>
          <w:sz w:val="24"/>
          <w:szCs w:val="24"/>
        </w:rPr>
        <w:t>r</w:t>
      </w:r>
      <w:r w:rsidR="00026A86" w:rsidRPr="00B503E6">
        <w:rPr>
          <w:rFonts w:asciiTheme="majorBidi" w:hAnsiTheme="majorBidi" w:cstheme="majorBidi"/>
          <w:sz w:val="24"/>
          <w:szCs w:val="24"/>
        </w:rPr>
        <w:t>mers</w:t>
      </w:r>
      <w:r w:rsidR="00227B7A" w:rsidRPr="00B503E6">
        <w:rPr>
          <w:rFonts w:asciiTheme="majorBidi" w:hAnsiTheme="majorBidi" w:cstheme="majorBidi"/>
          <w:sz w:val="24"/>
          <w:szCs w:val="24"/>
        </w:rPr>
        <w:t xml:space="preserve">.  However, </w:t>
      </w:r>
      <w:r w:rsidR="00026A86" w:rsidRPr="00B503E6">
        <w:rPr>
          <w:rFonts w:asciiTheme="majorBidi" w:hAnsiTheme="majorBidi" w:cstheme="majorBidi"/>
          <w:sz w:val="24"/>
          <w:szCs w:val="24"/>
        </w:rPr>
        <w:t xml:space="preserve">the sums were small in Palestine and Trans-Jordan, while in Syria and Lebanon, these loans became counter-productive since most of the loans were granted to the wealthy landowners, who </w:t>
      </w:r>
      <w:r w:rsidR="00EE36F6" w:rsidRPr="00B503E6">
        <w:rPr>
          <w:rFonts w:asciiTheme="majorBidi" w:hAnsiTheme="majorBidi" w:cstheme="majorBidi"/>
          <w:sz w:val="24"/>
          <w:szCs w:val="24"/>
        </w:rPr>
        <w:t>then re-lent the money to peasants (</w:t>
      </w:r>
      <w:r w:rsidR="00EE36F6" w:rsidRPr="00B503E6">
        <w:rPr>
          <w:rFonts w:asciiTheme="majorBidi" w:hAnsiTheme="majorBidi" w:cstheme="majorBidi"/>
          <w:i/>
          <w:iCs/>
          <w:sz w:val="24"/>
          <w:szCs w:val="24"/>
        </w:rPr>
        <w:t>fellahin</w:t>
      </w:r>
      <w:r w:rsidR="00EE36F6" w:rsidRPr="00B503E6">
        <w:rPr>
          <w:rFonts w:asciiTheme="majorBidi" w:hAnsiTheme="majorBidi" w:cstheme="majorBidi"/>
          <w:sz w:val="24"/>
          <w:szCs w:val="24"/>
        </w:rPr>
        <w:t>)</w:t>
      </w:r>
      <w:r w:rsidR="00026A86" w:rsidRPr="00B503E6">
        <w:rPr>
          <w:rFonts w:asciiTheme="majorBidi" w:hAnsiTheme="majorBidi" w:cstheme="majorBidi"/>
          <w:sz w:val="24"/>
          <w:szCs w:val="24"/>
        </w:rPr>
        <w:t xml:space="preserve"> </w:t>
      </w:r>
      <w:r w:rsidR="00EE36F6" w:rsidRPr="00B503E6">
        <w:rPr>
          <w:rFonts w:asciiTheme="majorBidi" w:hAnsiTheme="majorBidi" w:cstheme="majorBidi"/>
          <w:sz w:val="24"/>
          <w:szCs w:val="24"/>
        </w:rPr>
        <w:t xml:space="preserve">at much higher </w:t>
      </w:r>
      <w:r w:rsidR="0094742C" w:rsidRPr="00B503E6">
        <w:rPr>
          <w:rFonts w:asciiTheme="majorBidi" w:hAnsiTheme="majorBidi" w:cstheme="majorBidi"/>
          <w:sz w:val="24"/>
          <w:szCs w:val="24"/>
        </w:rPr>
        <w:t xml:space="preserve">interest </w:t>
      </w:r>
      <w:r w:rsidR="00EE36F6" w:rsidRPr="00B503E6">
        <w:rPr>
          <w:rFonts w:asciiTheme="majorBidi" w:hAnsiTheme="majorBidi" w:cstheme="majorBidi"/>
          <w:sz w:val="24"/>
          <w:szCs w:val="24"/>
        </w:rPr>
        <w:t>rates.</w:t>
      </w:r>
      <w:r w:rsidR="006D2C6E">
        <w:rPr>
          <w:rStyle w:val="EndnoteReference"/>
          <w:rFonts w:asciiTheme="majorBidi" w:hAnsiTheme="majorBidi" w:cstheme="majorBidi"/>
          <w:sz w:val="24"/>
          <w:szCs w:val="24"/>
        </w:rPr>
        <w:endnoteReference w:id="14"/>
      </w:r>
      <w:r w:rsidR="00026A86" w:rsidRPr="00B503E6">
        <w:rPr>
          <w:rFonts w:asciiTheme="majorBidi" w:hAnsiTheme="majorBidi" w:cstheme="majorBidi"/>
          <w:sz w:val="24"/>
          <w:szCs w:val="24"/>
        </w:rPr>
        <w:t xml:space="preserve">  </w:t>
      </w:r>
      <w:r w:rsidR="0087649C" w:rsidRPr="00B503E6">
        <w:rPr>
          <w:rFonts w:asciiTheme="majorBidi" w:hAnsiTheme="majorBidi" w:cstheme="majorBidi"/>
          <w:sz w:val="24"/>
          <w:szCs w:val="24"/>
        </w:rPr>
        <w:t xml:space="preserve"> </w:t>
      </w:r>
      <w:r w:rsidR="00C344C9" w:rsidRPr="00B503E6">
        <w:rPr>
          <w:rFonts w:asciiTheme="majorBidi" w:hAnsiTheme="majorBidi" w:cstheme="majorBidi"/>
          <w:sz w:val="24"/>
          <w:szCs w:val="24"/>
        </w:rPr>
        <w:t xml:space="preserve">   </w:t>
      </w:r>
    </w:p>
    <w:p w:rsidR="0040146B" w:rsidRPr="00B503E6" w:rsidRDefault="00625352" w:rsidP="006D2C6E">
      <w:pPr>
        <w:spacing w:line="480" w:lineRule="auto"/>
        <w:ind w:firstLine="567"/>
        <w:jc w:val="both"/>
        <w:rPr>
          <w:rFonts w:asciiTheme="majorBidi" w:hAnsiTheme="majorBidi" w:cstheme="majorBidi"/>
          <w:sz w:val="24"/>
          <w:szCs w:val="24"/>
        </w:rPr>
      </w:pPr>
      <w:r w:rsidRPr="00B503E6">
        <w:rPr>
          <w:rFonts w:asciiTheme="majorBidi" w:hAnsiTheme="majorBidi" w:cstheme="majorBidi"/>
          <w:sz w:val="24"/>
          <w:szCs w:val="24"/>
        </w:rPr>
        <w:t xml:space="preserve">The primary method </w:t>
      </w:r>
      <w:r w:rsidR="001D1A79" w:rsidRPr="00B503E6">
        <w:rPr>
          <w:rFonts w:asciiTheme="majorBidi" w:hAnsiTheme="majorBidi" w:cstheme="majorBidi"/>
          <w:sz w:val="24"/>
          <w:szCs w:val="24"/>
        </w:rPr>
        <w:t xml:space="preserve">of the British and French </w:t>
      </w:r>
      <w:r w:rsidRPr="00B503E6">
        <w:rPr>
          <w:rFonts w:asciiTheme="majorBidi" w:hAnsiTheme="majorBidi" w:cstheme="majorBidi"/>
          <w:sz w:val="24"/>
          <w:szCs w:val="24"/>
        </w:rPr>
        <w:t xml:space="preserve">to help the famers in </w:t>
      </w:r>
      <w:r w:rsidR="0014019C" w:rsidRPr="00B503E6">
        <w:rPr>
          <w:rFonts w:asciiTheme="majorBidi" w:hAnsiTheme="majorBidi" w:cstheme="majorBidi"/>
          <w:sz w:val="24"/>
          <w:szCs w:val="24"/>
        </w:rPr>
        <w:t xml:space="preserve">LPST </w:t>
      </w:r>
      <w:r w:rsidRPr="00B503E6">
        <w:rPr>
          <w:rFonts w:asciiTheme="majorBidi" w:hAnsiTheme="majorBidi" w:cstheme="majorBidi"/>
          <w:sz w:val="24"/>
          <w:szCs w:val="24"/>
        </w:rPr>
        <w:t xml:space="preserve">was </w:t>
      </w:r>
      <w:r w:rsidR="0014019C" w:rsidRPr="00B503E6">
        <w:rPr>
          <w:rFonts w:asciiTheme="majorBidi" w:hAnsiTheme="majorBidi" w:cstheme="majorBidi"/>
          <w:sz w:val="24"/>
          <w:szCs w:val="24"/>
        </w:rPr>
        <w:t xml:space="preserve">through </w:t>
      </w:r>
      <w:r w:rsidRPr="00B503E6">
        <w:rPr>
          <w:rFonts w:asciiTheme="majorBidi" w:hAnsiTheme="majorBidi" w:cstheme="majorBidi"/>
          <w:sz w:val="24"/>
          <w:szCs w:val="24"/>
        </w:rPr>
        <w:t xml:space="preserve">land reform.  </w:t>
      </w:r>
      <w:r w:rsidR="00B153D3" w:rsidRPr="00B503E6">
        <w:rPr>
          <w:rFonts w:asciiTheme="majorBidi" w:hAnsiTheme="majorBidi" w:cstheme="majorBidi"/>
          <w:sz w:val="24"/>
          <w:szCs w:val="24"/>
        </w:rPr>
        <w:t>When the mandate period began, the registration of land by the Ottomans had not been completed and what records existed were deemed unreliable.</w:t>
      </w:r>
      <w:r w:rsidR="006D2C6E">
        <w:rPr>
          <w:rStyle w:val="EndnoteReference"/>
          <w:rFonts w:asciiTheme="majorBidi" w:hAnsiTheme="majorBidi" w:cstheme="majorBidi"/>
          <w:sz w:val="24"/>
          <w:szCs w:val="24"/>
        </w:rPr>
        <w:endnoteReference w:id="15"/>
      </w:r>
      <w:r w:rsidR="00B153D3" w:rsidRPr="00B503E6">
        <w:rPr>
          <w:rFonts w:asciiTheme="majorBidi" w:hAnsiTheme="majorBidi" w:cstheme="majorBidi"/>
          <w:sz w:val="24"/>
          <w:szCs w:val="24"/>
        </w:rPr>
        <w:t xml:space="preserve"> In addition, b</w:t>
      </w:r>
      <w:r w:rsidR="00E33EC3" w:rsidRPr="00B503E6">
        <w:rPr>
          <w:rFonts w:asciiTheme="majorBidi" w:hAnsiTheme="majorBidi" w:cstheme="majorBidi"/>
          <w:sz w:val="24"/>
          <w:szCs w:val="24"/>
        </w:rPr>
        <w:t xml:space="preserve">oth the British and the French viewed the </w:t>
      </w:r>
      <w:r w:rsidR="00E33EC3" w:rsidRPr="00B503E6">
        <w:rPr>
          <w:rFonts w:asciiTheme="majorBidi" w:hAnsiTheme="majorBidi" w:cstheme="majorBidi"/>
          <w:i/>
          <w:iCs/>
          <w:sz w:val="24"/>
          <w:szCs w:val="24"/>
        </w:rPr>
        <w:t>musha</w:t>
      </w:r>
      <w:r w:rsidR="008F45C3" w:rsidRPr="00B503E6">
        <w:rPr>
          <w:rFonts w:asciiTheme="majorBidi" w:hAnsiTheme="majorBidi" w:cstheme="majorBidi"/>
          <w:i/>
          <w:iCs/>
          <w:sz w:val="24"/>
          <w:szCs w:val="24"/>
        </w:rPr>
        <w:t>`</w:t>
      </w:r>
      <w:r w:rsidR="00E33EC3" w:rsidRPr="00B503E6">
        <w:rPr>
          <w:rFonts w:asciiTheme="majorBidi" w:hAnsiTheme="majorBidi" w:cstheme="majorBidi"/>
          <w:sz w:val="24"/>
          <w:szCs w:val="24"/>
        </w:rPr>
        <w:t xml:space="preserve"> system as being </w:t>
      </w:r>
      <w:r w:rsidR="00E33EC3" w:rsidRPr="00B503E6">
        <w:rPr>
          <w:rFonts w:asciiTheme="majorBidi" w:hAnsiTheme="majorBidi" w:cstheme="majorBidi"/>
          <w:sz w:val="24"/>
          <w:szCs w:val="24"/>
        </w:rPr>
        <w:lastRenderedPageBreak/>
        <w:t>detrimental to the development of the land</w:t>
      </w:r>
      <w:r w:rsidR="00E76FAE" w:rsidRPr="00B503E6">
        <w:rPr>
          <w:rFonts w:asciiTheme="majorBidi" w:hAnsiTheme="majorBidi" w:cstheme="majorBidi"/>
          <w:sz w:val="24"/>
          <w:szCs w:val="24"/>
        </w:rPr>
        <w:t>. T</w:t>
      </w:r>
      <w:r w:rsidR="00E33EC3" w:rsidRPr="00B503E6">
        <w:rPr>
          <w:rFonts w:asciiTheme="majorBidi" w:hAnsiTheme="majorBidi" w:cstheme="majorBidi"/>
          <w:sz w:val="24"/>
          <w:szCs w:val="24"/>
        </w:rPr>
        <w:t>hey attempted to end it with the cadastral surveys since then the land could be permanently divided and each farmer would have an incentive to develop his</w:t>
      </w:r>
      <w:r w:rsidR="0066799F" w:rsidRPr="00B503E6">
        <w:rPr>
          <w:rFonts w:asciiTheme="majorBidi" w:hAnsiTheme="majorBidi" w:cstheme="majorBidi"/>
          <w:sz w:val="24"/>
          <w:szCs w:val="24"/>
        </w:rPr>
        <w:t>/ her</w:t>
      </w:r>
      <w:r w:rsidR="00E33EC3" w:rsidRPr="00B503E6">
        <w:rPr>
          <w:rFonts w:asciiTheme="majorBidi" w:hAnsiTheme="majorBidi" w:cstheme="majorBidi"/>
          <w:sz w:val="24"/>
          <w:szCs w:val="24"/>
        </w:rPr>
        <w:t xml:space="preserve"> private land.</w:t>
      </w:r>
      <w:r w:rsidR="006D2C6E">
        <w:rPr>
          <w:rStyle w:val="EndnoteReference"/>
          <w:rFonts w:asciiTheme="majorBidi" w:hAnsiTheme="majorBidi" w:cstheme="majorBidi"/>
          <w:sz w:val="24"/>
          <w:szCs w:val="24"/>
        </w:rPr>
        <w:endnoteReference w:id="16"/>
      </w:r>
      <w:r w:rsidR="006D2C6E">
        <w:rPr>
          <w:rFonts w:asciiTheme="majorBidi" w:hAnsiTheme="majorBidi" w:cstheme="majorBidi"/>
          <w:sz w:val="24"/>
          <w:szCs w:val="24"/>
        </w:rPr>
        <w:t xml:space="preserve"> </w:t>
      </w:r>
      <w:r w:rsidR="00E33EC3" w:rsidRPr="00B503E6">
        <w:rPr>
          <w:rFonts w:asciiTheme="majorBidi" w:hAnsiTheme="majorBidi" w:cstheme="majorBidi"/>
          <w:sz w:val="24"/>
          <w:szCs w:val="24"/>
        </w:rPr>
        <w:t xml:space="preserve"> </w:t>
      </w:r>
      <w:r w:rsidR="0094742C" w:rsidRPr="00B503E6">
        <w:rPr>
          <w:rFonts w:asciiTheme="majorBidi" w:hAnsiTheme="majorBidi" w:cstheme="majorBidi"/>
          <w:sz w:val="24"/>
          <w:szCs w:val="24"/>
        </w:rPr>
        <w:t xml:space="preserve">Already by 1920, </w:t>
      </w:r>
      <w:r w:rsidR="00385C11" w:rsidRPr="00B503E6">
        <w:rPr>
          <w:rFonts w:asciiTheme="majorBidi" w:hAnsiTheme="majorBidi" w:cstheme="majorBidi"/>
          <w:sz w:val="24"/>
          <w:szCs w:val="24"/>
        </w:rPr>
        <w:t xml:space="preserve">the British </w:t>
      </w:r>
      <w:r w:rsidR="00B153D3" w:rsidRPr="00B503E6">
        <w:rPr>
          <w:rFonts w:asciiTheme="majorBidi" w:hAnsiTheme="majorBidi" w:cstheme="majorBidi"/>
          <w:sz w:val="24"/>
          <w:szCs w:val="24"/>
        </w:rPr>
        <w:t xml:space="preserve">in Palestine </w:t>
      </w:r>
      <w:r w:rsidR="00385C11" w:rsidRPr="00B503E6">
        <w:rPr>
          <w:rFonts w:asciiTheme="majorBidi" w:hAnsiTheme="majorBidi" w:cstheme="majorBidi"/>
          <w:sz w:val="24"/>
          <w:szCs w:val="24"/>
        </w:rPr>
        <w:t xml:space="preserve">and the French </w:t>
      </w:r>
      <w:r w:rsidR="004C2620" w:rsidRPr="00B503E6">
        <w:rPr>
          <w:rFonts w:asciiTheme="majorBidi" w:hAnsiTheme="majorBidi" w:cstheme="majorBidi"/>
          <w:sz w:val="24"/>
          <w:szCs w:val="24"/>
        </w:rPr>
        <w:t xml:space="preserve">mandatory authorities </w:t>
      </w:r>
      <w:r w:rsidR="00B153D3" w:rsidRPr="00B503E6">
        <w:rPr>
          <w:rFonts w:asciiTheme="majorBidi" w:hAnsiTheme="majorBidi" w:cstheme="majorBidi"/>
          <w:sz w:val="24"/>
          <w:szCs w:val="24"/>
        </w:rPr>
        <w:t xml:space="preserve">in Syria and Lebanon </w:t>
      </w:r>
      <w:r w:rsidR="004C2620" w:rsidRPr="00B503E6">
        <w:rPr>
          <w:rFonts w:asciiTheme="majorBidi" w:hAnsiTheme="majorBidi" w:cstheme="majorBidi"/>
          <w:sz w:val="24"/>
          <w:szCs w:val="24"/>
        </w:rPr>
        <w:t>authorize</w:t>
      </w:r>
      <w:r w:rsidR="0094742C" w:rsidRPr="00B503E6">
        <w:rPr>
          <w:rFonts w:asciiTheme="majorBidi" w:hAnsiTheme="majorBidi" w:cstheme="majorBidi"/>
          <w:sz w:val="24"/>
          <w:szCs w:val="24"/>
        </w:rPr>
        <w:t>d</w:t>
      </w:r>
      <w:r w:rsidR="004C2620" w:rsidRPr="00B503E6">
        <w:rPr>
          <w:rFonts w:asciiTheme="majorBidi" w:hAnsiTheme="majorBidi" w:cstheme="majorBidi"/>
          <w:sz w:val="24"/>
          <w:szCs w:val="24"/>
        </w:rPr>
        <w:t xml:space="preserve"> a</w:t>
      </w:r>
      <w:r w:rsidR="00385C11" w:rsidRPr="00B503E6">
        <w:rPr>
          <w:rFonts w:asciiTheme="majorBidi" w:hAnsiTheme="majorBidi" w:cstheme="majorBidi"/>
          <w:sz w:val="24"/>
          <w:szCs w:val="24"/>
        </w:rPr>
        <w:t xml:space="preserve"> cadastral survey to establish a new and </w:t>
      </w:r>
      <w:r w:rsidR="0066799F" w:rsidRPr="00B503E6">
        <w:rPr>
          <w:rFonts w:asciiTheme="majorBidi" w:hAnsiTheme="majorBidi" w:cstheme="majorBidi"/>
          <w:sz w:val="24"/>
          <w:szCs w:val="24"/>
        </w:rPr>
        <w:t>“</w:t>
      </w:r>
      <w:r w:rsidR="00385C11" w:rsidRPr="00B503E6">
        <w:rPr>
          <w:rFonts w:asciiTheme="majorBidi" w:hAnsiTheme="majorBidi" w:cstheme="majorBidi"/>
          <w:sz w:val="24"/>
          <w:szCs w:val="24"/>
        </w:rPr>
        <w:t>modern</w:t>
      </w:r>
      <w:r w:rsidR="0066799F" w:rsidRPr="00B503E6">
        <w:rPr>
          <w:rFonts w:asciiTheme="majorBidi" w:hAnsiTheme="majorBidi" w:cstheme="majorBidi"/>
          <w:sz w:val="24"/>
          <w:szCs w:val="24"/>
        </w:rPr>
        <w:t>”</w:t>
      </w:r>
      <w:r w:rsidR="00385C11" w:rsidRPr="00B503E6">
        <w:rPr>
          <w:rFonts w:asciiTheme="majorBidi" w:hAnsiTheme="majorBidi" w:cstheme="majorBidi"/>
          <w:sz w:val="24"/>
          <w:szCs w:val="24"/>
        </w:rPr>
        <w:t xml:space="preserve"> land registry.</w:t>
      </w:r>
      <w:r w:rsidR="000D6CA6" w:rsidRPr="00B503E6">
        <w:rPr>
          <w:rFonts w:asciiTheme="majorBidi" w:hAnsiTheme="majorBidi" w:cstheme="majorBidi"/>
          <w:sz w:val="24"/>
          <w:szCs w:val="24"/>
        </w:rPr>
        <w:t xml:space="preserve"> </w:t>
      </w:r>
      <w:r w:rsidR="00BD0323" w:rsidRPr="00B503E6">
        <w:rPr>
          <w:rFonts w:asciiTheme="majorBidi" w:hAnsiTheme="majorBidi" w:cstheme="majorBidi"/>
          <w:sz w:val="24"/>
          <w:szCs w:val="24"/>
        </w:rPr>
        <w:t>In 1930, the French also promulgated a new land code for Syria and Lebanon</w:t>
      </w:r>
      <w:r w:rsidR="00B879B8" w:rsidRPr="00B503E6">
        <w:rPr>
          <w:rFonts w:asciiTheme="majorBidi" w:hAnsiTheme="majorBidi" w:cstheme="majorBidi"/>
          <w:sz w:val="24"/>
          <w:szCs w:val="24"/>
        </w:rPr>
        <w:t>.</w:t>
      </w:r>
      <w:r w:rsidR="006D2C6E">
        <w:rPr>
          <w:rStyle w:val="EndnoteReference"/>
          <w:rFonts w:asciiTheme="majorBidi" w:hAnsiTheme="majorBidi" w:cstheme="majorBidi"/>
          <w:sz w:val="24"/>
          <w:szCs w:val="24"/>
        </w:rPr>
        <w:endnoteReference w:id="17"/>
      </w:r>
      <w:r w:rsidR="00761A98" w:rsidRPr="00B503E6">
        <w:rPr>
          <w:rFonts w:asciiTheme="majorBidi" w:hAnsiTheme="majorBidi" w:cstheme="majorBidi"/>
          <w:sz w:val="24"/>
          <w:szCs w:val="24"/>
        </w:rPr>
        <w:t xml:space="preserve">   </w:t>
      </w:r>
    </w:p>
    <w:p w:rsidR="008F45C3" w:rsidRPr="00B503E6" w:rsidRDefault="00DD1873" w:rsidP="006D2C6E">
      <w:pPr>
        <w:spacing w:line="480" w:lineRule="auto"/>
        <w:ind w:firstLine="567"/>
        <w:jc w:val="both"/>
        <w:rPr>
          <w:rFonts w:asciiTheme="majorBidi" w:hAnsiTheme="majorBidi" w:cstheme="majorBidi"/>
          <w:sz w:val="24"/>
          <w:szCs w:val="24"/>
        </w:rPr>
      </w:pPr>
      <w:r w:rsidRPr="00B503E6">
        <w:rPr>
          <w:rFonts w:asciiTheme="majorBidi" w:hAnsiTheme="majorBidi" w:cstheme="majorBidi"/>
          <w:sz w:val="24"/>
          <w:szCs w:val="24"/>
        </w:rPr>
        <w:t xml:space="preserve">The </w:t>
      </w:r>
      <w:r w:rsidR="00D72379" w:rsidRPr="00B503E6">
        <w:rPr>
          <w:rFonts w:asciiTheme="majorBidi" w:hAnsiTheme="majorBidi" w:cstheme="majorBidi"/>
          <w:sz w:val="24"/>
          <w:szCs w:val="24"/>
        </w:rPr>
        <w:t xml:space="preserve">same </w:t>
      </w:r>
      <w:r w:rsidRPr="00B503E6">
        <w:rPr>
          <w:rFonts w:asciiTheme="majorBidi" w:hAnsiTheme="majorBidi" w:cstheme="majorBidi"/>
          <w:sz w:val="24"/>
          <w:szCs w:val="24"/>
        </w:rPr>
        <w:t xml:space="preserve">land </w:t>
      </w:r>
      <w:r w:rsidR="007A0268" w:rsidRPr="00B503E6">
        <w:rPr>
          <w:rFonts w:asciiTheme="majorBidi" w:hAnsiTheme="majorBidi" w:cstheme="majorBidi"/>
          <w:sz w:val="24"/>
          <w:szCs w:val="24"/>
        </w:rPr>
        <w:t xml:space="preserve">settlement system </w:t>
      </w:r>
      <w:r w:rsidR="00D72379" w:rsidRPr="00B503E6">
        <w:rPr>
          <w:rFonts w:asciiTheme="majorBidi" w:hAnsiTheme="majorBidi" w:cstheme="majorBidi"/>
          <w:sz w:val="24"/>
          <w:szCs w:val="24"/>
        </w:rPr>
        <w:t xml:space="preserve">was used </w:t>
      </w:r>
      <w:r w:rsidR="007A0268" w:rsidRPr="00B503E6">
        <w:rPr>
          <w:rFonts w:asciiTheme="majorBidi" w:hAnsiTheme="majorBidi" w:cstheme="majorBidi"/>
          <w:sz w:val="24"/>
          <w:szCs w:val="24"/>
        </w:rPr>
        <w:t>i</w:t>
      </w:r>
      <w:r w:rsidR="00C93FFC" w:rsidRPr="00B503E6">
        <w:rPr>
          <w:rFonts w:asciiTheme="majorBidi" w:hAnsiTheme="majorBidi" w:cstheme="majorBidi"/>
          <w:sz w:val="24"/>
          <w:szCs w:val="24"/>
        </w:rPr>
        <w:t xml:space="preserve">n </w:t>
      </w:r>
      <w:r w:rsidR="00D72379" w:rsidRPr="00B503E6">
        <w:rPr>
          <w:rFonts w:asciiTheme="majorBidi" w:hAnsiTheme="majorBidi" w:cstheme="majorBidi"/>
          <w:sz w:val="24"/>
          <w:szCs w:val="24"/>
        </w:rPr>
        <w:t xml:space="preserve">all four areas </w:t>
      </w:r>
      <w:r w:rsidR="007A0268" w:rsidRPr="00B503E6">
        <w:rPr>
          <w:rFonts w:asciiTheme="majorBidi" w:hAnsiTheme="majorBidi" w:cstheme="majorBidi"/>
          <w:sz w:val="24"/>
          <w:szCs w:val="24"/>
        </w:rPr>
        <w:t xml:space="preserve">and </w:t>
      </w:r>
      <w:r w:rsidR="00D72379" w:rsidRPr="00B503E6">
        <w:rPr>
          <w:rFonts w:asciiTheme="majorBidi" w:hAnsiTheme="majorBidi" w:cstheme="majorBidi"/>
          <w:sz w:val="24"/>
          <w:szCs w:val="24"/>
        </w:rPr>
        <w:t xml:space="preserve">it </w:t>
      </w:r>
      <w:r w:rsidR="007A0268" w:rsidRPr="00B503E6">
        <w:rPr>
          <w:rFonts w:asciiTheme="majorBidi" w:hAnsiTheme="majorBidi" w:cstheme="majorBidi"/>
          <w:sz w:val="24"/>
          <w:szCs w:val="24"/>
        </w:rPr>
        <w:t xml:space="preserve">involved several stages. </w:t>
      </w:r>
      <w:r w:rsidR="006E4E9B" w:rsidRPr="00B503E6">
        <w:rPr>
          <w:rFonts w:asciiTheme="majorBidi" w:hAnsiTheme="majorBidi" w:cstheme="majorBidi"/>
          <w:sz w:val="24"/>
          <w:szCs w:val="24"/>
        </w:rPr>
        <w:t>The first stage was to survey the lands and to divide them into registration blocks.  Afterwards</w:t>
      </w:r>
      <w:r w:rsidR="00E7762A" w:rsidRPr="00B503E6">
        <w:rPr>
          <w:rFonts w:asciiTheme="majorBidi" w:hAnsiTheme="majorBidi" w:cstheme="majorBidi"/>
          <w:sz w:val="24"/>
          <w:szCs w:val="24"/>
        </w:rPr>
        <w:t xml:space="preserve"> there was the land settlement stage, where </w:t>
      </w:r>
      <w:r w:rsidR="00C840D6" w:rsidRPr="00B503E6">
        <w:rPr>
          <w:rFonts w:asciiTheme="majorBidi" w:hAnsiTheme="majorBidi" w:cstheme="majorBidi"/>
          <w:sz w:val="24"/>
          <w:szCs w:val="24"/>
        </w:rPr>
        <w:t xml:space="preserve">government </w:t>
      </w:r>
      <w:r w:rsidR="00E7762A" w:rsidRPr="00B503E6">
        <w:rPr>
          <w:rFonts w:asciiTheme="majorBidi" w:hAnsiTheme="majorBidi" w:cstheme="majorBidi"/>
          <w:sz w:val="24"/>
          <w:szCs w:val="24"/>
        </w:rPr>
        <w:t xml:space="preserve">officials </w:t>
      </w:r>
      <w:r w:rsidR="006E4E9B" w:rsidRPr="00B503E6">
        <w:rPr>
          <w:rFonts w:asciiTheme="majorBidi" w:hAnsiTheme="majorBidi" w:cstheme="majorBidi"/>
          <w:sz w:val="24"/>
          <w:szCs w:val="24"/>
        </w:rPr>
        <w:t>went to the respective villages</w:t>
      </w:r>
      <w:r w:rsidR="00790B5A" w:rsidRPr="00B503E6">
        <w:rPr>
          <w:rFonts w:asciiTheme="majorBidi" w:hAnsiTheme="majorBidi" w:cstheme="majorBidi"/>
          <w:sz w:val="24"/>
          <w:szCs w:val="24"/>
        </w:rPr>
        <w:t xml:space="preserve">, </w:t>
      </w:r>
      <w:r w:rsidR="006E4E9B" w:rsidRPr="00B503E6">
        <w:rPr>
          <w:rFonts w:asciiTheme="majorBidi" w:hAnsiTheme="majorBidi" w:cstheme="majorBidi"/>
          <w:sz w:val="24"/>
          <w:szCs w:val="24"/>
        </w:rPr>
        <w:t xml:space="preserve">recorded </w:t>
      </w:r>
      <w:r w:rsidR="00790B5A" w:rsidRPr="00B503E6">
        <w:rPr>
          <w:rFonts w:asciiTheme="majorBidi" w:hAnsiTheme="majorBidi" w:cstheme="majorBidi"/>
          <w:sz w:val="24"/>
          <w:szCs w:val="24"/>
        </w:rPr>
        <w:t xml:space="preserve">and adjudicated </w:t>
      </w:r>
      <w:r w:rsidR="006E4E9B" w:rsidRPr="00B503E6">
        <w:rPr>
          <w:rFonts w:asciiTheme="majorBidi" w:hAnsiTheme="majorBidi" w:cstheme="majorBidi"/>
          <w:sz w:val="24"/>
          <w:szCs w:val="24"/>
        </w:rPr>
        <w:t xml:space="preserve">the </w:t>
      </w:r>
      <w:r w:rsidR="00790B5A" w:rsidRPr="00B503E6">
        <w:rPr>
          <w:rFonts w:asciiTheme="majorBidi" w:hAnsiTheme="majorBidi" w:cstheme="majorBidi"/>
          <w:sz w:val="24"/>
          <w:szCs w:val="24"/>
        </w:rPr>
        <w:t xml:space="preserve">various </w:t>
      </w:r>
      <w:r w:rsidR="006E4E9B" w:rsidRPr="00B503E6">
        <w:rPr>
          <w:rFonts w:asciiTheme="majorBidi" w:hAnsiTheme="majorBidi" w:cstheme="majorBidi"/>
          <w:sz w:val="24"/>
          <w:szCs w:val="24"/>
        </w:rPr>
        <w:t>claims in reference to the divided blocks of lands</w:t>
      </w:r>
      <w:r w:rsidR="00790B5A" w:rsidRPr="00B503E6">
        <w:rPr>
          <w:rFonts w:asciiTheme="majorBidi" w:hAnsiTheme="majorBidi" w:cstheme="majorBidi"/>
          <w:sz w:val="24"/>
          <w:szCs w:val="24"/>
        </w:rPr>
        <w:t xml:space="preserve">.  The registry office </w:t>
      </w:r>
      <w:r w:rsidR="00E7762A" w:rsidRPr="00B503E6">
        <w:rPr>
          <w:rFonts w:asciiTheme="majorBidi" w:hAnsiTheme="majorBidi" w:cstheme="majorBidi"/>
          <w:sz w:val="24"/>
          <w:szCs w:val="24"/>
        </w:rPr>
        <w:t xml:space="preserve">then </w:t>
      </w:r>
      <w:r w:rsidR="00790B5A" w:rsidRPr="00B503E6">
        <w:rPr>
          <w:rFonts w:asciiTheme="majorBidi" w:hAnsiTheme="majorBidi" w:cstheme="majorBidi"/>
          <w:sz w:val="24"/>
          <w:szCs w:val="24"/>
        </w:rPr>
        <w:t>listed the owner of each block and parcel of land, which became his</w:t>
      </w:r>
      <w:r w:rsidR="00C840D6" w:rsidRPr="00B503E6">
        <w:rPr>
          <w:rFonts w:asciiTheme="majorBidi" w:hAnsiTheme="majorBidi" w:cstheme="majorBidi"/>
          <w:sz w:val="24"/>
          <w:szCs w:val="24"/>
        </w:rPr>
        <w:t>/ her</w:t>
      </w:r>
      <w:r w:rsidR="00790B5A" w:rsidRPr="00B503E6">
        <w:rPr>
          <w:rFonts w:asciiTheme="majorBidi" w:hAnsiTheme="majorBidi" w:cstheme="majorBidi"/>
          <w:sz w:val="24"/>
          <w:szCs w:val="24"/>
        </w:rPr>
        <w:t xml:space="preserve"> private property</w:t>
      </w:r>
      <w:r w:rsidR="00E7762A" w:rsidRPr="00B503E6">
        <w:rPr>
          <w:rFonts w:asciiTheme="majorBidi" w:hAnsiTheme="majorBidi" w:cstheme="majorBidi"/>
          <w:sz w:val="24"/>
          <w:szCs w:val="24"/>
        </w:rPr>
        <w:t xml:space="preserve"> in the sense that the person not only had the right to use the land but also the right to sell or mortgage the land</w:t>
      </w:r>
      <w:r w:rsidR="00790B5A" w:rsidRPr="00B503E6">
        <w:rPr>
          <w:rFonts w:asciiTheme="majorBidi" w:hAnsiTheme="majorBidi" w:cstheme="majorBidi"/>
          <w:sz w:val="24"/>
          <w:szCs w:val="24"/>
        </w:rPr>
        <w:t>.</w:t>
      </w:r>
      <w:r w:rsidR="006D2C6E">
        <w:rPr>
          <w:rStyle w:val="EndnoteReference"/>
          <w:rFonts w:asciiTheme="majorBidi" w:hAnsiTheme="majorBidi" w:cstheme="majorBidi"/>
          <w:sz w:val="24"/>
          <w:szCs w:val="24"/>
        </w:rPr>
        <w:endnoteReference w:id="18"/>
      </w:r>
    </w:p>
    <w:p w:rsidR="00505935" w:rsidRPr="00B503E6" w:rsidRDefault="001D1A79" w:rsidP="006360D8">
      <w:pPr>
        <w:spacing w:line="480" w:lineRule="auto"/>
        <w:ind w:firstLine="567"/>
        <w:jc w:val="both"/>
        <w:rPr>
          <w:rFonts w:asciiTheme="majorBidi" w:hAnsiTheme="majorBidi" w:cstheme="majorBidi"/>
          <w:sz w:val="24"/>
          <w:szCs w:val="24"/>
        </w:rPr>
      </w:pPr>
      <w:r w:rsidRPr="00B503E6">
        <w:rPr>
          <w:rFonts w:asciiTheme="majorBidi" w:hAnsiTheme="majorBidi" w:cstheme="majorBidi"/>
          <w:sz w:val="24"/>
          <w:szCs w:val="24"/>
        </w:rPr>
        <w:t>I</w:t>
      </w:r>
      <w:r w:rsidR="009D3B25" w:rsidRPr="00B503E6">
        <w:rPr>
          <w:rFonts w:asciiTheme="majorBidi" w:hAnsiTheme="majorBidi" w:cstheme="majorBidi"/>
          <w:sz w:val="24"/>
          <w:szCs w:val="24"/>
        </w:rPr>
        <w:t>n Palestine</w:t>
      </w:r>
      <w:r w:rsidRPr="00B503E6">
        <w:rPr>
          <w:rFonts w:asciiTheme="majorBidi" w:hAnsiTheme="majorBidi" w:cstheme="majorBidi"/>
          <w:sz w:val="24"/>
          <w:szCs w:val="24"/>
        </w:rPr>
        <w:t xml:space="preserve">, </w:t>
      </w:r>
      <w:r w:rsidR="00A22CA2" w:rsidRPr="00B503E6">
        <w:rPr>
          <w:rFonts w:asciiTheme="majorBidi" w:hAnsiTheme="majorBidi" w:cstheme="majorBidi"/>
          <w:sz w:val="24"/>
          <w:szCs w:val="24"/>
        </w:rPr>
        <w:t xml:space="preserve">by </w:t>
      </w:r>
      <w:r w:rsidR="005B42E7" w:rsidRPr="00B503E6">
        <w:rPr>
          <w:rFonts w:asciiTheme="majorBidi" w:hAnsiTheme="majorBidi" w:cstheme="majorBidi"/>
          <w:sz w:val="24"/>
          <w:szCs w:val="24"/>
        </w:rPr>
        <w:t>19</w:t>
      </w:r>
      <w:r w:rsidR="00667007" w:rsidRPr="00B503E6">
        <w:rPr>
          <w:rFonts w:asciiTheme="majorBidi" w:hAnsiTheme="majorBidi" w:cstheme="majorBidi"/>
          <w:sz w:val="24"/>
          <w:szCs w:val="24"/>
        </w:rPr>
        <w:t>45</w:t>
      </w:r>
      <w:r w:rsidR="005B42E7" w:rsidRPr="00B503E6">
        <w:rPr>
          <w:rFonts w:asciiTheme="majorBidi" w:hAnsiTheme="majorBidi" w:cstheme="majorBidi"/>
          <w:sz w:val="24"/>
          <w:szCs w:val="24"/>
        </w:rPr>
        <w:t xml:space="preserve">, </w:t>
      </w:r>
      <w:r w:rsidR="00667007" w:rsidRPr="00B503E6">
        <w:rPr>
          <w:rFonts w:asciiTheme="majorBidi" w:hAnsiTheme="majorBidi" w:cstheme="majorBidi"/>
          <w:sz w:val="24"/>
          <w:szCs w:val="24"/>
        </w:rPr>
        <w:t>4,8</w:t>
      </w:r>
      <w:r w:rsidR="00FC729B" w:rsidRPr="00B503E6">
        <w:rPr>
          <w:rFonts w:asciiTheme="majorBidi" w:hAnsiTheme="majorBidi" w:cstheme="majorBidi"/>
          <w:sz w:val="24"/>
          <w:szCs w:val="24"/>
        </w:rPr>
        <w:t xml:space="preserve">00 sq km </w:t>
      </w:r>
      <w:r w:rsidR="005B42E7" w:rsidRPr="00B503E6">
        <w:rPr>
          <w:rFonts w:asciiTheme="majorBidi" w:hAnsiTheme="majorBidi" w:cstheme="majorBidi"/>
          <w:sz w:val="24"/>
          <w:szCs w:val="24"/>
        </w:rPr>
        <w:t>had been settled</w:t>
      </w:r>
      <w:r w:rsidR="009D44C1" w:rsidRPr="00B503E6">
        <w:rPr>
          <w:rFonts w:asciiTheme="majorBidi" w:hAnsiTheme="majorBidi" w:cstheme="majorBidi"/>
          <w:sz w:val="24"/>
          <w:szCs w:val="24"/>
        </w:rPr>
        <w:t xml:space="preserve">, </w:t>
      </w:r>
      <w:r w:rsidR="00FC729B" w:rsidRPr="00B503E6">
        <w:rPr>
          <w:rFonts w:asciiTheme="majorBidi" w:hAnsiTheme="majorBidi" w:cstheme="majorBidi"/>
          <w:sz w:val="24"/>
          <w:szCs w:val="24"/>
        </w:rPr>
        <w:t xml:space="preserve">approximately </w:t>
      </w:r>
      <w:r w:rsidR="000963A2" w:rsidRPr="00B503E6">
        <w:rPr>
          <w:rFonts w:asciiTheme="majorBidi" w:hAnsiTheme="majorBidi" w:cstheme="majorBidi"/>
          <w:sz w:val="24"/>
          <w:szCs w:val="24"/>
        </w:rPr>
        <w:t>5</w:t>
      </w:r>
      <w:r w:rsidR="00973130" w:rsidRPr="00B503E6">
        <w:rPr>
          <w:rFonts w:asciiTheme="majorBidi" w:hAnsiTheme="majorBidi" w:cstheme="majorBidi"/>
          <w:sz w:val="24"/>
          <w:szCs w:val="24"/>
        </w:rPr>
        <w:t>5</w:t>
      </w:r>
      <w:r w:rsidR="00FC729B" w:rsidRPr="00B503E6">
        <w:rPr>
          <w:rFonts w:asciiTheme="majorBidi" w:hAnsiTheme="majorBidi" w:cstheme="majorBidi"/>
          <w:sz w:val="24"/>
          <w:szCs w:val="24"/>
        </w:rPr>
        <w:t>% of the cultivable land</w:t>
      </w:r>
      <w:r w:rsidR="00277CA7" w:rsidRPr="00B503E6">
        <w:rPr>
          <w:rFonts w:asciiTheme="majorBidi" w:hAnsiTheme="majorBidi" w:cstheme="majorBidi"/>
          <w:sz w:val="24"/>
          <w:szCs w:val="24"/>
        </w:rPr>
        <w:t xml:space="preserve"> (Owens and Pamuk 1999, 58)</w:t>
      </w:r>
      <w:r w:rsidR="00667007" w:rsidRPr="00B503E6">
        <w:rPr>
          <w:rFonts w:asciiTheme="majorBidi" w:hAnsiTheme="majorBidi" w:cstheme="majorBidi"/>
          <w:sz w:val="24"/>
          <w:szCs w:val="24"/>
        </w:rPr>
        <w:t>.</w:t>
      </w:r>
      <w:r w:rsidR="00FC729B" w:rsidRPr="00B503E6">
        <w:rPr>
          <w:rFonts w:asciiTheme="majorBidi" w:hAnsiTheme="majorBidi" w:cstheme="majorBidi"/>
          <w:sz w:val="24"/>
          <w:szCs w:val="24"/>
        </w:rPr>
        <w:t xml:space="preserve">  In addition, </w:t>
      </w:r>
      <w:r w:rsidR="00AB1C1D" w:rsidRPr="00B503E6">
        <w:rPr>
          <w:rFonts w:asciiTheme="majorBidi" w:hAnsiTheme="majorBidi" w:cstheme="majorBidi"/>
          <w:sz w:val="24"/>
          <w:szCs w:val="24"/>
        </w:rPr>
        <w:t>a</w:t>
      </w:r>
      <w:r w:rsidR="00FC729B" w:rsidRPr="00B503E6">
        <w:rPr>
          <w:rFonts w:asciiTheme="majorBidi" w:hAnsiTheme="majorBidi" w:cstheme="majorBidi"/>
          <w:sz w:val="24"/>
          <w:szCs w:val="24"/>
        </w:rPr>
        <w:t xml:space="preserve">ccording to Patai (1949, 441) the percentage of village lands that used the </w:t>
      </w:r>
      <w:r w:rsidR="00FC729B" w:rsidRPr="00B503E6">
        <w:rPr>
          <w:rFonts w:asciiTheme="majorBidi" w:hAnsiTheme="majorBidi" w:cstheme="majorBidi"/>
          <w:i/>
          <w:iCs/>
          <w:sz w:val="24"/>
          <w:szCs w:val="24"/>
        </w:rPr>
        <w:t>musha</w:t>
      </w:r>
      <w:r w:rsidR="00FC729B" w:rsidRPr="00B503E6">
        <w:rPr>
          <w:rFonts w:asciiTheme="majorBidi" w:hAnsiTheme="majorBidi" w:cstheme="majorBidi"/>
          <w:sz w:val="24"/>
          <w:szCs w:val="24"/>
        </w:rPr>
        <w:t xml:space="preserve"> system declined from 70% in 1917 to 25% in 1940.  Furthermore, Bunton (2000, 153) notes that </w:t>
      </w:r>
      <w:r w:rsidR="006360D8" w:rsidRPr="00B503E6">
        <w:rPr>
          <w:rFonts w:asciiTheme="majorBidi" w:hAnsiTheme="majorBidi" w:cstheme="majorBidi"/>
          <w:sz w:val="24"/>
          <w:szCs w:val="24"/>
        </w:rPr>
        <w:t>“</w:t>
      </w:r>
      <w:r w:rsidR="00FC729B" w:rsidRPr="00B503E6">
        <w:rPr>
          <w:rFonts w:asciiTheme="majorBidi" w:hAnsiTheme="majorBidi" w:cstheme="majorBidi"/>
          <w:sz w:val="24"/>
          <w:szCs w:val="24"/>
        </w:rPr>
        <w:t xml:space="preserve">by the end of the Mandate period, land in the </w:t>
      </w:r>
      <w:r w:rsidR="00FC729B" w:rsidRPr="00B503E6">
        <w:rPr>
          <w:rFonts w:asciiTheme="majorBidi" w:hAnsiTheme="majorBidi" w:cstheme="majorBidi"/>
          <w:i/>
          <w:iCs/>
          <w:sz w:val="24"/>
          <w:szCs w:val="24"/>
        </w:rPr>
        <w:t>miri</w:t>
      </w:r>
      <w:r w:rsidR="00FC729B" w:rsidRPr="00B503E6">
        <w:rPr>
          <w:rFonts w:asciiTheme="majorBidi" w:hAnsiTheme="majorBidi" w:cstheme="majorBidi"/>
          <w:sz w:val="24"/>
          <w:szCs w:val="24"/>
        </w:rPr>
        <w:t xml:space="preserve"> category came to be accepted more or less as freehold.</w:t>
      </w:r>
      <w:r w:rsidR="006360D8" w:rsidRPr="00B503E6">
        <w:rPr>
          <w:rFonts w:asciiTheme="majorBidi" w:hAnsiTheme="majorBidi" w:cstheme="majorBidi"/>
          <w:sz w:val="24"/>
          <w:szCs w:val="24"/>
        </w:rPr>
        <w:t>”</w:t>
      </w:r>
    </w:p>
    <w:p w:rsidR="009C53DC" w:rsidRPr="00B503E6" w:rsidRDefault="007627FE" w:rsidP="006D2C6E">
      <w:pPr>
        <w:spacing w:line="480" w:lineRule="auto"/>
        <w:ind w:firstLine="567"/>
        <w:jc w:val="both"/>
        <w:rPr>
          <w:rFonts w:asciiTheme="majorBidi" w:hAnsiTheme="majorBidi" w:cstheme="majorBidi"/>
          <w:sz w:val="24"/>
          <w:szCs w:val="24"/>
        </w:rPr>
      </w:pPr>
      <w:r w:rsidRPr="00B503E6">
        <w:rPr>
          <w:rFonts w:asciiTheme="majorBidi" w:hAnsiTheme="majorBidi" w:cstheme="majorBidi"/>
          <w:sz w:val="24"/>
          <w:szCs w:val="24"/>
        </w:rPr>
        <w:t xml:space="preserve">In </w:t>
      </w:r>
      <w:r w:rsidR="0042409C" w:rsidRPr="00B503E6">
        <w:rPr>
          <w:rFonts w:asciiTheme="majorBidi" w:hAnsiTheme="majorBidi" w:cstheme="majorBidi"/>
          <w:sz w:val="24"/>
          <w:szCs w:val="24"/>
        </w:rPr>
        <w:t>T</w:t>
      </w:r>
      <w:r w:rsidRPr="00B503E6">
        <w:rPr>
          <w:rFonts w:asciiTheme="majorBidi" w:hAnsiTheme="majorBidi" w:cstheme="majorBidi"/>
          <w:sz w:val="24"/>
          <w:szCs w:val="24"/>
        </w:rPr>
        <w:t xml:space="preserve">rans-Jordan, </w:t>
      </w:r>
      <w:r w:rsidR="009D44C1" w:rsidRPr="00B503E6">
        <w:rPr>
          <w:rFonts w:asciiTheme="majorBidi" w:hAnsiTheme="majorBidi" w:cstheme="majorBidi"/>
          <w:sz w:val="24"/>
          <w:szCs w:val="24"/>
        </w:rPr>
        <w:t xml:space="preserve">the land settlement program started </w:t>
      </w:r>
      <w:r w:rsidR="00874C99" w:rsidRPr="00B503E6">
        <w:rPr>
          <w:rFonts w:asciiTheme="majorBidi" w:hAnsiTheme="majorBidi" w:cstheme="majorBidi"/>
          <w:sz w:val="24"/>
          <w:szCs w:val="24"/>
        </w:rPr>
        <w:t xml:space="preserve">in 1927, </w:t>
      </w:r>
      <w:r w:rsidR="009D44C1" w:rsidRPr="00B503E6">
        <w:rPr>
          <w:rFonts w:asciiTheme="majorBidi" w:hAnsiTheme="majorBidi" w:cstheme="majorBidi"/>
          <w:sz w:val="24"/>
          <w:szCs w:val="24"/>
        </w:rPr>
        <w:t xml:space="preserve">later then in Palestine, </w:t>
      </w:r>
      <w:r w:rsidR="00874C99" w:rsidRPr="00B503E6">
        <w:rPr>
          <w:rFonts w:asciiTheme="majorBidi" w:hAnsiTheme="majorBidi" w:cstheme="majorBidi"/>
          <w:sz w:val="24"/>
          <w:szCs w:val="24"/>
        </w:rPr>
        <w:t xml:space="preserve">but </w:t>
      </w:r>
      <w:r w:rsidR="000963A2" w:rsidRPr="00B503E6">
        <w:rPr>
          <w:rFonts w:asciiTheme="majorBidi" w:hAnsiTheme="majorBidi" w:cstheme="majorBidi"/>
          <w:sz w:val="24"/>
          <w:szCs w:val="24"/>
        </w:rPr>
        <w:t>the survey</w:t>
      </w:r>
      <w:r w:rsidR="002A68CE" w:rsidRPr="00B503E6">
        <w:rPr>
          <w:rFonts w:asciiTheme="majorBidi" w:hAnsiTheme="majorBidi" w:cstheme="majorBidi"/>
          <w:sz w:val="24"/>
          <w:szCs w:val="24"/>
        </w:rPr>
        <w:t>ing</w:t>
      </w:r>
      <w:r w:rsidR="000963A2" w:rsidRPr="00B503E6">
        <w:rPr>
          <w:rFonts w:asciiTheme="majorBidi" w:hAnsiTheme="majorBidi" w:cstheme="majorBidi"/>
          <w:sz w:val="24"/>
          <w:szCs w:val="24"/>
        </w:rPr>
        <w:t xml:space="preserve"> </w:t>
      </w:r>
      <w:r w:rsidR="002A68CE" w:rsidRPr="00B503E6">
        <w:rPr>
          <w:rFonts w:asciiTheme="majorBidi" w:hAnsiTheme="majorBidi" w:cstheme="majorBidi"/>
          <w:sz w:val="24"/>
          <w:szCs w:val="24"/>
        </w:rPr>
        <w:t xml:space="preserve">of the land went much quicker. </w:t>
      </w:r>
      <w:r w:rsidR="000963A2" w:rsidRPr="00B503E6">
        <w:rPr>
          <w:rFonts w:asciiTheme="majorBidi" w:hAnsiTheme="majorBidi" w:cstheme="majorBidi"/>
          <w:sz w:val="24"/>
          <w:szCs w:val="24"/>
        </w:rPr>
        <w:t xml:space="preserve"> </w:t>
      </w:r>
      <w:r w:rsidR="002A68CE" w:rsidRPr="00B503E6">
        <w:rPr>
          <w:rFonts w:asciiTheme="majorBidi" w:hAnsiTheme="majorBidi" w:cstheme="majorBidi"/>
          <w:sz w:val="24"/>
          <w:szCs w:val="24"/>
        </w:rPr>
        <w:t>Already by</w:t>
      </w:r>
      <w:r w:rsidR="009D44C1" w:rsidRPr="00B503E6">
        <w:rPr>
          <w:rFonts w:asciiTheme="majorBidi" w:hAnsiTheme="majorBidi" w:cstheme="majorBidi"/>
          <w:sz w:val="24"/>
          <w:szCs w:val="24"/>
        </w:rPr>
        <w:t xml:space="preserve"> 1933, </w:t>
      </w:r>
      <w:r w:rsidR="002A68CE" w:rsidRPr="00B503E6">
        <w:rPr>
          <w:rFonts w:asciiTheme="majorBidi" w:hAnsiTheme="majorBidi" w:cstheme="majorBidi"/>
          <w:sz w:val="24"/>
          <w:szCs w:val="24"/>
        </w:rPr>
        <w:t xml:space="preserve">10,008 sq km was surveyed, which was more than the estimate of </w:t>
      </w:r>
      <w:r w:rsidR="0084405D" w:rsidRPr="00B503E6">
        <w:rPr>
          <w:rFonts w:asciiTheme="majorBidi" w:hAnsiTheme="majorBidi" w:cstheme="majorBidi"/>
          <w:sz w:val="24"/>
          <w:szCs w:val="24"/>
        </w:rPr>
        <w:t xml:space="preserve">the </w:t>
      </w:r>
      <w:r w:rsidR="002A68CE" w:rsidRPr="00B503E6">
        <w:rPr>
          <w:rFonts w:asciiTheme="majorBidi" w:hAnsiTheme="majorBidi" w:cstheme="majorBidi"/>
          <w:sz w:val="24"/>
          <w:szCs w:val="24"/>
        </w:rPr>
        <w:t>cultivable land, whereas in Palestine, even by the end of the Mandate not all of the cultivable had been surveyed.</w:t>
      </w:r>
      <w:r w:rsidR="006D2C6E">
        <w:rPr>
          <w:rStyle w:val="EndnoteReference"/>
          <w:rFonts w:asciiTheme="majorBidi" w:hAnsiTheme="majorBidi" w:cstheme="majorBidi"/>
          <w:sz w:val="24"/>
          <w:szCs w:val="24"/>
        </w:rPr>
        <w:endnoteReference w:id="19"/>
      </w:r>
      <w:r w:rsidR="002A68CE" w:rsidRPr="00B503E6">
        <w:rPr>
          <w:rFonts w:asciiTheme="majorBidi" w:hAnsiTheme="majorBidi" w:cstheme="majorBidi"/>
          <w:sz w:val="24"/>
          <w:szCs w:val="24"/>
        </w:rPr>
        <w:t xml:space="preserve"> </w:t>
      </w:r>
      <w:r w:rsidR="006D2C6E">
        <w:rPr>
          <w:rFonts w:asciiTheme="majorBidi" w:hAnsiTheme="majorBidi" w:cstheme="majorBidi"/>
          <w:sz w:val="24"/>
          <w:szCs w:val="24"/>
        </w:rPr>
        <w:t xml:space="preserve"> </w:t>
      </w:r>
      <w:r w:rsidR="0084405D" w:rsidRPr="00B503E6">
        <w:rPr>
          <w:rFonts w:asciiTheme="majorBidi" w:hAnsiTheme="majorBidi" w:cstheme="majorBidi"/>
          <w:sz w:val="24"/>
          <w:szCs w:val="24"/>
        </w:rPr>
        <w:t xml:space="preserve">Afterwards, </w:t>
      </w:r>
      <w:r w:rsidR="00AB1C1D" w:rsidRPr="00B503E6">
        <w:rPr>
          <w:rFonts w:asciiTheme="majorBidi" w:hAnsiTheme="majorBidi" w:cstheme="majorBidi"/>
          <w:sz w:val="24"/>
          <w:szCs w:val="24"/>
        </w:rPr>
        <w:t>t</w:t>
      </w:r>
      <w:r w:rsidR="00C840D6" w:rsidRPr="00B503E6">
        <w:rPr>
          <w:rFonts w:asciiTheme="majorBidi" w:hAnsiTheme="majorBidi" w:cstheme="majorBidi"/>
          <w:sz w:val="24"/>
          <w:szCs w:val="24"/>
        </w:rPr>
        <w:t xml:space="preserve">he land settlement process </w:t>
      </w:r>
      <w:r w:rsidR="0035064D" w:rsidRPr="00B503E6">
        <w:rPr>
          <w:rFonts w:asciiTheme="majorBidi" w:hAnsiTheme="majorBidi" w:cstheme="majorBidi"/>
          <w:sz w:val="24"/>
          <w:szCs w:val="24"/>
        </w:rPr>
        <w:t xml:space="preserve">began </w:t>
      </w:r>
      <w:r w:rsidR="00C840D6" w:rsidRPr="00B503E6">
        <w:rPr>
          <w:rFonts w:asciiTheme="majorBidi" w:hAnsiTheme="majorBidi" w:cstheme="majorBidi"/>
          <w:sz w:val="24"/>
          <w:szCs w:val="24"/>
        </w:rPr>
        <w:t xml:space="preserve">starting in </w:t>
      </w:r>
      <w:r w:rsidR="0035064D" w:rsidRPr="00B503E6">
        <w:rPr>
          <w:rFonts w:asciiTheme="majorBidi" w:hAnsiTheme="majorBidi" w:cstheme="majorBidi"/>
          <w:sz w:val="24"/>
          <w:szCs w:val="24"/>
        </w:rPr>
        <w:t xml:space="preserve">the north, </w:t>
      </w:r>
      <w:r w:rsidR="0035064D" w:rsidRPr="00B503E6">
        <w:rPr>
          <w:rFonts w:asciiTheme="majorBidi" w:hAnsiTheme="majorBidi" w:cstheme="majorBidi"/>
          <w:sz w:val="24"/>
          <w:szCs w:val="24"/>
        </w:rPr>
        <w:lastRenderedPageBreak/>
        <w:t>the more populated area with the highest rainfall, moving down to the south.</w:t>
      </w:r>
      <w:r w:rsidR="00EA2001" w:rsidRPr="00B503E6">
        <w:rPr>
          <w:rFonts w:asciiTheme="majorBidi" w:hAnsiTheme="majorBidi" w:cstheme="majorBidi"/>
          <w:sz w:val="24"/>
          <w:szCs w:val="24"/>
        </w:rPr>
        <w:t xml:space="preserve"> </w:t>
      </w:r>
      <w:r w:rsidR="00047098" w:rsidRPr="00B503E6">
        <w:rPr>
          <w:rFonts w:asciiTheme="majorBidi" w:hAnsiTheme="majorBidi" w:cstheme="majorBidi"/>
          <w:sz w:val="24"/>
          <w:szCs w:val="24"/>
        </w:rPr>
        <w:t xml:space="preserve"> By 1938, the settlement of the Ajlun district in the north was practically completed, and by </w:t>
      </w:r>
      <w:r w:rsidR="00A678C4" w:rsidRPr="00B503E6">
        <w:rPr>
          <w:rFonts w:asciiTheme="majorBidi" w:hAnsiTheme="majorBidi" w:cstheme="majorBidi"/>
          <w:sz w:val="24"/>
          <w:szCs w:val="24"/>
        </w:rPr>
        <w:t>1945, 53% of the cultivable land (4,679</w:t>
      </w:r>
      <w:r w:rsidR="00AB1C1D" w:rsidRPr="00B503E6">
        <w:rPr>
          <w:rFonts w:asciiTheme="majorBidi" w:hAnsiTheme="majorBidi" w:cstheme="majorBidi"/>
          <w:sz w:val="24"/>
          <w:szCs w:val="24"/>
        </w:rPr>
        <w:t xml:space="preserve"> sq km</w:t>
      </w:r>
      <w:r w:rsidR="00A678C4" w:rsidRPr="00B503E6">
        <w:rPr>
          <w:rFonts w:asciiTheme="majorBidi" w:hAnsiTheme="majorBidi" w:cstheme="majorBidi"/>
          <w:sz w:val="24"/>
          <w:szCs w:val="24"/>
        </w:rPr>
        <w:t>)</w:t>
      </w:r>
      <w:r w:rsidR="00AB1C1D" w:rsidRPr="00B503E6">
        <w:rPr>
          <w:rFonts w:asciiTheme="majorBidi" w:hAnsiTheme="majorBidi" w:cstheme="majorBidi"/>
          <w:sz w:val="24"/>
          <w:szCs w:val="24"/>
        </w:rPr>
        <w:t xml:space="preserve"> </w:t>
      </w:r>
      <w:r w:rsidR="00047098" w:rsidRPr="00B503E6">
        <w:rPr>
          <w:rFonts w:asciiTheme="majorBidi" w:hAnsiTheme="majorBidi" w:cstheme="majorBidi"/>
          <w:sz w:val="24"/>
          <w:szCs w:val="24"/>
        </w:rPr>
        <w:t xml:space="preserve">had been settled, which included nearly </w:t>
      </w:r>
      <w:r w:rsidR="00321BBB" w:rsidRPr="00B503E6">
        <w:rPr>
          <w:rFonts w:asciiTheme="majorBidi" w:hAnsiTheme="majorBidi" w:cstheme="majorBidi"/>
          <w:sz w:val="24"/>
          <w:szCs w:val="24"/>
        </w:rPr>
        <w:t xml:space="preserve">all </w:t>
      </w:r>
      <w:r w:rsidR="00047098" w:rsidRPr="00B503E6">
        <w:rPr>
          <w:rFonts w:asciiTheme="majorBidi" w:hAnsiTheme="majorBidi" w:cstheme="majorBidi"/>
          <w:sz w:val="24"/>
          <w:szCs w:val="24"/>
        </w:rPr>
        <w:t xml:space="preserve">of the </w:t>
      </w:r>
      <w:r w:rsidR="00047098" w:rsidRPr="00B503E6">
        <w:rPr>
          <w:rFonts w:asciiTheme="majorBidi" w:hAnsiTheme="majorBidi" w:cstheme="majorBidi"/>
          <w:i/>
          <w:iCs/>
          <w:sz w:val="24"/>
          <w:szCs w:val="24"/>
        </w:rPr>
        <w:t>musha</w:t>
      </w:r>
      <w:r w:rsidR="008F45C3" w:rsidRPr="00B503E6">
        <w:rPr>
          <w:rFonts w:asciiTheme="majorBidi" w:hAnsiTheme="majorBidi" w:cstheme="majorBidi"/>
          <w:sz w:val="24"/>
          <w:szCs w:val="24"/>
        </w:rPr>
        <w:t>`</w:t>
      </w:r>
      <w:r w:rsidR="00047098" w:rsidRPr="00B503E6">
        <w:rPr>
          <w:rFonts w:asciiTheme="majorBidi" w:hAnsiTheme="majorBidi" w:cstheme="majorBidi"/>
          <w:sz w:val="24"/>
          <w:szCs w:val="24"/>
        </w:rPr>
        <w:t xml:space="preserve"> land in the country.</w:t>
      </w:r>
      <w:r w:rsidR="006D2C6E">
        <w:rPr>
          <w:rStyle w:val="EndnoteReference"/>
          <w:rFonts w:asciiTheme="majorBidi" w:hAnsiTheme="majorBidi" w:cstheme="majorBidi"/>
          <w:sz w:val="24"/>
          <w:szCs w:val="24"/>
        </w:rPr>
        <w:endnoteReference w:id="20"/>
      </w:r>
      <w:r w:rsidR="00047098" w:rsidRPr="00B503E6">
        <w:rPr>
          <w:rFonts w:asciiTheme="majorBidi" w:hAnsiTheme="majorBidi" w:cstheme="majorBidi"/>
          <w:sz w:val="24"/>
          <w:szCs w:val="24"/>
        </w:rPr>
        <w:t xml:space="preserve"> </w:t>
      </w:r>
      <w:r w:rsidR="006D2C6E">
        <w:rPr>
          <w:rFonts w:asciiTheme="majorBidi" w:hAnsiTheme="majorBidi" w:cstheme="majorBidi"/>
          <w:sz w:val="24"/>
          <w:szCs w:val="24"/>
        </w:rPr>
        <w:t xml:space="preserve"> </w:t>
      </w:r>
      <w:r w:rsidR="00A97407" w:rsidRPr="00B503E6">
        <w:rPr>
          <w:rFonts w:asciiTheme="majorBidi" w:hAnsiTheme="majorBidi" w:cstheme="majorBidi"/>
          <w:sz w:val="24"/>
          <w:szCs w:val="24"/>
        </w:rPr>
        <w:t xml:space="preserve">Michael </w:t>
      </w:r>
      <w:r w:rsidR="009C53DC" w:rsidRPr="00B503E6">
        <w:rPr>
          <w:rFonts w:asciiTheme="majorBidi" w:hAnsiTheme="majorBidi" w:cstheme="majorBidi"/>
          <w:sz w:val="24"/>
          <w:szCs w:val="24"/>
        </w:rPr>
        <w:t xml:space="preserve">Fischbach </w:t>
      </w:r>
      <w:r w:rsidR="00935B85" w:rsidRPr="00B503E6">
        <w:rPr>
          <w:rFonts w:asciiTheme="majorBidi" w:hAnsiTheme="majorBidi" w:cstheme="majorBidi"/>
          <w:sz w:val="24"/>
          <w:szCs w:val="24"/>
        </w:rPr>
        <w:t xml:space="preserve">(2000, 210) notes that the result of the British land policy in Trans-Jordan, </w:t>
      </w:r>
      <w:r w:rsidR="007748BC" w:rsidRPr="00B503E6">
        <w:rPr>
          <w:rFonts w:asciiTheme="majorBidi" w:hAnsiTheme="majorBidi" w:cstheme="majorBidi"/>
          <w:sz w:val="24"/>
          <w:szCs w:val="24"/>
        </w:rPr>
        <w:t>“</w:t>
      </w:r>
      <w:r w:rsidR="00935B85" w:rsidRPr="00B503E6">
        <w:rPr>
          <w:rFonts w:asciiTheme="majorBidi" w:hAnsiTheme="majorBidi" w:cstheme="majorBidi"/>
          <w:sz w:val="24"/>
          <w:szCs w:val="24"/>
        </w:rPr>
        <w:t>was to secure the ownership rights of the country's small-scale cultivators according to a European vision of land management.</w:t>
      </w:r>
      <w:r w:rsidR="007748BC" w:rsidRPr="00B503E6">
        <w:rPr>
          <w:rFonts w:asciiTheme="majorBidi" w:hAnsiTheme="majorBidi" w:cstheme="majorBidi"/>
          <w:sz w:val="24"/>
          <w:szCs w:val="24"/>
        </w:rPr>
        <w:t>”</w:t>
      </w:r>
      <w:r w:rsidR="006D2C6E">
        <w:rPr>
          <w:rStyle w:val="EndnoteReference"/>
          <w:rFonts w:asciiTheme="majorBidi" w:hAnsiTheme="majorBidi" w:cstheme="majorBidi"/>
          <w:sz w:val="24"/>
          <w:szCs w:val="24"/>
        </w:rPr>
        <w:endnoteReference w:id="21"/>
      </w:r>
      <w:r w:rsidR="00935B85" w:rsidRPr="00B503E6">
        <w:rPr>
          <w:rFonts w:asciiTheme="majorBidi" w:hAnsiTheme="majorBidi" w:cstheme="majorBidi"/>
          <w:sz w:val="24"/>
          <w:szCs w:val="24"/>
        </w:rPr>
        <w:t xml:space="preserve">  He also writes that it changed the mentality of the peasants </w:t>
      </w:r>
      <w:r w:rsidR="009C53DC" w:rsidRPr="00B503E6">
        <w:rPr>
          <w:rFonts w:asciiTheme="majorBidi" w:hAnsiTheme="majorBidi" w:cstheme="majorBidi"/>
          <w:sz w:val="24"/>
          <w:szCs w:val="24"/>
        </w:rPr>
        <w:t>(2004</w:t>
      </w:r>
      <w:r w:rsidR="00A97407" w:rsidRPr="00B503E6">
        <w:rPr>
          <w:rFonts w:asciiTheme="majorBidi" w:hAnsiTheme="majorBidi" w:cstheme="majorBidi"/>
          <w:sz w:val="24"/>
          <w:szCs w:val="24"/>
        </w:rPr>
        <w:t>,</w:t>
      </w:r>
      <w:r w:rsidR="00403B2B" w:rsidRPr="00B503E6">
        <w:rPr>
          <w:rFonts w:asciiTheme="majorBidi" w:hAnsiTheme="majorBidi" w:cstheme="majorBidi"/>
          <w:sz w:val="24"/>
          <w:szCs w:val="24"/>
        </w:rPr>
        <w:t xml:space="preserve"> </w:t>
      </w:r>
      <w:r w:rsidR="009C53DC" w:rsidRPr="00B503E6">
        <w:rPr>
          <w:rFonts w:asciiTheme="majorBidi" w:hAnsiTheme="majorBidi" w:cstheme="majorBidi"/>
          <w:sz w:val="24"/>
          <w:szCs w:val="24"/>
        </w:rPr>
        <w:t>493)</w:t>
      </w:r>
      <w:r w:rsidR="00935B85" w:rsidRPr="00B503E6">
        <w:rPr>
          <w:rFonts w:asciiTheme="majorBidi" w:hAnsiTheme="majorBidi" w:cstheme="majorBidi"/>
          <w:sz w:val="24"/>
          <w:szCs w:val="24"/>
        </w:rPr>
        <w:t xml:space="preserve">: </w:t>
      </w:r>
    </w:p>
    <w:p w:rsidR="00625352" w:rsidRPr="00B503E6" w:rsidRDefault="009C53DC" w:rsidP="006D2C6E">
      <w:pPr>
        <w:spacing w:line="480" w:lineRule="auto"/>
        <w:ind w:left="567"/>
        <w:contextualSpacing/>
        <w:jc w:val="both"/>
        <w:rPr>
          <w:rFonts w:asciiTheme="majorBidi" w:hAnsiTheme="majorBidi" w:cstheme="majorBidi"/>
          <w:sz w:val="24"/>
          <w:szCs w:val="24"/>
        </w:rPr>
      </w:pPr>
      <w:r w:rsidRPr="00B503E6">
        <w:rPr>
          <w:rFonts w:asciiTheme="majorBidi" w:hAnsiTheme="majorBidi" w:cstheme="majorBidi"/>
          <w:sz w:val="24"/>
          <w:szCs w:val="24"/>
        </w:rPr>
        <w:t>One of the major accomplishments of the land program was the way in which it reformulated this idea of property.</w:t>
      </w:r>
      <w:r w:rsidR="00D12199" w:rsidRPr="00B503E6">
        <w:rPr>
          <w:rFonts w:asciiTheme="majorBidi" w:hAnsiTheme="majorBidi" w:cstheme="majorBidi"/>
          <w:sz w:val="24"/>
          <w:szCs w:val="24"/>
        </w:rPr>
        <w:t xml:space="preserve">  What people owned was first transformed from a socially-constructed idea into a concrete reality by the land department, that is, a specific plot of land was demarcated and drawn on a map; prior to the land program land was not only understood as a resource to be controlled but also part of a community or tribal resource which lay at the heart of the cultivators' lives, esp</w:t>
      </w:r>
      <w:r w:rsidR="00DD628D" w:rsidRPr="00B503E6">
        <w:rPr>
          <w:rFonts w:asciiTheme="majorBidi" w:hAnsiTheme="majorBidi" w:cstheme="majorBidi"/>
          <w:sz w:val="24"/>
          <w:szCs w:val="24"/>
        </w:rPr>
        <w:t xml:space="preserve">ecially </w:t>
      </w:r>
      <w:r w:rsidR="00D12199" w:rsidRPr="00B503E6">
        <w:rPr>
          <w:rFonts w:asciiTheme="majorBidi" w:hAnsiTheme="majorBidi" w:cstheme="majorBidi"/>
          <w:sz w:val="24"/>
          <w:szCs w:val="24"/>
        </w:rPr>
        <w:t>in the case of musha</w:t>
      </w:r>
      <w:r w:rsidR="0041703B" w:rsidRPr="00B503E6">
        <w:rPr>
          <w:rFonts w:asciiTheme="majorBidi" w:hAnsiTheme="majorBidi" w:cstheme="majorBidi"/>
          <w:sz w:val="24"/>
          <w:szCs w:val="24"/>
        </w:rPr>
        <w:t>`</w:t>
      </w:r>
      <w:r w:rsidR="00DD628D" w:rsidRPr="00B503E6">
        <w:rPr>
          <w:rFonts w:asciiTheme="majorBidi" w:hAnsiTheme="majorBidi" w:cstheme="majorBidi"/>
          <w:sz w:val="24"/>
          <w:szCs w:val="24"/>
        </w:rPr>
        <w:t xml:space="preserve"> land. But after the land program, the land had become a thing to be owned by an individual, free from social constraint.</w:t>
      </w:r>
      <w:r w:rsidRPr="00B503E6">
        <w:rPr>
          <w:rFonts w:asciiTheme="majorBidi" w:hAnsiTheme="majorBidi" w:cstheme="majorBidi"/>
          <w:sz w:val="24"/>
          <w:szCs w:val="24"/>
        </w:rPr>
        <w:t xml:space="preserve">  </w:t>
      </w:r>
      <w:r w:rsidR="005B2F1E" w:rsidRPr="00B503E6">
        <w:rPr>
          <w:rFonts w:asciiTheme="majorBidi" w:hAnsiTheme="majorBidi" w:cstheme="majorBidi"/>
          <w:sz w:val="24"/>
          <w:szCs w:val="24"/>
        </w:rPr>
        <w:t xml:space="preserve"> </w:t>
      </w:r>
      <w:r w:rsidR="007627FE" w:rsidRPr="00B503E6">
        <w:rPr>
          <w:rFonts w:asciiTheme="majorBidi" w:hAnsiTheme="majorBidi" w:cstheme="majorBidi"/>
          <w:sz w:val="24"/>
          <w:szCs w:val="24"/>
        </w:rPr>
        <w:t xml:space="preserve">  </w:t>
      </w:r>
      <w:r w:rsidR="00625352" w:rsidRPr="00B503E6">
        <w:rPr>
          <w:rFonts w:asciiTheme="majorBidi" w:hAnsiTheme="majorBidi" w:cstheme="majorBidi"/>
          <w:sz w:val="24"/>
          <w:szCs w:val="24"/>
        </w:rPr>
        <w:t xml:space="preserve">  </w:t>
      </w:r>
    </w:p>
    <w:p w:rsidR="00E24914" w:rsidRPr="00B503E6" w:rsidRDefault="00F4778C" w:rsidP="006D2C6E">
      <w:pPr>
        <w:spacing w:line="480" w:lineRule="auto"/>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In </w:t>
      </w:r>
      <w:r w:rsidR="0072053E" w:rsidRPr="00B503E6">
        <w:rPr>
          <w:rFonts w:asciiTheme="majorBidi" w:hAnsiTheme="majorBidi" w:cstheme="majorBidi"/>
          <w:sz w:val="24"/>
          <w:szCs w:val="24"/>
        </w:rPr>
        <w:t>Syria and Lebanon</w:t>
      </w:r>
      <w:r w:rsidRPr="00B503E6">
        <w:rPr>
          <w:rFonts w:asciiTheme="majorBidi" w:hAnsiTheme="majorBidi" w:cstheme="majorBidi"/>
          <w:sz w:val="24"/>
          <w:szCs w:val="24"/>
        </w:rPr>
        <w:t xml:space="preserve">, </w:t>
      </w:r>
      <w:r w:rsidR="0072053E" w:rsidRPr="00B503E6">
        <w:rPr>
          <w:rFonts w:asciiTheme="majorBidi" w:hAnsiTheme="majorBidi" w:cstheme="majorBidi"/>
          <w:sz w:val="24"/>
          <w:szCs w:val="24"/>
        </w:rPr>
        <w:t>b</w:t>
      </w:r>
      <w:r w:rsidR="00C53BAA" w:rsidRPr="00B503E6">
        <w:rPr>
          <w:rFonts w:asciiTheme="majorBidi" w:hAnsiTheme="majorBidi" w:cstheme="majorBidi"/>
          <w:sz w:val="24"/>
          <w:szCs w:val="24"/>
        </w:rPr>
        <w:t>y 1943 a</w:t>
      </w:r>
      <w:r w:rsidR="00D32FC8" w:rsidRPr="00B503E6">
        <w:rPr>
          <w:rFonts w:asciiTheme="majorBidi" w:hAnsiTheme="majorBidi" w:cstheme="majorBidi"/>
          <w:sz w:val="24"/>
          <w:szCs w:val="24"/>
        </w:rPr>
        <w:t xml:space="preserve">round </w:t>
      </w:r>
      <w:r w:rsidR="009335A2" w:rsidRPr="00B503E6">
        <w:rPr>
          <w:rFonts w:asciiTheme="majorBidi" w:hAnsiTheme="majorBidi" w:cstheme="majorBidi"/>
          <w:sz w:val="24"/>
          <w:szCs w:val="24"/>
        </w:rPr>
        <w:t xml:space="preserve">56% of the cultivable land </w:t>
      </w:r>
      <w:r w:rsidR="00C53BAA" w:rsidRPr="00B503E6">
        <w:rPr>
          <w:rFonts w:asciiTheme="majorBidi" w:hAnsiTheme="majorBidi" w:cstheme="majorBidi"/>
          <w:sz w:val="24"/>
          <w:szCs w:val="24"/>
        </w:rPr>
        <w:t>in Syria</w:t>
      </w:r>
      <w:r w:rsidR="006E302A" w:rsidRPr="00B503E6">
        <w:rPr>
          <w:rFonts w:asciiTheme="majorBidi" w:hAnsiTheme="majorBidi" w:cstheme="majorBidi"/>
          <w:sz w:val="24"/>
          <w:szCs w:val="24"/>
        </w:rPr>
        <w:t xml:space="preserve"> </w:t>
      </w:r>
      <w:r w:rsidR="009335A2" w:rsidRPr="00B503E6">
        <w:rPr>
          <w:rFonts w:asciiTheme="majorBidi" w:hAnsiTheme="majorBidi" w:cstheme="majorBidi"/>
          <w:sz w:val="24"/>
          <w:szCs w:val="24"/>
        </w:rPr>
        <w:t>(ex</w:t>
      </w:r>
      <w:r w:rsidR="006E302A" w:rsidRPr="00B503E6">
        <w:rPr>
          <w:rFonts w:asciiTheme="majorBidi" w:hAnsiTheme="majorBidi" w:cstheme="majorBidi"/>
          <w:sz w:val="24"/>
          <w:szCs w:val="24"/>
        </w:rPr>
        <w:t xml:space="preserve">cluding the </w:t>
      </w:r>
      <w:r w:rsidR="006E302A" w:rsidRPr="00B503E6">
        <w:rPr>
          <w:rFonts w:asciiTheme="majorBidi" w:hAnsiTheme="majorBidi" w:cstheme="majorBidi"/>
          <w:i/>
          <w:iCs/>
          <w:sz w:val="24"/>
          <w:szCs w:val="24"/>
        </w:rPr>
        <w:t>sanja</w:t>
      </w:r>
      <w:r w:rsidR="00F236D8" w:rsidRPr="00B503E6">
        <w:rPr>
          <w:rFonts w:asciiTheme="majorBidi" w:hAnsiTheme="majorBidi" w:cstheme="majorBidi"/>
          <w:i/>
          <w:iCs/>
          <w:sz w:val="24"/>
          <w:szCs w:val="24"/>
        </w:rPr>
        <w:t>q</w:t>
      </w:r>
      <w:r w:rsidR="006E302A" w:rsidRPr="00B503E6">
        <w:rPr>
          <w:rFonts w:asciiTheme="majorBidi" w:hAnsiTheme="majorBidi" w:cstheme="majorBidi"/>
          <w:sz w:val="24"/>
          <w:szCs w:val="24"/>
        </w:rPr>
        <w:t xml:space="preserve"> of Alexandretta</w:t>
      </w:r>
      <w:r w:rsidR="009335A2" w:rsidRPr="00B503E6">
        <w:rPr>
          <w:rFonts w:asciiTheme="majorBidi" w:hAnsiTheme="majorBidi" w:cstheme="majorBidi"/>
          <w:sz w:val="24"/>
          <w:szCs w:val="24"/>
        </w:rPr>
        <w:t>)</w:t>
      </w:r>
      <w:r w:rsidR="00D32FC8" w:rsidRPr="00B503E6">
        <w:rPr>
          <w:rFonts w:asciiTheme="majorBidi" w:hAnsiTheme="majorBidi" w:cstheme="majorBidi"/>
          <w:sz w:val="24"/>
          <w:szCs w:val="24"/>
        </w:rPr>
        <w:t xml:space="preserve">, and </w:t>
      </w:r>
      <w:r w:rsidRPr="00B503E6">
        <w:rPr>
          <w:rFonts w:asciiTheme="majorBidi" w:hAnsiTheme="majorBidi" w:cstheme="majorBidi"/>
          <w:sz w:val="24"/>
          <w:szCs w:val="24"/>
        </w:rPr>
        <w:t xml:space="preserve">71% of the cultivable land </w:t>
      </w:r>
      <w:r w:rsidR="00FC1A30" w:rsidRPr="00B503E6">
        <w:rPr>
          <w:rFonts w:asciiTheme="majorBidi" w:hAnsiTheme="majorBidi" w:cstheme="majorBidi"/>
          <w:sz w:val="24"/>
          <w:szCs w:val="24"/>
        </w:rPr>
        <w:t>in Lebanon</w:t>
      </w:r>
      <w:r w:rsidRPr="00B503E6">
        <w:rPr>
          <w:rFonts w:asciiTheme="majorBidi" w:hAnsiTheme="majorBidi" w:cstheme="majorBidi"/>
          <w:sz w:val="24"/>
          <w:szCs w:val="24"/>
        </w:rPr>
        <w:t xml:space="preserve"> had</w:t>
      </w:r>
      <w:r w:rsidR="00FC1A30" w:rsidRPr="00B503E6">
        <w:rPr>
          <w:rFonts w:asciiTheme="majorBidi" w:hAnsiTheme="majorBidi" w:cstheme="majorBidi"/>
          <w:sz w:val="24"/>
          <w:szCs w:val="24"/>
        </w:rPr>
        <w:t xml:space="preserve"> had been settled</w:t>
      </w:r>
      <w:r w:rsidR="006E302A" w:rsidRPr="00B503E6">
        <w:rPr>
          <w:rFonts w:asciiTheme="majorBidi" w:hAnsiTheme="majorBidi" w:cstheme="majorBidi"/>
          <w:sz w:val="24"/>
          <w:szCs w:val="24"/>
        </w:rPr>
        <w:t>.</w:t>
      </w:r>
      <w:r w:rsidR="006D2C6E">
        <w:rPr>
          <w:rStyle w:val="EndnoteReference"/>
          <w:rFonts w:asciiTheme="majorBidi" w:hAnsiTheme="majorBidi" w:cstheme="majorBidi"/>
          <w:sz w:val="24"/>
          <w:szCs w:val="24"/>
        </w:rPr>
        <w:endnoteReference w:id="22"/>
      </w:r>
      <w:r w:rsidR="00FC1A30" w:rsidRPr="00B503E6">
        <w:rPr>
          <w:rFonts w:asciiTheme="majorBidi" w:hAnsiTheme="majorBidi" w:cstheme="majorBidi"/>
          <w:sz w:val="24"/>
          <w:szCs w:val="24"/>
        </w:rPr>
        <w:t xml:space="preserve">  </w:t>
      </w:r>
      <w:r w:rsidRPr="00B503E6">
        <w:rPr>
          <w:rFonts w:asciiTheme="majorBidi" w:hAnsiTheme="majorBidi" w:cstheme="majorBidi"/>
          <w:sz w:val="24"/>
          <w:szCs w:val="24"/>
        </w:rPr>
        <w:t>Doreen Warriner (1957, 97) notes that this settlement covered "most of the cultivated land in the older settled parts of the country."  With regard to the effect of French land policies</w:t>
      </w:r>
      <w:r w:rsidR="004D1BCC" w:rsidRPr="00B503E6">
        <w:rPr>
          <w:rFonts w:asciiTheme="majorBidi" w:hAnsiTheme="majorBidi" w:cstheme="majorBidi"/>
          <w:sz w:val="24"/>
          <w:szCs w:val="24"/>
        </w:rPr>
        <w:t xml:space="preserve">, </w:t>
      </w:r>
      <w:r w:rsidR="00525B88" w:rsidRPr="00B503E6">
        <w:rPr>
          <w:rFonts w:asciiTheme="majorBidi" w:hAnsiTheme="majorBidi" w:cstheme="majorBidi"/>
          <w:sz w:val="24"/>
          <w:szCs w:val="24"/>
        </w:rPr>
        <w:t xml:space="preserve">Abdallah </w:t>
      </w:r>
      <w:r w:rsidRPr="00B503E6">
        <w:rPr>
          <w:rFonts w:asciiTheme="majorBidi" w:hAnsiTheme="majorBidi" w:cstheme="majorBidi"/>
          <w:sz w:val="24"/>
          <w:szCs w:val="24"/>
        </w:rPr>
        <w:t>Hanna writes (</w:t>
      </w:r>
      <w:r w:rsidR="004D1BCC" w:rsidRPr="00B503E6">
        <w:rPr>
          <w:rFonts w:asciiTheme="majorBidi" w:hAnsiTheme="majorBidi" w:cstheme="majorBidi"/>
          <w:sz w:val="24"/>
          <w:szCs w:val="24"/>
        </w:rPr>
        <w:t xml:space="preserve">2004, </w:t>
      </w:r>
      <w:r w:rsidRPr="00B503E6">
        <w:rPr>
          <w:rFonts w:asciiTheme="majorBidi" w:hAnsiTheme="majorBidi" w:cstheme="majorBidi"/>
          <w:sz w:val="24"/>
          <w:szCs w:val="24"/>
        </w:rPr>
        <w:t>459)</w:t>
      </w:r>
      <w:r w:rsidR="00E24914" w:rsidRPr="00B503E6">
        <w:rPr>
          <w:rFonts w:asciiTheme="majorBidi" w:hAnsiTheme="majorBidi" w:cstheme="majorBidi"/>
          <w:sz w:val="24"/>
          <w:szCs w:val="24"/>
        </w:rPr>
        <w:t>, “</w:t>
      </w:r>
      <w:r w:rsidRPr="00B503E6">
        <w:rPr>
          <w:rFonts w:asciiTheme="majorBidi" w:hAnsiTheme="majorBidi" w:cstheme="majorBidi"/>
          <w:sz w:val="24"/>
          <w:szCs w:val="24"/>
        </w:rPr>
        <w:t>Under the French mandate, land ownership as a commodity took firm root.</w:t>
      </w:r>
      <w:r w:rsidR="00E24914" w:rsidRPr="00B503E6">
        <w:rPr>
          <w:rFonts w:asciiTheme="majorBidi" w:hAnsiTheme="majorBidi" w:cstheme="majorBidi"/>
          <w:sz w:val="24"/>
          <w:szCs w:val="24"/>
        </w:rPr>
        <w:t>”</w:t>
      </w:r>
    </w:p>
    <w:p w:rsidR="00F4778C" w:rsidRPr="00B503E6" w:rsidRDefault="00315EE3" w:rsidP="006D2C6E">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One of the goals of the French when they started </w:t>
      </w:r>
      <w:r w:rsidR="00A86527" w:rsidRPr="00B503E6">
        <w:rPr>
          <w:rFonts w:asciiTheme="majorBidi" w:hAnsiTheme="majorBidi" w:cstheme="majorBidi"/>
          <w:sz w:val="24"/>
          <w:szCs w:val="24"/>
        </w:rPr>
        <w:t xml:space="preserve">the </w:t>
      </w:r>
      <w:r w:rsidR="00586075" w:rsidRPr="00B503E6">
        <w:rPr>
          <w:rFonts w:asciiTheme="majorBidi" w:hAnsiTheme="majorBidi" w:cstheme="majorBidi"/>
          <w:sz w:val="24"/>
          <w:szCs w:val="24"/>
        </w:rPr>
        <w:t xml:space="preserve">land </w:t>
      </w:r>
      <w:r w:rsidR="00A86527" w:rsidRPr="00B503E6">
        <w:rPr>
          <w:rFonts w:asciiTheme="majorBidi" w:hAnsiTheme="majorBidi" w:cstheme="majorBidi"/>
          <w:sz w:val="24"/>
          <w:szCs w:val="24"/>
        </w:rPr>
        <w:t xml:space="preserve">survey was to increase the well being of the peasants by establishing small privately owned peasant holdings.  </w:t>
      </w:r>
      <w:r w:rsidR="00955DF6" w:rsidRPr="00B503E6">
        <w:rPr>
          <w:rFonts w:asciiTheme="majorBidi" w:hAnsiTheme="majorBidi" w:cstheme="majorBidi"/>
          <w:sz w:val="24"/>
          <w:szCs w:val="24"/>
        </w:rPr>
        <w:lastRenderedPageBreak/>
        <w:t xml:space="preserve">Philip </w:t>
      </w:r>
      <w:r w:rsidR="00A86527" w:rsidRPr="00B503E6">
        <w:rPr>
          <w:rFonts w:asciiTheme="majorBidi" w:hAnsiTheme="majorBidi" w:cstheme="majorBidi"/>
          <w:sz w:val="24"/>
          <w:szCs w:val="24"/>
        </w:rPr>
        <w:t xml:space="preserve">Khoury </w:t>
      </w:r>
      <w:r w:rsidR="00362276" w:rsidRPr="00B503E6">
        <w:rPr>
          <w:rFonts w:asciiTheme="majorBidi" w:hAnsiTheme="majorBidi" w:cstheme="majorBidi"/>
          <w:sz w:val="24"/>
          <w:szCs w:val="24"/>
        </w:rPr>
        <w:t>(1987</w:t>
      </w:r>
      <w:r w:rsidR="00A97407" w:rsidRPr="00B503E6">
        <w:rPr>
          <w:rFonts w:asciiTheme="majorBidi" w:hAnsiTheme="majorBidi" w:cstheme="majorBidi"/>
          <w:sz w:val="24"/>
          <w:szCs w:val="24"/>
        </w:rPr>
        <w:t>,</w:t>
      </w:r>
      <w:r w:rsidR="00362276" w:rsidRPr="00B503E6">
        <w:rPr>
          <w:rFonts w:asciiTheme="majorBidi" w:hAnsiTheme="majorBidi" w:cstheme="majorBidi"/>
          <w:sz w:val="24"/>
          <w:szCs w:val="24"/>
        </w:rPr>
        <w:t xml:space="preserve"> 60) </w:t>
      </w:r>
      <w:r w:rsidR="00A86527" w:rsidRPr="00B503E6">
        <w:rPr>
          <w:rFonts w:asciiTheme="majorBidi" w:hAnsiTheme="majorBidi" w:cstheme="majorBidi"/>
          <w:sz w:val="24"/>
          <w:szCs w:val="24"/>
        </w:rPr>
        <w:t xml:space="preserve">explains that the French </w:t>
      </w:r>
      <w:r w:rsidR="007748BC" w:rsidRPr="00B503E6">
        <w:rPr>
          <w:rFonts w:asciiTheme="majorBidi" w:hAnsiTheme="majorBidi" w:cstheme="majorBidi"/>
          <w:sz w:val="24"/>
          <w:szCs w:val="24"/>
        </w:rPr>
        <w:t>“</w:t>
      </w:r>
      <w:r w:rsidR="00A86527" w:rsidRPr="00B503E6">
        <w:rPr>
          <w:rFonts w:asciiTheme="majorBidi" w:hAnsiTheme="majorBidi" w:cstheme="majorBidi"/>
          <w:sz w:val="24"/>
          <w:szCs w:val="24"/>
        </w:rPr>
        <w:t>saw in an independent free-holding peasantry the embodiment of the ideals of freedom and independence.</w:t>
      </w:r>
      <w:r w:rsidR="007748BC" w:rsidRPr="00B503E6">
        <w:rPr>
          <w:rFonts w:asciiTheme="majorBidi" w:hAnsiTheme="majorBidi" w:cstheme="majorBidi"/>
          <w:sz w:val="24"/>
          <w:szCs w:val="24"/>
        </w:rPr>
        <w:t>”</w:t>
      </w:r>
      <w:r w:rsidR="00A86527" w:rsidRPr="00B503E6">
        <w:rPr>
          <w:rFonts w:asciiTheme="majorBidi" w:hAnsiTheme="majorBidi" w:cstheme="majorBidi"/>
          <w:sz w:val="24"/>
          <w:szCs w:val="24"/>
        </w:rPr>
        <w:t xml:space="preserve">  </w:t>
      </w:r>
      <w:r w:rsidR="00D57EBA" w:rsidRPr="00B503E6">
        <w:rPr>
          <w:rFonts w:asciiTheme="majorBidi" w:hAnsiTheme="majorBidi" w:cstheme="majorBidi"/>
          <w:sz w:val="24"/>
          <w:szCs w:val="24"/>
        </w:rPr>
        <w:t>However, not all French officials accepted this approach</w:t>
      </w:r>
      <w:r w:rsidR="00F1203B" w:rsidRPr="00B503E6">
        <w:rPr>
          <w:rFonts w:asciiTheme="majorBidi" w:hAnsiTheme="majorBidi" w:cstheme="majorBidi"/>
          <w:sz w:val="24"/>
          <w:szCs w:val="24"/>
        </w:rPr>
        <w:t xml:space="preserve"> since </w:t>
      </w:r>
      <w:r w:rsidR="006775D1" w:rsidRPr="00B503E6">
        <w:rPr>
          <w:rFonts w:asciiTheme="majorBidi" w:hAnsiTheme="majorBidi" w:cstheme="majorBidi"/>
          <w:sz w:val="24"/>
          <w:szCs w:val="24"/>
        </w:rPr>
        <w:t>some</w:t>
      </w:r>
      <w:r w:rsidR="00D57EBA" w:rsidRPr="00B503E6">
        <w:rPr>
          <w:rFonts w:asciiTheme="majorBidi" w:hAnsiTheme="majorBidi" w:cstheme="majorBidi"/>
          <w:sz w:val="24"/>
          <w:szCs w:val="24"/>
        </w:rPr>
        <w:t xml:space="preserve"> thought that it would be easier to rule if they worked with the large </w:t>
      </w:r>
      <w:r w:rsidR="00255F8B" w:rsidRPr="00B503E6">
        <w:rPr>
          <w:rFonts w:asciiTheme="majorBidi" w:hAnsiTheme="majorBidi" w:cstheme="majorBidi"/>
          <w:sz w:val="24"/>
          <w:szCs w:val="24"/>
        </w:rPr>
        <w:t xml:space="preserve">landholders, and </w:t>
      </w:r>
      <w:r w:rsidR="00010FA5" w:rsidRPr="00B503E6">
        <w:rPr>
          <w:rFonts w:asciiTheme="majorBidi" w:hAnsiTheme="majorBidi" w:cstheme="majorBidi"/>
          <w:sz w:val="24"/>
          <w:szCs w:val="24"/>
        </w:rPr>
        <w:t xml:space="preserve">Hanna (2004, 463), notes that </w:t>
      </w:r>
      <w:r w:rsidR="007748BC" w:rsidRPr="00B503E6">
        <w:rPr>
          <w:rFonts w:asciiTheme="majorBidi" w:hAnsiTheme="majorBidi" w:cstheme="majorBidi"/>
          <w:sz w:val="24"/>
          <w:szCs w:val="24"/>
        </w:rPr>
        <w:t>“</w:t>
      </w:r>
      <w:r w:rsidR="00010FA5" w:rsidRPr="00B503E6">
        <w:rPr>
          <w:rFonts w:asciiTheme="majorBidi" w:hAnsiTheme="majorBidi" w:cstheme="majorBidi"/>
          <w:sz w:val="24"/>
          <w:szCs w:val="24"/>
        </w:rPr>
        <w:t>as a whole, the evidence is contradictory.</w:t>
      </w:r>
      <w:r w:rsidR="007748BC" w:rsidRPr="00B503E6">
        <w:rPr>
          <w:rFonts w:asciiTheme="majorBidi" w:hAnsiTheme="majorBidi" w:cstheme="majorBidi"/>
          <w:sz w:val="24"/>
          <w:szCs w:val="24"/>
        </w:rPr>
        <w:t>”</w:t>
      </w:r>
      <w:r w:rsidR="006D2C6E">
        <w:rPr>
          <w:rStyle w:val="EndnoteReference"/>
          <w:rFonts w:asciiTheme="majorBidi" w:hAnsiTheme="majorBidi" w:cstheme="majorBidi"/>
          <w:sz w:val="24"/>
          <w:szCs w:val="24"/>
        </w:rPr>
        <w:endnoteReference w:id="23"/>
      </w:r>
      <w:r w:rsidR="00010FA5" w:rsidRPr="00B503E6">
        <w:rPr>
          <w:rFonts w:asciiTheme="majorBidi" w:hAnsiTheme="majorBidi" w:cstheme="majorBidi"/>
          <w:sz w:val="24"/>
          <w:szCs w:val="24"/>
        </w:rPr>
        <w:t xml:space="preserve">  </w:t>
      </w:r>
    </w:p>
    <w:p w:rsidR="00F1203B" w:rsidRPr="00B503E6" w:rsidRDefault="00F25D50" w:rsidP="006D2C6E">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With regard to </w:t>
      </w:r>
      <w:r w:rsidR="00104115" w:rsidRPr="00B503E6">
        <w:rPr>
          <w:rFonts w:asciiTheme="majorBidi" w:hAnsiTheme="majorBidi" w:cstheme="majorBidi"/>
          <w:sz w:val="24"/>
          <w:szCs w:val="24"/>
        </w:rPr>
        <w:t xml:space="preserve">industry, </w:t>
      </w:r>
      <w:r w:rsidR="00273AEC" w:rsidRPr="00B503E6">
        <w:rPr>
          <w:rFonts w:asciiTheme="majorBidi" w:hAnsiTheme="majorBidi" w:cstheme="majorBidi"/>
          <w:sz w:val="24"/>
          <w:szCs w:val="24"/>
        </w:rPr>
        <w:t xml:space="preserve">both authorities started out by </w:t>
      </w:r>
      <w:r w:rsidR="004A0828" w:rsidRPr="00B503E6">
        <w:rPr>
          <w:rFonts w:asciiTheme="majorBidi" w:hAnsiTheme="majorBidi" w:cstheme="majorBidi"/>
          <w:sz w:val="24"/>
          <w:szCs w:val="24"/>
        </w:rPr>
        <w:t xml:space="preserve">continuing the </w:t>
      </w:r>
      <w:r w:rsidR="00104115" w:rsidRPr="00B503E6">
        <w:rPr>
          <w:rFonts w:asciiTheme="majorBidi" w:hAnsiTheme="majorBidi" w:cstheme="majorBidi"/>
          <w:sz w:val="24"/>
          <w:szCs w:val="24"/>
        </w:rPr>
        <w:t xml:space="preserve">tariff </w:t>
      </w:r>
      <w:r w:rsidR="004A0828" w:rsidRPr="00B503E6">
        <w:rPr>
          <w:rFonts w:asciiTheme="majorBidi" w:hAnsiTheme="majorBidi" w:cstheme="majorBidi"/>
          <w:sz w:val="24"/>
          <w:szCs w:val="24"/>
        </w:rPr>
        <w:t xml:space="preserve">rates of the Ottomans of an 11 percent </w:t>
      </w:r>
      <w:r w:rsidR="004A0828" w:rsidRPr="00B503E6">
        <w:rPr>
          <w:rFonts w:asciiTheme="majorBidi" w:hAnsiTheme="majorBidi" w:cstheme="majorBidi"/>
          <w:i/>
          <w:iCs/>
          <w:sz w:val="24"/>
          <w:szCs w:val="24"/>
        </w:rPr>
        <w:t>ad valorem</w:t>
      </w:r>
      <w:r w:rsidR="004A0828" w:rsidRPr="00B503E6">
        <w:rPr>
          <w:rFonts w:asciiTheme="majorBidi" w:hAnsiTheme="majorBidi" w:cstheme="majorBidi"/>
          <w:sz w:val="24"/>
          <w:szCs w:val="24"/>
        </w:rPr>
        <w:t xml:space="preserve"> tariff, </w:t>
      </w:r>
      <w:r w:rsidR="00273AEC" w:rsidRPr="00B503E6">
        <w:rPr>
          <w:rFonts w:asciiTheme="majorBidi" w:hAnsiTheme="majorBidi" w:cstheme="majorBidi"/>
          <w:sz w:val="24"/>
          <w:szCs w:val="24"/>
        </w:rPr>
        <w:t xml:space="preserve">but due to pressure from </w:t>
      </w:r>
      <w:r w:rsidR="004A0828" w:rsidRPr="00B503E6">
        <w:rPr>
          <w:rFonts w:asciiTheme="majorBidi" w:hAnsiTheme="majorBidi" w:cstheme="majorBidi"/>
          <w:sz w:val="24"/>
          <w:szCs w:val="24"/>
        </w:rPr>
        <w:t xml:space="preserve">the </w:t>
      </w:r>
      <w:r w:rsidR="00273AEC" w:rsidRPr="00B503E6">
        <w:rPr>
          <w:rFonts w:asciiTheme="majorBidi" w:hAnsiTheme="majorBidi" w:cstheme="majorBidi"/>
          <w:sz w:val="24"/>
          <w:szCs w:val="24"/>
        </w:rPr>
        <w:t xml:space="preserve">local </w:t>
      </w:r>
      <w:r w:rsidR="004A0828" w:rsidRPr="00B503E6">
        <w:rPr>
          <w:rFonts w:asciiTheme="majorBidi" w:hAnsiTheme="majorBidi" w:cstheme="majorBidi"/>
          <w:sz w:val="24"/>
          <w:szCs w:val="24"/>
        </w:rPr>
        <w:t xml:space="preserve">nascent </w:t>
      </w:r>
      <w:r w:rsidR="00273AEC" w:rsidRPr="00B503E6">
        <w:rPr>
          <w:rFonts w:asciiTheme="majorBidi" w:hAnsiTheme="majorBidi" w:cstheme="majorBidi"/>
          <w:sz w:val="24"/>
          <w:szCs w:val="24"/>
        </w:rPr>
        <w:t>industries became protectionist in the late 1920s.</w:t>
      </w:r>
      <w:r w:rsidR="006D2C6E">
        <w:rPr>
          <w:rStyle w:val="EndnoteReference"/>
          <w:rFonts w:asciiTheme="majorBidi" w:hAnsiTheme="majorBidi" w:cstheme="majorBidi"/>
          <w:sz w:val="24"/>
          <w:szCs w:val="24"/>
        </w:rPr>
        <w:endnoteReference w:id="24"/>
      </w:r>
      <w:r w:rsidR="00922275" w:rsidRPr="00B503E6">
        <w:rPr>
          <w:rFonts w:asciiTheme="majorBidi" w:hAnsiTheme="majorBidi" w:cstheme="majorBidi"/>
          <w:sz w:val="24"/>
          <w:szCs w:val="24"/>
        </w:rPr>
        <w:t xml:space="preserve">  </w:t>
      </w:r>
      <w:r w:rsidR="005D5907" w:rsidRPr="00B503E6">
        <w:rPr>
          <w:rFonts w:asciiTheme="majorBidi" w:hAnsiTheme="majorBidi" w:cstheme="majorBidi"/>
          <w:sz w:val="24"/>
          <w:szCs w:val="24"/>
        </w:rPr>
        <w:t xml:space="preserve">One exception </w:t>
      </w:r>
      <w:r w:rsidR="00845063" w:rsidRPr="00B503E6">
        <w:rPr>
          <w:rFonts w:asciiTheme="majorBidi" w:hAnsiTheme="majorBidi" w:cstheme="majorBidi"/>
          <w:sz w:val="24"/>
          <w:szCs w:val="24"/>
        </w:rPr>
        <w:t xml:space="preserve">to the tariffs </w:t>
      </w:r>
      <w:r w:rsidR="005D5907" w:rsidRPr="00B503E6">
        <w:rPr>
          <w:rFonts w:asciiTheme="majorBidi" w:hAnsiTheme="majorBidi" w:cstheme="majorBidi"/>
          <w:sz w:val="24"/>
          <w:szCs w:val="24"/>
        </w:rPr>
        <w:t>was that a free trade customs union was established in 1921 between the four areas</w:t>
      </w:r>
      <w:r w:rsidR="007265A1" w:rsidRPr="00B503E6">
        <w:rPr>
          <w:rFonts w:asciiTheme="majorBidi" w:hAnsiTheme="majorBidi" w:cstheme="majorBidi"/>
          <w:sz w:val="24"/>
          <w:szCs w:val="24"/>
        </w:rPr>
        <w:t xml:space="preserve"> and existed until 1939 when duties were imposed on some goods from each country.</w:t>
      </w:r>
      <w:r w:rsidR="005D5907" w:rsidRPr="00B503E6">
        <w:rPr>
          <w:rFonts w:asciiTheme="majorBidi" w:hAnsiTheme="majorBidi" w:cstheme="majorBidi"/>
          <w:sz w:val="24"/>
          <w:szCs w:val="24"/>
        </w:rPr>
        <w:t xml:space="preserve"> Another exception was that French allowed French products to enter Syria and Lebanon at reduced tariffs</w:t>
      </w:r>
      <w:r w:rsidR="00027EDD" w:rsidRPr="00B503E6">
        <w:rPr>
          <w:rFonts w:asciiTheme="majorBidi" w:hAnsiTheme="majorBidi" w:cstheme="majorBidi"/>
          <w:sz w:val="24"/>
          <w:szCs w:val="24"/>
        </w:rPr>
        <w:t xml:space="preserve"> (Peter 2004, 436,437)</w:t>
      </w:r>
      <w:r w:rsidR="005D5907" w:rsidRPr="00B503E6">
        <w:rPr>
          <w:rFonts w:asciiTheme="majorBidi" w:hAnsiTheme="majorBidi" w:cstheme="majorBidi"/>
          <w:sz w:val="24"/>
          <w:szCs w:val="24"/>
        </w:rPr>
        <w:t xml:space="preserve">. </w:t>
      </w:r>
    </w:p>
    <w:p w:rsidR="0042409C" w:rsidRPr="00B503E6" w:rsidRDefault="00922275" w:rsidP="003F6F76">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In terms of concessions</w:t>
      </w:r>
      <w:r w:rsidR="007C359F" w:rsidRPr="00B503E6">
        <w:rPr>
          <w:rFonts w:asciiTheme="majorBidi" w:hAnsiTheme="majorBidi" w:cstheme="majorBidi"/>
          <w:sz w:val="24"/>
          <w:szCs w:val="24"/>
        </w:rPr>
        <w:t xml:space="preserve">, </w:t>
      </w:r>
      <w:r w:rsidR="00104115" w:rsidRPr="00B503E6">
        <w:rPr>
          <w:rFonts w:asciiTheme="majorBidi" w:hAnsiTheme="majorBidi" w:cstheme="majorBidi"/>
          <w:sz w:val="24"/>
          <w:szCs w:val="24"/>
        </w:rPr>
        <w:t xml:space="preserve">in Palestine, the British </w:t>
      </w:r>
      <w:r w:rsidR="002D6753" w:rsidRPr="00B503E6">
        <w:rPr>
          <w:rFonts w:asciiTheme="majorBidi" w:hAnsiTheme="majorBidi" w:cstheme="majorBidi"/>
          <w:sz w:val="24"/>
          <w:szCs w:val="24"/>
        </w:rPr>
        <w:t xml:space="preserve">conferred </w:t>
      </w:r>
      <w:r w:rsidR="00104115" w:rsidRPr="00B503E6">
        <w:rPr>
          <w:rFonts w:asciiTheme="majorBidi" w:hAnsiTheme="majorBidi" w:cstheme="majorBidi"/>
          <w:sz w:val="24"/>
          <w:szCs w:val="24"/>
        </w:rPr>
        <w:t xml:space="preserve">the largest concessions, as for example, </w:t>
      </w:r>
      <w:r w:rsidR="00D65654" w:rsidRPr="00B503E6">
        <w:rPr>
          <w:rFonts w:asciiTheme="majorBidi" w:hAnsiTheme="majorBidi" w:cstheme="majorBidi"/>
          <w:sz w:val="24"/>
          <w:szCs w:val="24"/>
        </w:rPr>
        <w:t>the electricity and D</w:t>
      </w:r>
      <w:r w:rsidR="00104115" w:rsidRPr="00B503E6">
        <w:rPr>
          <w:rFonts w:asciiTheme="majorBidi" w:hAnsiTheme="majorBidi" w:cstheme="majorBidi"/>
          <w:sz w:val="24"/>
          <w:szCs w:val="24"/>
        </w:rPr>
        <w:t xml:space="preserve">ead Sea </w:t>
      </w:r>
      <w:r w:rsidR="00D65654" w:rsidRPr="00B503E6">
        <w:rPr>
          <w:rFonts w:asciiTheme="majorBidi" w:hAnsiTheme="majorBidi" w:cstheme="majorBidi"/>
          <w:sz w:val="24"/>
          <w:szCs w:val="24"/>
        </w:rPr>
        <w:t>s</w:t>
      </w:r>
      <w:r w:rsidR="00104115" w:rsidRPr="00B503E6">
        <w:rPr>
          <w:rFonts w:asciiTheme="majorBidi" w:hAnsiTheme="majorBidi" w:cstheme="majorBidi"/>
          <w:sz w:val="24"/>
          <w:szCs w:val="24"/>
        </w:rPr>
        <w:t xml:space="preserve">alts </w:t>
      </w:r>
      <w:r w:rsidR="00D65654" w:rsidRPr="00B503E6">
        <w:rPr>
          <w:rFonts w:asciiTheme="majorBidi" w:hAnsiTheme="majorBidi" w:cstheme="majorBidi"/>
          <w:sz w:val="24"/>
          <w:szCs w:val="24"/>
        </w:rPr>
        <w:t>c</w:t>
      </w:r>
      <w:r w:rsidR="00104115" w:rsidRPr="00B503E6">
        <w:rPr>
          <w:rFonts w:asciiTheme="majorBidi" w:hAnsiTheme="majorBidi" w:cstheme="majorBidi"/>
          <w:sz w:val="24"/>
          <w:szCs w:val="24"/>
        </w:rPr>
        <w:t xml:space="preserve">oncession, </w:t>
      </w:r>
      <w:r w:rsidR="002776DA" w:rsidRPr="00B503E6">
        <w:rPr>
          <w:rFonts w:asciiTheme="majorBidi" w:hAnsiTheme="majorBidi" w:cstheme="majorBidi"/>
          <w:sz w:val="24"/>
          <w:szCs w:val="24"/>
        </w:rPr>
        <w:t>to</w:t>
      </w:r>
      <w:r w:rsidR="00104115" w:rsidRPr="00B503E6">
        <w:rPr>
          <w:rFonts w:asciiTheme="majorBidi" w:hAnsiTheme="majorBidi" w:cstheme="majorBidi"/>
          <w:sz w:val="24"/>
          <w:szCs w:val="24"/>
        </w:rPr>
        <w:t xml:space="preserve"> </w:t>
      </w:r>
      <w:r w:rsidR="00D65654" w:rsidRPr="00B503E6">
        <w:rPr>
          <w:rFonts w:asciiTheme="majorBidi" w:hAnsiTheme="majorBidi" w:cstheme="majorBidi"/>
          <w:sz w:val="24"/>
          <w:szCs w:val="24"/>
        </w:rPr>
        <w:t>firms (Palestine Electric Company and the Palestine Potash Company), whose founders lived in Palestine.</w:t>
      </w:r>
      <w:r w:rsidR="00104115" w:rsidRPr="00B503E6">
        <w:rPr>
          <w:rFonts w:asciiTheme="majorBidi" w:hAnsiTheme="majorBidi" w:cstheme="majorBidi"/>
          <w:sz w:val="24"/>
          <w:szCs w:val="24"/>
        </w:rPr>
        <w:t xml:space="preserve"> </w:t>
      </w:r>
      <w:r w:rsidR="002D6753" w:rsidRPr="00B503E6">
        <w:rPr>
          <w:rFonts w:asciiTheme="majorBidi" w:hAnsiTheme="majorBidi" w:cstheme="majorBidi"/>
          <w:sz w:val="24"/>
          <w:szCs w:val="24"/>
        </w:rPr>
        <w:t xml:space="preserve"> In contrast, </w:t>
      </w:r>
      <w:r w:rsidR="00104115" w:rsidRPr="00B503E6">
        <w:rPr>
          <w:rFonts w:asciiTheme="majorBidi" w:hAnsiTheme="majorBidi" w:cstheme="majorBidi"/>
          <w:sz w:val="24"/>
          <w:szCs w:val="24"/>
        </w:rPr>
        <w:t>the French gave many of the large concession</w:t>
      </w:r>
      <w:r w:rsidR="0035479E" w:rsidRPr="00B503E6">
        <w:rPr>
          <w:rFonts w:asciiTheme="majorBidi" w:hAnsiTheme="majorBidi" w:cstheme="majorBidi"/>
          <w:sz w:val="24"/>
          <w:szCs w:val="24"/>
        </w:rPr>
        <w:t xml:space="preserve">, especially with regard to infrastructure projects </w:t>
      </w:r>
      <w:r w:rsidR="00104115" w:rsidRPr="00B503E6">
        <w:rPr>
          <w:rFonts w:asciiTheme="majorBidi" w:hAnsiTheme="majorBidi" w:cstheme="majorBidi"/>
          <w:sz w:val="24"/>
          <w:szCs w:val="24"/>
        </w:rPr>
        <w:t>to French firms</w:t>
      </w:r>
      <w:r w:rsidR="0042409C" w:rsidRPr="00B503E6">
        <w:rPr>
          <w:rFonts w:asciiTheme="majorBidi" w:hAnsiTheme="majorBidi" w:cstheme="majorBidi"/>
          <w:sz w:val="24"/>
          <w:szCs w:val="24"/>
        </w:rPr>
        <w:t>. F</w:t>
      </w:r>
      <w:r w:rsidR="007C359F" w:rsidRPr="00B503E6">
        <w:rPr>
          <w:rFonts w:asciiTheme="majorBidi" w:hAnsiTheme="majorBidi" w:cstheme="majorBidi"/>
          <w:sz w:val="24"/>
          <w:szCs w:val="24"/>
        </w:rPr>
        <w:t xml:space="preserve">or example, </w:t>
      </w:r>
      <w:r w:rsidR="00EF527D" w:rsidRPr="00B503E6">
        <w:rPr>
          <w:rFonts w:asciiTheme="majorBidi" w:hAnsiTheme="majorBidi" w:cstheme="majorBidi"/>
          <w:sz w:val="24"/>
          <w:szCs w:val="24"/>
        </w:rPr>
        <w:t>in Aleppo, three French firms received the concession to finance, build and manage the electricity and tramways concession</w:t>
      </w:r>
      <w:r w:rsidR="0061280F" w:rsidRPr="00B503E6">
        <w:rPr>
          <w:rFonts w:asciiTheme="majorBidi" w:hAnsiTheme="majorBidi" w:cstheme="majorBidi"/>
          <w:sz w:val="24"/>
          <w:szCs w:val="24"/>
        </w:rPr>
        <w:t>.</w:t>
      </w:r>
      <w:r w:rsidR="006D2C6E">
        <w:rPr>
          <w:rStyle w:val="EndnoteReference"/>
          <w:rFonts w:asciiTheme="majorBidi" w:hAnsiTheme="majorBidi" w:cstheme="majorBidi"/>
          <w:sz w:val="24"/>
          <w:szCs w:val="24"/>
        </w:rPr>
        <w:endnoteReference w:id="25"/>
      </w:r>
      <w:r w:rsidR="0061280F" w:rsidRPr="00B503E6">
        <w:rPr>
          <w:rFonts w:asciiTheme="majorBidi" w:hAnsiTheme="majorBidi" w:cstheme="majorBidi"/>
          <w:sz w:val="24"/>
          <w:szCs w:val="24"/>
        </w:rPr>
        <w:t xml:space="preserve"> </w:t>
      </w:r>
    </w:p>
    <w:p w:rsidR="009961E5" w:rsidRPr="00B503E6" w:rsidRDefault="00F25D50" w:rsidP="003F6F76">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Efforts were also made to improve the bureaucracy and judiciary.</w:t>
      </w:r>
      <w:r w:rsidR="003F6F76">
        <w:rPr>
          <w:rStyle w:val="EndnoteReference"/>
          <w:rFonts w:asciiTheme="majorBidi" w:hAnsiTheme="majorBidi" w:cstheme="majorBidi"/>
          <w:sz w:val="24"/>
          <w:szCs w:val="24"/>
        </w:rPr>
        <w:endnoteReference w:id="26"/>
      </w:r>
      <w:r w:rsidR="00F1203B" w:rsidRPr="00B503E6">
        <w:rPr>
          <w:rFonts w:asciiTheme="majorBidi" w:hAnsiTheme="majorBidi" w:cstheme="majorBidi"/>
          <w:sz w:val="24"/>
          <w:szCs w:val="24"/>
        </w:rPr>
        <w:t xml:space="preserve">  </w:t>
      </w:r>
      <w:r w:rsidR="009961E5" w:rsidRPr="00B503E6">
        <w:rPr>
          <w:rFonts w:asciiTheme="majorBidi" w:hAnsiTheme="majorBidi" w:cstheme="majorBidi"/>
          <w:sz w:val="24"/>
          <w:szCs w:val="24"/>
        </w:rPr>
        <w:t>One example of the improved judicial system was a case in Aleppo between a landlord family, al-Mudarris, and peasants. Hanna (2004</w:t>
      </w:r>
      <w:r w:rsidR="00A97407" w:rsidRPr="00B503E6">
        <w:rPr>
          <w:rFonts w:asciiTheme="majorBidi" w:hAnsiTheme="majorBidi" w:cstheme="majorBidi"/>
          <w:sz w:val="24"/>
          <w:szCs w:val="24"/>
        </w:rPr>
        <w:t>,</w:t>
      </w:r>
      <w:r w:rsidR="007D3671" w:rsidRPr="00B503E6">
        <w:rPr>
          <w:rFonts w:asciiTheme="majorBidi" w:hAnsiTheme="majorBidi" w:cstheme="majorBidi"/>
          <w:sz w:val="24"/>
          <w:szCs w:val="24"/>
        </w:rPr>
        <w:t xml:space="preserve"> </w:t>
      </w:r>
      <w:r w:rsidR="009961E5" w:rsidRPr="00B503E6">
        <w:rPr>
          <w:rFonts w:asciiTheme="majorBidi" w:hAnsiTheme="majorBidi" w:cstheme="majorBidi"/>
          <w:sz w:val="24"/>
          <w:szCs w:val="24"/>
        </w:rPr>
        <w:t>466) describes the case:</w:t>
      </w:r>
    </w:p>
    <w:p w:rsidR="009961E5" w:rsidRPr="00B503E6" w:rsidRDefault="009961E5" w:rsidP="00F31875">
      <w:pPr>
        <w:spacing w:line="480" w:lineRule="auto"/>
        <w:ind w:left="567"/>
        <w:contextualSpacing/>
        <w:jc w:val="both"/>
        <w:rPr>
          <w:rFonts w:asciiTheme="majorBidi" w:hAnsiTheme="majorBidi" w:cstheme="majorBidi"/>
          <w:sz w:val="24"/>
          <w:szCs w:val="24"/>
        </w:rPr>
      </w:pPr>
      <w:r w:rsidRPr="00B503E6">
        <w:rPr>
          <w:rFonts w:asciiTheme="majorBidi" w:hAnsiTheme="majorBidi" w:cstheme="majorBidi"/>
          <w:sz w:val="24"/>
          <w:szCs w:val="24"/>
        </w:rPr>
        <w:t>The peasant's lawyers took the case to the mixed court, which was presided over by French judges.  The landowners had little or no influence in these courts, whose judges were noted for their integrity. Unlike</w:t>
      </w:r>
      <w:r w:rsidR="00F31875" w:rsidRPr="00B503E6">
        <w:rPr>
          <w:rFonts w:asciiTheme="majorBidi" w:hAnsiTheme="majorBidi" w:cstheme="majorBidi"/>
          <w:sz w:val="24"/>
          <w:szCs w:val="24"/>
        </w:rPr>
        <w:t xml:space="preserve"> other courts, which would </w:t>
      </w:r>
      <w:r w:rsidR="00F31875" w:rsidRPr="00B503E6">
        <w:rPr>
          <w:rFonts w:asciiTheme="majorBidi" w:hAnsiTheme="majorBidi" w:cstheme="majorBidi"/>
          <w:sz w:val="24"/>
          <w:szCs w:val="24"/>
        </w:rPr>
        <w:lastRenderedPageBreak/>
        <w:t>sometimes yield to pressures from notables and other leaders these mixed courts gained the confidence of the Syrian public.  In 1938, the mixed court decided against the Mudarris' claim.</w:t>
      </w:r>
      <w:r w:rsidRPr="00B503E6">
        <w:rPr>
          <w:rFonts w:asciiTheme="majorBidi" w:hAnsiTheme="majorBidi" w:cstheme="majorBidi"/>
          <w:sz w:val="24"/>
          <w:szCs w:val="24"/>
        </w:rPr>
        <w:t xml:space="preserve"> </w:t>
      </w:r>
    </w:p>
    <w:p w:rsidR="008C2218" w:rsidRPr="00B503E6" w:rsidRDefault="004D1375" w:rsidP="00A97407">
      <w:pPr>
        <w:spacing w:line="480" w:lineRule="auto"/>
        <w:contextualSpacing/>
        <w:jc w:val="both"/>
        <w:rPr>
          <w:rFonts w:asciiTheme="majorBidi" w:hAnsiTheme="majorBidi" w:cstheme="majorBidi"/>
          <w:sz w:val="24"/>
          <w:szCs w:val="24"/>
        </w:rPr>
      </w:pPr>
      <w:r w:rsidRPr="00B503E6">
        <w:rPr>
          <w:rFonts w:asciiTheme="majorBidi" w:hAnsiTheme="majorBidi" w:cstheme="majorBidi"/>
          <w:sz w:val="24"/>
          <w:szCs w:val="24"/>
        </w:rPr>
        <w:t>In Trans-Jordan, Alon (2009</w:t>
      </w:r>
      <w:r w:rsidR="00A97407" w:rsidRPr="00B503E6">
        <w:rPr>
          <w:rFonts w:asciiTheme="majorBidi" w:hAnsiTheme="majorBidi" w:cstheme="majorBidi"/>
          <w:sz w:val="24"/>
          <w:szCs w:val="24"/>
        </w:rPr>
        <w:t>,</w:t>
      </w:r>
      <w:r w:rsidR="007D3671" w:rsidRPr="00B503E6">
        <w:rPr>
          <w:rFonts w:asciiTheme="majorBidi" w:hAnsiTheme="majorBidi" w:cstheme="majorBidi"/>
          <w:sz w:val="24"/>
          <w:szCs w:val="24"/>
        </w:rPr>
        <w:t xml:space="preserve"> </w:t>
      </w:r>
      <w:r w:rsidRPr="00B503E6">
        <w:rPr>
          <w:rFonts w:asciiTheme="majorBidi" w:hAnsiTheme="majorBidi" w:cstheme="majorBidi"/>
          <w:sz w:val="24"/>
          <w:szCs w:val="24"/>
        </w:rPr>
        <w:t>64) notes the improved judicial system starting in the middle of the 1920s. He writes</w:t>
      </w:r>
      <w:r w:rsidR="002552A2" w:rsidRPr="00B503E6">
        <w:rPr>
          <w:rFonts w:asciiTheme="majorBidi" w:hAnsiTheme="majorBidi" w:cstheme="majorBidi"/>
          <w:sz w:val="24"/>
          <w:szCs w:val="24"/>
        </w:rPr>
        <w:t>:</w:t>
      </w:r>
    </w:p>
    <w:p w:rsidR="004D1375" w:rsidRPr="00B503E6" w:rsidRDefault="004D1375" w:rsidP="008D1F6F">
      <w:pPr>
        <w:spacing w:line="480" w:lineRule="auto"/>
        <w:ind w:left="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The central administration could now better enforce the law and execute court decisions.  Even shaykhs, including those from prominent families, were no longer immune from legal action.  A brother as well as several nephews of the paramount shaykh of the Bani Sakhar, Mithqal al-Fayiz, saw some of their property confiscated and offered for sale in an auction after they failed to pay their debts….Another important Bani Sakhar shaykh, Haditha al-Khuraysha, was also summoned to court after he </w:t>
      </w:r>
      <w:r w:rsidR="002D6753" w:rsidRPr="00B503E6">
        <w:rPr>
          <w:rFonts w:asciiTheme="majorBidi" w:hAnsiTheme="majorBidi" w:cstheme="majorBidi"/>
          <w:sz w:val="24"/>
          <w:szCs w:val="24"/>
        </w:rPr>
        <w:t xml:space="preserve">was </w:t>
      </w:r>
      <w:r w:rsidRPr="00B503E6">
        <w:rPr>
          <w:rFonts w:asciiTheme="majorBidi" w:hAnsiTheme="majorBidi" w:cstheme="majorBidi"/>
          <w:sz w:val="24"/>
          <w:szCs w:val="24"/>
        </w:rPr>
        <w:t xml:space="preserve">sued by one of Amman's merchants.    </w:t>
      </w:r>
    </w:p>
    <w:p w:rsidR="00AA3637" w:rsidRPr="00B503E6" w:rsidRDefault="00D44059" w:rsidP="00873F85">
      <w:pPr>
        <w:spacing w:line="480" w:lineRule="auto"/>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With regard to public finance </w:t>
      </w:r>
      <w:r w:rsidR="00227636" w:rsidRPr="00B503E6">
        <w:rPr>
          <w:rFonts w:asciiTheme="majorBidi" w:hAnsiTheme="majorBidi" w:cstheme="majorBidi"/>
          <w:sz w:val="24"/>
          <w:szCs w:val="24"/>
        </w:rPr>
        <w:t xml:space="preserve">and collecting taxes, </w:t>
      </w:r>
      <w:r w:rsidR="008839E8" w:rsidRPr="00B503E6">
        <w:rPr>
          <w:rFonts w:asciiTheme="majorBidi" w:hAnsiTheme="majorBidi" w:cstheme="majorBidi"/>
          <w:sz w:val="24"/>
          <w:szCs w:val="24"/>
        </w:rPr>
        <w:t>tax farming was eliminated</w:t>
      </w:r>
      <w:r w:rsidR="00A61746" w:rsidRPr="00B503E6">
        <w:rPr>
          <w:rFonts w:asciiTheme="majorBidi" w:hAnsiTheme="majorBidi" w:cstheme="majorBidi"/>
          <w:sz w:val="24"/>
          <w:szCs w:val="24"/>
        </w:rPr>
        <w:t xml:space="preserve"> by the British in 1919 and the French in 1925.</w:t>
      </w:r>
      <w:r w:rsidR="003F6F76">
        <w:rPr>
          <w:rStyle w:val="EndnoteReference"/>
          <w:rFonts w:asciiTheme="majorBidi" w:hAnsiTheme="majorBidi" w:cstheme="majorBidi"/>
          <w:sz w:val="24"/>
          <w:szCs w:val="24"/>
        </w:rPr>
        <w:endnoteReference w:id="27"/>
      </w:r>
      <w:r w:rsidR="00A61746" w:rsidRPr="00B503E6">
        <w:rPr>
          <w:rFonts w:asciiTheme="majorBidi" w:hAnsiTheme="majorBidi" w:cstheme="majorBidi"/>
          <w:sz w:val="24"/>
          <w:szCs w:val="24"/>
        </w:rPr>
        <w:t xml:space="preserve"> </w:t>
      </w:r>
      <w:r w:rsidR="00B25AF1" w:rsidRPr="00B503E6">
        <w:rPr>
          <w:rFonts w:asciiTheme="majorBidi" w:hAnsiTheme="majorBidi" w:cstheme="majorBidi"/>
          <w:sz w:val="24"/>
          <w:szCs w:val="24"/>
        </w:rPr>
        <w:t xml:space="preserve"> W</w:t>
      </w:r>
      <w:r w:rsidR="00227636" w:rsidRPr="00B503E6">
        <w:rPr>
          <w:rFonts w:asciiTheme="majorBidi" w:hAnsiTheme="majorBidi" w:cstheme="majorBidi"/>
          <w:sz w:val="24"/>
          <w:szCs w:val="24"/>
        </w:rPr>
        <w:t xml:space="preserve">ith regard to the taxes themselves, </w:t>
      </w:r>
      <w:r w:rsidR="007A51DA" w:rsidRPr="00B503E6">
        <w:rPr>
          <w:rFonts w:asciiTheme="majorBidi" w:hAnsiTheme="majorBidi" w:cstheme="majorBidi"/>
          <w:sz w:val="24"/>
          <w:szCs w:val="24"/>
        </w:rPr>
        <w:t xml:space="preserve">the British and the French initially accepted the Ottoman tax system and then </w:t>
      </w:r>
      <w:r w:rsidR="00D20E41" w:rsidRPr="00B503E6">
        <w:rPr>
          <w:rFonts w:asciiTheme="majorBidi" w:hAnsiTheme="majorBidi" w:cstheme="majorBidi"/>
          <w:sz w:val="24"/>
          <w:szCs w:val="24"/>
        </w:rPr>
        <w:t xml:space="preserve">made some changes </w:t>
      </w:r>
      <w:r w:rsidR="007A51DA" w:rsidRPr="00B503E6">
        <w:rPr>
          <w:rFonts w:asciiTheme="majorBidi" w:hAnsiTheme="majorBidi" w:cstheme="majorBidi"/>
          <w:sz w:val="24"/>
          <w:szCs w:val="24"/>
        </w:rPr>
        <w:t xml:space="preserve">over the years.  </w:t>
      </w:r>
      <w:r w:rsidR="001A3FC2" w:rsidRPr="00B503E6">
        <w:rPr>
          <w:rFonts w:asciiTheme="majorBidi" w:hAnsiTheme="majorBidi" w:cstheme="majorBidi"/>
          <w:sz w:val="24"/>
          <w:szCs w:val="24"/>
        </w:rPr>
        <w:t xml:space="preserve">One example is that </w:t>
      </w:r>
      <w:r w:rsidR="00D20E41" w:rsidRPr="00B503E6">
        <w:rPr>
          <w:rFonts w:asciiTheme="majorBidi" w:hAnsiTheme="majorBidi" w:cstheme="majorBidi"/>
          <w:sz w:val="24"/>
          <w:szCs w:val="24"/>
        </w:rPr>
        <w:t xml:space="preserve">in conjunction with </w:t>
      </w:r>
      <w:r w:rsidR="008E016C" w:rsidRPr="00B503E6">
        <w:rPr>
          <w:rFonts w:asciiTheme="majorBidi" w:hAnsiTheme="majorBidi" w:cstheme="majorBidi"/>
          <w:sz w:val="24"/>
          <w:szCs w:val="24"/>
        </w:rPr>
        <w:t xml:space="preserve">the </w:t>
      </w:r>
      <w:r w:rsidR="007A51DA" w:rsidRPr="00B503E6">
        <w:rPr>
          <w:rFonts w:asciiTheme="majorBidi" w:hAnsiTheme="majorBidi" w:cstheme="majorBidi"/>
          <w:sz w:val="24"/>
          <w:szCs w:val="24"/>
        </w:rPr>
        <w:t xml:space="preserve">land settlement program, a land tax was instituted in </w:t>
      </w:r>
      <w:r w:rsidR="00736691" w:rsidRPr="00B503E6">
        <w:rPr>
          <w:rFonts w:asciiTheme="majorBidi" w:hAnsiTheme="majorBidi" w:cstheme="majorBidi"/>
          <w:sz w:val="24"/>
          <w:szCs w:val="24"/>
        </w:rPr>
        <w:t xml:space="preserve">all four areas </w:t>
      </w:r>
      <w:r w:rsidR="007A51DA" w:rsidRPr="00B503E6">
        <w:rPr>
          <w:rFonts w:asciiTheme="majorBidi" w:hAnsiTheme="majorBidi" w:cstheme="majorBidi"/>
          <w:sz w:val="24"/>
          <w:szCs w:val="24"/>
        </w:rPr>
        <w:t xml:space="preserve">to replace various Ottoman taxes, such as the </w:t>
      </w:r>
      <w:r w:rsidR="007A51DA" w:rsidRPr="00B503E6">
        <w:rPr>
          <w:rFonts w:asciiTheme="majorBidi" w:hAnsiTheme="majorBidi" w:cstheme="majorBidi"/>
          <w:i/>
          <w:iCs/>
          <w:sz w:val="24"/>
          <w:szCs w:val="24"/>
        </w:rPr>
        <w:t>werko</w:t>
      </w:r>
      <w:r w:rsidR="007A51DA" w:rsidRPr="00B503E6">
        <w:rPr>
          <w:rFonts w:asciiTheme="majorBidi" w:hAnsiTheme="majorBidi" w:cstheme="majorBidi"/>
          <w:sz w:val="24"/>
          <w:szCs w:val="24"/>
        </w:rPr>
        <w:t xml:space="preserve"> and tithe.</w:t>
      </w:r>
      <w:r w:rsidR="003F6F76">
        <w:rPr>
          <w:rStyle w:val="EndnoteReference"/>
          <w:rFonts w:asciiTheme="majorBidi" w:hAnsiTheme="majorBidi" w:cstheme="majorBidi"/>
          <w:sz w:val="24"/>
          <w:szCs w:val="24"/>
        </w:rPr>
        <w:endnoteReference w:id="28"/>
      </w:r>
      <w:r w:rsidR="007A51DA" w:rsidRPr="00B503E6">
        <w:rPr>
          <w:rFonts w:asciiTheme="majorBidi" w:hAnsiTheme="majorBidi" w:cstheme="majorBidi"/>
          <w:sz w:val="24"/>
          <w:szCs w:val="24"/>
        </w:rPr>
        <w:t xml:space="preserve">  </w:t>
      </w:r>
      <w:r w:rsidR="00387087" w:rsidRPr="00B503E6">
        <w:rPr>
          <w:rFonts w:asciiTheme="majorBidi" w:hAnsiTheme="majorBidi" w:cstheme="majorBidi"/>
          <w:sz w:val="24"/>
          <w:szCs w:val="24"/>
        </w:rPr>
        <w:t xml:space="preserve">The </w:t>
      </w:r>
      <w:r w:rsidR="00387087" w:rsidRPr="00B503E6">
        <w:rPr>
          <w:rFonts w:asciiTheme="majorBidi" w:hAnsiTheme="majorBidi" w:cstheme="majorBidi"/>
          <w:i/>
          <w:iCs/>
          <w:sz w:val="24"/>
          <w:szCs w:val="24"/>
        </w:rPr>
        <w:t>werko</w:t>
      </w:r>
      <w:r w:rsidR="00387087" w:rsidRPr="00B503E6">
        <w:rPr>
          <w:rFonts w:asciiTheme="majorBidi" w:hAnsiTheme="majorBidi" w:cstheme="majorBidi"/>
          <w:sz w:val="24"/>
          <w:szCs w:val="24"/>
        </w:rPr>
        <w:t xml:space="preserve"> was a tax based on the value of the land, but it was claimed that the estimates of the value of the land were inaccurate.  The tithe </w:t>
      </w:r>
      <w:r w:rsidR="00AA3637" w:rsidRPr="00B503E6">
        <w:rPr>
          <w:rFonts w:asciiTheme="majorBidi" w:hAnsiTheme="majorBidi" w:cstheme="majorBidi"/>
          <w:sz w:val="24"/>
          <w:szCs w:val="24"/>
        </w:rPr>
        <w:t xml:space="preserve">was a percentage (not always 10%) tax on the produce of the land, but the calculation of the produce was always a tricky question.  The idea of the new land tax was to make new accurate assessments of the value of the land and with the settlement process, each famer could be assessed based on his/her land.  </w:t>
      </w:r>
      <w:r w:rsidR="006C3081" w:rsidRPr="00B503E6">
        <w:rPr>
          <w:rFonts w:asciiTheme="majorBidi" w:hAnsiTheme="majorBidi" w:cstheme="majorBidi"/>
          <w:sz w:val="24"/>
          <w:szCs w:val="24"/>
        </w:rPr>
        <w:t>The benefits of this new tax was</w:t>
      </w:r>
      <w:r w:rsidR="00BF5F97" w:rsidRPr="00B503E6">
        <w:rPr>
          <w:rFonts w:asciiTheme="majorBidi" w:hAnsiTheme="majorBidi" w:cstheme="majorBidi"/>
          <w:sz w:val="24"/>
          <w:szCs w:val="24"/>
        </w:rPr>
        <w:t xml:space="preserve"> to</w:t>
      </w:r>
      <w:r w:rsidR="006C3081" w:rsidRPr="00B503E6">
        <w:rPr>
          <w:rFonts w:asciiTheme="majorBidi" w:hAnsiTheme="majorBidi" w:cstheme="majorBidi"/>
          <w:sz w:val="24"/>
          <w:szCs w:val="24"/>
        </w:rPr>
        <w:t xml:space="preserve"> </w:t>
      </w:r>
      <w:r w:rsidR="006360D8" w:rsidRPr="00B503E6">
        <w:rPr>
          <w:rFonts w:asciiTheme="majorBidi" w:hAnsiTheme="majorBidi" w:cstheme="majorBidi"/>
          <w:sz w:val="24"/>
          <w:szCs w:val="24"/>
        </w:rPr>
        <w:t>“</w:t>
      </w:r>
      <w:r w:rsidR="006C3081" w:rsidRPr="00B503E6">
        <w:rPr>
          <w:rFonts w:asciiTheme="majorBidi" w:hAnsiTheme="majorBidi" w:cstheme="majorBidi"/>
          <w:sz w:val="24"/>
          <w:szCs w:val="24"/>
        </w:rPr>
        <w:t>regularize and increase revenue</w:t>
      </w:r>
      <w:r w:rsidR="006360D8" w:rsidRPr="00B503E6">
        <w:rPr>
          <w:rFonts w:asciiTheme="majorBidi" w:hAnsiTheme="majorBidi" w:cstheme="majorBidi"/>
          <w:sz w:val="24"/>
          <w:szCs w:val="24"/>
        </w:rPr>
        <w:t>”</w:t>
      </w:r>
      <w:r w:rsidR="006C3081" w:rsidRPr="00B503E6">
        <w:rPr>
          <w:rFonts w:asciiTheme="majorBidi" w:hAnsiTheme="majorBidi" w:cstheme="majorBidi"/>
          <w:sz w:val="24"/>
          <w:szCs w:val="24"/>
        </w:rPr>
        <w:t xml:space="preserve"> </w:t>
      </w:r>
      <w:r w:rsidR="009900BE" w:rsidRPr="00B503E6">
        <w:rPr>
          <w:rFonts w:asciiTheme="majorBidi" w:hAnsiTheme="majorBidi" w:cstheme="majorBidi"/>
          <w:sz w:val="24"/>
          <w:szCs w:val="24"/>
        </w:rPr>
        <w:t xml:space="preserve">(Fischbach 2000, 127) </w:t>
      </w:r>
      <w:r w:rsidR="006C3081" w:rsidRPr="00B503E6">
        <w:rPr>
          <w:rFonts w:asciiTheme="majorBidi" w:hAnsiTheme="majorBidi" w:cstheme="majorBidi"/>
          <w:sz w:val="24"/>
          <w:szCs w:val="24"/>
        </w:rPr>
        <w:t xml:space="preserve">and to make a more equitable tax (Hakim 1936, 356).  However since the tax was tied to </w:t>
      </w:r>
      <w:r w:rsidR="00AA3637" w:rsidRPr="00B503E6">
        <w:rPr>
          <w:rFonts w:asciiTheme="majorBidi" w:hAnsiTheme="majorBidi" w:cstheme="majorBidi"/>
          <w:sz w:val="24"/>
          <w:szCs w:val="24"/>
        </w:rPr>
        <w:t xml:space="preserve">the </w:t>
      </w:r>
      <w:r w:rsidR="00AA3637" w:rsidRPr="00B503E6">
        <w:rPr>
          <w:rFonts w:asciiTheme="majorBidi" w:hAnsiTheme="majorBidi" w:cstheme="majorBidi"/>
          <w:sz w:val="24"/>
          <w:szCs w:val="24"/>
        </w:rPr>
        <w:lastRenderedPageBreak/>
        <w:t xml:space="preserve">progress in the land settlement process, </w:t>
      </w:r>
      <w:r w:rsidR="00873F85">
        <w:rPr>
          <w:rFonts w:asciiTheme="majorBidi" w:hAnsiTheme="majorBidi" w:cstheme="majorBidi"/>
          <w:sz w:val="24"/>
          <w:szCs w:val="24"/>
        </w:rPr>
        <w:t xml:space="preserve">which, as mentioned above, was a lengthy process, </w:t>
      </w:r>
      <w:r w:rsidR="00AA3637" w:rsidRPr="00B503E6">
        <w:rPr>
          <w:rFonts w:asciiTheme="majorBidi" w:hAnsiTheme="majorBidi" w:cstheme="majorBidi"/>
          <w:sz w:val="24"/>
          <w:szCs w:val="24"/>
        </w:rPr>
        <w:t>in some areas</w:t>
      </w:r>
      <w:r w:rsidR="00ED1563" w:rsidRPr="00B503E6">
        <w:rPr>
          <w:rFonts w:asciiTheme="majorBidi" w:hAnsiTheme="majorBidi" w:cstheme="majorBidi"/>
          <w:sz w:val="24"/>
          <w:szCs w:val="24"/>
        </w:rPr>
        <w:t>, t</w:t>
      </w:r>
      <w:r w:rsidR="00AA3637" w:rsidRPr="00B503E6">
        <w:rPr>
          <w:rFonts w:asciiTheme="majorBidi" w:hAnsiTheme="majorBidi" w:cstheme="majorBidi"/>
          <w:sz w:val="24"/>
          <w:szCs w:val="24"/>
        </w:rPr>
        <w:t xml:space="preserve">he new tax </w:t>
      </w:r>
      <w:r w:rsidR="00ED1563" w:rsidRPr="00B503E6">
        <w:rPr>
          <w:rFonts w:asciiTheme="majorBidi" w:hAnsiTheme="majorBidi" w:cstheme="majorBidi"/>
          <w:sz w:val="24"/>
          <w:szCs w:val="24"/>
        </w:rPr>
        <w:t xml:space="preserve">was implemented, and in others </w:t>
      </w:r>
      <w:r w:rsidR="00AA3637" w:rsidRPr="00B503E6">
        <w:rPr>
          <w:rFonts w:asciiTheme="majorBidi" w:hAnsiTheme="majorBidi" w:cstheme="majorBidi"/>
          <w:sz w:val="24"/>
          <w:szCs w:val="24"/>
        </w:rPr>
        <w:t>the old taxes remained.</w:t>
      </w:r>
      <w:r w:rsidR="006C3081" w:rsidRPr="00B503E6">
        <w:rPr>
          <w:rFonts w:asciiTheme="majorBidi" w:hAnsiTheme="majorBidi" w:cstheme="majorBidi"/>
          <w:sz w:val="24"/>
          <w:szCs w:val="24"/>
        </w:rPr>
        <w:t xml:space="preserve">  For example, in</w:t>
      </w:r>
      <w:r w:rsidR="00AA3637" w:rsidRPr="00B503E6">
        <w:rPr>
          <w:rFonts w:asciiTheme="majorBidi" w:hAnsiTheme="majorBidi" w:cstheme="majorBidi"/>
          <w:sz w:val="24"/>
          <w:szCs w:val="24"/>
        </w:rPr>
        <w:t xml:space="preserve"> </w:t>
      </w:r>
      <w:r w:rsidR="006C3081" w:rsidRPr="00B503E6">
        <w:rPr>
          <w:rFonts w:asciiTheme="majorBidi" w:hAnsiTheme="majorBidi" w:cstheme="majorBidi"/>
          <w:sz w:val="24"/>
          <w:szCs w:val="24"/>
        </w:rPr>
        <w:t xml:space="preserve">Palestine, the new land tax was </w:t>
      </w:r>
      <w:r w:rsidR="00ED1563" w:rsidRPr="00B503E6">
        <w:rPr>
          <w:rFonts w:asciiTheme="majorBidi" w:hAnsiTheme="majorBidi" w:cstheme="majorBidi"/>
          <w:sz w:val="24"/>
          <w:szCs w:val="24"/>
        </w:rPr>
        <w:t xml:space="preserve">just </w:t>
      </w:r>
      <w:r w:rsidR="006C3081" w:rsidRPr="00B503E6">
        <w:rPr>
          <w:rFonts w:asciiTheme="majorBidi" w:hAnsiTheme="majorBidi" w:cstheme="majorBidi"/>
          <w:sz w:val="24"/>
          <w:szCs w:val="24"/>
        </w:rPr>
        <w:t xml:space="preserve">instituted in 1936, but Bunton (2007, 166) notes that as of 1940, the taxes were still collected based on the “agency of the village” and not on the individual basis as envisaged by the land settlement program. </w:t>
      </w:r>
    </w:p>
    <w:p w:rsidR="00FD5934" w:rsidRPr="00B503E6" w:rsidRDefault="00FD5934" w:rsidP="003F6F76">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One </w:t>
      </w:r>
      <w:r w:rsidR="005D10DD" w:rsidRPr="00B503E6">
        <w:rPr>
          <w:rFonts w:asciiTheme="majorBidi" w:hAnsiTheme="majorBidi" w:cstheme="majorBidi"/>
          <w:sz w:val="24"/>
          <w:szCs w:val="24"/>
        </w:rPr>
        <w:t xml:space="preserve">other </w:t>
      </w:r>
      <w:r w:rsidRPr="00B503E6">
        <w:rPr>
          <w:rFonts w:asciiTheme="majorBidi" w:hAnsiTheme="majorBidi" w:cstheme="majorBidi"/>
          <w:sz w:val="24"/>
          <w:szCs w:val="24"/>
        </w:rPr>
        <w:t>notable new tax was that the British instituted an income tax in Trans-Jordan in 1933</w:t>
      </w:r>
      <w:r w:rsidR="00B4761F" w:rsidRPr="00B503E6">
        <w:rPr>
          <w:rFonts w:asciiTheme="majorBidi" w:hAnsiTheme="majorBidi" w:cstheme="majorBidi"/>
          <w:sz w:val="24"/>
          <w:szCs w:val="24"/>
        </w:rPr>
        <w:t xml:space="preserve"> </w:t>
      </w:r>
      <w:r w:rsidRPr="00B503E6">
        <w:rPr>
          <w:rFonts w:asciiTheme="majorBidi" w:hAnsiTheme="majorBidi" w:cstheme="majorBidi"/>
          <w:sz w:val="24"/>
          <w:szCs w:val="24"/>
        </w:rPr>
        <w:t>and in Palestine in 1941</w:t>
      </w:r>
      <w:r w:rsidR="005D10DD" w:rsidRPr="00B503E6">
        <w:rPr>
          <w:rFonts w:asciiTheme="majorBidi" w:hAnsiTheme="majorBidi" w:cstheme="majorBidi"/>
          <w:sz w:val="24"/>
          <w:szCs w:val="24"/>
        </w:rPr>
        <w:t xml:space="preserve">. </w:t>
      </w:r>
      <w:r w:rsidR="00AE27E5" w:rsidRPr="00B503E6">
        <w:rPr>
          <w:rFonts w:asciiTheme="majorBidi" w:hAnsiTheme="majorBidi" w:cstheme="majorBidi"/>
          <w:sz w:val="24"/>
          <w:szCs w:val="24"/>
        </w:rPr>
        <w:t xml:space="preserve"> </w:t>
      </w:r>
      <w:r w:rsidR="00B243CC" w:rsidRPr="00B503E6">
        <w:rPr>
          <w:rFonts w:asciiTheme="majorBidi" w:hAnsiTheme="majorBidi" w:cstheme="majorBidi"/>
          <w:sz w:val="24"/>
          <w:szCs w:val="24"/>
        </w:rPr>
        <w:t>T</w:t>
      </w:r>
      <w:r w:rsidRPr="00B503E6">
        <w:rPr>
          <w:rFonts w:asciiTheme="majorBidi" w:hAnsiTheme="majorBidi" w:cstheme="majorBidi"/>
          <w:sz w:val="24"/>
          <w:szCs w:val="24"/>
        </w:rPr>
        <w:t>he income tax in Trans-Jordan was ineffective since in the end of the 1930s it accounted for only one percent of government revenue</w:t>
      </w:r>
      <w:r w:rsidR="00B243CC" w:rsidRPr="00B503E6">
        <w:rPr>
          <w:rFonts w:asciiTheme="majorBidi" w:hAnsiTheme="majorBidi" w:cstheme="majorBidi"/>
          <w:sz w:val="24"/>
          <w:szCs w:val="24"/>
        </w:rPr>
        <w:t xml:space="preserve"> and it was modified in 1945</w:t>
      </w:r>
      <w:r w:rsidRPr="00B503E6">
        <w:rPr>
          <w:rFonts w:asciiTheme="majorBidi" w:hAnsiTheme="majorBidi" w:cstheme="majorBidi"/>
          <w:sz w:val="24"/>
          <w:szCs w:val="24"/>
        </w:rPr>
        <w:t>.</w:t>
      </w:r>
      <w:r w:rsidR="003F6F76">
        <w:rPr>
          <w:rStyle w:val="EndnoteReference"/>
          <w:rFonts w:asciiTheme="majorBidi" w:hAnsiTheme="majorBidi" w:cstheme="majorBidi"/>
          <w:sz w:val="24"/>
          <w:szCs w:val="24"/>
        </w:rPr>
        <w:endnoteReference w:id="29"/>
      </w:r>
    </w:p>
    <w:p w:rsidR="001C7527" w:rsidRPr="00B503E6" w:rsidRDefault="00AA3637" w:rsidP="003F6F76">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With regard to </w:t>
      </w:r>
      <w:r w:rsidR="00B243CC" w:rsidRPr="00B503E6">
        <w:rPr>
          <w:rFonts w:asciiTheme="majorBidi" w:hAnsiTheme="majorBidi" w:cstheme="majorBidi"/>
          <w:sz w:val="24"/>
          <w:szCs w:val="24"/>
        </w:rPr>
        <w:t xml:space="preserve">all </w:t>
      </w:r>
      <w:r w:rsidR="00B404F9" w:rsidRPr="00B503E6">
        <w:rPr>
          <w:rFonts w:asciiTheme="majorBidi" w:hAnsiTheme="majorBidi" w:cstheme="majorBidi"/>
          <w:sz w:val="24"/>
          <w:szCs w:val="24"/>
        </w:rPr>
        <w:t>taxes</w:t>
      </w:r>
      <w:r w:rsidR="00B243CC" w:rsidRPr="00B503E6">
        <w:rPr>
          <w:rFonts w:asciiTheme="majorBidi" w:hAnsiTheme="majorBidi" w:cstheme="majorBidi"/>
          <w:sz w:val="24"/>
          <w:szCs w:val="24"/>
        </w:rPr>
        <w:t xml:space="preserve">, M. F. </w:t>
      </w:r>
      <w:r w:rsidR="00B404F9" w:rsidRPr="00B503E6">
        <w:rPr>
          <w:rFonts w:asciiTheme="majorBidi" w:hAnsiTheme="majorBidi" w:cstheme="majorBidi"/>
          <w:sz w:val="24"/>
          <w:szCs w:val="24"/>
        </w:rPr>
        <w:t>Abcarius (1938, 556) writes</w:t>
      </w:r>
      <w:r w:rsidR="00B243CC" w:rsidRPr="00B503E6">
        <w:rPr>
          <w:rFonts w:asciiTheme="majorBidi" w:hAnsiTheme="majorBidi" w:cstheme="majorBidi"/>
          <w:sz w:val="24"/>
          <w:szCs w:val="24"/>
        </w:rPr>
        <w:t xml:space="preserve"> that in Palestine</w:t>
      </w:r>
      <w:r w:rsidR="00B404F9" w:rsidRPr="00B503E6">
        <w:rPr>
          <w:rFonts w:asciiTheme="majorBidi" w:hAnsiTheme="majorBidi" w:cstheme="majorBidi"/>
          <w:sz w:val="24"/>
          <w:szCs w:val="24"/>
        </w:rPr>
        <w:t>, “</w:t>
      </w:r>
      <w:r w:rsidR="00E144AF" w:rsidRPr="00B503E6">
        <w:rPr>
          <w:rFonts w:asciiTheme="majorBidi" w:hAnsiTheme="majorBidi" w:cstheme="majorBidi"/>
          <w:sz w:val="24"/>
          <w:szCs w:val="24"/>
        </w:rPr>
        <w:t>The</w:t>
      </w:r>
      <w:r w:rsidR="00B404F9" w:rsidRPr="00B503E6">
        <w:rPr>
          <w:rFonts w:asciiTheme="majorBidi" w:hAnsiTheme="majorBidi" w:cstheme="majorBidi"/>
          <w:sz w:val="24"/>
          <w:szCs w:val="24"/>
        </w:rPr>
        <w:t xml:space="preserve"> reforms made under the British Mandate have reduced to large extent the inequity in the distribution of the tax burden that prevailed under the Turkish regime.”</w:t>
      </w:r>
      <w:r w:rsidR="003F6F76">
        <w:rPr>
          <w:rStyle w:val="EndnoteReference"/>
          <w:rFonts w:asciiTheme="majorBidi" w:hAnsiTheme="majorBidi" w:cstheme="majorBidi"/>
          <w:sz w:val="24"/>
          <w:szCs w:val="24"/>
        </w:rPr>
        <w:endnoteReference w:id="30"/>
      </w:r>
      <w:r w:rsidR="00B404F9" w:rsidRPr="00B503E6">
        <w:rPr>
          <w:rFonts w:asciiTheme="majorBidi" w:hAnsiTheme="majorBidi" w:cstheme="majorBidi"/>
          <w:sz w:val="24"/>
          <w:szCs w:val="24"/>
        </w:rPr>
        <w:t xml:space="preserve"> </w:t>
      </w:r>
      <w:r w:rsidR="00AE27E5" w:rsidRPr="00B503E6">
        <w:rPr>
          <w:rFonts w:asciiTheme="majorBidi" w:hAnsiTheme="majorBidi" w:cstheme="majorBidi"/>
          <w:sz w:val="24"/>
          <w:szCs w:val="24"/>
        </w:rPr>
        <w:t>In Trans-Jordan, the largest source of tax revenue was the new land tax, and while Fischbach (</w:t>
      </w:r>
      <w:r w:rsidR="00026267" w:rsidRPr="00B503E6">
        <w:rPr>
          <w:rFonts w:asciiTheme="majorBidi" w:hAnsiTheme="majorBidi" w:cstheme="majorBidi"/>
          <w:sz w:val="24"/>
          <w:szCs w:val="24"/>
        </w:rPr>
        <w:t xml:space="preserve">2000, </w:t>
      </w:r>
      <w:r w:rsidR="00AE27E5" w:rsidRPr="00B503E6">
        <w:rPr>
          <w:rFonts w:asciiTheme="majorBidi" w:hAnsiTheme="majorBidi" w:cstheme="majorBidi"/>
          <w:sz w:val="24"/>
          <w:szCs w:val="24"/>
        </w:rPr>
        <w:t xml:space="preserve">99,127) notes that the land tax revenues only rose slightly from 1933 to 1946, </w:t>
      </w:r>
      <w:r w:rsidR="00B243CC" w:rsidRPr="00B503E6">
        <w:rPr>
          <w:rFonts w:asciiTheme="majorBidi" w:hAnsiTheme="majorBidi" w:cstheme="majorBidi"/>
          <w:sz w:val="24"/>
          <w:szCs w:val="24"/>
        </w:rPr>
        <w:t xml:space="preserve">Adolf </w:t>
      </w:r>
      <w:r w:rsidR="00AE27E5" w:rsidRPr="00B503E6">
        <w:rPr>
          <w:rFonts w:asciiTheme="majorBidi" w:hAnsiTheme="majorBidi" w:cstheme="majorBidi"/>
          <w:sz w:val="24"/>
          <w:szCs w:val="24"/>
        </w:rPr>
        <w:t xml:space="preserve">Konikoff (1946, 89) claims that its most significant effect was “in the relative fairness which it promotes in the distribution of the tax.” </w:t>
      </w:r>
      <w:r w:rsidR="00B404F9" w:rsidRPr="00B503E6">
        <w:rPr>
          <w:rFonts w:asciiTheme="majorBidi" w:hAnsiTheme="majorBidi" w:cstheme="majorBidi"/>
          <w:sz w:val="24"/>
          <w:szCs w:val="24"/>
        </w:rPr>
        <w:t xml:space="preserve">In his review of taxes in </w:t>
      </w:r>
      <w:r w:rsidRPr="00B503E6">
        <w:rPr>
          <w:rFonts w:asciiTheme="majorBidi" w:hAnsiTheme="majorBidi" w:cstheme="majorBidi"/>
          <w:sz w:val="24"/>
          <w:szCs w:val="24"/>
        </w:rPr>
        <w:t xml:space="preserve">Lebanon and Syria, </w:t>
      </w:r>
      <w:r w:rsidR="00B243CC" w:rsidRPr="00B503E6">
        <w:rPr>
          <w:rFonts w:asciiTheme="majorBidi" w:hAnsiTheme="majorBidi" w:cstheme="majorBidi"/>
          <w:sz w:val="24"/>
          <w:szCs w:val="24"/>
        </w:rPr>
        <w:t xml:space="preserve">George </w:t>
      </w:r>
      <w:r w:rsidRPr="00B503E6">
        <w:rPr>
          <w:rFonts w:asciiTheme="majorBidi" w:hAnsiTheme="majorBidi" w:cstheme="majorBidi"/>
          <w:sz w:val="24"/>
          <w:szCs w:val="24"/>
        </w:rPr>
        <w:t xml:space="preserve">Hakim (1936, 353,397) notes that </w:t>
      </w:r>
      <w:r w:rsidR="00B404F9" w:rsidRPr="00B503E6">
        <w:rPr>
          <w:rFonts w:asciiTheme="majorBidi" w:hAnsiTheme="majorBidi" w:cstheme="majorBidi"/>
          <w:sz w:val="24"/>
          <w:szCs w:val="24"/>
        </w:rPr>
        <w:t xml:space="preserve">that tax system under the French was inequitable and regressive, as for example </w:t>
      </w:r>
      <w:r w:rsidRPr="00B503E6">
        <w:rPr>
          <w:rFonts w:asciiTheme="majorBidi" w:hAnsiTheme="majorBidi" w:cstheme="majorBidi"/>
          <w:sz w:val="24"/>
          <w:szCs w:val="24"/>
        </w:rPr>
        <w:t xml:space="preserve">with regard to the tithe tax, even though changes were made “the reforms left the distribution of the tax burden as inequitable as it was under the old system.” </w:t>
      </w:r>
      <w:r w:rsidR="00387087" w:rsidRPr="00B503E6">
        <w:rPr>
          <w:rFonts w:asciiTheme="majorBidi" w:hAnsiTheme="majorBidi" w:cstheme="majorBidi"/>
          <w:sz w:val="24"/>
          <w:szCs w:val="24"/>
        </w:rPr>
        <w:t xml:space="preserve"> </w:t>
      </w:r>
    </w:p>
    <w:p w:rsidR="009F1BFE" w:rsidRPr="00B503E6" w:rsidRDefault="009F1BFE" w:rsidP="003F6F76">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The government budgets in Syria and Lebanon w</w:t>
      </w:r>
      <w:r w:rsidR="0041703B" w:rsidRPr="00B503E6">
        <w:rPr>
          <w:rFonts w:asciiTheme="majorBidi" w:hAnsiTheme="majorBidi" w:cstheme="majorBidi"/>
          <w:sz w:val="24"/>
          <w:szCs w:val="24"/>
        </w:rPr>
        <w:t>ere</w:t>
      </w:r>
      <w:r w:rsidRPr="00B503E6">
        <w:rPr>
          <w:rFonts w:asciiTheme="majorBidi" w:hAnsiTheme="majorBidi" w:cstheme="majorBidi"/>
          <w:sz w:val="24"/>
          <w:szCs w:val="24"/>
        </w:rPr>
        <w:t xml:space="preserve"> more complex than in Palestine and Trans-Jordan since the different states ha</w:t>
      </w:r>
      <w:r w:rsidR="00DD4846" w:rsidRPr="00B503E6">
        <w:rPr>
          <w:rFonts w:asciiTheme="majorBidi" w:hAnsiTheme="majorBidi" w:cstheme="majorBidi"/>
          <w:sz w:val="24"/>
          <w:szCs w:val="24"/>
        </w:rPr>
        <w:t>d</w:t>
      </w:r>
      <w:r w:rsidRPr="00B503E6">
        <w:rPr>
          <w:rFonts w:asciiTheme="majorBidi" w:hAnsiTheme="majorBidi" w:cstheme="majorBidi"/>
          <w:sz w:val="24"/>
          <w:szCs w:val="24"/>
        </w:rPr>
        <w:t xml:space="preserve"> their own budget and </w:t>
      </w:r>
      <w:r w:rsidR="00661FC1" w:rsidRPr="00B503E6">
        <w:rPr>
          <w:rFonts w:asciiTheme="majorBidi" w:hAnsiTheme="majorBidi" w:cstheme="majorBidi"/>
          <w:sz w:val="24"/>
          <w:szCs w:val="24"/>
        </w:rPr>
        <w:t xml:space="preserve">in addition </w:t>
      </w:r>
      <w:r w:rsidRPr="00B503E6">
        <w:rPr>
          <w:rFonts w:asciiTheme="majorBidi" w:hAnsiTheme="majorBidi" w:cstheme="majorBidi"/>
          <w:sz w:val="24"/>
          <w:szCs w:val="24"/>
        </w:rPr>
        <w:t xml:space="preserve">there was a </w:t>
      </w:r>
      <w:r w:rsidR="00DD4846" w:rsidRPr="00B503E6">
        <w:rPr>
          <w:rFonts w:asciiTheme="majorBidi" w:hAnsiTheme="majorBidi" w:cstheme="majorBidi"/>
          <w:sz w:val="24"/>
          <w:szCs w:val="24"/>
        </w:rPr>
        <w:t xml:space="preserve">joint </w:t>
      </w:r>
      <w:r w:rsidRPr="00B503E6">
        <w:rPr>
          <w:rFonts w:asciiTheme="majorBidi" w:hAnsiTheme="majorBidi" w:cstheme="majorBidi"/>
          <w:sz w:val="24"/>
          <w:szCs w:val="24"/>
        </w:rPr>
        <w:t xml:space="preserve">budget of common interests.  The most important source of revenue in the budget of common interests was the custom receipts and </w:t>
      </w:r>
      <w:r w:rsidR="00733764" w:rsidRPr="00B503E6">
        <w:rPr>
          <w:rFonts w:asciiTheme="majorBidi" w:hAnsiTheme="majorBidi" w:cstheme="majorBidi"/>
          <w:sz w:val="24"/>
          <w:szCs w:val="24"/>
        </w:rPr>
        <w:t xml:space="preserve">the </w:t>
      </w:r>
      <w:r w:rsidR="00F84161" w:rsidRPr="00B503E6">
        <w:rPr>
          <w:rFonts w:asciiTheme="majorBidi" w:hAnsiTheme="majorBidi" w:cstheme="majorBidi"/>
          <w:sz w:val="24"/>
          <w:szCs w:val="24"/>
        </w:rPr>
        <w:t xml:space="preserve">biggest </w:t>
      </w:r>
      <w:r w:rsidRPr="00B503E6">
        <w:rPr>
          <w:rFonts w:asciiTheme="majorBidi" w:hAnsiTheme="majorBidi" w:cstheme="majorBidi"/>
          <w:sz w:val="24"/>
          <w:szCs w:val="24"/>
        </w:rPr>
        <w:lastRenderedPageBreak/>
        <w:t xml:space="preserve">expenditure in this budget </w:t>
      </w:r>
      <w:r w:rsidR="00F84161" w:rsidRPr="00B503E6">
        <w:rPr>
          <w:rFonts w:asciiTheme="majorBidi" w:hAnsiTheme="majorBidi" w:cstheme="majorBidi"/>
          <w:sz w:val="24"/>
          <w:szCs w:val="24"/>
        </w:rPr>
        <w:t xml:space="preserve">was for </w:t>
      </w:r>
      <w:r w:rsidR="00895A16" w:rsidRPr="00B503E6">
        <w:rPr>
          <w:rFonts w:asciiTheme="majorBidi" w:hAnsiTheme="majorBidi" w:cstheme="majorBidi"/>
          <w:sz w:val="24"/>
          <w:szCs w:val="24"/>
        </w:rPr>
        <w:t xml:space="preserve">military expenses for </w:t>
      </w:r>
      <w:r w:rsidR="00F84161" w:rsidRPr="00B503E6">
        <w:rPr>
          <w:rFonts w:asciiTheme="majorBidi" w:hAnsiTheme="majorBidi" w:cstheme="majorBidi"/>
          <w:sz w:val="24"/>
          <w:szCs w:val="24"/>
        </w:rPr>
        <w:t>special troops</w:t>
      </w:r>
      <w:r w:rsidR="00895A16" w:rsidRPr="00B503E6">
        <w:rPr>
          <w:rFonts w:asciiTheme="majorBidi" w:hAnsiTheme="majorBidi" w:cstheme="majorBidi"/>
          <w:sz w:val="24"/>
          <w:szCs w:val="24"/>
        </w:rPr>
        <w:t xml:space="preserve"> of the Levant.</w:t>
      </w:r>
      <w:r w:rsidR="003F6F76">
        <w:rPr>
          <w:rStyle w:val="EndnoteReference"/>
          <w:rFonts w:asciiTheme="majorBidi" w:hAnsiTheme="majorBidi" w:cstheme="majorBidi"/>
          <w:sz w:val="24"/>
          <w:szCs w:val="24"/>
        </w:rPr>
        <w:endnoteReference w:id="31"/>
      </w:r>
      <w:r w:rsidR="00F84161" w:rsidRPr="00B503E6">
        <w:rPr>
          <w:rFonts w:asciiTheme="majorBidi" w:hAnsiTheme="majorBidi" w:cstheme="majorBidi"/>
          <w:sz w:val="24"/>
          <w:szCs w:val="24"/>
        </w:rPr>
        <w:t xml:space="preserve"> This budget </w:t>
      </w:r>
      <w:r w:rsidR="00AE27E5" w:rsidRPr="00B503E6">
        <w:rPr>
          <w:rFonts w:asciiTheme="majorBidi" w:hAnsiTheme="majorBidi" w:cstheme="majorBidi"/>
          <w:sz w:val="24"/>
          <w:szCs w:val="24"/>
        </w:rPr>
        <w:t xml:space="preserve">almost </w:t>
      </w:r>
      <w:r w:rsidR="00F84161" w:rsidRPr="00B503E6">
        <w:rPr>
          <w:rFonts w:asciiTheme="majorBidi" w:hAnsiTheme="majorBidi" w:cstheme="majorBidi"/>
          <w:sz w:val="24"/>
          <w:szCs w:val="24"/>
        </w:rPr>
        <w:t xml:space="preserve">always had a surplus, </w:t>
      </w:r>
      <w:r w:rsidR="00DD4846" w:rsidRPr="00B503E6">
        <w:rPr>
          <w:rFonts w:asciiTheme="majorBidi" w:hAnsiTheme="majorBidi" w:cstheme="majorBidi"/>
          <w:sz w:val="24"/>
          <w:szCs w:val="24"/>
        </w:rPr>
        <w:t>and the funds were distributed amongst the different states, though the distribution</w:t>
      </w:r>
      <w:r w:rsidR="00501D49" w:rsidRPr="00B503E6">
        <w:rPr>
          <w:rFonts w:asciiTheme="majorBidi" w:hAnsiTheme="majorBidi" w:cstheme="majorBidi"/>
          <w:sz w:val="24"/>
          <w:szCs w:val="24"/>
        </w:rPr>
        <w:t xml:space="preserve"> of </w:t>
      </w:r>
      <w:r w:rsidR="00D20E41" w:rsidRPr="00B503E6">
        <w:rPr>
          <w:rFonts w:asciiTheme="majorBidi" w:hAnsiTheme="majorBidi" w:cstheme="majorBidi"/>
          <w:sz w:val="24"/>
          <w:szCs w:val="24"/>
        </w:rPr>
        <w:t xml:space="preserve">its </w:t>
      </w:r>
      <w:r w:rsidR="00501D49" w:rsidRPr="00B503E6">
        <w:rPr>
          <w:rFonts w:asciiTheme="majorBidi" w:hAnsiTheme="majorBidi" w:cstheme="majorBidi"/>
          <w:sz w:val="24"/>
          <w:szCs w:val="24"/>
        </w:rPr>
        <w:t>funds</w:t>
      </w:r>
      <w:r w:rsidR="00D20E41" w:rsidRPr="00B503E6">
        <w:rPr>
          <w:rFonts w:asciiTheme="majorBidi" w:hAnsiTheme="majorBidi" w:cstheme="majorBidi"/>
          <w:sz w:val="24"/>
          <w:szCs w:val="24"/>
        </w:rPr>
        <w:t xml:space="preserve"> was a contentious issue</w:t>
      </w:r>
      <w:r w:rsidR="00B00058" w:rsidRPr="00B503E6">
        <w:rPr>
          <w:rFonts w:asciiTheme="majorBidi" w:hAnsiTheme="majorBidi" w:cstheme="majorBidi"/>
          <w:sz w:val="24"/>
          <w:szCs w:val="24"/>
        </w:rPr>
        <w:t xml:space="preserve">. </w:t>
      </w:r>
      <w:r w:rsidR="00DD4846" w:rsidRPr="00B503E6">
        <w:rPr>
          <w:rFonts w:asciiTheme="majorBidi" w:hAnsiTheme="majorBidi" w:cstheme="majorBidi"/>
          <w:sz w:val="24"/>
          <w:szCs w:val="24"/>
        </w:rPr>
        <w:t xml:space="preserve"> </w:t>
      </w:r>
      <w:r w:rsidRPr="00B503E6">
        <w:rPr>
          <w:rFonts w:asciiTheme="majorBidi" w:hAnsiTheme="majorBidi" w:cstheme="majorBidi"/>
          <w:sz w:val="24"/>
          <w:szCs w:val="24"/>
        </w:rPr>
        <w:t xml:space="preserve">   </w:t>
      </w:r>
    </w:p>
    <w:p w:rsidR="00E0550F" w:rsidRPr="00B503E6" w:rsidRDefault="001C7527" w:rsidP="003F6F76">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In </w:t>
      </w:r>
      <w:r w:rsidR="00B01E2D" w:rsidRPr="00B503E6">
        <w:rPr>
          <w:rFonts w:asciiTheme="majorBidi" w:hAnsiTheme="majorBidi" w:cstheme="majorBidi"/>
          <w:sz w:val="24"/>
          <w:szCs w:val="24"/>
        </w:rPr>
        <w:t xml:space="preserve">Syria, Lebanon and Palestine, </w:t>
      </w:r>
      <w:r w:rsidR="00580D32" w:rsidRPr="00B503E6">
        <w:rPr>
          <w:rFonts w:asciiTheme="majorBidi" w:hAnsiTheme="majorBidi" w:cstheme="majorBidi"/>
          <w:sz w:val="24"/>
          <w:szCs w:val="24"/>
        </w:rPr>
        <w:t xml:space="preserve">the mandate authorities were determined that the territory should have a balanced budget. </w:t>
      </w:r>
      <w:r w:rsidR="001D686B" w:rsidRPr="00B503E6">
        <w:rPr>
          <w:rFonts w:asciiTheme="majorBidi" w:hAnsiTheme="majorBidi" w:cstheme="majorBidi"/>
          <w:sz w:val="24"/>
          <w:szCs w:val="24"/>
        </w:rPr>
        <w:t xml:space="preserve"> </w:t>
      </w:r>
      <w:r w:rsidR="005B07B0" w:rsidRPr="00B503E6">
        <w:rPr>
          <w:rFonts w:asciiTheme="majorBidi" w:hAnsiTheme="majorBidi" w:cstheme="majorBidi"/>
          <w:sz w:val="24"/>
          <w:szCs w:val="24"/>
        </w:rPr>
        <w:t xml:space="preserve">In </w:t>
      </w:r>
      <w:r w:rsidR="00F91C92" w:rsidRPr="00B503E6">
        <w:rPr>
          <w:rFonts w:asciiTheme="majorBidi" w:hAnsiTheme="majorBidi" w:cstheme="majorBidi"/>
          <w:sz w:val="24"/>
          <w:szCs w:val="24"/>
        </w:rPr>
        <w:t xml:space="preserve">Syria and Lebanon, France subsidized the budget until 1923, and from then onwards, the </w:t>
      </w:r>
      <w:r w:rsidR="009826B0" w:rsidRPr="00B503E6">
        <w:rPr>
          <w:rFonts w:asciiTheme="majorBidi" w:hAnsiTheme="majorBidi" w:cstheme="majorBidi"/>
          <w:sz w:val="24"/>
          <w:szCs w:val="24"/>
        </w:rPr>
        <w:t>m</w:t>
      </w:r>
      <w:r w:rsidR="00E26C05" w:rsidRPr="00B503E6">
        <w:rPr>
          <w:rFonts w:asciiTheme="majorBidi" w:hAnsiTheme="majorBidi" w:cstheme="majorBidi"/>
          <w:sz w:val="24"/>
          <w:szCs w:val="24"/>
        </w:rPr>
        <w:t>andate</w:t>
      </w:r>
      <w:r w:rsidR="00F91C92" w:rsidRPr="00B503E6">
        <w:rPr>
          <w:rFonts w:asciiTheme="majorBidi" w:hAnsiTheme="majorBidi" w:cstheme="majorBidi"/>
          <w:sz w:val="24"/>
          <w:szCs w:val="24"/>
        </w:rPr>
        <w:t xml:space="preserve"> territories ran budget surpluses.</w:t>
      </w:r>
      <w:r w:rsidR="003F6F76">
        <w:rPr>
          <w:rStyle w:val="EndnoteReference"/>
          <w:rFonts w:asciiTheme="majorBidi" w:hAnsiTheme="majorBidi" w:cstheme="majorBidi"/>
          <w:sz w:val="24"/>
          <w:szCs w:val="24"/>
        </w:rPr>
        <w:endnoteReference w:id="32"/>
      </w:r>
      <w:r w:rsidR="00F91C92" w:rsidRPr="00B503E6">
        <w:rPr>
          <w:rFonts w:asciiTheme="majorBidi" w:hAnsiTheme="majorBidi" w:cstheme="majorBidi"/>
          <w:sz w:val="24"/>
          <w:szCs w:val="24"/>
        </w:rPr>
        <w:t xml:space="preserve"> </w:t>
      </w:r>
      <w:r w:rsidR="00655E09" w:rsidRPr="00B503E6">
        <w:rPr>
          <w:rFonts w:asciiTheme="majorBidi" w:hAnsiTheme="majorBidi" w:cstheme="majorBidi"/>
          <w:sz w:val="24"/>
          <w:szCs w:val="24"/>
        </w:rPr>
        <w:t xml:space="preserve">Palestine for the years 1920-1939 had budget surplus for 11 of the 19 </w:t>
      </w:r>
      <w:r w:rsidR="00146F1C" w:rsidRPr="00B503E6">
        <w:rPr>
          <w:rFonts w:asciiTheme="majorBidi" w:hAnsiTheme="majorBidi" w:cstheme="majorBidi"/>
          <w:sz w:val="24"/>
          <w:szCs w:val="24"/>
        </w:rPr>
        <w:t>y</w:t>
      </w:r>
      <w:r w:rsidR="00655E09" w:rsidRPr="00B503E6">
        <w:rPr>
          <w:rFonts w:asciiTheme="majorBidi" w:hAnsiTheme="majorBidi" w:cstheme="majorBidi"/>
          <w:sz w:val="24"/>
          <w:szCs w:val="24"/>
        </w:rPr>
        <w:t>ears</w:t>
      </w:r>
      <w:r w:rsidR="00BC2AD6" w:rsidRPr="00B503E6">
        <w:rPr>
          <w:rFonts w:asciiTheme="majorBidi" w:hAnsiTheme="majorBidi" w:cstheme="majorBidi"/>
          <w:sz w:val="24"/>
          <w:szCs w:val="24"/>
        </w:rPr>
        <w:t xml:space="preserve"> (total £P 2,533,265</w:t>
      </w:r>
      <w:r w:rsidR="007F743E" w:rsidRPr="00B503E6">
        <w:rPr>
          <w:rFonts w:asciiTheme="majorBidi" w:hAnsiTheme="majorBidi" w:cstheme="majorBidi"/>
          <w:sz w:val="24"/>
          <w:szCs w:val="24"/>
        </w:rPr>
        <w:t>, 42% of the revenue in the budget year 1938/39</w:t>
      </w:r>
      <w:r w:rsidR="00BC2AD6" w:rsidRPr="00B503E6">
        <w:rPr>
          <w:rFonts w:asciiTheme="majorBidi" w:hAnsiTheme="majorBidi" w:cstheme="majorBidi"/>
          <w:sz w:val="24"/>
          <w:szCs w:val="24"/>
        </w:rPr>
        <w:t>)</w:t>
      </w:r>
      <w:r w:rsidR="00655E09" w:rsidRPr="00B503E6">
        <w:rPr>
          <w:rFonts w:asciiTheme="majorBidi" w:hAnsiTheme="majorBidi" w:cstheme="majorBidi"/>
          <w:sz w:val="24"/>
          <w:szCs w:val="24"/>
        </w:rPr>
        <w:t xml:space="preserve">, and </w:t>
      </w:r>
      <w:r w:rsidR="00BC2AD6" w:rsidRPr="00B503E6">
        <w:rPr>
          <w:rFonts w:asciiTheme="majorBidi" w:hAnsiTheme="majorBidi" w:cstheme="majorBidi"/>
          <w:sz w:val="24"/>
          <w:szCs w:val="24"/>
        </w:rPr>
        <w:t xml:space="preserve">for half the years during WWII </w:t>
      </w:r>
      <w:r w:rsidR="00E8110F" w:rsidRPr="00B503E6">
        <w:rPr>
          <w:rFonts w:asciiTheme="majorBidi" w:hAnsiTheme="majorBidi" w:cstheme="majorBidi"/>
          <w:sz w:val="24"/>
          <w:szCs w:val="24"/>
        </w:rPr>
        <w:t>(Statistical Abstract of Palestine 1944-45, 79)</w:t>
      </w:r>
      <w:r w:rsidR="00655E09" w:rsidRPr="00B503E6">
        <w:rPr>
          <w:rFonts w:asciiTheme="majorBidi" w:hAnsiTheme="majorBidi" w:cstheme="majorBidi"/>
          <w:sz w:val="24"/>
          <w:szCs w:val="24"/>
        </w:rPr>
        <w:t xml:space="preserve">. </w:t>
      </w:r>
      <w:r w:rsidR="000A27E0" w:rsidRPr="00B503E6">
        <w:rPr>
          <w:rFonts w:asciiTheme="majorBidi" w:hAnsiTheme="majorBidi" w:cstheme="majorBidi"/>
          <w:sz w:val="24"/>
          <w:szCs w:val="24"/>
        </w:rPr>
        <w:t xml:space="preserve"> </w:t>
      </w:r>
      <w:r w:rsidR="00655E09" w:rsidRPr="00B503E6">
        <w:rPr>
          <w:rFonts w:asciiTheme="majorBidi" w:hAnsiTheme="majorBidi" w:cstheme="majorBidi"/>
          <w:sz w:val="24"/>
          <w:szCs w:val="24"/>
        </w:rPr>
        <w:t>Within the revenues of Palestine's budget w</w:t>
      </w:r>
      <w:r w:rsidR="007A4B7E" w:rsidRPr="00B503E6">
        <w:rPr>
          <w:rFonts w:asciiTheme="majorBidi" w:hAnsiTheme="majorBidi" w:cstheme="majorBidi"/>
          <w:sz w:val="24"/>
          <w:szCs w:val="24"/>
        </w:rPr>
        <w:t>as</w:t>
      </w:r>
      <w:r w:rsidR="00655E09" w:rsidRPr="00B503E6">
        <w:rPr>
          <w:rFonts w:asciiTheme="majorBidi" w:hAnsiTheme="majorBidi" w:cstheme="majorBidi"/>
          <w:sz w:val="24"/>
          <w:szCs w:val="24"/>
        </w:rPr>
        <w:t xml:space="preserve"> gra</w:t>
      </w:r>
      <w:r w:rsidR="007A4B7E" w:rsidRPr="00B503E6">
        <w:rPr>
          <w:rFonts w:asciiTheme="majorBidi" w:hAnsiTheme="majorBidi" w:cstheme="majorBidi"/>
          <w:sz w:val="24"/>
          <w:szCs w:val="24"/>
        </w:rPr>
        <w:t>n</w:t>
      </w:r>
      <w:r w:rsidR="00655E09" w:rsidRPr="00B503E6">
        <w:rPr>
          <w:rFonts w:asciiTheme="majorBidi" w:hAnsiTheme="majorBidi" w:cstheme="majorBidi"/>
          <w:sz w:val="24"/>
          <w:szCs w:val="24"/>
        </w:rPr>
        <w:t>t</w:t>
      </w:r>
      <w:r w:rsidR="007A4B7E" w:rsidRPr="00B503E6">
        <w:rPr>
          <w:rFonts w:asciiTheme="majorBidi" w:hAnsiTheme="majorBidi" w:cstheme="majorBidi"/>
          <w:sz w:val="24"/>
          <w:szCs w:val="24"/>
        </w:rPr>
        <w:t xml:space="preserve">–in-aid from Britain, but </w:t>
      </w:r>
      <w:r w:rsidR="00AC2961" w:rsidRPr="00B503E6">
        <w:rPr>
          <w:rFonts w:asciiTheme="majorBidi" w:hAnsiTheme="majorBidi" w:cstheme="majorBidi"/>
          <w:sz w:val="24"/>
          <w:szCs w:val="24"/>
        </w:rPr>
        <w:t>u</w:t>
      </w:r>
      <w:r w:rsidR="00E810B5" w:rsidRPr="00B503E6">
        <w:rPr>
          <w:rFonts w:asciiTheme="majorBidi" w:hAnsiTheme="majorBidi" w:cstheme="majorBidi"/>
          <w:sz w:val="24"/>
          <w:szCs w:val="24"/>
        </w:rPr>
        <w:t xml:space="preserve">ntil </w:t>
      </w:r>
      <w:r w:rsidR="00024E5C" w:rsidRPr="00B503E6">
        <w:rPr>
          <w:rFonts w:asciiTheme="majorBidi" w:hAnsiTheme="majorBidi" w:cstheme="majorBidi"/>
          <w:sz w:val="24"/>
          <w:szCs w:val="24"/>
        </w:rPr>
        <w:t xml:space="preserve">the </w:t>
      </w:r>
      <w:r w:rsidR="00AC2961" w:rsidRPr="00B503E6">
        <w:rPr>
          <w:rFonts w:asciiTheme="majorBidi" w:hAnsiTheme="majorBidi" w:cstheme="majorBidi"/>
          <w:sz w:val="24"/>
          <w:szCs w:val="24"/>
        </w:rPr>
        <w:t>19</w:t>
      </w:r>
      <w:r w:rsidR="00294C1F" w:rsidRPr="00B503E6">
        <w:rPr>
          <w:rFonts w:asciiTheme="majorBidi" w:hAnsiTheme="majorBidi" w:cstheme="majorBidi"/>
          <w:sz w:val="24"/>
          <w:szCs w:val="24"/>
        </w:rPr>
        <w:t>37</w:t>
      </w:r>
      <w:r w:rsidR="00AC2961" w:rsidRPr="00B503E6">
        <w:rPr>
          <w:rFonts w:asciiTheme="majorBidi" w:hAnsiTheme="majorBidi" w:cstheme="majorBidi"/>
          <w:sz w:val="24"/>
          <w:szCs w:val="24"/>
        </w:rPr>
        <w:t>/</w:t>
      </w:r>
      <w:r w:rsidR="00294C1F" w:rsidRPr="00B503E6">
        <w:rPr>
          <w:rFonts w:asciiTheme="majorBidi" w:hAnsiTheme="majorBidi" w:cstheme="majorBidi"/>
          <w:sz w:val="24"/>
          <w:szCs w:val="24"/>
        </w:rPr>
        <w:t>38</w:t>
      </w:r>
      <w:r w:rsidR="00AC2961" w:rsidRPr="00B503E6">
        <w:rPr>
          <w:rFonts w:asciiTheme="majorBidi" w:hAnsiTheme="majorBidi" w:cstheme="majorBidi"/>
          <w:sz w:val="24"/>
          <w:szCs w:val="24"/>
        </w:rPr>
        <w:t xml:space="preserve"> </w:t>
      </w:r>
      <w:r w:rsidR="00294C1F" w:rsidRPr="00B503E6">
        <w:rPr>
          <w:rFonts w:asciiTheme="majorBidi" w:hAnsiTheme="majorBidi" w:cstheme="majorBidi"/>
          <w:sz w:val="24"/>
          <w:szCs w:val="24"/>
        </w:rPr>
        <w:t>budget al</w:t>
      </w:r>
      <w:r w:rsidR="00D81381" w:rsidRPr="00B503E6">
        <w:rPr>
          <w:rFonts w:asciiTheme="majorBidi" w:hAnsiTheme="majorBidi" w:cstheme="majorBidi"/>
          <w:sz w:val="24"/>
          <w:szCs w:val="24"/>
        </w:rPr>
        <w:t>most all</w:t>
      </w:r>
      <w:r w:rsidR="00294C1F" w:rsidRPr="00B503E6">
        <w:rPr>
          <w:rFonts w:asciiTheme="majorBidi" w:hAnsiTheme="majorBidi" w:cstheme="majorBidi"/>
          <w:sz w:val="24"/>
          <w:szCs w:val="24"/>
        </w:rPr>
        <w:t xml:space="preserve"> of the grant </w:t>
      </w:r>
      <w:r w:rsidR="007A4B7E" w:rsidRPr="00B503E6">
        <w:rPr>
          <w:rFonts w:asciiTheme="majorBidi" w:hAnsiTheme="majorBidi" w:cstheme="majorBidi"/>
          <w:sz w:val="24"/>
          <w:szCs w:val="24"/>
        </w:rPr>
        <w:t>money went to paying for the Trans-Jordan frontier force.</w:t>
      </w:r>
      <w:r w:rsidR="003F6F76">
        <w:rPr>
          <w:rStyle w:val="EndnoteReference"/>
          <w:rFonts w:asciiTheme="majorBidi" w:hAnsiTheme="majorBidi" w:cstheme="majorBidi"/>
          <w:sz w:val="24"/>
          <w:szCs w:val="24"/>
        </w:rPr>
        <w:endnoteReference w:id="33"/>
      </w:r>
    </w:p>
    <w:p w:rsidR="009677F0" w:rsidRPr="00B503E6" w:rsidRDefault="00501E27" w:rsidP="003F6F76">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In T</w:t>
      </w:r>
      <w:r w:rsidR="00C478FE" w:rsidRPr="00B503E6">
        <w:rPr>
          <w:rFonts w:asciiTheme="majorBidi" w:hAnsiTheme="majorBidi" w:cstheme="majorBidi"/>
          <w:sz w:val="24"/>
          <w:szCs w:val="24"/>
        </w:rPr>
        <w:t>rans-Jordan, for the budget years 1930/31 through 19</w:t>
      </w:r>
      <w:r w:rsidR="007F743E" w:rsidRPr="00B503E6">
        <w:rPr>
          <w:rFonts w:asciiTheme="majorBidi" w:hAnsiTheme="majorBidi" w:cstheme="majorBidi"/>
          <w:sz w:val="24"/>
          <w:szCs w:val="24"/>
        </w:rPr>
        <w:t>38</w:t>
      </w:r>
      <w:r w:rsidR="00C478FE" w:rsidRPr="00B503E6">
        <w:rPr>
          <w:rFonts w:asciiTheme="majorBidi" w:hAnsiTheme="majorBidi" w:cstheme="majorBidi"/>
          <w:sz w:val="24"/>
          <w:szCs w:val="24"/>
        </w:rPr>
        <w:t>/</w:t>
      </w:r>
      <w:r w:rsidR="007F743E" w:rsidRPr="00B503E6">
        <w:rPr>
          <w:rFonts w:asciiTheme="majorBidi" w:hAnsiTheme="majorBidi" w:cstheme="majorBidi"/>
          <w:sz w:val="24"/>
          <w:szCs w:val="24"/>
        </w:rPr>
        <w:t>39</w:t>
      </w:r>
      <w:r w:rsidR="00C478FE" w:rsidRPr="00B503E6">
        <w:rPr>
          <w:rFonts w:asciiTheme="majorBidi" w:hAnsiTheme="majorBidi" w:cstheme="majorBidi"/>
          <w:sz w:val="24"/>
          <w:szCs w:val="24"/>
        </w:rPr>
        <w:t xml:space="preserve">, the government had a surplus </w:t>
      </w:r>
      <w:r w:rsidR="007F743E" w:rsidRPr="00B503E6">
        <w:rPr>
          <w:rFonts w:asciiTheme="majorBidi" w:hAnsiTheme="majorBidi" w:cstheme="majorBidi"/>
          <w:sz w:val="24"/>
          <w:szCs w:val="24"/>
        </w:rPr>
        <w:t xml:space="preserve">for six of the years (total £P 41,000, </w:t>
      </w:r>
      <w:r w:rsidR="00CB5048" w:rsidRPr="00B503E6">
        <w:rPr>
          <w:rFonts w:asciiTheme="majorBidi" w:hAnsiTheme="majorBidi" w:cstheme="majorBidi"/>
          <w:sz w:val="24"/>
          <w:szCs w:val="24"/>
        </w:rPr>
        <w:t>1</w:t>
      </w:r>
      <w:r w:rsidR="007F743E" w:rsidRPr="00B503E6">
        <w:rPr>
          <w:rFonts w:asciiTheme="majorBidi" w:hAnsiTheme="majorBidi" w:cstheme="majorBidi"/>
          <w:sz w:val="24"/>
          <w:szCs w:val="24"/>
        </w:rPr>
        <w:t>2% of the revenue in the budget year 1938/39</w:t>
      </w:r>
      <w:r w:rsidR="00CB5048" w:rsidRPr="00B503E6">
        <w:rPr>
          <w:rFonts w:asciiTheme="majorBidi" w:hAnsiTheme="majorBidi" w:cstheme="majorBidi"/>
          <w:sz w:val="24"/>
          <w:szCs w:val="24"/>
        </w:rPr>
        <w:t>)</w:t>
      </w:r>
      <w:r w:rsidR="007F743E" w:rsidRPr="00B503E6">
        <w:rPr>
          <w:rFonts w:asciiTheme="majorBidi" w:hAnsiTheme="majorBidi" w:cstheme="majorBidi"/>
          <w:sz w:val="24"/>
          <w:szCs w:val="24"/>
        </w:rPr>
        <w:t xml:space="preserve">, but </w:t>
      </w:r>
      <w:r w:rsidR="00586075" w:rsidRPr="00B503E6">
        <w:rPr>
          <w:rFonts w:asciiTheme="majorBidi" w:hAnsiTheme="majorBidi" w:cstheme="majorBidi"/>
          <w:sz w:val="24"/>
          <w:szCs w:val="24"/>
        </w:rPr>
        <w:t>the surplus was not based on tax revenue from Trans-Jordan</w:t>
      </w:r>
      <w:r w:rsidR="00575B70" w:rsidRPr="00B503E6">
        <w:rPr>
          <w:rFonts w:asciiTheme="majorBidi" w:hAnsiTheme="majorBidi" w:cstheme="majorBidi"/>
          <w:sz w:val="24"/>
          <w:szCs w:val="24"/>
        </w:rPr>
        <w:t xml:space="preserve"> since </w:t>
      </w:r>
      <w:r w:rsidR="00180275" w:rsidRPr="00B503E6">
        <w:rPr>
          <w:rFonts w:asciiTheme="majorBidi" w:hAnsiTheme="majorBidi" w:cstheme="majorBidi"/>
          <w:sz w:val="24"/>
          <w:szCs w:val="24"/>
        </w:rPr>
        <w:t xml:space="preserve">the British heavily subsidized Trans-Jordan. </w:t>
      </w:r>
      <w:r w:rsidR="007F743E" w:rsidRPr="00B503E6">
        <w:rPr>
          <w:rFonts w:asciiTheme="majorBidi" w:hAnsiTheme="majorBidi" w:cstheme="majorBidi"/>
          <w:sz w:val="24"/>
          <w:szCs w:val="24"/>
        </w:rPr>
        <w:t xml:space="preserve"> </w:t>
      </w:r>
      <w:r w:rsidR="00180275" w:rsidRPr="00B503E6">
        <w:rPr>
          <w:rFonts w:asciiTheme="majorBidi" w:hAnsiTheme="majorBidi" w:cstheme="majorBidi"/>
          <w:sz w:val="24"/>
          <w:szCs w:val="24"/>
        </w:rPr>
        <w:t xml:space="preserve">For example, </w:t>
      </w:r>
      <w:r w:rsidR="007F743E" w:rsidRPr="00B503E6">
        <w:rPr>
          <w:rFonts w:asciiTheme="majorBidi" w:hAnsiTheme="majorBidi" w:cstheme="majorBidi"/>
          <w:sz w:val="24"/>
          <w:szCs w:val="24"/>
        </w:rPr>
        <w:t xml:space="preserve">on average for these years, </w:t>
      </w:r>
      <w:r w:rsidR="00ED5A1B" w:rsidRPr="00B503E6">
        <w:rPr>
          <w:rFonts w:asciiTheme="majorBidi" w:hAnsiTheme="majorBidi" w:cstheme="majorBidi"/>
          <w:sz w:val="24"/>
          <w:szCs w:val="24"/>
        </w:rPr>
        <w:t>3</w:t>
      </w:r>
      <w:r w:rsidR="007F743E" w:rsidRPr="00B503E6">
        <w:rPr>
          <w:rFonts w:asciiTheme="majorBidi" w:hAnsiTheme="majorBidi" w:cstheme="majorBidi"/>
          <w:sz w:val="24"/>
          <w:szCs w:val="24"/>
        </w:rPr>
        <w:t>1</w:t>
      </w:r>
      <w:r w:rsidR="00ED5A1B" w:rsidRPr="00B503E6">
        <w:rPr>
          <w:rFonts w:asciiTheme="majorBidi" w:hAnsiTheme="majorBidi" w:cstheme="majorBidi"/>
          <w:sz w:val="24"/>
          <w:szCs w:val="24"/>
        </w:rPr>
        <w:t xml:space="preserve">% of </w:t>
      </w:r>
      <w:r w:rsidR="0036002C" w:rsidRPr="00B503E6">
        <w:rPr>
          <w:rFonts w:asciiTheme="majorBidi" w:hAnsiTheme="majorBidi" w:cstheme="majorBidi"/>
          <w:sz w:val="24"/>
          <w:szCs w:val="24"/>
        </w:rPr>
        <w:t xml:space="preserve">Trans-Jordan's </w:t>
      </w:r>
      <w:r w:rsidR="00ED5A1B" w:rsidRPr="00B503E6">
        <w:rPr>
          <w:rFonts w:asciiTheme="majorBidi" w:hAnsiTheme="majorBidi" w:cstheme="majorBidi"/>
          <w:sz w:val="24"/>
          <w:szCs w:val="24"/>
        </w:rPr>
        <w:t xml:space="preserve">revenue was </w:t>
      </w:r>
      <w:r w:rsidR="007F743E" w:rsidRPr="00B503E6">
        <w:rPr>
          <w:rFonts w:asciiTheme="majorBidi" w:hAnsiTheme="majorBidi" w:cstheme="majorBidi"/>
          <w:sz w:val="24"/>
          <w:szCs w:val="24"/>
        </w:rPr>
        <w:t>grant-in-</w:t>
      </w:r>
      <w:r w:rsidR="00ED5A1B" w:rsidRPr="00B503E6">
        <w:rPr>
          <w:rFonts w:asciiTheme="majorBidi" w:hAnsiTheme="majorBidi" w:cstheme="majorBidi"/>
          <w:sz w:val="24"/>
          <w:szCs w:val="24"/>
        </w:rPr>
        <w:t>aid from Britain</w:t>
      </w:r>
      <w:r w:rsidR="007F743E" w:rsidRPr="00B503E6">
        <w:rPr>
          <w:rFonts w:asciiTheme="majorBidi" w:hAnsiTheme="majorBidi" w:cstheme="majorBidi"/>
          <w:sz w:val="24"/>
          <w:szCs w:val="24"/>
        </w:rPr>
        <w:t>.</w:t>
      </w:r>
      <w:r w:rsidR="00ED5A1B" w:rsidRPr="00B503E6">
        <w:rPr>
          <w:rFonts w:asciiTheme="majorBidi" w:hAnsiTheme="majorBidi" w:cstheme="majorBidi"/>
          <w:sz w:val="24"/>
          <w:szCs w:val="24"/>
        </w:rPr>
        <w:t xml:space="preserve"> </w:t>
      </w:r>
      <w:r w:rsidR="007F743E" w:rsidRPr="00B503E6">
        <w:rPr>
          <w:rFonts w:asciiTheme="majorBidi" w:hAnsiTheme="majorBidi" w:cstheme="majorBidi"/>
          <w:sz w:val="24"/>
          <w:szCs w:val="24"/>
        </w:rPr>
        <w:t xml:space="preserve">In addition, </w:t>
      </w:r>
      <w:r w:rsidR="00F40607" w:rsidRPr="00B503E6">
        <w:rPr>
          <w:rFonts w:asciiTheme="majorBidi" w:hAnsiTheme="majorBidi" w:cstheme="majorBidi"/>
          <w:sz w:val="24"/>
          <w:szCs w:val="24"/>
        </w:rPr>
        <w:t>T</w:t>
      </w:r>
      <w:r w:rsidR="00ED5A1B" w:rsidRPr="00B503E6">
        <w:rPr>
          <w:rFonts w:asciiTheme="majorBidi" w:hAnsiTheme="majorBidi" w:cstheme="majorBidi"/>
          <w:sz w:val="24"/>
          <w:szCs w:val="24"/>
        </w:rPr>
        <w:t xml:space="preserve">rans-Jordan received a disproportionately large share </w:t>
      </w:r>
      <w:r w:rsidR="00B879B8" w:rsidRPr="00B503E6">
        <w:rPr>
          <w:rFonts w:asciiTheme="majorBidi" w:hAnsiTheme="majorBidi" w:cstheme="majorBidi"/>
          <w:sz w:val="24"/>
          <w:szCs w:val="24"/>
        </w:rPr>
        <w:t>of</w:t>
      </w:r>
      <w:r w:rsidR="00ED5A1B" w:rsidRPr="00B503E6">
        <w:rPr>
          <w:rFonts w:asciiTheme="majorBidi" w:hAnsiTheme="majorBidi" w:cstheme="majorBidi"/>
          <w:sz w:val="24"/>
          <w:szCs w:val="24"/>
        </w:rPr>
        <w:t xml:space="preserve"> Palestine's customs receipts and currency profits, the Trans-Jordan section of the Hejaz railway, which had a regular deficit, was administered by Palestine, and Britain paid for the cost of the British officials in Trans-Jordan unlike in Palestine.</w:t>
      </w:r>
      <w:r w:rsidR="003F6F76">
        <w:rPr>
          <w:rStyle w:val="EndnoteReference"/>
          <w:rFonts w:asciiTheme="majorBidi" w:hAnsiTheme="majorBidi" w:cstheme="majorBidi"/>
          <w:sz w:val="24"/>
          <w:szCs w:val="24"/>
        </w:rPr>
        <w:endnoteReference w:id="34"/>
      </w:r>
      <w:r w:rsidR="00651A0B" w:rsidRPr="00B503E6">
        <w:rPr>
          <w:rFonts w:asciiTheme="majorBidi" w:hAnsiTheme="majorBidi" w:cstheme="majorBidi"/>
          <w:sz w:val="24"/>
          <w:szCs w:val="24"/>
        </w:rPr>
        <w:t xml:space="preserve">  </w:t>
      </w:r>
    </w:p>
    <w:p w:rsidR="00397038" w:rsidRPr="00B503E6" w:rsidRDefault="00397038" w:rsidP="002745C0">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With this brief review of the four </w:t>
      </w:r>
      <w:r w:rsidR="002745C0" w:rsidRPr="00B503E6">
        <w:rPr>
          <w:rFonts w:asciiTheme="majorBidi" w:hAnsiTheme="majorBidi" w:cstheme="majorBidi"/>
          <w:sz w:val="24"/>
          <w:szCs w:val="24"/>
        </w:rPr>
        <w:t>m</w:t>
      </w:r>
      <w:r w:rsidR="00E26C05" w:rsidRPr="00B503E6">
        <w:rPr>
          <w:rFonts w:asciiTheme="majorBidi" w:hAnsiTheme="majorBidi" w:cstheme="majorBidi"/>
          <w:sz w:val="24"/>
          <w:szCs w:val="24"/>
        </w:rPr>
        <w:t>andate</w:t>
      </w:r>
      <w:r w:rsidRPr="00B503E6">
        <w:rPr>
          <w:rFonts w:asciiTheme="majorBidi" w:hAnsiTheme="majorBidi" w:cstheme="majorBidi"/>
          <w:sz w:val="24"/>
          <w:szCs w:val="24"/>
        </w:rPr>
        <w:t xml:space="preserve"> areas, we </w:t>
      </w:r>
      <w:r w:rsidR="006B672C" w:rsidRPr="00B503E6">
        <w:rPr>
          <w:rFonts w:asciiTheme="majorBidi" w:hAnsiTheme="majorBidi" w:cstheme="majorBidi"/>
          <w:sz w:val="24"/>
          <w:szCs w:val="24"/>
        </w:rPr>
        <w:t xml:space="preserve">can </w:t>
      </w:r>
      <w:r w:rsidRPr="00B503E6">
        <w:rPr>
          <w:rFonts w:asciiTheme="majorBidi" w:hAnsiTheme="majorBidi" w:cstheme="majorBidi"/>
          <w:sz w:val="24"/>
          <w:szCs w:val="24"/>
        </w:rPr>
        <w:t>classify</w:t>
      </w:r>
      <w:r w:rsidR="006B672C" w:rsidRPr="00B503E6">
        <w:rPr>
          <w:rFonts w:asciiTheme="majorBidi" w:hAnsiTheme="majorBidi" w:cstheme="majorBidi"/>
          <w:sz w:val="24"/>
          <w:szCs w:val="24"/>
        </w:rPr>
        <w:t xml:space="preserve"> </w:t>
      </w:r>
      <w:r w:rsidR="002D6753" w:rsidRPr="00B503E6">
        <w:rPr>
          <w:rFonts w:asciiTheme="majorBidi" w:hAnsiTheme="majorBidi" w:cstheme="majorBidi"/>
          <w:sz w:val="24"/>
          <w:szCs w:val="24"/>
        </w:rPr>
        <w:t xml:space="preserve">the level of the economic </w:t>
      </w:r>
      <w:r w:rsidR="00F36C08" w:rsidRPr="00B503E6">
        <w:rPr>
          <w:rFonts w:asciiTheme="majorBidi" w:hAnsiTheme="majorBidi" w:cstheme="majorBidi"/>
          <w:sz w:val="24"/>
          <w:szCs w:val="24"/>
        </w:rPr>
        <w:t>institution</w:t>
      </w:r>
      <w:r w:rsidR="002D6753" w:rsidRPr="00B503E6">
        <w:rPr>
          <w:rFonts w:asciiTheme="majorBidi" w:hAnsiTheme="majorBidi" w:cstheme="majorBidi"/>
          <w:sz w:val="24"/>
          <w:szCs w:val="24"/>
        </w:rPr>
        <w:t>s</w:t>
      </w:r>
      <w:r w:rsidR="00F36C08" w:rsidRPr="00B503E6">
        <w:rPr>
          <w:rFonts w:asciiTheme="majorBidi" w:hAnsiTheme="majorBidi" w:cstheme="majorBidi"/>
          <w:sz w:val="24"/>
          <w:szCs w:val="24"/>
        </w:rPr>
        <w:t xml:space="preserve"> </w:t>
      </w:r>
      <w:r w:rsidR="002D6753" w:rsidRPr="00B503E6">
        <w:rPr>
          <w:rFonts w:asciiTheme="majorBidi" w:hAnsiTheme="majorBidi" w:cstheme="majorBidi"/>
          <w:sz w:val="24"/>
          <w:szCs w:val="24"/>
        </w:rPr>
        <w:t>in the region. W</w:t>
      </w:r>
      <w:r w:rsidR="00100610" w:rsidRPr="00B503E6">
        <w:rPr>
          <w:rFonts w:asciiTheme="majorBidi" w:hAnsiTheme="majorBidi" w:cstheme="majorBidi"/>
          <w:sz w:val="24"/>
          <w:szCs w:val="24"/>
        </w:rPr>
        <w:t>hile no place is perfect, all four countries had inclusive economic institutions with a strong emphasis on private property.  Both the French and British strove to increase the level of economic development</w:t>
      </w:r>
      <w:r w:rsidR="00B879B8" w:rsidRPr="00B503E6">
        <w:rPr>
          <w:rFonts w:asciiTheme="majorBidi" w:hAnsiTheme="majorBidi" w:cstheme="majorBidi"/>
          <w:sz w:val="24"/>
          <w:szCs w:val="24"/>
        </w:rPr>
        <w:t xml:space="preserve"> in the </w:t>
      </w:r>
      <w:r w:rsidR="00B879B8" w:rsidRPr="00B503E6">
        <w:rPr>
          <w:rFonts w:asciiTheme="majorBidi" w:hAnsiTheme="majorBidi" w:cstheme="majorBidi"/>
          <w:sz w:val="24"/>
          <w:szCs w:val="24"/>
        </w:rPr>
        <w:lastRenderedPageBreak/>
        <w:t xml:space="preserve">various territories </w:t>
      </w:r>
      <w:r w:rsidR="00100610" w:rsidRPr="00B503E6">
        <w:rPr>
          <w:rFonts w:asciiTheme="majorBidi" w:hAnsiTheme="majorBidi" w:cstheme="majorBidi"/>
          <w:sz w:val="24"/>
          <w:szCs w:val="24"/>
        </w:rPr>
        <w:t xml:space="preserve">and neither country gained monetarily from their </w:t>
      </w:r>
      <w:r w:rsidR="002745C0" w:rsidRPr="00B503E6">
        <w:rPr>
          <w:rFonts w:asciiTheme="majorBidi" w:hAnsiTheme="majorBidi" w:cstheme="majorBidi"/>
          <w:sz w:val="24"/>
          <w:szCs w:val="24"/>
        </w:rPr>
        <w:t>m</w:t>
      </w:r>
      <w:r w:rsidR="00E26C05" w:rsidRPr="00B503E6">
        <w:rPr>
          <w:rFonts w:asciiTheme="majorBidi" w:hAnsiTheme="majorBidi" w:cstheme="majorBidi"/>
          <w:sz w:val="24"/>
          <w:szCs w:val="24"/>
        </w:rPr>
        <w:t>andate</w:t>
      </w:r>
      <w:r w:rsidR="00100610" w:rsidRPr="00B503E6">
        <w:rPr>
          <w:rFonts w:asciiTheme="majorBidi" w:hAnsiTheme="majorBidi" w:cstheme="majorBidi"/>
          <w:sz w:val="24"/>
          <w:szCs w:val="24"/>
        </w:rPr>
        <w:t xml:space="preserve"> territories</w:t>
      </w:r>
      <w:r w:rsidR="0041703B" w:rsidRPr="00B503E6">
        <w:rPr>
          <w:rFonts w:asciiTheme="majorBidi" w:hAnsiTheme="majorBidi" w:cstheme="majorBidi"/>
          <w:sz w:val="24"/>
          <w:szCs w:val="24"/>
        </w:rPr>
        <w:t>, though it appears that the French helped French firms more than the British</w:t>
      </w:r>
      <w:r w:rsidR="00100610" w:rsidRPr="00B503E6">
        <w:rPr>
          <w:rFonts w:asciiTheme="majorBidi" w:hAnsiTheme="majorBidi" w:cstheme="majorBidi"/>
          <w:sz w:val="24"/>
          <w:szCs w:val="24"/>
        </w:rPr>
        <w:t xml:space="preserve">. </w:t>
      </w:r>
      <w:r w:rsidR="00B879B8" w:rsidRPr="00B503E6">
        <w:rPr>
          <w:rFonts w:asciiTheme="majorBidi" w:hAnsiTheme="majorBidi" w:cstheme="majorBidi"/>
          <w:sz w:val="24"/>
          <w:szCs w:val="24"/>
        </w:rPr>
        <w:t xml:space="preserve"> </w:t>
      </w:r>
      <w:r w:rsidR="002238F4" w:rsidRPr="00B503E6">
        <w:rPr>
          <w:rFonts w:asciiTheme="majorBidi" w:hAnsiTheme="majorBidi" w:cstheme="majorBidi"/>
          <w:sz w:val="24"/>
          <w:szCs w:val="24"/>
        </w:rPr>
        <w:t xml:space="preserve">We turn now to a review of the economic growth in all four areas </w:t>
      </w:r>
      <w:r w:rsidR="00265FA6" w:rsidRPr="00B503E6">
        <w:rPr>
          <w:rFonts w:asciiTheme="majorBidi" w:hAnsiTheme="majorBidi" w:cstheme="majorBidi"/>
          <w:sz w:val="24"/>
          <w:szCs w:val="24"/>
        </w:rPr>
        <w:t xml:space="preserve">during </w:t>
      </w:r>
      <w:r w:rsidR="002238F4" w:rsidRPr="00B503E6">
        <w:rPr>
          <w:rFonts w:asciiTheme="majorBidi" w:hAnsiTheme="majorBidi" w:cstheme="majorBidi"/>
          <w:sz w:val="24"/>
          <w:szCs w:val="24"/>
        </w:rPr>
        <w:t xml:space="preserve">the </w:t>
      </w:r>
      <w:r w:rsidR="002745C0" w:rsidRPr="00B503E6">
        <w:rPr>
          <w:rFonts w:asciiTheme="majorBidi" w:hAnsiTheme="majorBidi" w:cstheme="majorBidi"/>
          <w:sz w:val="24"/>
          <w:szCs w:val="24"/>
        </w:rPr>
        <w:t>m</w:t>
      </w:r>
      <w:r w:rsidR="00E26C05" w:rsidRPr="00B503E6">
        <w:rPr>
          <w:rFonts w:asciiTheme="majorBidi" w:hAnsiTheme="majorBidi" w:cstheme="majorBidi"/>
          <w:sz w:val="24"/>
          <w:szCs w:val="24"/>
        </w:rPr>
        <w:t>andate</w:t>
      </w:r>
      <w:r w:rsidR="002238F4" w:rsidRPr="00B503E6">
        <w:rPr>
          <w:rFonts w:asciiTheme="majorBidi" w:hAnsiTheme="majorBidi" w:cstheme="majorBidi"/>
          <w:sz w:val="24"/>
          <w:szCs w:val="24"/>
        </w:rPr>
        <w:t xml:space="preserve"> period.    </w:t>
      </w:r>
      <w:r w:rsidR="00100610" w:rsidRPr="00B503E6">
        <w:rPr>
          <w:rFonts w:asciiTheme="majorBidi" w:hAnsiTheme="majorBidi" w:cstheme="majorBidi"/>
          <w:sz w:val="24"/>
          <w:szCs w:val="24"/>
        </w:rPr>
        <w:t xml:space="preserve">       </w:t>
      </w:r>
      <w:r w:rsidR="006B672C" w:rsidRPr="00B503E6">
        <w:rPr>
          <w:rFonts w:asciiTheme="majorBidi" w:hAnsiTheme="majorBidi" w:cstheme="majorBidi"/>
          <w:sz w:val="24"/>
          <w:szCs w:val="24"/>
        </w:rPr>
        <w:t xml:space="preserve"> </w:t>
      </w:r>
      <w:r w:rsidRPr="00B503E6">
        <w:rPr>
          <w:rFonts w:asciiTheme="majorBidi" w:hAnsiTheme="majorBidi" w:cstheme="majorBidi"/>
          <w:sz w:val="24"/>
          <w:szCs w:val="24"/>
        </w:rPr>
        <w:t xml:space="preserve"> </w:t>
      </w:r>
    </w:p>
    <w:p w:rsidR="002C707B" w:rsidRPr="00B503E6" w:rsidRDefault="002C707B" w:rsidP="002D6753">
      <w:pPr>
        <w:spacing w:line="480" w:lineRule="auto"/>
        <w:contextualSpacing/>
        <w:jc w:val="both"/>
        <w:rPr>
          <w:rFonts w:asciiTheme="majorBidi" w:hAnsiTheme="majorBidi" w:cstheme="majorBidi"/>
          <w:sz w:val="24"/>
          <w:szCs w:val="24"/>
        </w:rPr>
      </w:pPr>
    </w:p>
    <w:p w:rsidR="002C707B" w:rsidRPr="00B503E6" w:rsidRDefault="002C707B" w:rsidP="00BE5285">
      <w:pPr>
        <w:pStyle w:val="ListParagraph"/>
        <w:numPr>
          <w:ilvl w:val="0"/>
          <w:numId w:val="4"/>
        </w:numPr>
        <w:spacing w:line="480" w:lineRule="auto"/>
        <w:ind w:left="567" w:hanging="567"/>
        <w:rPr>
          <w:rFonts w:asciiTheme="majorBidi" w:hAnsiTheme="majorBidi" w:cstheme="majorBidi"/>
          <w:sz w:val="24"/>
          <w:szCs w:val="24"/>
        </w:rPr>
      </w:pPr>
      <w:r w:rsidRPr="00B503E6">
        <w:rPr>
          <w:rFonts w:asciiTheme="majorBidi" w:hAnsiTheme="majorBidi" w:cstheme="majorBidi"/>
          <w:sz w:val="24"/>
          <w:szCs w:val="24"/>
        </w:rPr>
        <w:t>Economic growth</w:t>
      </w:r>
    </w:p>
    <w:p w:rsidR="00476808" w:rsidRPr="00B503E6" w:rsidRDefault="002A0045" w:rsidP="003F6F76">
      <w:pPr>
        <w:spacing w:line="480" w:lineRule="auto"/>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Of the </w:t>
      </w:r>
      <w:r w:rsidR="001665D8" w:rsidRPr="00B503E6">
        <w:rPr>
          <w:rFonts w:asciiTheme="majorBidi" w:hAnsiTheme="majorBidi" w:cstheme="majorBidi"/>
          <w:sz w:val="24"/>
          <w:szCs w:val="24"/>
        </w:rPr>
        <w:t>four areas, only for Pales</w:t>
      </w:r>
      <w:r w:rsidR="00006920" w:rsidRPr="00B503E6">
        <w:rPr>
          <w:rFonts w:asciiTheme="majorBidi" w:hAnsiTheme="majorBidi" w:cstheme="majorBidi"/>
          <w:sz w:val="24"/>
          <w:szCs w:val="24"/>
        </w:rPr>
        <w:t>t</w:t>
      </w:r>
      <w:r w:rsidR="001665D8" w:rsidRPr="00B503E6">
        <w:rPr>
          <w:rFonts w:asciiTheme="majorBidi" w:hAnsiTheme="majorBidi" w:cstheme="majorBidi"/>
          <w:sz w:val="24"/>
          <w:szCs w:val="24"/>
        </w:rPr>
        <w:t>ine</w:t>
      </w:r>
      <w:r w:rsidR="00006920" w:rsidRPr="00B503E6">
        <w:rPr>
          <w:rFonts w:asciiTheme="majorBidi" w:hAnsiTheme="majorBidi" w:cstheme="majorBidi"/>
          <w:sz w:val="24"/>
          <w:szCs w:val="24"/>
        </w:rPr>
        <w:t xml:space="preserve"> </w:t>
      </w:r>
      <w:r w:rsidR="00FD0EE4" w:rsidRPr="00B503E6">
        <w:rPr>
          <w:rFonts w:asciiTheme="majorBidi" w:hAnsiTheme="majorBidi" w:cstheme="majorBidi"/>
          <w:sz w:val="24"/>
          <w:szCs w:val="24"/>
        </w:rPr>
        <w:t>are</w:t>
      </w:r>
      <w:r w:rsidR="00006920" w:rsidRPr="00B503E6">
        <w:rPr>
          <w:rFonts w:asciiTheme="majorBidi" w:hAnsiTheme="majorBidi" w:cstheme="majorBidi"/>
          <w:sz w:val="24"/>
          <w:szCs w:val="24"/>
        </w:rPr>
        <w:t xml:space="preserve"> there estimates of total output for </w:t>
      </w:r>
      <w:r w:rsidR="00B8196D" w:rsidRPr="00B503E6">
        <w:rPr>
          <w:rFonts w:asciiTheme="majorBidi" w:hAnsiTheme="majorBidi" w:cstheme="majorBidi"/>
          <w:sz w:val="24"/>
          <w:szCs w:val="24"/>
        </w:rPr>
        <w:t xml:space="preserve">almost the </w:t>
      </w:r>
      <w:r w:rsidR="00006920" w:rsidRPr="00B503E6">
        <w:rPr>
          <w:rFonts w:asciiTheme="majorBidi" w:hAnsiTheme="majorBidi" w:cstheme="majorBidi"/>
          <w:sz w:val="24"/>
          <w:szCs w:val="24"/>
        </w:rPr>
        <w:t xml:space="preserve">entire </w:t>
      </w:r>
      <w:r w:rsidR="002745C0" w:rsidRPr="00B503E6">
        <w:rPr>
          <w:rFonts w:asciiTheme="majorBidi" w:hAnsiTheme="majorBidi" w:cstheme="majorBidi"/>
          <w:sz w:val="24"/>
          <w:szCs w:val="24"/>
        </w:rPr>
        <w:t>m</w:t>
      </w:r>
      <w:r w:rsidR="00E26C05" w:rsidRPr="00B503E6">
        <w:rPr>
          <w:rFonts w:asciiTheme="majorBidi" w:hAnsiTheme="majorBidi" w:cstheme="majorBidi"/>
          <w:sz w:val="24"/>
          <w:szCs w:val="24"/>
        </w:rPr>
        <w:t>andate</w:t>
      </w:r>
      <w:r w:rsidR="00B8196D" w:rsidRPr="00B503E6">
        <w:rPr>
          <w:rFonts w:asciiTheme="majorBidi" w:hAnsiTheme="majorBidi" w:cstheme="majorBidi"/>
          <w:sz w:val="24"/>
          <w:szCs w:val="24"/>
        </w:rPr>
        <w:t xml:space="preserve"> </w:t>
      </w:r>
      <w:r w:rsidR="00006920" w:rsidRPr="00B503E6">
        <w:rPr>
          <w:rFonts w:asciiTheme="majorBidi" w:hAnsiTheme="majorBidi" w:cstheme="majorBidi"/>
          <w:sz w:val="24"/>
          <w:szCs w:val="24"/>
        </w:rPr>
        <w:t xml:space="preserve">period. According to </w:t>
      </w:r>
      <w:r w:rsidR="000A3FEC" w:rsidRPr="00B503E6">
        <w:rPr>
          <w:rFonts w:asciiTheme="majorBidi" w:hAnsiTheme="majorBidi" w:cstheme="majorBidi"/>
          <w:sz w:val="24"/>
          <w:szCs w:val="24"/>
        </w:rPr>
        <w:t xml:space="preserve">data from </w:t>
      </w:r>
      <w:r w:rsidR="00AE27E5" w:rsidRPr="00B503E6">
        <w:rPr>
          <w:rFonts w:asciiTheme="majorBidi" w:hAnsiTheme="majorBidi" w:cstheme="majorBidi"/>
          <w:sz w:val="24"/>
          <w:szCs w:val="24"/>
        </w:rPr>
        <w:t xml:space="preserve">Jacob </w:t>
      </w:r>
      <w:r w:rsidR="00006920" w:rsidRPr="00B503E6">
        <w:rPr>
          <w:rFonts w:asciiTheme="majorBidi" w:hAnsiTheme="majorBidi" w:cstheme="majorBidi"/>
          <w:sz w:val="24"/>
          <w:szCs w:val="24"/>
        </w:rPr>
        <w:t>Metzer (1998)</w:t>
      </w:r>
      <w:r w:rsidR="00AF0B7C" w:rsidRPr="00B503E6">
        <w:rPr>
          <w:rFonts w:asciiTheme="majorBidi" w:hAnsiTheme="majorBidi" w:cstheme="majorBidi"/>
          <w:sz w:val="24"/>
          <w:szCs w:val="24"/>
        </w:rPr>
        <w:t xml:space="preserve"> </w:t>
      </w:r>
      <w:r w:rsidR="00476808" w:rsidRPr="00B503E6">
        <w:rPr>
          <w:rFonts w:asciiTheme="majorBidi" w:hAnsiTheme="majorBidi" w:cstheme="majorBidi"/>
          <w:sz w:val="24"/>
          <w:szCs w:val="24"/>
        </w:rPr>
        <w:t>from 1922-1947 per capita output in Palestine increased at an amazing annual rate of 4.9%.</w:t>
      </w:r>
      <w:r w:rsidR="003F6F76">
        <w:rPr>
          <w:rStyle w:val="EndnoteReference"/>
          <w:rFonts w:asciiTheme="majorBidi" w:hAnsiTheme="majorBidi" w:cstheme="majorBidi"/>
          <w:sz w:val="24"/>
          <w:szCs w:val="24"/>
        </w:rPr>
        <w:endnoteReference w:id="35"/>
      </w:r>
      <w:r w:rsidR="00476808" w:rsidRPr="00B503E6">
        <w:rPr>
          <w:rFonts w:asciiTheme="majorBidi" w:hAnsiTheme="majorBidi" w:cstheme="majorBidi"/>
          <w:sz w:val="24"/>
          <w:szCs w:val="24"/>
        </w:rPr>
        <w:t xml:space="preserve">  </w:t>
      </w:r>
      <w:r w:rsidR="007069D7" w:rsidRPr="00B503E6">
        <w:rPr>
          <w:rFonts w:asciiTheme="majorBidi" w:hAnsiTheme="majorBidi" w:cstheme="majorBidi"/>
          <w:sz w:val="24"/>
          <w:szCs w:val="24"/>
        </w:rPr>
        <w:t xml:space="preserve">The only other study of overall growth is from </w:t>
      </w:r>
      <w:r w:rsidR="00E155CB" w:rsidRPr="00B503E6">
        <w:rPr>
          <w:rFonts w:asciiTheme="majorBidi" w:hAnsiTheme="majorBidi" w:cstheme="majorBidi"/>
          <w:sz w:val="24"/>
          <w:szCs w:val="24"/>
        </w:rPr>
        <w:t xml:space="preserve">Samir </w:t>
      </w:r>
      <w:r w:rsidR="007069D7" w:rsidRPr="00B503E6">
        <w:rPr>
          <w:rFonts w:asciiTheme="majorBidi" w:hAnsiTheme="majorBidi" w:cstheme="majorBidi"/>
          <w:sz w:val="24"/>
          <w:szCs w:val="24"/>
        </w:rPr>
        <w:t>Makd</w:t>
      </w:r>
      <w:r w:rsidR="0093677C" w:rsidRPr="00B503E6">
        <w:rPr>
          <w:rFonts w:asciiTheme="majorBidi" w:hAnsiTheme="majorBidi" w:cstheme="majorBidi"/>
          <w:sz w:val="24"/>
          <w:szCs w:val="24"/>
        </w:rPr>
        <w:t>is</w:t>
      </w:r>
      <w:r w:rsidR="007069D7" w:rsidRPr="00B503E6">
        <w:rPr>
          <w:rFonts w:asciiTheme="majorBidi" w:hAnsiTheme="majorBidi" w:cstheme="majorBidi"/>
          <w:sz w:val="24"/>
          <w:szCs w:val="24"/>
        </w:rPr>
        <w:t>i (1971) who provides estimates for Syria for the years 1936-1938 and 1946-1</w:t>
      </w:r>
      <w:r w:rsidR="00F95760" w:rsidRPr="00B503E6">
        <w:rPr>
          <w:rFonts w:asciiTheme="majorBidi" w:hAnsiTheme="majorBidi" w:cstheme="majorBidi"/>
          <w:sz w:val="24"/>
          <w:szCs w:val="24"/>
        </w:rPr>
        <w:t>9</w:t>
      </w:r>
      <w:r w:rsidR="007069D7" w:rsidRPr="00B503E6">
        <w:rPr>
          <w:rFonts w:asciiTheme="majorBidi" w:hAnsiTheme="majorBidi" w:cstheme="majorBidi"/>
          <w:sz w:val="24"/>
          <w:szCs w:val="24"/>
        </w:rPr>
        <w:t>48.  According to his data, Syria's GNP increased at annual rate of approximately 2.5% from 1936-38 through 1946-48</w:t>
      </w:r>
      <w:r w:rsidR="00F94908" w:rsidRPr="00B503E6">
        <w:rPr>
          <w:rFonts w:asciiTheme="majorBidi" w:hAnsiTheme="majorBidi" w:cstheme="majorBidi"/>
          <w:sz w:val="24"/>
          <w:szCs w:val="24"/>
        </w:rPr>
        <w:t xml:space="preserve">. This </w:t>
      </w:r>
      <w:r w:rsidR="007069D7" w:rsidRPr="00B503E6">
        <w:rPr>
          <w:rFonts w:asciiTheme="majorBidi" w:hAnsiTheme="majorBidi" w:cstheme="majorBidi"/>
          <w:sz w:val="24"/>
          <w:szCs w:val="24"/>
        </w:rPr>
        <w:t xml:space="preserve">was a big improvement </w:t>
      </w:r>
      <w:r w:rsidR="00F94908" w:rsidRPr="00B503E6">
        <w:rPr>
          <w:rFonts w:asciiTheme="majorBidi" w:hAnsiTheme="majorBidi" w:cstheme="majorBidi"/>
          <w:sz w:val="24"/>
          <w:szCs w:val="24"/>
        </w:rPr>
        <w:t xml:space="preserve">in comparison to </w:t>
      </w:r>
      <w:r w:rsidR="007069D7" w:rsidRPr="00B503E6">
        <w:rPr>
          <w:rFonts w:asciiTheme="majorBidi" w:hAnsiTheme="majorBidi" w:cstheme="majorBidi"/>
          <w:sz w:val="24"/>
          <w:szCs w:val="24"/>
        </w:rPr>
        <w:t>the years</w:t>
      </w:r>
      <w:r w:rsidR="00F94908" w:rsidRPr="00B503E6">
        <w:rPr>
          <w:rFonts w:asciiTheme="majorBidi" w:hAnsiTheme="majorBidi" w:cstheme="majorBidi"/>
          <w:sz w:val="24"/>
          <w:szCs w:val="24"/>
        </w:rPr>
        <w:t xml:space="preserve"> prior to 1936</w:t>
      </w:r>
      <w:r w:rsidR="007069D7" w:rsidRPr="00B503E6">
        <w:rPr>
          <w:rFonts w:asciiTheme="majorBidi" w:hAnsiTheme="majorBidi" w:cstheme="majorBidi"/>
          <w:sz w:val="24"/>
          <w:szCs w:val="24"/>
        </w:rPr>
        <w:t xml:space="preserve">, as </w:t>
      </w:r>
      <w:r w:rsidR="00F94908" w:rsidRPr="00B503E6">
        <w:rPr>
          <w:rFonts w:asciiTheme="majorBidi" w:hAnsiTheme="majorBidi" w:cstheme="majorBidi"/>
          <w:sz w:val="24"/>
          <w:szCs w:val="24"/>
        </w:rPr>
        <w:t>Makd</w:t>
      </w:r>
      <w:r w:rsidR="0093677C" w:rsidRPr="00B503E6">
        <w:rPr>
          <w:rFonts w:asciiTheme="majorBidi" w:hAnsiTheme="majorBidi" w:cstheme="majorBidi"/>
          <w:sz w:val="24"/>
          <w:szCs w:val="24"/>
        </w:rPr>
        <w:t>i</w:t>
      </w:r>
      <w:r w:rsidR="00F94908" w:rsidRPr="00B503E6">
        <w:rPr>
          <w:rFonts w:asciiTheme="majorBidi" w:hAnsiTheme="majorBidi" w:cstheme="majorBidi"/>
          <w:sz w:val="24"/>
          <w:szCs w:val="24"/>
        </w:rPr>
        <w:t xml:space="preserve">si </w:t>
      </w:r>
      <w:r w:rsidR="007069D7" w:rsidRPr="00B503E6">
        <w:rPr>
          <w:rFonts w:asciiTheme="majorBidi" w:hAnsiTheme="majorBidi" w:cstheme="majorBidi"/>
          <w:sz w:val="24"/>
          <w:szCs w:val="24"/>
        </w:rPr>
        <w:t>writes (</w:t>
      </w:r>
      <w:r w:rsidR="00BD7453" w:rsidRPr="00B503E6">
        <w:rPr>
          <w:rFonts w:asciiTheme="majorBidi" w:hAnsiTheme="majorBidi" w:cstheme="majorBidi"/>
          <w:sz w:val="24"/>
          <w:szCs w:val="24"/>
        </w:rPr>
        <w:t xml:space="preserve">1971, </w:t>
      </w:r>
      <w:r w:rsidR="007069D7" w:rsidRPr="00B503E6">
        <w:rPr>
          <w:rFonts w:asciiTheme="majorBidi" w:hAnsiTheme="majorBidi" w:cstheme="majorBidi"/>
          <w:sz w:val="24"/>
          <w:szCs w:val="24"/>
        </w:rPr>
        <w:t xml:space="preserve">161), </w:t>
      </w:r>
      <w:r w:rsidR="00661FC1" w:rsidRPr="00B503E6">
        <w:rPr>
          <w:rFonts w:asciiTheme="majorBidi" w:hAnsiTheme="majorBidi" w:cstheme="majorBidi"/>
          <w:sz w:val="24"/>
          <w:szCs w:val="24"/>
        </w:rPr>
        <w:t>“</w:t>
      </w:r>
      <w:r w:rsidR="007069D7" w:rsidRPr="00B503E6">
        <w:rPr>
          <w:rFonts w:asciiTheme="majorBidi" w:hAnsiTheme="majorBidi" w:cstheme="majorBidi"/>
          <w:sz w:val="24"/>
          <w:szCs w:val="24"/>
        </w:rPr>
        <w:t>according to all available indicators, the economy during the 1930s was practically stagnant if not in actual decline.</w:t>
      </w:r>
      <w:r w:rsidR="00661FC1" w:rsidRPr="00B503E6">
        <w:rPr>
          <w:rFonts w:asciiTheme="majorBidi" w:hAnsiTheme="majorBidi" w:cstheme="majorBidi"/>
          <w:sz w:val="24"/>
          <w:szCs w:val="24"/>
        </w:rPr>
        <w:t>”</w:t>
      </w:r>
      <w:r w:rsidR="007069D7" w:rsidRPr="00B503E6">
        <w:rPr>
          <w:rFonts w:asciiTheme="majorBidi" w:hAnsiTheme="majorBidi" w:cstheme="majorBidi"/>
          <w:sz w:val="24"/>
          <w:szCs w:val="24"/>
        </w:rPr>
        <w:t xml:space="preserve"> </w:t>
      </w:r>
      <w:r w:rsidR="00F95760" w:rsidRPr="00B503E6">
        <w:rPr>
          <w:rFonts w:asciiTheme="majorBidi" w:hAnsiTheme="majorBidi" w:cstheme="majorBidi"/>
          <w:sz w:val="24"/>
          <w:szCs w:val="24"/>
        </w:rPr>
        <w:t xml:space="preserve"> We will now </w:t>
      </w:r>
      <w:r w:rsidR="00476808" w:rsidRPr="00B503E6">
        <w:rPr>
          <w:rFonts w:asciiTheme="majorBidi" w:hAnsiTheme="majorBidi" w:cstheme="majorBidi"/>
          <w:sz w:val="24"/>
          <w:szCs w:val="24"/>
        </w:rPr>
        <w:t xml:space="preserve">examine various indicators, such as population data, </w:t>
      </w:r>
      <w:r w:rsidR="00D63EDF" w:rsidRPr="00B503E6">
        <w:rPr>
          <w:rFonts w:asciiTheme="majorBidi" w:hAnsiTheme="majorBidi" w:cstheme="majorBidi"/>
          <w:sz w:val="24"/>
          <w:szCs w:val="24"/>
        </w:rPr>
        <w:t xml:space="preserve">urbanization, </w:t>
      </w:r>
      <w:r w:rsidR="004856A6" w:rsidRPr="00B503E6">
        <w:rPr>
          <w:rFonts w:asciiTheme="majorBidi" w:hAnsiTheme="majorBidi" w:cstheme="majorBidi"/>
          <w:sz w:val="24"/>
          <w:szCs w:val="24"/>
        </w:rPr>
        <w:t xml:space="preserve">government revenue, </w:t>
      </w:r>
      <w:r w:rsidR="00476808" w:rsidRPr="00B503E6">
        <w:rPr>
          <w:rFonts w:asciiTheme="majorBidi" w:hAnsiTheme="majorBidi" w:cstheme="majorBidi"/>
          <w:sz w:val="24"/>
          <w:szCs w:val="24"/>
        </w:rPr>
        <w:t xml:space="preserve">trade data, agricultural output, and changes in </w:t>
      </w:r>
      <w:r w:rsidR="007D4916" w:rsidRPr="00B503E6">
        <w:rPr>
          <w:rFonts w:asciiTheme="majorBidi" w:hAnsiTheme="majorBidi" w:cstheme="majorBidi"/>
          <w:sz w:val="24"/>
          <w:szCs w:val="24"/>
        </w:rPr>
        <w:t xml:space="preserve">industry and </w:t>
      </w:r>
      <w:r w:rsidR="00476808" w:rsidRPr="00B503E6">
        <w:rPr>
          <w:rFonts w:asciiTheme="majorBidi" w:hAnsiTheme="majorBidi" w:cstheme="majorBidi"/>
          <w:sz w:val="24"/>
          <w:szCs w:val="24"/>
        </w:rPr>
        <w:t>infrastructure</w:t>
      </w:r>
      <w:r w:rsidR="00F95760" w:rsidRPr="00B503E6">
        <w:rPr>
          <w:rFonts w:asciiTheme="majorBidi" w:hAnsiTheme="majorBidi" w:cstheme="majorBidi"/>
          <w:sz w:val="24"/>
          <w:szCs w:val="24"/>
        </w:rPr>
        <w:t xml:space="preserve"> in order to give </w:t>
      </w:r>
      <w:r w:rsidR="004856A6" w:rsidRPr="00B503E6">
        <w:rPr>
          <w:rFonts w:asciiTheme="majorBidi" w:hAnsiTheme="majorBidi" w:cstheme="majorBidi"/>
          <w:sz w:val="24"/>
          <w:szCs w:val="24"/>
        </w:rPr>
        <w:t xml:space="preserve">more </w:t>
      </w:r>
      <w:r w:rsidR="00F95760" w:rsidRPr="00B503E6">
        <w:rPr>
          <w:rFonts w:asciiTheme="majorBidi" w:hAnsiTheme="majorBidi" w:cstheme="majorBidi"/>
          <w:sz w:val="24"/>
          <w:szCs w:val="24"/>
        </w:rPr>
        <w:t xml:space="preserve">indications of the </w:t>
      </w:r>
      <w:r w:rsidR="004856A6" w:rsidRPr="00B503E6">
        <w:rPr>
          <w:rFonts w:asciiTheme="majorBidi" w:hAnsiTheme="majorBidi" w:cstheme="majorBidi"/>
          <w:sz w:val="24"/>
          <w:szCs w:val="24"/>
        </w:rPr>
        <w:t xml:space="preserve">economic </w:t>
      </w:r>
      <w:r w:rsidR="00F95760" w:rsidRPr="00B503E6">
        <w:rPr>
          <w:rFonts w:asciiTheme="majorBidi" w:hAnsiTheme="majorBidi" w:cstheme="majorBidi"/>
          <w:sz w:val="24"/>
          <w:szCs w:val="24"/>
        </w:rPr>
        <w:t xml:space="preserve">growth in </w:t>
      </w:r>
      <w:r w:rsidR="004856A6" w:rsidRPr="00B503E6">
        <w:rPr>
          <w:rFonts w:asciiTheme="majorBidi" w:hAnsiTheme="majorBidi" w:cstheme="majorBidi"/>
          <w:sz w:val="24"/>
          <w:szCs w:val="24"/>
        </w:rPr>
        <w:t xml:space="preserve">the region during the </w:t>
      </w:r>
      <w:r w:rsidR="00E26C05" w:rsidRPr="00B503E6">
        <w:rPr>
          <w:rFonts w:asciiTheme="majorBidi" w:hAnsiTheme="majorBidi" w:cstheme="majorBidi"/>
          <w:sz w:val="24"/>
          <w:szCs w:val="24"/>
        </w:rPr>
        <w:t>Mandate</w:t>
      </w:r>
      <w:r w:rsidR="004856A6" w:rsidRPr="00B503E6">
        <w:rPr>
          <w:rFonts w:asciiTheme="majorBidi" w:hAnsiTheme="majorBidi" w:cstheme="majorBidi"/>
          <w:sz w:val="24"/>
          <w:szCs w:val="24"/>
        </w:rPr>
        <w:t xml:space="preserve"> period. </w:t>
      </w:r>
      <w:r w:rsidR="00476808" w:rsidRPr="00B503E6">
        <w:rPr>
          <w:rFonts w:asciiTheme="majorBidi" w:hAnsiTheme="majorBidi" w:cstheme="majorBidi"/>
          <w:sz w:val="24"/>
          <w:szCs w:val="24"/>
        </w:rPr>
        <w:t xml:space="preserve"> </w:t>
      </w:r>
    </w:p>
    <w:p w:rsidR="006D797F" w:rsidRPr="00B503E6" w:rsidRDefault="007D4916" w:rsidP="003F6F76">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According to a French census i</w:t>
      </w:r>
      <w:r w:rsidR="006D797F" w:rsidRPr="00B503E6">
        <w:rPr>
          <w:rFonts w:asciiTheme="majorBidi" w:hAnsiTheme="majorBidi" w:cstheme="majorBidi"/>
          <w:sz w:val="24"/>
          <w:szCs w:val="24"/>
        </w:rPr>
        <w:t>n 1921</w:t>
      </w:r>
      <w:r w:rsidR="006C41E2" w:rsidRPr="00B503E6">
        <w:rPr>
          <w:rFonts w:asciiTheme="majorBidi" w:hAnsiTheme="majorBidi" w:cstheme="majorBidi"/>
          <w:sz w:val="24"/>
          <w:szCs w:val="24"/>
        </w:rPr>
        <w:t>-</w:t>
      </w:r>
      <w:r w:rsidR="006D797F" w:rsidRPr="00B503E6">
        <w:rPr>
          <w:rFonts w:asciiTheme="majorBidi" w:hAnsiTheme="majorBidi" w:cstheme="majorBidi"/>
          <w:sz w:val="24"/>
          <w:szCs w:val="24"/>
        </w:rPr>
        <w:t xml:space="preserve">22, </w:t>
      </w:r>
      <w:r w:rsidRPr="00B503E6">
        <w:rPr>
          <w:rFonts w:asciiTheme="majorBidi" w:hAnsiTheme="majorBidi" w:cstheme="majorBidi"/>
          <w:sz w:val="24"/>
          <w:szCs w:val="24"/>
        </w:rPr>
        <w:t xml:space="preserve">the population of Syria </w:t>
      </w:r>
      <w:r w:rsidR="00CC4AFF" w:rsidRPr="00B503E6">
        <w:rPr>
          <w:rFonts w:asciiTheme="majorBidi" w:hAnsiTheme="majorBidi" w:cstheme="majorBidi"/>
          <w:sz w:val="24"/>
          <w:szCs w:val="24"/>
        </w:rPr>
        <w:t xml:space="preserve">not </w:t>
      </w:r>
      <w:r w:rsidR="006D797F" w:rsidRPr="00B503E6">
        <w:rPr>
          <w:rFonts w:asciiTheme="majorBidi" w:hAnsiTheme="majorBidi" w:cstheme="majorBidi"/>
          <w:sz w:val="24"/>
          <w:szCs w:val="24"/>
        </w:rPr>
        <w:t xml:space="preserve">including Bedouins was </w:t>
      </w:r>
      <w:r w:rsidR="00D27094" w:rsidRPr="00B503E6">
        <w:rPr>
          <w:rFonts w:asciiTheme="majorBidi" w:hAnsiTheme="majorBidi" w:cstheme="majorBidi"/>
          <w:sz w:val="24"/>
          <w:szCs w:val="24"/>
        </w:rPr>
        <w:t>1,</w:t>
      </w:r>
      <w:r w:rsidR="00CC4AFF" w:rsidRPr="00B503E6">
        <w:rPr>
          <w:rFonts w:asciiTheme="majorBidi" w:hAnsiTheme="majorBidi" w:cstheme="majorBidi"/>
          <w:sz w:val="24"/>
          <w:szCs w:val="24"/>
        </w:rPr>
        <w:t>298,319</w:t>
      </w:r>
      <w:r w:rsidR="00D27094" w:rsidRPr="00B503E6">
        <w:rPr>
          <w:rFonts w:asciiTheme="majorBidi" w:hAnsiTheme="majorBidi" w:cstheme="majorBidi"/>
          <w:sz w:val="24"/>
          <w:szCs w:val="24"/>
        </w:rPr>
        <w:t xml:space="preserve"> and the population of Lebanon was 629,000</w:t>
      </w:r>
      <w:r w:rsidR="006D797F" w:rsidRPr="00B503E6">
        <w:rPr>
          <w:rFonts w:asciiTheme="majorBidi" w:hAnsiTheme="majorBidi" w:cstheme="majorBidi"/>
          <w:sz w:val="24"/>
          <w:szCs w:val="24"/>
        </w:rPr>
        <w:t xml:space="preserve">.  </w:t>
      </w:r>
      <w:r w:rsidR="006C41E2" w:rsidRPr="00B503E6">
        <w:rPr>
          <w:rFonts w:asciiTheme="majorBidi" w:hAnsiTheme="majorBidi" w:cstheme="majorBidi"/>
          <w:sz w:val="24"/>
          <w:szCs w:val="24"/>
        </w:rPr>
        <w:t xml:space="preserve">In 1932 there was another census </w:t>
      </w:r>
      <w:r w:rsidRPr="00B503E6">
        <w:rPr>
          <w:rFonts w:asciiTheme="majorBidi" w:hAnsiTheme="majorBidi" w:cstheme="majorBidi"/>
          <w:sz w:val="24"/>
          <w:szCs w:val="24"/>
        </w:rPr>
        <w:t xml:space="preserve">of </w:t>
      </w:r>
      <w:r w:rsidR="00D41748" w:rsidRPr="00B503E6">
        <w:rPr>
          <w:rFonts w:asciiTheme="majorBidi" w:hAnsiTheme="majorBidi" w:cstheme="majorBidi"/>
          <w:sz w:val="24"/>
          <w:szCs w:val="24"/>
        </w:rPr>
        <w:t>Lebanon</w:t>
      </w:r>
      <w:r w:rsidR="006C41E2" w:rsidRPr="00B503E6">
        <w:rPr>
          <w:rFonts w:asciiTheme="majorBidi" w:hAnsiTheme="majorBidi" w:cstheme="majorBidi"/>
          <w:sz w:val="24"/>
          <w:szCs w:val="24"/>
        </w:rPr>
        <w:t>,</w:t>
      </w:r>
      <w:r w:rsidR="00D41748" w:rsidRPr="00B503E6">
        <w:rPr>
          <w:rFonts w:asciiTheme="majorBidi" w:hAnsiTheme="majorBidi" w:cstheme="majorBidi"/>
          <w:sz w:val="24"/>
          <w:szCs w:val="24"/>
        </w:rPr>
        <w:t xml:space="preserve"> and its</w:t>
      </w:r>
      <w:r w:rsidR="00673FDD" w:rsidRPr="00B503E6">
        <w:rPr>
          <w:rFonts w:asciiTheme="majorBidi" w:hAnsiTheme="majorBidi" w:cstheme="majorBidi"/>
          <w:sz w:val="24"/>
          <w:szCs w:val="24"/>
        </w:rPr>
        <w:t xml:space="preserve"> </w:t>
      </w:r>
      <w:r w:rsidR="00D41748" w:rsidRPr="00B503E6">
        <w:rPr>
          <w:rFonts w:asciiTheme="majorBidi" w:hAnsiTheme="majorBidi" w:cstheme="majorBidi"/>
          <w:sz w:val="24"/>
          <w:szCs w:val="24"/>
        </w:rPr>
        <w:t>popu</w:t>
      </w:r>
      <w:r w:rsidR="00673FDD" w:rsidRPr="00B503E6">
        <w:rPr>
          <w:rFonts w:asciiTheme="majorBidi" w:hAnsiTheme="majorBidi" w:cstheme="majorBidi"/>
          <w:sz w:val="24"/>
          <w:szCs w:val="24"/>
        </w:rPr>
        <w:t xml:space="preserve">lation </w:t>
      </w:r>
      <w:r w:rsidR="00D41748" w:rsidRPr="00B503E6">
        <w:rPr>
          <w:rFonts w:asciiTheme="majorBidi" w:hAnsiTheme="majorBidi" w:cstheme="majorBidi"/>
          <w:sz w:val="24"/>
          <w:szCs w:val="24"/>
        </w:rPr>
        <w:t>was then 854,693.</w:t>
      </w:r>
      <w:r w:rsidR="00D27094" w:rsidRPr="00B503E6">
        <w:rPr>
          <w:rFonts w:asciiTheme="majorBidi" w:hAnsiTheme="majorBidi" w:cstheme="majorBidi"/>
          <w:sz w:val="24"/>
          <w:szCs w:val="24"/>
        </w:rPr>
        <w:t xml:space="preserve"> </w:t>
      </w:r>
      <w:r w:rsidR="001305A6" w:rsidRPr="00B503E6">
        <w:rPr>
          <w:rFonts w:asciiTheme="majorBidi" w:hAnsiTheme="majorBidi" w:cstheme="majorBidi"/>
          <w:sz w:val="24"/>
          <w:szCs w:val="24"/>
        </w:rPr>
        <w:t xml:space="preserve">In 1942, the population of Lebanon was estimated to have grown to 1,022,114 while </w:t>
      </w:r>
      <w:r w:rsidR="000D3542" w:rsidRPr="00B503E6">
        <w:rPr>
          <w:rFonts w:asciiTheme="majorBidi" w:hAnsiTheme="majorBidi" w:cstheme="majorBidi"/>
          <w:sz w:val="24"/>
          <w:szCs w:val="24"/>
        </w:rPr>
        <w:t xml:space="preserve">in Syria, </w:t>
      </w:r>
      <w:r w:rsidR="001305A6" w:rsidRPr="00B503E6">
        <w:rPr>
          <w:rFonts w:asciiTheme="majorBidi" w:hAnsiTheme="majorBidi" w:cstheme="majorBidi"/>
          <w:sz w:val="24"/>
          <w:szCs w:val="24"/>
        </w:rPr>
        <w:t xml:space="preserve">by 1943, </w:t>
      </w:r>
      <w:r w:rsidR="000D3542" w:rsidRPr="00B503E6">
        <w:rPr>
          <w:rFonts w:asciiTheme="majorBidi" w:hAnsiTheme="majorBidi" w:cstheme="majorBidi"/>
          <w:sz w:val="24"/>
          <w:szCs w:val="24"/>
        </w:rPr>
        <w:t xml:space="preserve">its </w:t>
      </w:r>
      <w:r w:rsidR="001305A6" w:rsidRPr="00B503E6">
        <w:rPr>
          <w:rFonts w:asciiTheme="majorBidi" w:hAnsiTheme="majorBidi" w:cstheme="majorBidi"/>
          <w:sz w:val="24"/>
          <w:szCs w:val="24"/>
        </w:rPr>
        <w:t>population (</w:t>
      </w:r>
      <w:r w:rsidR="00180729" w:rsidRPr="00B503E6">
        <w:rPr>
          <w:rFonts w:asciiTheme="majorBidi" w:hAnsiTheme="majorBidi" w:cstheme="majorBidi"/>
          <w:sz w:val="24"/>
          <w:szCs w:val="24"/>
        </w:rPr>
        <w:t>ex</w:t>
      </w:r>
      <w:r w:rsidR="001305A6" w:rsidRPr="00B503E6">
        <w:rPr>
          <w:rFonts w:asciiTheme="majorBidi" w:hAnsiTheme="majorBidi" w:cstheme="majorBidi"/>
          <w:sz w:val="24"/>
          <w:szCs w:val="24"/>
        </w:rPr>
        <w:t>cluding Bedouins) had increased to 2,806</w:t>
      </w:r>
      <w:r w:rsidR="00482F16" w:rsidRPr="00B503E6">
        <w:rPr>
          <w:rFonts w:asciiTheme="majorBidi" w:hAnsiTheme="majorBidi" w:cstheme="majorBidi"/>
          <w:sz w:val="24"/>
          <w:szCs w:val="24"/>
        </w:rPr>
        <w:t>,</w:t>
      </w:r>
      <w:r w:rsidR="001305A6" w:rsidRPr="00B503E6">
        <w:rPr>
          <w:rFonts w:asciiTheme="majorBidi" w:hAnsiTheme="majorBidi" w:cstheme="majorBidi"/>
          <w:sz w:val="24"/>
          <w:szCs w:val="24"/>
        </w:rPr>
        <w:t xml:space="preserve">411. </w:t>
      </w:r>
      <w:r w:rsidR="00894963" w:rsidRPr="00B503E6">
        <w:rPr>
          <w:rFonts w:asciiTheme="majorBidi" w:hAnsiTheme="majorBidi" w:cstheme="majorBidi"/>
          <w:sz w:val="24"/>
          <w:szCs w:val="24"/>
        </w:rPr>
        <w:t xml:space="preserve"> </w:t>
      </w:r>
      <w:r w:rsidR="003A32CE" w:rsidRPr="00B503E6">
        <w:rPr>
          <w:rFonts w:asciiTheme="majorBidi" w:hAnsiTheme="majorBidi" w:cstheme="majorBidi"/>
          <w:sz w:val="24"/>
          <w:szCs w:val="24"/>
        </w:rPr>
        <w:t>With these estimates, the annual growth rates</w:t>
      </w:r>
      <w:r w:rsidR="000D3542" w:rsidRPr="00B503E6">
        <w:rPr>
          <w:rFonts w:asciiTheme="majorBidi" w:hAnsiTheme="majorBidi" w:cstheme="majorBidi"/>
          <w:sz w:val="24"/>
          <w:szCs w:val="24"/>
        </w:rPr>
        <w:t xml:space="preserve"> of the population </w:t>
      </w:r>
      <w:r w:rsidR="003A32CE" w:rsidRPr="00B503E6">
        <w:rPr>
          <w:rFonts w:asciiTheme="majorBidi" w:hAnsiTheme="majorBidi" w:cstheme="majorBidi"/>
          <w:sz w:val="24"/>
          <w:szCs w:val="24"/>
        </w:rPr>
        <w:t xml:space="preserve">in Lebanon from 1922-1942 was </w:t>
      </w:r>
      <w:r w:rsidR="000D3542" w:rsidRPr="00B503E6">
        <w:rPr>
          <w:rFonts w:asciiTheme="majorBidi" w:hAnsiTheme="majorBidi" w:cstheme="majorBidi"/>
          <w:sz w:val="24"/>
          <w:szCs w:val="24"/>
        </w:rPr>
        <w:t>2.46%, and in Syria from 1922-1943 it was 3.83%.</w:t>
      </w:r>
      <w:r w:rsidR="003F6F76">
        <w:rPr>
          <w:rStyle w:val="EndnoteReference"/>
          <w:rFonts w:asciiTheme="majorBidi" w:hAnsiTheme="majorBidi" w:cstheme="majorBidi"/>
          <w:sz w:val="24"/>
          <w:szCs w:val="24"/>
        </w:rPr>
        <w:endnoteReference w:id="36"/>
      </w:r>
      <w:r w:rsidR="000D3542" w:rsidRPr="00B503E6">
        <w:rPr>
          <w:rFonts w:asciiTheme="majorBidi" w:hAnsiTheme="majorBidi" w:cstheme="majorBidi"/>
          <w:sz w:val="24"/>
          <w:szCs w:val="24"/>
        </w:rPr>
        <w:t xml:space="preserve"> </w:t>
      </w:r>
      <w:r w:rsidR="00C54CCD" w:rsidRPr="00B503E6">
        <w:rPr>
          <w:rFonts w:asciiTheme="majorBidi" w:hAnsiTheme="majorBidi" w:cstheme="majorBidi"/>
          <w:sz w:val="24"/>
          <w:szCs w:val="24"/>
        </w:rPr>
        <w:t xml:space="preserve"> </w:t>
      </w:r>
    </w:p>
    <w:p w:rsidR="00362276" w:rsidRPr="00B503E6" w:rsidRDefault="004E798D" w:rsidP="000D1ABF">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lastRenderedPageBreak/>
        <w:t xml:space="preserve">In Palestine, the British also conducted a </w:t>
      </w:r>
      <w:r w:rsidR="006C41E2" w:rsidRPr="00B503E6">
        <w:rPr>
          <w:rFonts w:asciiTheme="majorBidi" w:hAnsiTheme="majorBidi" w:cstheme="majorBidi"/>
          <w:sz w:val="24"/>
          <w:szCs w:val="24"/>
        </w:rPr>
        <w:t xml:space="preserve">census </w:t>
      </w:r>
      <w:r w:rsidRPr="00B503E6">
        <w:rPr>
          <w:rFonts w:asciiTheme="majorBidi" w:hAnsiTheme="majorBidi" w:cstheme="majorBidi"/>
          <w:sz w:val="24"/>
          <w:szCs w:val="24"/>
        </w:rPr>
        <w:t xml:space="preserve">in 1922, and according to </w:t>
      </w:r>
      <w:r w:rsidR="00E155CB" w:rsidRPr="00B503E6">
        <w:rPr>
          <w:rFonts w:asciiTheme="majorBidi" w:hAnsiTheme="majorBidi" w:cstheme="majorBidi"/>
          <w:sz w:val="24"/>
          <w:szCs w:val="24"/>
        </w:rPr>
        <w:t xml:space="preserve">Justin </w:t>
      </w:r>
      <w:r w:rsidRPr="00B503E6">
        <w:rPr>
          <w:rFonts w:asciiTheme="majorBidi" w:hAnsiTheme="majorBidi" w:cstheme="majorBidi"/>
          <w:sz w:val="24"/>
          <w:szCs w:val="24"/>
        </w:rPr>
        <w:t>McCarthy (1990), who corrected the</w:t>
      </w:r>
      <w:r w:rsidR="00F72156" w:rsidRPr="00B503E6">
        <w:rPr>
          <w:rFonts w:asciiTheme="majorBidi" w:hAnsiTheme="majorBidi" w:cstheme="majorBidi"/>
          <w:sz w:val="24"/>
          <w:szCs w:val="24"/>
        </w:rPr>
        <w:t xml:space="preserve"> official </w:t>
      </w:r>
      <w:r w:rsidRPr="00B503E6">
        <w:rPr>
          <w:rFonts w:asciiTheme="majorBidi" w:hAnsiTheme="majorBidi" w:cstheme="majorBidi"/>
          <w:sz w:val="24"/>
          <w:szCs w:val="24"/>
        </w:rPr>
        <w:t>numbers, the population of Palestine (including Bedouins) in 1922 was 823,684.  According to McCarthy, the population increased to 1,942,349 by the end of 1946, a</w:t>
      </w:r>
      <w:r w:rsidR="00C54CCD" w:rsidRPr="00B503E6">
        <w:rPr>
          <w:rFonts w:asciiTheme="majorBidi" w:hAnsiTheme="majorBidi" w:cstheme="majorBidi"/>
          <w:sz w:val="24"/>
          <w:szCs w:val="24"/>
        </w:rPr>
        <w:t>n</w:t>
      </w:r>
      <w:r w:rsidRPr="00B503E6">
        <w:rPr>
          <w:rFonts w:asciiTheme="majorBidi" w:hAnsiTheme="majorBidi" w:cstheme="majorBidi"/>
          <w:sz w:val="24"/>
          <w:szCs w:val="24"/>
        </w:rPr>
        <w:t xml:space="preserve"> </w:t>
      </w:r>
      <w:r w:rsidR="00C54CCD" w:rsidRPr="00B503E6">
        <w:rPr>
          <w:rFonts w:asciiTheme="majorBidi" w:hAnsiTheme="majorBidi" w:cstheme="majorBidi"/>
          <w:sz w:val="24"/>
          <w:szCs w:val="24"/>
        </w:rPr>
        <w:t xml:space="preserve">annual </w:t>
      </w:r>
      <w:r w:rsidRPr="00B503E6">
        <w:rPr>
          <w:rFonts w:asciiTheme="majorBidi" w:hAnsiTheme="majorBidi" w:cstheme="majorBidi"/>
          <w:sz w:val="24"/>
          <w:szCs w:val="24"/>
        </w:rPr>
        <w:t xml:space="preserve">growth </w:t>
      </w:r>
      <w:r w:rsidR="002B1D38" w:rsidRPr="00B503E6">
        <w:rPr>
          <w:rFonts w:asciiTheme="majorBidi" w:hAnsiTheme="majorBidi" w:cstheme="majorBidi"/>
          <w:sz w:val="24"/>
          <w:szCs w:val="24"/>
        </w:rPr>
        <w:t xml:space="preserve">rate </w:t>
      </w:r>
      <w:r w:rsidR="00C54CCD" w:rsidRPr="00B503E6">
        <w:rPr>
          <w:rFonts w:asciiTheme="majorBidi" w:hAnsiTheme="majorBidi" w:cstheme="majorBidi"/>
          <w:sz w:val="24"/>
          <w:szCs w:val="24"/>
        </w:rPr>
        <w:t xml:space="preserve">of 3.64%.  </w:t>
      </w:r>
    </w:p>
    <w:p w:rsidR="001D73C0" w:rsidRPr="00B503E6" w:rsidRDefault="00362276" w:rsidP="00047AE7">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N</w:t>
      </w:r>
      <w:r w:rsidR="002734CA" w:rsidRPr="00B503E6">
        <w:rPr>
          <w:rFonts w:asciiTheme="majorBidi" w:hAnsiTheme="majorBidi" w:cstheme="majorBidi"/>
          <w:sz w:val="24"/>
          <w:szCs w:val="24"/>
        </w:rPr>
        <w:t xml:space="preserve">o census was ever compiled </w:t>
      </w:r>
      <w:r w:rsidRPr="00B503E6">
        <w:rPr>
          <w:rFonts w:asciiTheme="majorBidi" w:hAnsiTheme="majorBidi" w:cstheme="majorBidi"/>
          <w:sz w:val="24"/>
          <w:szCs w:val="24"/>
        </w:rPr>
        <w:t xml:space="preserve">in Trans-Jordan </w:t>
      </w:r>
      <w:r w:rsidR="002734CA" w:rsidRPr="00B503E6">
        <w:rPr>
          <w:rFonts w:asciiTheme="majorBidi" w:hAnsiTheme="majorBidi" w:cstheme="majorBidi"/>
          <w:sz w:val="24"/>
          <w:szCs w:val="24"/>
        </w:rPr>
        <w:t xml:space="preserve">during the </w:t>
      </w:r>
      <w:r w:rsidR="002745C0" w:rsidRPr="00B503E6">
        <w:rPr>
          <w:rFonts w:asciiTheme="majorBidi" w:hAnsiTheme="majorBidi" w:cstheme="majorBidi"/>
          <w:sz w:val="24"/>
          <w:szCs w:val="24"/>
        </w:rPr>
        <w:t>m</w:t>
      </w:r>
      <w:r w:rsidR="00E26C05" w:rsidRPr="00B503E6">
        <w:rPr>
          <w:rFonts w:asciiTheme="majorBidi" w:hAnsiTheme="majorBidi" w:cstheme="majorBidi"/>
          <w:sz w:val="24"/>
          <w:szCs w:val="24"/>
        </w:rPr>
        <w:t>andate</w:t>
      </w:r>
      <w:r w:rsidR="002734CA" w:rsidRPr="00B503E6">
        <w:rPr>
          <w:rFonts w:asciiTheme="majorBidi" w:hAnsiTheme="majorBidi" w:cstheme="majorBidi"/>
          <w:sz w:val="24"/>
          <w:szCs w:val="24"/>
        </w:rPr>
        <w:t xml:space="preserve"> years, </w:t>
      </w:r>
      <w:r w:rsidR="00F94908" w:rsidRPr="00B503E6">
        <w:rPr>
          <w:rFonts w:asciiTheme="majorBidi" w:hAnsiTheme="majorBidi" w:cstheme="majorBidi"/>
          <w:sz w:val="24"/>
          <w:szCs w:val="24"/>
        </w:rPr>
        <w:t xml:space="preserve">but </w:t>
      </w:r>
      <w:r w:rsidR="002734CA" w:rsidRPr="00B503E6">
        <w:rPr>
          <w:rFonts w:asciiTheme="majorBidi" w:hAnsiTheme="majorBidi" w:cstheme="majorBidi"/>
          <w:sz w:val="24"/>
          <w:szCs w:val="24"/>
        </w:rPr>
        <w:t xml:space="preserve">there are </w:t>
      </w:r>
      <w:r w:rsidR="003B2BD6" w:rsidRPr="00B503E6">
        <w:rPr>
          <w:rFonts w:asciiTheme="majorBidi" w:hAnsiTheme="majorBidi" w:cstheme="majorBidi"/>
          <w:sz w:val="24"/>
          <w:szCs w:val="24"/>
        </w:rPr>
        <w:t xml:space="preserve">various </w:t>
      </w:r>
      <w:r w:rsidR="002734CA" w:rsidRPr="00B503E6">
        <w:rPr>
          <w:rFonts w:asciiTheme="majorBidi" w:hAnsiTheme="majorBidi" w:cstheme="majorBidi"/>
          <w:sz w:val="24"/>
          <w:szCs w:val="24"/>
        </w:rPr>
        <w:t xml:space="preserve">estimates of its population.  </w:t>
      </w:r>
      <w:r w:rsidR="003B2BD6" w:rsidRPr="00B503E6">
        <w:rPr>
          <w:rFonts w:asciiTheme="majorBidi" w:hAnsiTheme="majorBidi" w:cstheme="majorBidi"/>
          <w:sz w:val="24"/>
          <w:szCs w:val="24"/>
        </w:rPr>
        <w:t>Alon (2007</w:t>
      </w:r>
      <w:r w:rsidR="00E155CB" w:rsidRPr="00B503E6">
        <w:rPr>
          <w:rFonts w:asciiTheme="majorBidi" w:hAnsiTheme="majorBidi" w:cstheme="majorBidi"/>
          <w:sz w:val="24"/>
          <w:szCs w:val="24"/>
        </w:rPr>
        <w:t>,</w:t>
      </w:r>
      <w:r w:rsidR="008604CB" w:rsidRPr="00B503E6">
        <w:rPr>
          <w:rFonts w:asciiTheme="majorBidi" w:hAnsiTheme="majorBidi" w:cstheme="majorBidi"/>
          <w:sz w:val="24"/>
          <w:szCs w:val="24"/>
        </w:rPr>
        <w:t xml:space="preserve"> </w:t>
      </w:r>
      <w:r w:rsidR="003B2BD6" w:rsidRPr="00B503E6">
        <w:rPr>
          <w:rFonts w:asciiTheme="majorBidi" w:hAnsiTheme="majorBidi" w:cstheme="majorBidi"/>
          <w:sz w:val="24"/>
          <w:szCs w:val="24"/>
        </w:rPr>
        <w:t>41) writes that in 1921 its population was around 200,000, while Mary Wilson (1987</w:t>
      </w:r>
      <w:r w:rsidR="00E155CB" w:rsidRPr="00B503E6">
        <w:rPr>
          <w:rFonts w:asciiTheme="majorBidi" w:hAnsiTheme="majorBidi" w:cstheme="majorBidi"/>
          <w:sz w:val="24"/>
          <w:szCs w:val="24"/>
        </w:rPr>
        <w:t>,</w:t>
      </w:r>
      <w:r w:rsidR="008604CB" w:rsidRPr="00B503E6">
        <w:rPr>
          <w:rFonts w:asciiTheme="majorBidi" w:hAnsiTheme="majorBidi" w:cstheme="majorBidi"/>
          <w:sz w:val="24"/>
          <w:szCs w:val="24"/>
        </w:rPr>
        <w:t xml:space="preserve"> </w:t>
      </w:r>
      <w:r w:rsidR="0066354C" w:rsidRPr="00B503E6">
        <w:rPr>
          <w:rFonts w:asciiTheme="majorBidi" w:hAnsiTheme="majorBidi" w:cstheme="majorBidi"/>
          <w:sz w:val="24"/>
          <w:szCs w:val="24"/>
        </w:rPr>
        <w:t>55</w:t>
      </w:r>
      <w:r w:rsidR="003B2BD6" w:rsidRPr="00B503E6">
        <w:rPr>
          <w:rFonts w:asciiTheme="majorBidi" w:hAnsiTheme="majorBidi" w:cstheme="majorBidi"/>
          <w:sz w:val="24"/>
          <w:szCs w:val="24"/>
        </w:rPr>
        <w:t>) writes that in 1922 its population (including Bedouins) was around 225,000 excluding the small districts of Maan and Aqaba.</w:t>
      </w:r>
      <w:r w:rsidR="00251AF5" w:rsidRPr="00B503E6">
        <w:rPr>
          <w:rFonts w:asciiTheme="majorBidi" w:hAnsiTheme="majorBidi" w:cstheme="majorBidi"/>
          <w:sz w:val="24"/>
          <w:szCs w:val="24"/>
        </w:rPr>
        <w:t xml:space="preserve">  </w:t>
      </w:r>
      <w:r w:rsidR="00CC10E0" w:rsidRPr="00B503E6">
        <w:rPr>
          <w:rFonts w:asciiTheme="majorBidi" w:hAnsiTheme="majorBidi" w:cstheme="majorBidi"/>
          <w:sz w:val="24"/>
          <w:szCs w:val="24"/>
        </w:rPr>
        <w:t>In 1938</w:t>
      </w:r>
      <w:r w:rsidR="008604CB" w:rsidRPr="00B503E6">
        <w:rPr>
          <w:rFonts w:asciiTheme="majorBidi" w:hAnsiTheme="majorBidi" w:cstheme="majorBidi"/>
          <w:sz w:val="24"/>
          <w:szCs w:val="24"/>
        </w:rPr>
        <w:t xml:space="preserve"> </w:t>
      </w:r>
      <w:r w:rsidR="00CC10E0" w:rsidRPr="00B503E6">
        <w:rPr>
          <w:rFonts w:asciiTheme="majorBidi" w:hAnsiTheme="majorBidi" w:cstheme="majorBidi"/>
          <w:sz w:val="24"/>
          <w:szCs w:val="24"/>
        </w:rPr>
        <w:t xml:space="preserve">there was a </w:t>
      </w:r>
      <w:r w:rsidR="00694A86" w:rsidRPr="00B503E6">
        <w:rPr>
          <w:rFonts w:asciiTheme="majorBidi" w:hAnsiTheme="majorBidi" w:cstheme="majorBidi"/>
          <w:sz w:val="24"/>
          <w:szCs w:val="24"/>
        </w:rPr>
        <w:t>“</w:t>
      </w:r>
      <w:r w:rsidR="00CC10E0" w:rsidRPr="00B503E6">
        <w:rPr>
          <w:rFonts w:asciiTheme="majorBidi" w:hAnsiTheme="majorBidi" w:cstheme="majorBidi"/>
          <w:sz w:val="24"/>
          <w:szCs w:val="24"/>
        </w:rPr>
        <w:t>close survey by the District administrative authorities</w:t>
      </w:r>
      <w:r w:rsidR="00694A86" w:rsidRPr="00B503E6">
        <w:rPr>
          <w:rFonts w:asciiTheme="majorBidi" w:hAnsiTheme="majorBidi" w:cstheme="majorBidi"/>
          <w:sz w:val="24"/>
          <w:szCs w:val="24"/>
        </w:rPr>
        <w:t>”</w:t>
      </w:r>
      <w:r w:rsidR="00CC10E0" w:rsidRPr="00B503E6">
        <w:rPr>
          <w:rFonts w:asciiTheme="majorBidi" w:hAnsiTheme="majorBidi" w:cstheme="majorBidi"/>
          <w:sz w:val="24"/>
          <w:szCs w:val="24"/>
        </w:rPr>
        <w:t xml:space="preserve"> and according to this count the population of Trans-Jordan was 300,214</w:t>
      </w:r>
      <w:r w:rsidR="00275EB3" w:rsidRPr="00B503E6">
        <w:rPr>
          <w:rFonts w:asciiTheme="majorBidi" w:hAnsiTheme="majorBidi" w:cstheme="majorBidi"/>
          <w:sz w:val="24"/>
          <w:szCs w:val="24"/>
        </w:rPr>
        <w:t>.</w:t>
      </w:r>
      <w:r w:rsidR="00047AE7">
        <w:rPr>
          <w:rStyle w:val="EndnoteReference"/>
          <w:rFonts w:asciiTheme="majorBidi" w:hAnsiTheme="majorBidi" w:cstheme="majorBidi"/>
          <w:sz w:val="24"/>
          <w:szCs w:val="24"/>
        </w:rPr>
        <w:endnoteReference w:id="37"/>
      </w:r>
      <w:r w:rsidR="0008179F" w:rsidRPr="00B503E6">
        <w:rPr>
          <w:rFonts w:asciiTheme="majorBidi" w:hAnsiTheme="majorBidi" w:cstheme="majorBidi"/>
          <w:sz w:val="24"/>
          <w:szCs w:val="24"/>
        </w:rPr>
        <w:t xml:space="preserve"> </w:t>
      </w:r>
      <w:r w:rsidR="001D73C0" w:rsidRPr="00B503E6">
        <w:rPr>
          <w:rFonts w:asciiTheme="majorBidi" w:hAnsiTheme="majorBidi" w:cstheme="majorBidi"/>
          <w:sz w:val="24"/>
          <w:szCs w:val="24"/>
        </w:rPr>
        <w:t xml:space="preserve">With these estimates the annual </w:t>
      </w:r>
      <w:r w:rsidR="000A3FEC" w:rsidRPr="00B503E6">
        <w:rPr>
          <w:rFonts w:asciiTheme="majorBidi" w:hAnsiTheme="majorBidi" w:cstheme="majorBidi"/>
          <w:sz w:val="24"/>
          <w:szCs w:val="24"/>
        </w:rPr>
        <w:t xml:space="preserve">population </w:t>
      </w:r>
      <w:r w:rsidR="001D73C0" w:rsidRPr="00B503E6">
        <w:rPr>
          <w:rFonts w:asciiTheme="majorBidi" w:hAnsiTheme="majorBidi" w:cstheme="majorBidi"/>
          <w:sz w:val="24"/>
          <w:szCs w:val="24"/>
        </w:rPr>
        <w:t>growth rate from 1922-1938 was</w:t>
      </w:r>
      <w:r w:rsidR="00BF561F" w:rsidRPr="00B503E6">
        <w:rPr>
          <w:rFonts w:asciiTheme="majorBidi" w:hAnsiTheme="majorBidi" w:cstheme="majorBidi"/>
          <w:sz w:val="24"/>
          <w:szCs w:val="24"/>
        </w:rPr>
        <w:t xml:space="preserve"> around 1.8%. </w:t>
      </w:r>
      <w:r w:rsidR="00723FC0" w:rsidRPr="00B503E6">
        <w:rPr>
          <w:rFonts w:asciiTheme="majorBidi" w:hAnsiTheme="majorBidi" w:cstheme="majorBidi"/>
          <w:sz w:val="24"/>
          <w:szCs w:val="24"/>
        </w:rPr>
        <w:t>Koni</w:t>
      </w:r>
      <w:r w:rsidR="00BA7904" w:rsidRPr="00B503E6">
        <w:rPr>
          <w:rFonts w:asciiTheme="majorBidi" w:hAnsiTheme="majorBidi" w:cstheme="majorBidi"/>
          <w:sz w:val="24"/>
          <w:szCs w:val="24"/>
        </w:rPr>
        <w:t>k</w:t>
      </w:r>
      <w:r w:rsidR="00723FC0" w:rsidRPr="00B503E6">
        <w:rPr>
          <w:rFonts w:asciiTheme="majorBidi" w:hAnsiTheme="majorBidi" w:cstheme="majorBidi"/>
          <w:sz w:val="24"/>
          <w:szCs w:val="24"/>
        </w:rPr>
        <w:t>off (1946</w:t>
      </w:r>
      <w:r w:rsidR="00E155CB" w:rsidRPr="00B503E6">
        <w:rPr>
          <w:rFonts w:asciiTheme="majorBidi" w:hAnsiTheme="majorBidi" w:cstheme="majorBidi"/>
          <w:sz w:val="24"/>
          <w:szCs w:val="24"/>
        </w:rPr>
        <w:t>,</w:t>
      </w:r>
      <w:r w:rsidR="008604CB" w:rsidRPr="00B503E6">
        <w:rPr>
          <w:rFonts w:asciiTheme="majorBidi" w:hAnsiTheme="majorBidi" w:cstheme="majorBidi"/>
          <w:sz w:val="24"/>
          <w:szCs w:val="24"/>
        </w:rPr>
        <w:t xml:space="preserve"> </w:t>
      </w:r>
      <w:r w:rsidR="00723FC0" w:rsidRPr="00B503E6">
        <w:rPr>
          <w:rFonts w:asciiTheme="majorBidi" w:hAnsiTheme="majorBidi" w:cstheme="majorBidi"/>
          <w:sz w:val="24"/>
          <w:szCs w:val="24"/>
        </w:rPr>
        <w:t>17) estimates that in 1943</w:t>
      </w:r>
      <w:r w:rsidR="006D6322" w:rsidRPr="00B503E6">
        <w:rPr>
          <w:rFonts w:asciiTheme="majorBidi" w:hAnsiTheme="majorBidi" w:cstheme="majorBidi"/>
          <w:sz w:val="24"/>
          <w:szCs w:val="24"/>
        </w:rPr>
        <w:t>,</w:t>
      </w:r>
      <w:r w:rsidR="00723FC0" w:rsidRPr="00B503E6">
        <w:rPr>
          <w:rFonts w:asciiTheme="majorBidi" w:hAnsiTheme="majorBidi" w:cstheme="majorBidi"/>
          <w:sz w:val="24"/>
          <w:szCs w:val="24"/>
        </w:rPr>
        <w:t xml:space="preserve"> Trans-Jordan'</w:t>
      </w:r>
      <w:r w:rsidR="008F3675" w:rsidRPr="00B503E6">
        <w:rPr>
          <w:rFonts w:asciiTheme="majorBidi" w:hAnsiTheme="majorBidi" w:cstheme="majorBidi"/>
          <w:sz w:val="24"/>
          <w:szCs w:val="24"/>
        </w:rPr>
        <w:t>s</w:t>
      </w:r>
      <w:r w:rsidR="00723FC0" w:rsidRPr="00B503E6">
        <w:rPr>
          <w:rFonts w:asciiTheme="majorBidi" w:hAnsiTheme="majorBidi" w:cstheme="majorBidi"/>
          <w:sz w:val="24"/>
          <w:szCs w:val="24"/>
        </w:rPr>
        <w:t xml:space="preserve"> population was 340,000, </w:t>
      </w:r>
      <w:r w:rsidR="008F3675" w:rsidRPr="00B503E6">
        <w:rPr>
          <w:rFonts w:asciiTheme="majorBidi" w:hAnsiTheme="majorBidi" w:cstheme="majorBidi"/>
          <w:sz w:val="24"/>
          <w:szCs w:val="24"/>
        </w:rPr>
        <w:t xml:space="preserve">and </w:t>
      </w:r>
      <w:r w:rsidR="00F72156" w:rsidRPr="00B503E6">
        <w:rPr>
          <w:rFonts w:asciiTheme="majorBidi" w:hAnsiTheme="majorBidi" w:cstheme="majorBidi"/>
          <w:sz w:val="24"/>
          <w:szCs w:val="24"/>
        </w:rPr>
        <w:t xml:space="preserve">then </w:t>
      </w:r>
      <w:r w:rsidR="008F3675" w:rsidRPr="00B503E6">
        <w:rPr>
          <w:rFonts w:asciiTheme="majorBidi" w:hAnsiTheme="majorBidi" w:cstheme="majorBidi"/>
          <w:sz w:val="24"/>
          <w:szCs w:val="24"/>
        </w:rPr>
        <w:t xml:space="preserve">Trans-Jordan's population increased at an annual rate </w:t>
      </w:r>
      <w:r w:rsidR="00BA7904" w:rsidRPr="00B503E6">
        <w:rPr>
          <w:rFonts w:asciiTheme="majorBidi" w:hAnsiTheme="majorBidi" w:cstheme="majorBidi"/>
          <w:sz w:val="24"/>
          <w:szCs w:val="24"/>
        </w:rPr>
        <w:t xml:space="preserve">of 2.5% </w:t>
      </w:r>
      <w:r w:rsidR="008F3675" w:rsidRPr="00B503E6">
        <w:rPr>
          <w:rFonts w:asciiTheme="majorBidi" w:hAnsiTheme="majorBidi" w:cstheme="majorBidi"/>
          <w:sz w:val="24"/>
          <w:szCs w:val="24"/>
        </w:rPr>
        <w:t>from 1938-1943</w:t>
      </w:r>
      <w:r w:rsidR="00BA7904" w:rsidRPr="00B503E6">
        <w:rPr>
          <w:rFonts w:asciiTheme="majorBidi" w:hAnsiTheme="majorBidi" w:cstheme="majorBidi"/>
          <w:sz w:val="24"/>
          <w:szCs w:val="24"/>
        </w:rPr>
        <w:t>.</w:t>
      </w:r>
      <w:r w:rsidR="008F3675" w:rsidRPr="00B503E6">
        <w:rPr>
          <w:rFonts w:asciiTheme="majorBidi" w:hAnsiTheme="majorBidi" w:cstheme="majorBidi"/>
          <w:sz w:val="24"/>
          <w:szCs w:val="24"/>
        </w:rPr>
        <w:t xml:space="preserve"> </w:t>
      </w:r>
      <w:r w:rsidR="00723FC0" w:rsidRPr="00B503E6">
        <w:rPr>
          <w:rFonts w:asciiTheme="majorBidi" w:hAnsiTheme="majorBidi" w:cstheme="majorBidi"/>
          <w:sz w:val="24"/>
          <w:szCs w:val="24"/>
        </w:rPr>
        <w:t xml:space="preserve"> </w:t>
      </w:r>
    </w:p>
    <w:p w:rsidR="00B95AFA" w:rsidRPr="00B503E6" w:rsidRDefault="003247EA" w:rsidP="00873F85">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Corresponding to the increases in population, there was an increase in </w:t>
      </w:r>
      <w:r w:rsidR="00AA4CA4" w:rsidRPr="00B503E6">
        <w:rPr>
          <w:rFonts w:asciiTheme="majorBidi" w:hAnsiTheme="majorBidi" w:cstheme="majorBidi"/>
          <w:sz w:val="24"/>
          <w:szCs w:val="24"/>
        </w:rPr>
        <w:t xml:space="preserve">urbanization. </w:t>
      </w:r>
      <w:r w:rsidR="0008179F" w:rsidRPr="00B503E6">
        <w:rPr>
          <w:rFonts w:asciiTheme="majorBidi" w:hAnsiTheme="majorBidi" w:cstheme="majorBidi"/>
          <w:sz w:val="24"/>
          <w:szCs w:val="24"/>
        </w:rPr>
        <w:t xml:space="preserve"> </w:t>
      </w:r>
      <w:r w:rsidR="00967D4D" w:rsidRPr="00B503E6">
        <w:rPr>
          <w:rFonts w:asciiTheme="majorBidi" w:hAnsiTheme="majorBidi" w:cstheme="majorBidi"/>
          <w:sz w:val="24"/>
          <w:szCs w:val="24"/>
        </w:rPr>
        <w:t xml:space="preserve">In 1943, the population of Aleppo had grown to 319,867, Damascus to 286,310, and approximately a third of </w:t>
      </w:r>
      <w:r w:rsidR="007D4916" w:rsidRPr="00B503E6">
        <w:rPr>
          <w:rFonts w:asciiTheme="majorBidi" w:hAnsiTheme="majorBidi" w:cstheme="majorBidi"/>
          <w:sz w:val="24"/>
          <w:szCs w:val="24"/>
        </w:rPr>
        <w:t xml:space="preserve">Syria's </w:t>
      </w:r>
      <w:r w:rsidR="00967D4D" w:rsidRPr="00B503E6">
        <w:rPr>
          <w:rFonts w:asciiTheme="majorBidi" w:hAnsiTheme="majorBidi" w:cstheme="majorBidi"/>
          <w:sz w:val="24"/>
          <w:szCs w:val="24"/>
        </w:rPr>
        <w:t>population was living in urban areas with a population of more than 10,000.</w:t>
      </w:r>
      <w:r w:rsidR="00047AE7">
        <w:rPr>
          <w:rStyle w:val="EndnoteReference"/>
          <w:rFonts w:asciiTheme="majorBidi" w:hAnsiTheme="majorBidi" w:cstheme="majorBidi"/>
          <w:sz w:val="24"/>
          <w:szCs w:val="24"/>
        </w:rPr>
        <w:endnoteReference w:id="38"/>
      </w:r>
      <w:r w:rsidR="00967D4D" w:rsidRPr="00B503E6">
        <w:rPr>
          <w:rFonts w:asciiTheme="majorBidi" w:hAnsiTheme="majorBidi" w:cstheme="majorBidi"/>
          <w:sz w:val="24"/>
          <w:szCs w:val="24"/>
        </w:rPr>
        <w:t xml:space="preserve"> </w:t>
      </w:r>
      <w:r w:rsidR="00047AE7">
        <w:rPr>
          <w:rFonts w:asciiTheme="majorBidi" w:hAnsiTheme="majorBidi" w:cstheme="majorBidi"/>
          <w:sz w:val="24"/>
          <w:szCs w:val="24"/>
        </w:rPr>
        <w:t xml:space="preserve"> </w:t>
      </w:r>
      <w:r w:rsidR="004305D2" w:rsidRPr="00B503E6">
        <w:rPr>
          <w:rFonts w:asciiTheme="majorBidi" w:hAnsiTheme="majorBidi" w:cstheme="majorBidi"/>
          <w:sz w:val="24"/>
          <w:szCs w:val="24"/>
        </w:rPr>
        <w:t xml:space="preserve">In Lebanon, </w:t>
      </w:r>
      <w:r w:rsidR="00D632E8" w:rsidRPr="00B503E6">
        <w:rPr>
          <w:rFonts w:asciiTheme="majorBidi" w:hAnsiTheme="majorBidi" w:cstheme="majorBidi"/>
          <w:sz w:val="24"/>
          <w:szCs w:val="24"/>
        </w:rPr>
        <w:t xml:space="preserve">in 1942 </w:t>
      </w:r>
      <w:r w:rsidR="004305D2" w:rsidRPr="00B503E6">
        <w:rPr>
          <w:rFonts w:asciiTheme="majorBidi" w:hAnsiTheme="majorBidi" w:cstheme="majorBidi"/>
          <w:sz w:val="24"/>
          <w:szCs w:val="24"/>
        </w:rPr>
        <w:t xml:space="preserve">the population of Beirut had risen to 233,000 </w:t>
      </w:r>
      <w:r w:rsidR="00D632E8" w:rsidRPr="00B503E6">
        <w:rPr>
          <w:rFonts w:asciiTheme="majorBidi" w:hAnsiTheme="majorBidi" w:cstheme="majorBidi"/>
          <w:sz w:val="24"/>
          <w:szCs w:val="24"/>
        </w:rPr>
        <w:t>and its urbanization rate was also approximately 33%.</w:t>
      </w:r>
      <w:r w:rsidR="00047AE7">
        <w:rPr>
          <w:rStyle w:val="EndnoteReference"/>
          <w:rFonts w:asciiTheme="majorBidi" w:hAnsiTheme="majorBidi" w:cstheme="majorBidi"/>
          <w:sz w:val="24"/>
          <w:szCs w:val="24"/>
        </w:rPr>
        <w:endnoteReference w:id="39"/>
      </w:r>
      <w:r w:rsidR="00D632E8" w:rsidRPr="00B503E6">
        <w:rPr>
          <w:rFonts w:asciiTheme="majorBidi" w:hAnsiTheme="majorBidi" w:cstheme="majorBidi"/>
          <w:sz w:val="24"/>
          <w:szCs w:val="24"/>
        </w:rPr>
        <w:t xml:space="preserve"> </w:t>
      </w:r>
      <w:r w:rsidR="005E04F5" w:rsidRPr="00B503E6">
        <w:rPr>
          <w:rFonts w:asciiTheme="majorBidi" w:hAnsiTheme="majorBidi" w:cstheme="majorBidi"/>
          <w:sz w:val="24"/>
          <w:szCs w:val="24"/>
        </w:rPr>
        <w:t>In Palestine, by 1944, the city with the largest population was Tel Aviv (166,660)</w:t>
      </w:r>
      <w:r w:rsidR="004E7616" w:rsidRPr="00B503E6">
        <w:rPr>
          <w:rFonts w:asciiTheme="majorBidi" w:hAnsiTheme="majorBidi" w:cstheme="majorBidi"/>
          <w:sz w:val="24"/>
          <w:szCs w:val="24"/>
        </w:rPr>
        <w:t>,</w:t>
      </w:r>
      <w:r w:rsidR="005E04F5" w:rsidRPr="00B503E6">
        <w:rPr>
          <w:rFonts w:asciiTheme="majorBidi" w:hAnsiTheme="majorBidi" w:cstheme="majorBidi"/>
          <w:sz w:val="24"/>
          <w:szCs w:val="24"/>
        </w:rPr>
        <w:t xml:space="preserve"> which had just been founded in 1909, followed by Jerusalem (157,080) and Haifa (128,800), and the urbanization rate was 42%.</w:t>
      </w:r>
      <w:r w:rsidR="00047AE7">
        <w:rPr>
          <w:rStyle w:val="EndnoteReference"/>
          <w:rFonts w:asciiTheme="majorBidi" w:hAnsiTheme="majorBidi" w:cstheme="majorBidi"/>
          <w:sz w:val="24"/>
          <w:szCs w:val="24"/>
        </w:rPr>
        <w:endnoteReference w:id="40"/>
      </w:r>
      <w:r w:rsidR="005E04F5" w:rsidRPr="00B503E6">
        <w:rPr>
          <w:rFonts w:asciiTheme="majorBidi" w:hAnsiTheme="majorBidi" w:cstheme="majorBidi"/>
          <w:sz w:val="24"/>
          <w:szCs w:val="24"/>
        </w:rPr>
        <w:t xml:space="preserve"> </w:t>
      </w:r>
      <w:r w:rsidR="00285E1D" w:rsidRPr="00B503E6">
        <w:rPr>
          <w:rFonts w:asciiTheme="majorBidi" w:hAnsiTheme="majorBidi" w:cstheme="majorBidi"/>
          <w:sz w:val="24"/>
          <w:szCs w:val="24"/>
        </w:rPr>
        <w:t>In Trans-Jordan</w:t>
      </w:r>
      <w:r w:rsidR="00FB1D1C" w:rsidRPr="00B503E6">
        <w:rPr>
          <w:rFonts w:asciiTheme="majorBidi" w:hAnsiTheme="majorBidi" w:cstheme="majorBidi"/>
          <w:sz w:val="24"/>
          <w:szCs w:val="24"/>
        </w:rPr>
        <w:t xml:space="preserve">, </w:t>
      </w:r>
      <w:r w:rsidR="00D03171" w:rsidRPr="00B503E6">
        <w:rPr>
          <w:rFonts w:asciiTheme="majorBidi" w:hAnsiTheme="majorBidi" w:cstheme="majorBidi"/>
          <w:sz w:val="24"/>
          <w:szCs w:val="24"/>
        </w:rPr>
        <w:t xml:space="preserve">the urbanization rate </w:t>
      </w:r>
      <w:r w:rsidR="00FB1D1C" w:rsidRPr="00B503E6">
        <w:rPr>
          <w:rFonts w:asciiTheme="majorBidi" w:hAnsiTheme="majorBidi" w:cstheme="majorBidi"/>
          <w:sz w:val="24"/>
          <w:szCs w:val="24"/>
        </w:rPr>
        <w:t xml:space="preserve">increased from </w:t>
      </w:r>
      <w:r w:rsidR="00D03171" w:rsidRPr="00B503E6">
        <w:rPr>
          <w:rFonts w:asciiTheme="majorBidi" w:hAnsiTheme="majorBidi" w:cstheme="majorBidi"/>
          <w:sz w:val="24"/>
          <w:szCs w:val="24"/>
        </w:rPr>
        <w:t>around 9%</w:t>
      </w:r>
      <w:r w:rsidR="00FB1D1C" w:rsidRPr="00B503E6">
        <w:rPr>
          <w:rFonts w:asciiTheme="majorBidi" w:hAnsiTheme="majorBidi" w:cstheme="majorBidi"/>
          <w:sz w:val="24"/>
          <w:szCs w:val="24"/>
        </w:rPr>
        <w:t xml:space="preserve"> in 1922</w:t>
      </w:r>
      <w:r w:rsidR="00D03171" w:rsidRPr="00B503E6">
        <w:rPr>
          <w:rFonts w:asciiTheme="majorBidi" w:hAnsiTheme="majorBidi" w:cstheme="majorBidi"/>
          <w:sz w:val="24"/>
          <w:szCs w:val="24"/>
        </w:rPr>
        <w:t xml:space="preserve">, </w:t>
      </w:r>
      <w:r w:rsidR="00FB1D1C" w:rsidRPr="00B503E6">
        <w:rPr>
          <w:rFonts w:asciiTheme="majorBidi" w:hAnsiTheme="majorBidi" w:cstheme="majorBidi"/>
          <w:sz w:val="24"/>
          <w:szCs w:val="24"/>
        </w:rPr>
        <w:t xml:space="preserve">to 22% in </w:t>
      </w:r>
      <w:r w:rsidRPr="00B503E6">
        <w:rPr>
          <w:rFonts w:asciiTheme="majorBidi" w:hAnsiTheme="majorBidi" w:cstheme="majorBidi"/>
          <w:sz w:val="24"/>
          <w:szCs w:val="24"/>
        </w:rPr>
        <w:t>19</w:t>
      </w:r>
      <w:r w:rsidR="00BA7904" w:rsidRPr="00B503E6">
        <w:rPr>
          <w:rFonts w:asciiTheme="majorBidi" w:hAnsiTheme="majorBidi" w:cstheme="majorBidi"/>
          <w:sz w:val="24"/>
          <w:szCs w:val="24"/>
        </w:rPr>
        <w:t>43</w:t>
      </w:r>
      <w:r w:rsidR="00756309" w:rsidRPr="00B503E6">
        <w:rPr>
          <w:rFonts w:asciiTheme="majorBidi" w:hAnsiTheme="majorBidi" w:cstheme="majorBidi"/>
          <w:sz w:val="24"/>
          <w:szCs w:val="24"/>
        </w:rPr>
        <w:t>,</w:t>
      </w:r>
      <w:r w:rsidR="00D03171" w:rsidRPr="00B503E6">
        <w:rPr>
          <w:rFonts w:asciiTheme="majorBidi" w:hAnsiTheme="majorBidi" w:cstheme="majorBidi"/>
          <w:sz w:val="24"/>
          <w:szCs w:val="24"/>
        </w:rPr>
        <w:t xml:space="preserve"> and </w:t>
      </w:r>
      <w:r w:rsidR="00285E1D" w:rsidRPr="00B503E6">
        <w:rPr>
          <w:rFonts w:asciiTheme="majorBidi" w:hAnsiTheme="majorBidi" w:cstheme="majorBidi"/>
          <w:sz w:val="24"/>
          <w:szCs w:val="24"/>
        </w:rPr>
        <w:t xml:space="preserve">there were </w:t>
      </w:r>
      <w:r w:rsidR="00BA7904" w:rsidRPr="00B503E6">
        <w:rPr>
          <w:rFonts w:asciiTheme="majorBidi" w:hAnsiTheme="majorBidi" w:cstheme="majorBidi"/>
          <w:sz w:val="24"/>
          <w:szCs w:val="24"/>
        </w:rPr>
        <w:t xml:space="preserve">four </w:t>
      </w:r>
      <w:r w:rsidRPr="00B503E6">
        <w:rPr>
          <w:rFonts w:asciiTheme="majorBidi" w:hAnsiTheme="majorBidi" w:cstheme="majorBidi"/>
          <w:sz w:val="24"/>
          <w:szCs w:val="24"/>
        </w:rPr>
        <w:t xml:space="preserve">cities with </w:t>
      </w:r>
      <w:r w:rsidR="007D4916" w:rsidRPr="00B503E6">
        <w:rPr>
          <w:rFonts w:asciiTheme="majorBidi" w:hAnsiTheme="majorBidi" w:cstheme="majorBidi"/>
          <w:sz w:val="24"/>
          <w:szCs w:val="24"/>
        </w:rPr>
        <w:t xml:space="preserve">a </w:t>
      </w:r>
      <w:r w:rsidRPr="00B503E6">
        <w:rPr>
          <w:rFonts w:asciiTheme="majorBidi" w:hAnsiTheme="majorBidi" w:cstheme="majorBidi"/>
          <w:sz w:val="24"/>
          <w:szCs w:val="24"/>
        </w:rPr>
        <w:t>population more than 10,000, Amman (</w:t>
      </w:r>
      <w:r w:rsidR="00BA7904" w:rsidRPr="00B503E6">
        <w:rPr>
          <w:rFonts w:asciiTheme="majorBidi" w:hAnsiTheme="majorBidi" w:cstheme="majorBidi"/>
          <w:sz w:val="24"/>
          <w:szCs w:val="24"/>
        </w:rPr>
        <w:t>3</w:t>
      </w:r>
      <w:r w:rsidRPr="00B503E6">
        <w:rPr>
          <w:rFonts w:asciiTheme="majorBidi" w:hAnsiTheme="majorBidi" w:cstheme="majorBidi"/>
          <w:sz w:val="24"/>
          <w:szCs w:val="24"/>
        </w:rPr>
        <w:t>0,000), Salt (20,000)</w:t>
      </w:r>
      <w:r w:rsidR="00BA7904" w:rsidRPr="00B503E6">
        <w:rPr>
          <w:rFonts w:asciiTheme="majorBidi" w:hAnsiTheme="majorBidi" w:cstheme="majorBidi"/>
          <w:sz w:val="24"/>
          <w:szCs w:val="24"/>
        </w:rPr>
        <w:t>, Irbid (15,000)</w:t>
      </w:r>
      <w:r w:rsidRPr="00B503E6">
        <w:rPr>
          <w:rFonts w:asciiTheme="majorBidi" w:hAnsiTheme="majorBidi" w:cstheme="majorBidi"/>
          <w:sz w:val="24"/>
          <w:szCs w:val="24"/>
        </w:rPr>
        <w:t xml:space="preserve"> and Kerak (1</w:t>
      </w:r>
      <w:r w:rsidR="00BA7904" w:rsidRPr="00B503E6">
        <w:rPr>
          <w:rFonts w:asciiTheme="majorBidi" w:hAnsiTheme="majorBidi" w:cstheme="majorBidi"/>
          <w:sz w:val="24"/>
          <w:szCs w:val="24"/>
        </w:rPr>
        <w:t>0</w:t>
      </w:r>
      <w:r w:rsidRPr="00B503E6">
        <w:rPr>
          <w:rFonts w:asciiTheme="majorBidi" w:hAnsiTheme="majorBidi" w:cstheme="majorBidi"/>
          <w:sz w:val="24"/>
          <w:szCs w:val="24"/>
        </w:rPr>
        <w:t>,000)</w:t>
      </w:r>
      <w:r w:rsidR="00265FA6" w:rsidRPr="00B503E6">
        <w:rPr>
          <w:rFonts w:asciiTheme="majorBidi" w:hAnsiTheme="majorBidi" w:cstheme="majorBidi"/>
          <w:sz w:val="24"/>
          <w:szCs w:val="24"/>
        </w:rPr>
        <w:t>.</w:t>
      </w:r>
      <w:r w:rsidR="00047AE7">
        <w:rPr>
          <w:rStyle w:val="EndnoteReference"/>
          <w:rFonts w:asciiTheme="majorBidi" w:hAnsiTheme="majorBidi" w:cstheme="majorBidi"/>
          <w:sz w:val="24"/>
          <w:szCs w:val="24"/>
        </w:rPr>
        <w:endnoteReference w:id="41"/>
      </w:r>
      <w:r w:rsidRPr="00B503E6">
        <w:rPr>
          <w:rFonts w:asciiTheme="majorBidi" w:hAnsiTheme="majorBidi" w:cstheme="majorBidi"/>
          <w:sz w:val="24"/>
          <w:szCs w:val="24"/>
        </w:rPr>
        <w:t xml:space="preserve"> </w:t>
      </w:r>
      <w:r w:rsidR="00A81221" w:rsidRPr="00B503E6">
        <w:rPr>
          <w:rFonts w:asciiTheme="majorBidi" w:hAnsiTheme="majorBidi" w:cstheme="majorBidi"/>
          <w:sz w:val="24"/>
          <w:szCs w:val="24"/>
        </w:rPr>
        <w:t xml:space="preserve"> </w:t>
      </w:r>
      <w:r w:rsidR="00F96CAF" w:rsidRPr="00B503E6">
        <w:rPr>
          <w:rFonts w:asciiTheme="majorBidi" w:hAnsiTheme="majorBidi" w:cstheme="majorBidi"/>
          <w:sz w:val="24"/>
          <w:szCs w:val="24"/>
        </w:rPr>
        <w:t xml:space="preserve">If urbanization is viewed as a proxy for standard of living, then these </w:t>
      </w:r>
      <w:r w:rsidR="00F96CAF" w:rsidRPr="00B503E6">
        <w:rPr>
          <w:rFonts w:asciiTheme="majorBidi" w:hAnsiTheme="majorBidi" w:cstheme="majorBidi"/>
          <w:sz w:val="24"/>
          <w:szCs w:val="24"/>
        </w:rPr>
        <w:lastRenderedPageBreak/>
        <w:t xml:space="preserve">numbers suggest that </w:t>
      </w:r>
      <w:r w:rsidR="00F94908" w:rsidRPr="00B503E6">
        <w:rPr>
          <w:rFonts w:asciiTheme="majorBidi" w:hAnsiTheme="majorBidi" w:cstheme="majorBidi"/>
          <w:sz w:val="24"/>
          <w:szCs w:val="24"/>
        </w:rPr>
        <w:t xml:space="preserve">in the early 1940s, </w:t>
      </w:r>
      <w:r w:rsidR="00F96CAF" w:rsidRPr="00B503E6">
        <w:rPr>
          <w:rFonts w:asciiTheme="majorBidi" w:hAnsiTheme="majorBidi" w:cstheme="majorBidi"/>
          <w:sz w:val="24"/>
          <w:szCs w:val="24"/>
        </w:rPr>
        <w:t>Palestine had the highest standard of living, followed by Lebanon and Syria, and Trans-Jordan was at the lowest level.</w:t>
      </w:r>
      <w:r w:rsidR="006E7007" w:rsidRPr="00B503E6">
        <w:rPr>
          <w:rFonts w:asciiTheme="majorBidi" w:hAnsiTheme="majorBidi" w:cstheme="majorBidi"/>
          <w:sz w:val="24"/>
          <w:szCs w:val="24"/>
        </w:rPr>
        <w:t xml:space="preserve">   </w:t>
      </w:r>
      <w:r w:rsidR="00F96CAF" w:rsidRPr="00B503E6">
        <w:rPr>
          <w:rFonts w:asciiTheme="majorBidi" w:hAnsiTheme="majorBidi" w:cstheme="majorBidi"/>
          <w:sz w:val="24"/>
          <w:szCs w:val="24"/>
        </w:rPr>
        <w:t xml:space="preserve"> </w:t>
      </w:r>
    </w:p>
    <w:p w:rsidR="000A278C" w:rsidRPr="00B503E6" w:rsidRDefault="00A21459" w:rsidP="00047AE7">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Table one presents </w:t>
      </w:r>
      <w:r w:rsidR="00372DA5" w:rsidRPr="00B503E6">
        <w:rPr>
          <w:rFonts w:asciiTheme="majorBidi" w:hAnsiTheme="majorBidi" w:cstheme="majorBidi"/>
          <w:sz w:val="24"/>
          <w:szCs w:val="24"/>
        </w:rPr>
        <w:t>t</w:t>
      </w:r>
      <w:r w:rsidRPr="00B503E6">
        <w:rPr>
          <w:rFonts w:asciiTheme="majorBidi" w:hAnsiTheme="majorBidi" w:cstheme="majorBidi"/>
          <w:sz w:val="24"/>
          <w:szCs w:val="24"/>
        </w:rPr>
        <w:t xml:space="preserve">ax </w:t>
      </w:r>
      <w:r w:rsidR="00372DA5" w:rsidRPr="00B503E6">
        <w:rPr>
          <w:rFonts w:asciiTheme="majorBidi" w:hAnsiTheme="majorBidi" w:cstheme="majorBidi"/>
          <w:sz w:val="24"/>
          <w:szCs w:val="24"/>
        </w:rPr>
        <w:t xml:space="preserve">revenue </w:t>
      </w:r>
      <w:r w:rsidRPr="00B503E6">
        <w:rPr>
          <w:rFonts w:asciiTheme="majorBidi" w:hAnsiTheme="majorBidi" w:cstheme="majorBidi"/>
          <w:sz w:val="24"/>
          <w:szCs w:val="24"/>
        </w:rPr>
        <w:t xml:space="preserve">data </w:t>
      </w:r>
      <w:r w:rsidR="00372DA5" w:rsidRPr="00B503E6">
        <w:rPr>
          <w:rFonts w:asciiTheme="majorBidi" w:hAnsiTheme="majorBidi" w:cstheme="majorBidi"/>
          <w:sz w:val="24"/>
          <w:szCs w:val="24"/>
        </w:rPr>
        <w:t xml:space="preserve">for </w:t>
      </w:r>
      <w:r w:rsidRPr="00B503E6">
        <w:rPr>
          <w:rFonts w:asciiTheme="majorBidi" w:hAnsiTheme="majorBidi" w:cstheme="majorBidi"/>
          <w:sz w:val="24"/>
          <w:szCs w:val="24"/>
        </w:rPr>
        <w:t xml:space="preserve">all four areas. </w:t>
      </w:r>
      <w:r w:rsidR="000B4358" w:rsidRPr="00B503E6">
        <w:rPr>
          <w:rFonts w:asciiTheme="majorBidi" w:hAnsiTheme="majorBidi" w:cstheme="majorBidi"/>
          <w:sz w:val="24"/>
          <w:szCs w:val="24"/>
        </w:rPr>
        <w:t xml:space="preserve"> In </w:t>
      </w:r>
      <w:r w:rsidR="00372DA5" w:rsidRPr="00B503E6">
        <w:rPr>
          <w:rFonts w:asciiTheme="majorBidi" w:hAnsiTheme="majorBidi" w:cstheme="majorBidi"/>
          <w:sz w:val="24"/>
          <w:szCs w:val="24"/>
        </w:rPr>
        <w:t>Syria</w:t>
      </w:r>
      <w:r w:rsidR="000B4358" w:rsidRPr="00B503E6">
        <w:rPr>
          <w:rFonts w:asciiTheme="majorBidi" w:hAnsiTheme="majorBidi" w:cstheme="majorBidi"/>
          <w:sz w:val="24"/>
          <w:szCs w:val="24"/>
        </w:rPr>
        <w:t xml:space="preserve">, there was a </w:t>
      </w:r>
      <w:r w:rsidR="00372DA5" w:rsidRPr="00B503E6">
        <w:rPr>
          <w:rFonts w:asciiTheme="majorBidi" w:hAnsiTheme="majorBidi" w:cstheme="majorBidi"/>
          <w:sz w:val="24"/>
          <w:szCs w:val="24"/>
        </w:rPr>
        <w:t>small increase up to the Great Depression</w:t>
      </w:r>
      <w:r w:rsidR="000A278C" w:rsidRPr="00B503E6">
        <w:rPr>
          <w:rFonts w:asciiTheme="majorBidi" w:hAnsiTheme="majorBidi" w:cstheme="majorBidi"/>
          <w:sz w:val="24"/>
          <w:szCs w:val="24"/>
        </w:rPr>
        <w:t xml:space="preserve">, but then </w:t>
      </w:r>
      <w:r w:rsidR="00372DA5" w:rsidRPr="00B503E6">
        <w:rPr>
          <w:rFonts w:asciiTheme="majorBidi" w:hAnsiTheme="majorBidi" w:cstheme="majorBidi"/>
          <w:sz w:val="24"/>
          <w:szCs w:val="24"/>
        </w:rPr>
        <w:t>tax reve</w:t>
      </w:r>
      <w:r w:rsidR="000A278C" w:rsidRPr="00B503E6">
        <w:rPr>
          <w:rFonts w:asciiTheme="majorBidi" w:hAnsiTheme="majorBidi" w:cstheme="majorBidi"/>
          <w:sz w:val="24"/>
          <w:szCs w:val="24"/>
        </w:rPr>
        <w:t>nue</w:t>
      </w:r>
      <w:r w:rsidR="00372DA5" w:rsidRPr="00B503E6">
        <w:rPr>
          <w:rFonts w:asciiTheme="majorBidi" w:hAnsiTheme="majorBidi" w:cstheme="majorBidi"/>
          <w:sz w:val="24"/>
          <w:szCs w:val="24"/>
        </w:rPr>
        <w:t xml:space="preserve"> declined</w:t>
      </w:r>
      <w:r w:rsidR="009826B0" w:rsidRPr="00B503E6">
        <w:rPr>
          <w:rFonts w:asciiTheme="majorBidi" w:hAnsiTheme="majorBidi" w:cstheme="majorBidi"/>
          <w:sz w:val="24"/>
          <w:szCs w:val="24"/>
        </w:rPr>
        <w:t>.</w:t>
      </w:r>
      <w:r w:rsidR="00047AE7">
        <w:rPr>
          <w:rStyle w:val="EndnoteReference"/>
          <w:rFonts w:asciiTheme="majorBidi" w:hAnsiTheme="majorBidi" w:cstheme="majorBidi"/>
          <w:sz w:val="24"/>
          <w:szCs w:val="24"/>
        </w:rPr>
        <w:endnoteReference w:id="42"/>
      </w:r>
      <w:r w:rsidR="00372DA5" w:rsidRPr="00B503E6">
        <w:rPr>
          <w:rFonts w:asciiTheme="majorBidi" w:hAnsiTheme="majorBidi" w:cstheme="majorBidi"/>
          <w:sz w:val="24"/>
          <w:szCs w:val="24"/>
        </w:rPr>
        <w:t xml:space="preserve"> </w:t>
      </w:r>
      <w:r w:rsidR="000B4358" w:rsidRPr="00B503E6">
        <w:rPr>
          <w:rFonts w:asciiTheme="majorBidi" w:hAnsiTheme="majorBidi" w:cstheme="majorBidi"/>
          <w:sz w:val="24"/>
          <w:szCs w:val="24"/>
        </w:rPr>
        <w:t>Tax revenue would start to increase in 193</w:t>
      </w:r>
      <w:r w:rsidR="00807DFF" w:rsidRPr="00B503E6">
        <w:rPr>
          <w:rFonts w:asciiTheme="majorBidi" w:hAnsiTheme="majorBidi" w:cstheme="majorBidi"/>
          <w:sz w:val="24"/>
          <w:szCs w:val="24"/>
        </w:rPr>
        <w:t>7 (£S 10,527,000)</w:t>
      </w:r>
      <w:r w:rsidR="000B4358" w:rsidRPr="00B503E6">
        <w:rPr>
          <w:rFonts w:asciiTheme="majorBidi" w:hAnsiTheme="majorBidi" w:cstheme="majorBidi"/>
          <w:sz w:val="24"/>
          <w:szCs w:val="24"/>
        </w:rPr>
        <w:t xml:space="preserve">, but even by 1939, it was still less than in 1927. </w:t>
      </w:r>
      <w:r w:rsidR="000A278C" w:rsidRPr="00B503E6">
        <w:rPr>
          <w:rFonts w:asciiTheme="majorBidi" w:hAnsiTheme="majorBidi" w:cstheme="majorBidi"/>
          <w:sz w:val="24"/>
          <w:szCs w:val="24"/>
        </w:rPr>
        <w:t>Lebanon's tax revenue shows a similar pattern</w:t>
      </w:r>
      <w:r w:rsidR="00DD4846" w:rsidRPr="00B503E6">
        <w:rPr>
          <w:rFonts w:asciiTheme="majorBidi" w:hAnsiTheme="majorBidi" w:cstheme="majorBidi"/>
          <w:sz w:val="24"/>
          <w:szCs w:val="24"/>
        </w:rPr>
        <w:t xml:space="preserve">, but by 1939 </w:t>
      </w:r>
      <w:r w:rsidR="008A621E" w:rsidRPr="00B503E6">
        <w:rPr>
          <w:rFonts w:asciiTheme="majorBidi" w:hAnsiTheme="majorBidi" w:cstheme="majorBidi"/>
          <w:sz w:val="24"/>
          <w:szCs w:val="24"/>
        </w:rPr>
        <w:t xml:space="preserve">its tax </w:t>
      </w:r>
      <w:r w:rsidR="00DD4846" w:rsidRPr="00B503E6">
        <w:rPr>
          <w:rFonts w:asciiTheme="majorBidi" w:hAnsiTheme="majorBidi" w:cstheme="majorBidi"/>
          <w:sz w:val="24"/>
          <w:szCs w:val="24"/>
        </w:rPr>
        <w:t xml:space="preserve">revenue was </w:t>
      </w:r>
      <w:r w:rsidR="009826B0" w:rsidRPr="00B503E6">
        <w:rPr>
          <w:rFonts w:asciiTheme="majorBidi" w:hAnsiTheme="majorBidi" w:cstheme="majorBidi"/>
          <w:sz w:val="24"/>
          <w:szCs w:val="24"/>
        </w:rPr>
        <w:t xml:space="preserve">slightly </w:t>
      </w:r>
      <w:r w:rsidR="00DD4846" w:rsidRPr="00B503E6">
        <w:rPr>
          <w:rFonts w:asciiTheme="majorBidi" w:hAnsiTheme="majorBidi" w:cstheme="majorBidi"/>
          <w:sz w:val="24"/>
          <w:szCs w:val="24"/>
        </w:rPr>
        <w:t>greater than it had been in 192</w:t>
      </w:r>
      <w:r w:rsidR="00AE27E5" w:rsidRPr="00B503E6">
        <w:rPr>
          <w:rFonts w:asciiTheme="majorBidi" w:hAnsiTheme="majorBidi" w:cstheme="majorBidi"/>
          <w:sz w:val="24"/>
          <w:szCs w:val="24"/>
        </w:rPr>
        <w:t>9</w:t>
      </w:r>
      <w:r w:rsidR="00F76CD1" w:rsidRPr="00B503E6">
        <w:rPr>
          <w:rFonts w:asciiTheme="majorBidi" w:hAnsiTheme="majorBidi" w:cstheme="majorBidi"/>
          <w:sz w:val="24"/>
          <w:szCs w:val="24"/>
        </w:rPr>
        <w:t xml:space="preserve">. </w:t>
      </w:r>
      <w:r w:rsidR="00945431" w:rsidRPr="00B503E6">
        <w:rPr>
          <w:rFonts w:asciiTheme="majorBidi" w:hAnsiTheme="majorBidi" w:cstheme="majorBidi"/>
          <w:sz w:val="24"/>
          <w:szCs w:val="24"/>
        </w:rPr>
        <w:t xml:space="preserve"> The growth in the revenue of the budget of common interests is a stronger indication of the growth of the economies after France came off the gold standard, as this revenue increased from £S 8,746,000 in 1936 to £S 13,574,000 in 1939.  Overall the tax revenue </w:t>
      </w:r>
      <w:r w:rsidR="00372DA5" w:rsidRPr="00B503E6">
        <w:rPr>
          <w:rFonts w:asciiTheme="majorBidi" w:hAnsiTheme="majorBidi" w:cstheme="majorBidi"/>
          <w:sz w:val="24"/>
          <w:szCs w:val="24"/>
        </w:rPr>
        <w:t xml:space="preserve">data indicate a growing economy </w:t>
      </w:r>
      <w:r w:rsidR="000A278C" w:rsidRPr="00B503E6">
        <w:rPr>
          <w:rFonts w:asciiTheme="majorBidi" w:hAnsiTheme="majorBidi" w:cstheme="majorBidi"/>
          <w:sz w:val="24"/>
          <w:szCs w:val="24"/>
        </w:rPr>
        <w:t xml:space="preserve">in Syria and Lebanon </w:t>
      </w:r>
      <w:r w:rsidR="00372DA5" w:rsidRPr="00B503E6">
        <w:rPr>
          <w:rFonts w:asciiTheme="majorBidi" w:hAnsiTheme="majorBidi" w:cstheme="majorBidi"/>
          <w:sz w:val="24"/>
          <w:szCs w:val="24"/>
        </w:rPr>
        <w:t>towards the end of the 1920s, a decline during the Great Depression and a rise after France came off the gold standard.</w:t>
      </w:r>
    </w:p>
    <w:p w:rsidR="00203F7F" w:rsidRPr="00B503E6" w:rsidRDefault="00372DA5" w:rsidP="008A621E">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Trans-Jordan had the lowest level of tax revenue</w:t>
      </w:r>
      <w:r w:rsidR="00807DFF" w:rsidRPr="00B503E6">
        <w:rPr>
          <w:rFonts w:asciiTheme="majorBidi" w:hAnsiTheme="majorBidi" w:cstheme="majorBidi"/>
          <w:sz w:val="24"/>
          <w:szCs w:val="24"/>
        </w:rPr>
        <w:t xml:space="preserve"> </w:t>
      </w:r>
      <w:r w:rsidR="008A621E" w:rsidRPr="00B503E6">
        <w:rPr>
          <w:rFonts w:asciiTheme="majorBidi" w:hAnsiTheme="majorBidi" w:cstheme="majorBidi"/>
          <w:sz w:val="24"/>
          <w:szCs w:val="24"/>
        </w:rPr>
        <w:t xml:space="preserve">in LPST, </w:t>
      </w:r>
      <w:r w:rsidR="00A21459" w:rsidRPr="00B503E6">
        <w:rPr>
          <w:rFonts w:asciiTheme="majorBidi" w:hAnsiTheme="majorBidi" w:cstheme="majorBidi"/>
          <w:sz w:val="24"/>
          <w:szCs w:val="24"/>
        </w:rPr>
        <w:t>b</w:t>
      </w:r>
      <w:r w:rsidRPr="00B503E6">
        <w:rPr>
          <w:rFonts w:asciiTheme="majorBidi" w:hAnsiTheme="majorBidi" w:cstheme="majorBidi"/>
          <w:sz w:val="24"/>
          <w:szCs w:val="24"/>
        </w:rPr>
        <w:t xml:space="preserve">ut its annual increase </w:t>
      </w:r>
      <w:r w:rsidR="00265FA6" w:rsidRPr="00B503E6">
        <w:rPr>
          <w:rFonts w:asciiTheme="majorBidi" w:hAnsiTheme="majorBidi" w:cstheme="majorBidi"/>
          <w:sz w:val="24"/>
          <w:szCs w:val="24"/>
        </w:rPr>
        <w:t>from 1931 to 19</w:t>
      </w:r>
      <w:r w:rsidR="00807DFF" w:rsidRPr="00B503E6">
        <w:rPr>
          <w:rFonts w:asciiTheme="majorBidi" w:hAnsiTheme="majorBidi" w:cstheme="majorBidi"/>
          <w:sz w:val="24"/>
          <w:szCs w:val="24"/>
        </w:rPr>
        <w:t>39</w:t>
      </w:r>
      <w:r w:rsidR="00265FA6" w:rsidRPr="00B503E6">
        <w:rPr>
          <w:rFonts w:asciiTheme="majorBidi" w:hAnsiTheme="majorBidi" w:cstheme="majorBidi"/>
          <w:sz w:val="24"/>
          <w:szCs w:val="24"/>
        </w:rPr>
        <w:t xml:space="preserve"> </w:t>
      </w:r>
      <w:r w:rsidRPr="00B503E6">
        <w:rPr>
          <w:rFonts w:asciiTheme="majorBidi" w:hAnsiTheme="majorBidi" w:cstheme="majorBidi"/>
          <w:sz w:val="24"/>
          <w:szCs w:val="24"/>
        </w:rPr>
        <w:t xml:space="preserve">was </w:t>
      </w:r>
      <w:r w:rsidR="00807DFF" w:rsidRPr="00B503E6">
        <w:rPr>
          <w:rFonts w:asciiTheme="majorBidi" w:hAnsiTheme="majorBidi" w:cstheme="majorBidi"/>
          <w:sz w:val="24"/>
          <w:szCs w:val="24"/>
        </w:rPr>
        <w:t xml:space="preserve">greater than Lebanon's and Syria's though the increase was less than the increase in </w:t>
      </w:r>
      <w:r w:rsidR="00AA4CA4" w:rsidRPr="00B503E6">
        <w:rPr>
          <w:rFonts w:asciiTheme="majorBidi" w:hAnsiTheme="majorBidi" w:cstheme="majorBidi"/>
          <w:sz w:val="24"/>
          <w:szCs w:val="24"/>
        </w:rPr>
        <w:t xml:space="preserve">Syria and Lebanon's </w:t>
      </w:r>
      <w:r w:rsidR="00807DFF" w:rsidRPr="00B503E6">
        <w:rPr>
          <w:rFonts w:asciiTheme="majorBidi" w:hAnsiTheme="majorBidi" w:cstheme="majorBidi"/>
          <w:sz w:val="24"/>
          <w:szCs w:val="24"/>
        </w:rPr>
        <w:t xml:space="preserve">common interest budget. During WWII, its revenue </w:t>
      </w:r>
      <w:r w:rsidRPr="00B503E6">
        <w:rPr>
          <w:rFonts w:asciiTheme="majorBidi" w:hAnsiTheme="majorBidi" w:cstheme="majorBidi"/>
          <w:sz w:val="24"/>
          <w:szCs w:val="24"/>
        </w:rPr>
        <w:t>jumped even more</w:t>
      </w:r>
      <w:r w:rsidR="00CE468C" w:rsidRPr="00B503E6">
        <w:rPr>
          <w:rFonts w:asciiTheme="majorBidi" w:hAnsiTheme="majorBidi" w:cstheme="majorBidi"/>
          <w:sz w:val="24"/>
          <w:szCs w:val="24"/>
        </w:rPr>
        <w:t xml:space="preserve"> (£P 645,633 in 1943/44)</w:t>
      </w:r>
      <w:r w:rsidR="00807DFF" w:rsidRPr="00B503E6">
        <w:rPr>
          <w:rFonts w:asciiTheme="majorBidi" w:hAnsiTheme="majorBidi" w:cstheme="majorBidi"/>
          <w:sz w:val="24"/>
          <w:szCs w:val="24"/>
        </w:rPr>
        <w:t xml:space="preserve"> though these numbers </w:t>
      </w:r>
      <w:r w:rsidR="00CE468C" w:rsidRPr="00B503E6">
        <w:rPr>
          <w:rFonts w:asciiTheme="majorBidi" w:hAnsiTheme="majorBidi" w:cstheme="majorBidi"/>
          <w:sz w:val="24"/>
          <w:szCs w:val="24"/>
        </w:rPr>
        <w:t>are influenced by the inflation during the period</w:t>
      </w:r>
      <w:r w:rsidRPr="00B503E6">
        <w:rPr>
          <w:rFonts w:asciiTheme="majorBidi" w:hAnsiTheme="majorBidi" w:cstheme="majorBidi"/>
          <w:sz w:val="24"/>
          <w:szCs w:val="24"/>
        </w:rPr>
        <w:t xml:space="preserve"> </w:t>
      </w:r>
      <w:r w:rsidR="001604D5" w:rsidRPr="00B503E6">
        <w:rPr>
          <w:rFonts w:asciiTheme="majorBidi" w:hAnsiTheme="majorBidi" w:cstheme="majorBidi"/>
          <w:sz w:val="24"/>
          <w:szCs w:val="24"/>
        </w:rPr>
        <w:t>(Konikoff 1946, 95)</w:t>
      </w:r>
      <w:r w:rsidR="00B11333" w:rsidRPr="00B503E6">
        <w:rPr>
          <w:rFonts w:asciiTheme="majorBidi" w:hAnsiTheme="majorBidi" w:cstheme="majorBidi"/>
          <w:sz w:val="24"/>
          <w:szCs w:val="24"/>
        </w:rPr>
        <w:t>.</w:t>
      </w:r>
    </w:p>
    <w:p w:rsidR="00081E84" w:rsidRPr="00B503E6" w:rsidRDefault="00FC4383" w:rsidP="00DE61A2">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Palestine</w:t>
      </w:r>
      <w:r w:rsidR="000A278C" w:rsidRPr="00B503E6">
        <w:rPr>
          <w:rFonts w:asciiTheme="majorBidi" w:hAnsiTheme="majorBidi" w:cstheme="majorBidi"/>
          <w:sz w:val="24"/>
          <w:szCs w:val="24"/>
        </w:rPr>
        <w:t xml:space="preserve"> had the largest growth</w:t>
      </w:r>
      <w:r w:rsidR="00F34F8A" w:rsidRPr="00B503E6">
        <w:rPr>
          <w:rFonts w:asciiTheme="majorBidi" w:hAnsiTheme="majorBidi" w:cstheme="majorBidi"/>
          <w:sz w:val="24"/>
          <w:szCs w:val="24"/>
        </w:rPr>
        <w:t xml:space="preserve"> in tax revenue</w:t>
      </w:r>
      <w:r w:rsidR="00203F7F" w:rsidRPr="00B503E6">
        <w:rPr>
          <w:rFonts w:asciiTheme="majorBidi" w:hAnsiTheme="majorBidi" w:cstheme="majorBidi"/>
          <w:sz w:val="24"/>
          <w:szCs w:val="24"/>
        </w:rPr>
        <w:t xml:space="preserve"> amongst the four areas</w:t>
      </w:r>
      <w:r w:rsidR="00265FA6" w:rsidRPr="00B503E6">
        <w:rPr>
          <w:rFonts w:asciiTheme="majorBidi" w:hAnsiTheme="majorBidi" w:cstheme="majorBidi"/>
          <w:sz w:val="24"/>
          <w:szCs w:val="24"/>
        </w:rPr>
        <w:t>. I</w:t>
      </w:r>
      <w:r w:rsidR="00594D13" w:rsidRPr="00B503E6">
        <w:rPr>
          <w:rFonts w:asciiTheme="majorBidi" w:hAnsiTheme="majorBidi" w:cstheme="majorBidi"/>
          <w:sz w:val="24"/>
          <w:szCs w:val="24"/>
        </w:rPr>
        <w:t xml:space="preserve">n the budget year 1938/39, its tax revenues were </w:t>
      </w:r>
      <w:r w:rsidR="00362276" w:rsidRPr="00B503E6">
        <w:rPr>
          <w:rFonts w:asciiTheme="majorBidi" w:hAnsiTheme="majorBidi" w:cstheme="majorBidi"/>
          <w:sz w:val="24"/>
          <w:szCs w:val="24"/>
        </w:rPr>
        <w:t xml:space="preserve">almost </w:t>
      </w:r>
      <w:r w:rsidR="00594D13" w:rsidRPr="00B503E6">
        <w:rPr>
          <w:rFonts w:asciiTheme="majorBidi" w:hAnsiTheme="majorBidi" w:cstheme="majorBidi"/>
          <w:sz w:val="24"/>
          <w:szCs w:val="24"/>
        </w:rPr>
        <w:t xml:space="preserve">double the level of the budget year 1929, </w:t>
      </w:r>
      <w:r w:rsidR="00203F7F" w:rsidRPr="00B503E6">
        <w:rPr>
          <w:rFonts w:asciiTheme="majorBidi" w:hAnsiTheme="majorBidi" w:cstheme="majorBidi"/>
          <w:sz w:val="24"/>
          <w:szCs w:val="24"/>
        </w:rPr>
        <w:t>and t</w:t>
      </w:r>
      <w:r w:rsidR="000A278C" w:rsidRPr="00B503E6">
        <w:rPr>
          <w:rFonts w:asciiTheme="majorBidi" w:hAnsiTheme="majorBidi" w:cstheme="majorBidi"/>
          <w:sz w:val="24"/>
          <w:szCs w:val="24"/>
        </w:rPr>
        <w:t xml:space="preserve">his growth </w:t>
      </w:r>
      <w:r w:rsidR="005A4173" w:rsidRPr="00B503E6">
        <w:rPr>
          <w:rFonts w:asciiTheme="majorBidi" w:hAnsiTheme="majorBidi" w:cstheme="majorBidi"/>
          <w:sz w:val="24"/>
          <w:szCs w:val="24"/>
        </w:rPr>
        <w:t xml:space="preserve">in tax revenue </w:t>
      </w:r>
      <w:r w:rsidR="00677946" w:rsidRPr="00B503E6">
        <w:rPr>
          <w:rFonts w:asciiTheme="majorBidi" w:hAnsiTheme="majorBidi" w:cstheme="majorBidi"/>
          <w:sz w:val="24"/>
          <w:szCs w:val="24"/>
        </w:rPr>
        <w:t xml:space="preserve">indicates </w:t>
      </w:r>
      <w:r w:rsidR="00B75792" w:rsidRPr="00B503E6">
        <w:rPr>
          <w:rFonts w:asciiTheme="majorBidi" w:hAnsiTheme="majorBidi" w:cstheme="majorBidi"/>
          <w:sz w:val="24"/>
          <w:szCs w:val="24"/>
        </w:rPr>
        <w:t xml:space="preserve">that </w:t>
      </w:r>
      <w:r w:rsidR="000A278C" w:rsidRPr="00B503E6">
        <w:rPr>
          <w:rFonts w:asciiTheme="majorBidi" w:hAnsiTheme="majorBidi" w:cstheme="majorBidi"/>
          <w:sz w:val="24"/>
          <w:szCs w:val="24"/>
        </w:rPr>
        <w:t xml:space="preserve">Palestine's economy had the </w:t>
      </w:r>
      <w:r w:rsidR="00203F7F" w:rsidRPr="00B503E6">
        <w:rPr>
          <w:rFonts w:asciiTheme="majorBidi" w:hAnsiTheme="majorBidi" w:cstheme="majorBidi"/>
          <w:sz w:val="24"/>
          <w:szCs w:val="24"/>
        </w:rPr>
        <w:t xml:space="preserve">best economic </w:t>
      </w:r>
      <w:r w:rsidR="000A278C" w:rsidRPr="00B503E6">
        <w:rPr>
          <w:rFonts w:asciiTheme="majorBidi" w:hAnsiTheme="majorBidi" w:cstheme="majorBidi"/>
          <w:sz w:val="24"/>
          <w:szCs w:val="24"/>
        </w:rPr>
        <w:t xml:space="preserve">growth of all four areas. </w:t>
      </w:r>
      <w:r w:rsidR="005D7495" w:rsidRPr="00B503E6">
        <w:rPr>
          <w:rFonts w:asciiTheme="majorBidi" w:hAnsiTheme="majorBidi" w:cstheme="majorBidi"/>
          <w:sz w:val="24"/>
          <w:szCs w:val="24"/>
        </w:rPr>
        <w:t xml:space="preserve"> </w:t>
      </w:r>
      <w:r w:rsidR="00DD7D07" w:rsidRPr="00B503E6">
        <w:rPr>
          <w:rFonts w:asciiTheme="majorBidi" w:hAnsiTheme="majorBidi" w:cstheme="majorBidi"/>
          <w:sz w:val="24"/>
          <w:szCs w:val="24"/>
        </w:rPr>
        <w:t>We turn now to trade data</w:t>
      </w:r>
      <w:r w:rsidR="00081E84" w:rsidRPr="00B503E6">
        <w:rPr>
          <w:rFonts w:asciiTheme="majorBidi" w:hAnsiTheme="majorBidi" w:cstheme="majorBidi"/>
          <w:sz w:val="24"/>
          <w:szCs w:val="24"/>
        </w:rPr>
        <w:t xml:space="preserve">, </w:t>
      </w:r>
      <w:r w:rsidR="009826B0" w:rsidRPr="00B503E6">
        <w:rPr>
          <w:rFonts w:asciiTheme="majorBidi" w:hAnsiTheme="majorBidi" w:cstheme="majorBidi"/>
          <w:sz w:val="24"/>
          <w:szCs w:val="24"/>
        </w:rPr>
        <w:t xml:space="preserve">and export data </w:t>
      </w:r>
      <w:r w:rsidR="00081E84" w:rsidRPr="00B503E6">
        <w:rPr>
          <w:rFonts w:asciiTheme="majorBidi" w:hAnsiTheme="majorBidi" w:cstheme="majorBidi"/>
          <w:sz w:val="24"/>
          <w:szCs w:val="24"/>
        </w:rPr>
        <w:t>is presented in Table 2</w:t>
      </w:r>
      <w:r w:rsidR="00DD7D07" w:rsidRPr="00B503E6">
        <w:rPr>
          <w:rFonts w:asciiTheme="majorBidi" w:hAnsiTheme="majorBidi" w:cstheme="majorBidi"/>
          <w:sz w:val="24"/>
          <w:szCs w:val="24"/>
        </w:rPr>
        <w:t>.</w:t>
      </w:r>
    </w:p>
    <w:p w:rsidR="003475BA" w:rsidRPr="00B503E6" w:rsidRDefault="00886607" w:rsidP="00873F85">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Due to the customs union between Syria and Lebanon, all trade data for the two regions are combined</w:t>
      </w:r>
      <w:r w:rsidR="00374983" w:rsidRPr="00B503E6">
        <w:rPr>
          <w:rFonts w:asciiTheme="majorBidi" w:hAnsiTheme="majorBidi" w:cstheme="majorBidi"/>
          <w:sz w:val="24"/>
          <w:szCs w:val="24"/>
        </w:rPr>
        <w:t xml:space="preserve">. </w:t>
      </w:r>
      <w:r w:rsidRPr="00B503E6">
        <w:rPr>
          <w:rFonts w:asciiTheme="majorBidi" w:hAnsiTheme="majorBidi" w:cstheme="majorBidi"/>
          <w:sz w:val="24"/>
          <w:szCs w:val="24"/>
        </w:rPr>
        <w:t xml:space="preserve">In 1925, imports were </w:t>
      </w:r>
      <w:r w:rsidR="004E7EEC" w:rsidRPr="00B503E6">
        <w:rPr>
          <w:rFonts w:asciiTheme="majorBidi" w:hAnsiTheme="majorBidi" w:cstheme="majorBidi"/>
          <w:sz w:val="24"/>
          <w:szCs w:val="24"/>
        </w:rPr>
        <w:t>£S</w:t>
      </w:r>
      <w:r w:rsidR="00081E84" w:rsidRPr="00B503E6">
        <w:rPr>
          <w:rFonts w:asciiTheme="majorBidi" w:hAnsiTheme="majorBidi" w:cstheme="majorBidi"/>
          <w:sz w:val="24"/>
          <w:szCs w:val="24"/>
        </w:rPr>
        <w:t xml:space="preserve"> </w:t>
      </w:r>
      <w:r w:rsidR="004E7EEC" w:rsidRPr="00B503E6">
        <w:rPr>
          <w:rFonts w:asciiTheme="majorBidi" w:hAnsiTheme="majorBidi" w:cstheme="majorBidi"/>
          <w:sz w:val="24"/>
          <w:szCs w:val="24"/>
        </w:rPr>
        <w:t>48,700,000 and exports were £S</w:t>
      </w:r>
      <w:r w:rsidR="00081E84" w:rsidRPr="00B503E6">
        <w:rPr>
          <w:rFonts w:asciiTheme="majorBidi" w:hAnsiTheme="majorBidi" w:cstheme="majorBidi"/>
          <w:sz w:val="24"/>
          <w:szCs w:val="24"/>
        </w:rPr>
        <w:t xml:space="preserve"> </w:t>
      </w:r>
      <w:r w:rsidR="004E7EEC" w:rsidRPr="00B503E6">
        <w:rPr>
          <w:rFonts w:asciiTheme="majorBidi" w:hAnsiTheme="majorBidi" w:cstheme="majorBidi"/>
          <w:sz w:val="24"/>
          <w:szCs w:val="24"/>
        </w:rPr>
        <w:t>23,000,000</w:t>
      </w:r>
      <w:r w:rsidR="00374983" w:rsidRPr="00B503E6">
        <w:rPr>
          <w:rFonts w:asciiTheme="majorBidi" w:hAnsiTheme="majorBidi" w:cstheme="majorBidi"/>
          <w:sz w:val="24"/>
          <w:szCs w:val="24"/>
        </w:rPr>
        <w:t xml:space="preserve">, and </w:t>
      </w:r>
      <w:r w:rsidR="00095F0B" w:rsidRPr="00B503E6">
        <w:rPr>
          <w:rFonts w:asciiTheme="majorBidi" w:hAnsiTheme="majorBidi" w:cstheme="majorBidi"/>
          <w:sz w:val="24"/>
          <w:szCs w:val="24"/>
        </w:rPr>
        <w:t>by</w:t>
      </w:r>
      <w:r w:rsidR="0086366E" w:rsidRPr="00B503E6">
        <w:rPr>
          <w:rFonts w:asciiTheme="majorBidi" w:hAnsiTheme="majorBidi" w:cstheme="majorBidi"/>
          <w:sz w:val="24"/>
          <w:szCs w:val="24"/>
        </w:rPr>
        <w:t xml:space="preserve"> 1939 imports were £S</w:t>
      </w:r>
      <w:r w:rsidR="00081E84" w:rsidRPr="00B503E6">
        <w:rPr>
          <w:rFonts w:asciiTheme="majorBidi" w:hAnsiTheme="majorBidi" w:cstheme="majorBidi"/>
          <w:sz w:val="24"/>
          <w:szCs w:val="24"/>
        </w:rPr>
        <w:t xml:space="preserve"> </w:t>
      </w:r>
      <w:r w:rsidR="0086366E" w:rsidRPr="00B503E6">
        <w:rPr>
          <w:rFonts w:asciiTheme="majorBidi" w:hAnsiTheme="majorBidi" w:cstheme="majorBidi"/>
          <w:sz w:val="24"/>
          <w:szCs w:val="24"/>
        </w:rPr>
        <w:t>75,000,000 and exports were £S</w:t>
      </w:r>
      <w:r w:rsidR="00081E84" w:rsidRPr="00B503E6">
        <w:rPr>
          <w:rFonts w:asciiTheme="majorBidi" w:hAnsiTheme="majorBidi" w:cstheme="majorBidi"/>
          <w:sz w:val="24"/>
          <w:szCs w:val="24"/>
        </w:rPr>
        <w:t xml:space="preserve"> </w:t>
      </w:r>
      <w:r w:rsidR="0086366E" w:rsidRPr="00B503E6">
        <w:rPr>
          <w:rFonts w:asciiTheme="majorBidi" w:hAnsiTheme="majorBidi" w:cstheme="majorBidi"/>
          <w:sz w:val="24"/>
          <w:szCs w:val="24"/>
        </w:rPr>
        <w:lastRenderedPageBreak/>
        <w:t>36,000,000</w:t>
      </w:r>
      <w:r w:rsidR="00374983" w:rsidRPr="00B503E6">
        <w:rPr>
          <w:rFonts w:asciiTheme="majorBidi" w:hAnsiTheme="majorBidi" w:cstheme="majorBidi"/>
          <w:sz w:val="24"/>
          <w:szCs w:val="24"/>
        </w:rPr>
        <w:t>.</w:t>
      </w:r>
      <w:r w:rsidR="00B766C8">
        <w:rPr>
          <w:rStyle w:val="EndnoteReference"/>
          <w:rFonts w:asciiTheme="majorBidi" w:hAnsiTheme="majorBidi" w:cstheme="majorBidi"/>
          <w:sz w:val="24"/>
          <w:szCs w:val="24"/>
        </w:rPr>
        <w:endnoteReference w:id="43"/>
      </w:r>
      <w:r w:rsidR="004E7EEC" w:rsidRPr="00B503E6">
        <w:rPr>
          <w:rFonts w:asciiTheme="majorBidi" w:hAnsiTheme="majorBidi" w:cstheme="majorBidi"/>
          <w:sz w:val="24"/>
          <w:szCs w:val="24"/>
        </w:rPr>
        <w:t xml:space="preserve"> </w:t>
      </w:r>
      <w:r w:rsidR="001C31C9" w:rsidRPr="00B503E6">
        <w:rPr>
          <w:rFonts w:asciiTheme="majorBidi" w:hAnsiTheme="majorBidi" w:cstheme="majorBidi"/>
          <w:sz w:val="24"/>
          <w:szCs w:val="24"/>
        </w:rPr>
        <w:t>T</w:t>
      </w:r>
      <w:r w:rsidR="00374983" w:rsidRPr="00B503E6">
        <w:rPr>
          <w:rFonts w:asciiTheme="majorBidi" w:hAnsiTheme="majorBidi" w:cstheme="majorBidi"/>
          <w:sz w:val="24"/>
          <w:szCs w:val="24"/>
        </w:rPr>
        <w:t xml:space="preserve">he annual growth </w:t>
      </w:r>
      <w:r w:rsidR="00821079" w:rsidRPr="00B503E6">
        <w:rPr>
          <w:rFonts w:asciiTheme="majorBidi" w:hAnsiTheme="majorBidi" w:cstheme="majorBidi"/>
          <w:sz w:val="24"/>
          <w:szCs w:val="24"/>
        </w:rPr>
        <w:t xml:space="preserve">rate </w:t>
      </w:r>
      <w:r w:rsidR="00374983" w:rsidRPr="00B503E6">
        <w:rPr>
          <w:rFonts w:asciiTheme="majorBidi" w:hAnsiTheme="majorBidi" w:cstheme="majorBidi"/>
          <w:sz w:val="24"/>
          <w:szCs w:val="24"/>
        </w:rPr>
        <w:t xml:space="preserve">of exports </w:t>
      </w:r>
      <w:r w:rsidR="0086366E" w:rsidRPr="00B503E6">
        <w:rPr>
          <w:rFonts w:asciiTheme="majorBidi" w:hAnsiTheme="majorBidi" w:cstheme="majorBidi"/>
          <w:sz w:val="24"/>
          <w:szCs w:val="24"/>
        </w:rPr>
        <w:t xml:space="preserve">from 1925-1939 was </w:t>
      </w:r>
      <w:r w:rsidR="008A621E" w:rsidRPr="00B503E6">
        <w:rPr>
          <w:rFonts w:asciiTheme="majorBidi" w:hAnsiTheme="majorBidi" w:cstheme="majorBidi"/>
          <w:sz w:val="24"/>
          <w:szCs w:val="24"/>
        </w:rPr>
        <w:t>3</w:t>
      </w:r>
      <w:r w:rsidR="0086366E" w:rsidRPr="00B503E6">
        <w:rPr>
          <w:rFonts w:asciiTheme="majorBidi" w:hAnsiTheme="majorBidi" w:cstheme="majorBidi"/>
          <w:sz w:val="24"/>
          <w:szCs w:val="24"/>
        </w:rPr>
        <w:t>.</w:t>
      </w:r>
      <w:r w:rsidR="008A621E" w:rsidRPr="00B503E6">
        <w:rPr>
          <w:rFonts w:asciiTheme="majorBidi" w:hAnsiTheme="majorBidi" w:cstheme="majorBidi"/>
          <w:sz w:val="24"/>
          <w:szCs w:val="24"/>
        </w:rPr>
        <w:t>25</w:t>
      </w:r>
      <w:r w:rsidR="0086366E" w:rsidRPr="00B503E6">
        <w:rPr>
          <w:rFonts w:asciiTheme="majorBidi" w:hAnsiTheme="majorBidi" w:cstheme="majorBidi"/>
          <w:sz w:val="24"/>
          <w:szCs w:val="24"/>
        </w:rPr>
        <w:t xml:space="preserve">%, but this growth was very uneven due to the </w:t>
      </w:r>
      <w:r w:rsidR="00374983" w:rsidRPr="00B503E6">
        <w:rPr>
          <w:rFonts w:asciiTheme="majorBidi" w:hAnsiTheme="majorBidi" w:cstheme="majorBidi"/>
          <w:sz w:val="24"/>
          <w:szCs w:val="24"/>
        </w:rPr>
        <w:t xml:space="preserve">Great Depression.  </w:t>
      </w:r>
      <w:r w:rsidR="006A1302" w:rsidRPr="00B503E6">
        <w:rPr>
          <w:rFonts w:asciiTheme="majorBidi" w:hAnsiTheme="majorBidi" w:cstheme="majorBidi"/>
          <w:sz w:val="24"/>
          <w:szCs w:val="24"/>
        </w:rPr>
        <w:t>For the years 1927-</w:t>
      </w:r>
      <w:r w:rsidR="00374983" w:rsidRPr="00B503E6">
        <w:rPr>
          <w:rFonts w:asciiTheme="majorBidi" w:hAnsiTheme="majorBidi" w:cstheme="majorBidi"/>
          <w:sz w:val="24"/>
          <w:szCs w:val="24"/>
        </w:rPr>
        <w:t>1929, ex</w:t>
      </w:r>
      <w:r w:rsidR="0086366E" w:rsidRPr="00B503E6">
        <w:rPr>
          <w:rFonts w:asciiTheme="majorBidi" w:hAnsiTheme="majorBidi" w:cstheme="majorBidi"/>
          <w:sz w:val="24"/>
          <w:szCs w:val="24"/>
        </w:rPr>
        <w:t>p</w:t>
      </w:r>
      <w:r w:rsidR="00374983" w:rsidRPr="00B503E6">
        <w:rPr>
          <w:rFonts w:asciiTheme="majorBidi" w:hAnsiTheme="majorBidi" w:cstheme="majorBidi"/>
          <w:sz w:val="24"/>
          <w:szCs w:val="24"/>
        </w:rPr>
        <w:t>orts were a little</w:t>
      </w:r>
      <w:r w:rsidR="0086366E" w:rsidRPr="00B503E6">
        <w:rPr>
          <w:rFonts w:asciiTheme="majorBidi" w:hAnsiTheme="majorBidi" w:cstheme="majorBidi"/>
          <w:sz w:val="24"/>
          <w:szCs w:val="24"/>
        </w:rPr>
        <w:t xml:space="preserve"> </w:t>
      </w:r>
      <w:r w:rsidR="00374983" w:rsidRPr="00B503E6">
        <w:rPr>
          <w:rFonts w:asciiTheme="majorBidi" w:hAnsiTheme="majorBidi" w:cstheme="majorBidi"/>
          <w:sz w:val="24"/>
          <w:szCs w:val="24"/>
        </w:rPr>
        <w:t>highe</w:t>
      </w:r>
      <w:r w:rsidR="0086366E" w:rsidRPr="00B503E6">
        <w:rPr>
          <w:rFonts w:asciiTheme="majorBidi" w:hAnsiTheme="majorBidi" w:cstheme="majorBidi"/>
          <w:sz w:val="24"/>
          <w:szCs w:val="24"/>
        </w:rPr>
        <w:t>r</w:t>
      </w:r>
      <w:r w:rsidR="00374983" w:rsidRPr="00B503E6">
        <w:rPr>
          <w:rFonts w:asciiTheme="majorBidi" w:hAnsiTheme="majorBidi" w:cstheme="majorBidi"/>
          <w:sz w:val="24"/>
          <w:szCs w:val="24"/>
        </w:rPr>
        <w:t xml:space="preserve"> than in 1925</w:t>
      </w:r>
      <w:r w:rsidR="006A1302" w:rsidRPr="00B503E6">
        <w:rPr>
          <w:rFonts w:asciiTheme="majorBidi" w:hAnsiTheme="majorBidi" w:cstheme="majorBidi"/>
          <w:sz w:val="24"/>
          <w:szCs w:val="24"/>
        </w:rPr>
        <w:t xml:space="preserve">, </w:t>
      </w:r>
      <w:r w:rsidR="00873F85">
        <w:rPr>
          <w:rFonts w:asciiTheme="majorBidi" w:hAnsiTheme="majorBidi" w:cstheme="majorBidi"/>
          <w:sz w:val="24"/>
          <w:szCs w:val="24"/>
        </w:rPr>
        <w:t xml:space="preserve">then </w:t>
      </w:r>
      <w:r w:rsidR="0086366E" w:rsidRPr="00B503E6">
        <w:rPr>
          <w:rFonts w:asciiTheme="majorBidi" w:hAnsiTheme="majorBidi" w:cstheme="majorBidi"/>
          <w:sz w:val="24"/>
          <w:szCs w:val="24"/>
        </w:rPr>
        <w:t>they nose-dived to just £</w:t>
      </w:r>
      <w:r w:rsidR="00E810B5" w:rsidRPr="00B503E6">
        <w:rPr>
          <w:rFonts w:asciiTheme="majorBidi" w:hAnsiTheme="majorBidi" w:cstheme="majorBidi"/>
          <w:sz w:val="24"/>
          <w:szCs w:val="24"/>
        </w:rPr>
        <w:t xml:space="preserve"> </w:t>
      </w:r>
      <w:r w:rsidR="0086366E" w:rsidRPr="00B503E6">
        <w:rPr>
          <w:rFonts w:asciiTheme="majorBidi" w:hAnsiTheme="majorBidi" w:cstheme="majorBidi"/>
          <w:sz w:val="24"/>
          <w:szCs w:val="24"/>
        </w:rPr>
        <w:t xml:space="preserve">7,600,000 in 1933 and </w:t>
      </w:r>
      <w:r w:rsidR="004856A6" w:rsidRPr="00B503E6">
        <w:rPr>
          <w:rFonts w:asciiTheme="majorBidi" w:hAnsiTheme="majorBidi" w:cstheme="majorBidi"/>
          <w:sz w:val="24"/>
          <w:szCs w:val="24"/>
        </w:rPr>
        <w:t xml:space="preserve">then </w:t>
      </w:r>
      <w:r w:rsidR="0086366E" w:rsidRPr="00B503E6">
        <w:rPr>
          <w:rFonts w:asciiTheme="majorBidi" w:hAnsiTheme="majorBidi" w:cstheme="majorBidi"/>
          <w:sz w:val="24"/>
          <w:szCs w:val="24"/>
        </w:rPr>
        <w:t>they began to rise.</w:t>
      </w:r>
      <w:r w:rsidR="00B766C8">
        <w:rPr>
          <w:rStyle w:val="EndnoteReference"/>
          <w:rFonts w:asciiTheme="majorBidi" w:hAnsiTheme="majorBidi" w:cstheme="majorBidi"/>
          <w:sz w:val="24"/>
          <w:szCs w:val="24"/>
        </w:rPr>
        <w:endnoteReference w:id="44"/>
      </w:r>
      <w:r w:rsidR="0069111B" w:rsidRPr="00B503E6">
        <w:rPr>
          <w:rFonts w:asciiTheme="majorBidi" w:hAnsiTheme="majorBidi" w:cstheme="majorBidi"/>
          <w:sz w:val="24"/>
          <w:szCs w:val="24"/>
        </w:rPr>
        <w:t xml:space="preserve">  </w:t>
      </w:r>
      <w:r w:rsidR="00821079" w:rsidRPr="00B503E6">
        <w:rPr>
          <w:rFonts w:asciiTheme="majorBidi" w:hAnsiTheme="majorBidi" w:cstheme="majorBidi"/>
          <w:sz w:val="24"/>
          <w:szCs w:val="24"/>
        </w:rPr>
        <w:t>In 1939, p</w:t>
      </w:r>
      <w:r w:rsidR="0069111B" w:rsidRPr="00B503E6">
        <w:rPr>
          <w:rFonts w:asciiTheme="majorBidi" w:hAnsiTheme="majorBidi" w:cstheme="majorBidi"/>
          <w:sz w:val="24"/>
          <w:szCs w:val="24"/>
        </w:rPr>
        <w:t xml:space="preserve">er capita </w:t>
      </w:r>
      <w:r w:rsidR="00180729" w:rsidRPr="00B503E6">
        <w:rPr>
          <w:rFonts w:asciiTheme="majorBidi" w:hAnsiTheme="majorBidi" w:cstheme="majorBidi"/>
          <w:sz w:val="24"/>
          <w:szCs w:val="24"/>
        </w:rPr>
        <w:t xml:space="preserve">exports </w:t>
      </w:r>
      <w:r w:rsidR="00B104AA" w:rsidRPr="00B503E6">
        <w:rPr>
          <w:rFonts w:asciiTheme="majorBidi" w:hAnsiTheme="majorBidi" w:cstheme="majorBidi"/>
          <w:sz w:val="24"/>
          <w:szCs w:val="24"/>
        </w:rPr>
        <w:t xml:space="preserve">for Syria and Lebanon </w:t>
      </w:r>
      <w:r w:rsidR="0069111B" w:rsidRPr="00B503E6">
        <w:rPr>
          <w:rFonts w:asciiTheme="majorBidi" w:hAnsiTheme="majorBidi" w:cstheme="majorBidi"/>
          <w:sz w:val="24"/>
          <w:szCs w:val="24"/>
        </w:rPr>
        <w:t>in Syrian pounds</w:t>
      </w:r>
      <w:r w:rsidR="00180729" w:rsidRPr="00B503E6">
        <w:rPr>
          <w:rFonts w:asciiTheme="majorBidi" w:hAnsiTheme="majorBidi" w:cstheme="majorBidi"/>
          <w:sz w:val="24"/>
          <w:szCs w:val="24"/>
        </w:rPr>
        <w:t xml:space="preserve"> w</w:t>
      </w:r>
      <w:r w:rsidR="00821079" w:rsidRPr="00B503E6">
        <w:rPr>
          <w:rFonts w:asciiTheme="majorBidi" w:hAnsiTheme="majorBidi" w:cstheme="majorBidi"/>
          <w:sz w:val="24"/>
          <w:szCs w:val="24"/>
        </w:rPr>
        <w:t>ere</w:t>
      </w:r>
      <w:r w:rsidR="00180729" w:rsidRPr="00B503E6">
        <w:rPr>
          <w:rFonts w:asciiTheme="majorBidi" w:hAnsiTheme="majorBidi" w:cstheme="majorBidi"/>
          <w:sz w:val="24"/>
          <w:szCs w:val="24"/>
        </w:rPr>
        <w:t xml:space="preserve"> </w:t>
      </w:r>
      <w:r w:rsidR="0069111B" w:rsidRPr="00B503E6">
        <w:rPr>
          <w:rFonts w:asciiTheme="majorBidi" w:hAnsiTheme="majorBidi" w:cstheme="majorBidi"/>
          <w:sz w:val="24"/>
          <w:szCs w:val="24"/>
        </w:rPr>
        <w:t>£S</w:t>
      </w:r>
      <w:r w:rsidR="00081E84" w:rsidRPr="00B503E6">
        <w:rPr>
          <w:rFonts w:asciiTheme="majorBidi" w:hAnsiTheme="majorBidi" w:cstheme="majorBidi"/>
          <w:sz w:val="24"/>
          <w:szCs w:val="24"/>
        </w:rPr>
        <w:t xml:space="preserve"> </w:t>
      </w:r>
      <w:r w:rsidR="0069111B" w:rsidRPr="00B503E6">
        <w:rPr>
          <w:rFonts w:asciiTheme="majorBidi" w:hAnsiTheme="majorBidi" w:cstheme="majorBidi"/>
          <w:sz w:val="24"/>
          <w:szCs w:val="24"/>
        </w:rPr>
        <w:t xml:space="preserve">10, </w:t>
      </w:r>
      <w:r w:rsidR="00180729" w:rsidRPr="00B503E6">
        <w:rPr>
          <w:rFonts w:asciiTheme="majorBidi" w:hAnsiTheme="majorBidi" w:cstheme="majorBidi"/>
          <w:sz w:val="24"/>
          <w:szCs w:val="24"/>
        </w:rPr>
        <w:t xml:space="preserve">and </w:t>
      </w:r>
      <w:r w:rsidR="0069111B" w:rsidRPr="00B503E6">
        <w:rPr>
          <w:rFonts w:asciiTheme="majorBidi" w:hAnsiTheme="majorBidi" w:cstheme="majorBidi"/>
          <w:sz w:val="24"/>
          <w:szCs w:val="24"/>
        </w:rPr>
        <w:t>in sterling</w:t>
      </w:r>
      <w:r w:rsidR="002776DA" w:rsidRPr="00B503E6">
        <w:rPr>
          <w:rFonts w:asciiTheme="majorBidi" w:hAnsiTheme="majorBidi" w:cstheme="majorBidi"/>
          <w:sz w:val="24"/>
          <w:szCs w:val="24"/>
        </w:rPr>
        <w:t>,</w:t>
      </w:r>
      <w:r w:rsidR="00180729" w:rsidRPr="00B503E6">
        <w:rPr>
          <w:rFonts w:asciiTheme="majorBidi" w:hAnsiTheme="majorBidi" w:cstheme="majorBidi"/>
          <w:sz w:val="24"/>
          <w:szCs w:val="24"/>
        </w:rPr>
        <w:t xml:space="preserve"> </w:t>
      </w:r>
      <w:r w:rsidR="0069111B" w:rsidRPr="00B503E6">
        <w:rPr>
          <w:rFonts w:asciiTheme="majorBidi" w:hAnsiTheme="majorBidi" w:cstheme="majorBidi"/>
          <w:sz w:val="24"/>
          <w:szCs w:val="24"/>
        </w:rPr>
        <w:t>£</w:t>
      </w:r>
      <w:r w:rsidR="00081E84" w:rsidRPr="00B503E6">
        <w:rPr>
          <w:rFonts w:asciiTheme="majorBidi" w:hAnsiTheme="majorBidi" w:cstheme="majorBidi"/>
          <w:sz w:val="24"/>
          <w:szCs w:val="24"/>
        </w:rPr>
        <w:t xml:space="preserve"> </w:t>
      </w:r>
      <w:r w:rsidR="0069111B" w:rsidRPr="00B503E6">
        <w:rPr>
          <w:rFonts w:asciiTheme="majorBidi" w:hAnsiTheme="majorBidi" w:cstheme="majorBidi"/>
          <w:sz w:val="24"/>
          <w:szCs w:val="24"/>
        </w:rPr>
        <w:t xml:space="preserve">1.13.   </w:t>
      </w:r>
      <w:r w:rsidR="00605A25" w:rsidRPr="00B503E6">
        <w:rPr>
          <w:rFonts w:asciiTheme="majorBidi" w:hAnsiTheme="majorBidi" w:cstheme="majorBidi"/>
          <w:sz w:val="24"/>
          <w:szCs w:val="24"/>
        </w:rPr>
        <w:t xml:space="preserve">    </w:t>
      </w:r>
    </w:p>
    <w:p w:rsidR="00D92602" w:rsidRPr="00B503E6" w:rsidRDefault="008F02AD" w:rsidP="00873F85">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The fluctuations in trade correspond to the changes in output </w:t>
      </w:r>
      <w:r w:rsidR="00A24EBB">
        <w:rPr>
          <w:rFonts w:asciiTheme="majorBidi" w:hAnsiTheme="majorBidi" w:cstheme="majorBidi"/>
          <w:sz w:val="24"/>
          <w:szCs w:val="24"/>
        </w:rPr>
        <w:t xml:space="preserve">in Syria </w:t>
      </w:r>
      <w:r w:rsidRPr="00B503E6">
        <w:rPr>
          <w:rFonts w:asciiTheme="majorBidi" w:hAnsiTheme="majorBidi" w:cstheme="majorBidi"/>
          <w:sz w:val="24"/>
          <w:szCs w:val="24"/>
        </w:rPr>
        <w:t xml:space="preserve">of </w:t>
      </w:r>
      <w:r w:rsidR="00A904D7" w:rsidRPr="00B503E6">
        <w:rPr>
          <w:rFonts w:asciiTheme="majorBidi" w:hAnsiTheme="majorBidi" w:cstheme="majorBidi"/>
          <w:sz w:val="24"/>
          <w:szCs w:val="24"/>
        </w:rPr>
        <w:t>wheat and barley</w:t>
      </w:r>
      <w:r w:rsidR="00873F85">
        <w:rPr>
          <w:rFonts w:asciiTheme="majorBidi" w:hAnsiTheme="majorBidi" w:cstheme="majorBidi"/>
          <w:sz w:val="24"/>
          <w:szCs w:val="24"/>
        </w:rPr>
        <w:t xml:space="preserve">. </w:t>
      </w:r>
      <w:r w:rsidR="00F36293" w:rsidRPr="00B503E6">
        <w:rPr>
          <w:rFonts w:asciiTheme="majorBidi" w:hAnsiTheme="majorBidi" w:cstheme="majorBidi"/>
          <w:sz w:val="24"/>
          <w:szCs w:val="24"/>
        </w:rPr>
        <w:t>D</w:t>
      </w:r>
      <w:r w:rsidR="001A6003" w:rsidRPr="00B503E6">
        <w:rPr>
          <w:rFonts w:asciiTheme="majorBidi" w:hAnsiTheme="majorBidi" w:cstheme="majorBidi"/>
          <w:sz w:val="24"/>
          <w:szCs w:val="24"/>
        </w:rPr>
        <w:t>uring the 1920</w:t>
      </w:r>
      <w:r w:rsidR="005A23BF" w:rsidRPr="00B503E6">
        <w:rPr>
          <w:rFonts w:asciiTheme="majorBidi" w:hAnsiTheme="majorBidi" w:cstheme="majorBidi"/>
          <w:sz w:val="24"/>
          <w:szCs w:val="24"/>
        </w:rPr>
        <w:t>s</w:t>
      </w:r>
      <w:r w:rsidR="001A6003" w:rsidRPr="00B503E6">
        <w:rPr>
          <w:rFonts w:asciiTheme="majorBidi" w:hAnsiTheme="majorBidi" w:cstheme="majorBidi"/>
          <w:sz w:val="24"/>
          <w:szCs w:val="24"/>
        </w:rPr>
        <w:t xml:space="preserve">, there </w:t>
      </w:r>
      <w:r w:rsidRPr="00B503E6">
        <w:rPr>
          <w:rFonts w:asciiTheme="majorBidi" w:hAnsiTheme="majorBidi" w:cstheme="majorBidi"/>
          <w:sz w:val="24"/>
          <w:szCs w:val="24"/>
        </w:rPr>
        <w:t>was a</w:t>
      </w:r>
      <w:r w:rsidR="001A6003" w:rsidRPr="00B503E6">
        <w:rPr>
          <w:rFonts w:asciiTheme="majorBidi" w:hAnsiTheme="majorBidi" w:cstheme="majorBidi"/>
          <w:sz w:val="24"/>
          <w:szCs w:val="24"/>
        </w:rPr>
        <w:t xml:space="preserve"> </w:t>
      </w:r>
      <w:r w:rsidR="005A23BF" w:rsidRPr="00B503E6">
        <w:rPr>
          <w:rFonts w:asciiTheme="majorBidi" w:hAnsiTheme="majorBidi" w:cstheme="majorBidi"/>
          <w:sz w:val="24"/>
          <w:szCs w:val="24"/>
        </w:rPr>
        <w:t xml:space="preserve">large increase in </w:t>
      </w:r>
      <w:r w:rsidR="00A904D7" w:rsidRPr="00B503E6">
        <w:rPr>
          <w:rFonts w:asciiTheme="majorBidi" w:hAnsiTheme="majorBidi" w:cstheme="majorBidi"/>
          <w:sz w:val="24"/>
          <w:szCs w:val="24"/>
        </w:rPr>
        <w:t xml:space="preserve">their </w:t>
      </w:r>
      <w:r w:rsidR="005A23BF" w:rsidRPr="00B503E6">
        <w:rPr>
          <w:rFonts w:asciiTheme="majorBidi" w:hAnsiTheme="majorBidi" w:cstheme="majorBidi"/>
          <w:sz w:val="24"/>
          <w:szCs w:val="24"/>
        </w:rPr>
        <w:t>production</w:t>
      </w:r>
      <w:r w:rsidR="00A904D7" w:rsidRPr="00B503E6">
        <w:rPr>
          <w:rFonts w:asciiTheme="majorBidi" w:hAnsiTheme="majorBidi" w:cstheme="majorBidi"/>
          <w:sz w:val="24"/>
          <w:szCs w:val="24"/>
        </w:rPr>
        <w:t>,</w:t>
      </w:r>
      <w:r w:rsidR="005A23BF" w:rsidRPr="00B503E6">
        <w:rPr>
          <w:rFonts w:asciiTheme="majorBidi" w:hAnsiTheme="majorBidi" w:cstheme="majorBidi"/>
          <w:sz w:val="24"/>
          <w:szCs w:val="24"/>
        </w:rPr>
        <w:t xml:space="preserve"> which peaked in 1930</w:t>
      </w:r>
      <w:r w:rsidR="00A904D7" w:rsidRPr="00B503E6">
        <w:rPr>
          <w:rFonts w:asciiTheme="majorBidi" w:hAnsiTheme="majorBidi" w:cstheme="majorBidi"/>
          <w:sz w:val="24"/>
          <w:szCs w:val="24"/>
        </w:rPr>
        <w:t xml:space="preserve">, and then output </w:t>
      </w:r>
      <w:r w:rsidR="005A23BF" w:rsidRPr="00B503E6">
        <w:rPr>
          <w:rFonts w:asciiTheme="majorBidi" w:hAnsiTheme="majorBidi" w:cstheme="majorBidi"/>
          <w:sz w:val="24"/>
          <w:szCs w:val="24"/>
        </w:rPr>
        <w:t>declined</w:t>
      </w:r>
      <w:r w:rsidR="00C86530" w:rsidRPr="00B503E6">
        <w:rPr>
          <w:rFonts w:asciiTheme="majorBidi" w:hAnsiTheme="majorBidi" w:cstheme="majorBidi"/>
          <w:sz w:val="24"/>
          <w:szCs w:val="24"/>
        </w:rPr>
        <w:t xml:space="preserve"> </w:t>
      </w:r>
      <w:r w:rsidR="00A5377B" w:rsidRPr="00B503E6">
        <w:rPr>
          <w:rFonts w:asciiTheme="majorBidi" w:hAnsiTheme="majorBidi" w:cstheme="majorBidi"/>
          <w:sz w:val="24"/>
          <w:szCs w:val="24"/>
        </w:rPr>
        <w:t>in the early 1930s</w:t>
      </w:r>
      <w:r w:rsidR="00A904D7" w:rsidRPr="00B503E6">
        <w:rPr>
          <w:rFonts w:asciiTheme="majorBidi" w:hAnsiTheme="majorBidi" w:cstheme="majorBidi"/>
          <w:sz w:val="24"/>
          <w:szCs w:val="24"/>
        </w:rPr>
        <w:t xml:space="preserve">.  Afterwards, output </w:t>
      </w:r>
      <w:r w:rsidR="00A5377B" w:rsidRPr="00B503E6">
        <w:rPr>
          <w:rFonts w:asciiTheme="majorBidi" w:hAnsiTheme="majorBidi" w:cstheme="majorBidi"/>
          <w:sz w:val="24"/>
          <w:szCs w:val="24"/>
        </w:rPr>
        <w:t xml:space="preserve">recovered </w:t>
      </w:r>
      <w:r w:rsidR="00A904D7" w:rsidRPr="00B503E6">
        <w:rPr>
          <w:rFonts w:asciiTheme="majorBidi" w:hAnsiTheme="majorBidi" w:cstheme="majorBidi"/>
          <w:sz w:val="24"/>
          <w:szCs w:val="24"/>
        </w:rPr>
        <w:t xml:space="preserve">in the years 1938-1942 </w:t>
      </w:r>
      <w:r w:rsidR="00A5377B" w:rsidRPr="00B503E6">
        <w:rPr>
          <w:rFonts w:asciiTheme="majorBidi" w:hAnsiTheme="majorBidi" w:cstheme="majorBidi"/>
          <w:sz w:val="24"/>
          <w:szCs w:val="24"/>
        </w:rPr>
        <w:t>to its level from 1927-1930</w:t>
      </w:r>
      <w:r w:rsidRPr="00B503E6">
        <w:rPr>
          <w:rFonts w:asciiTheme="majorBidi" w:hAnsiTheme="majorBidi" w:cstheme="majorBidi"/>
          <w:sz w:val="24"/>
          <w:szCs w:val="24"/>
        </w:rPr>
        <w:t>.</w:t>
      </w:r>
      <w:r w:rsidR="00B766C8">
        <w:rPr>
          <w:rStyle w:val="EndnoteReference"/>
          <w:rFonts w:asciiTheme="majorBidi" w:hAnsiTheme="majorBidi" w:cstheme="majorBidi"/>
          <w:sz w:val="24"/>
          <w:szCs w:val="24"/>
        </w:rPr>
        <w:endnoteReference w:id="45"/>
      </w:r>
      <w:r w:rsidR="00E82F73" w:rsidRPr="00B503E6">
        <w:rPr>
          <w:rStyle w:val="EndnoteReference"/>
          <w:rFonts w:asciiTheme="majorBidi" w:hAnsiTheme="majorBidi" w:cstheme="majorBidi"/>
          <w:sz w:val="24"/>
          <w:szCs w:val="24"/>
        </w:rPr>
        <w:t xml:space="preserve"> </w:t>
      </w:r>
    </w:p>
    <w:p w:rsidR="0060097D" w:rsidRPr="00B503E6" w:rsidRDefault="00D92602" w:rsidP="00873F85">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The cotton industry in Syria had a similar pattern</w:t>
      </w:r>
      <w:r w:rsidR="00873F85">
        <w:rPr>
          <w:rFonts w:asciiTheme="majorBidi" w:hAnsiTheme="majorBidi" w:cstheme="majorBidi"/>
          <w:sz w:val="24"/>
          <w:szCs w:val="24"/>
        </w:rPr>
        <w:t xml:space="preserve">. </w:t>
      </w:r>
      <w:r w:rsidRPr="00B503E6">
        <w:rPr>
          <w:rFonts w:asciiTheme="majorBidi" w:hAnsiTheme="majorBidi" w:cstheme="majorBidi"/>
          <w:sz w:val="24"/>
          <w:szCs w:val="24"/>
        </w:rPr>
        <w:t xml:space="preserve"> In the early 1920s, the French attempted to develop the cotton industry. They freely distributed cotton seeds, exempted cotton cultivators from some taxes, and brought in modern ginning and pressing machines.  Cotton was cultivated on 27,000 hectares in Syria in 1922, on 79,000 hectares in 1926, declined to 30,000 hectares in 1931, and then recovered </w:t>
      </w:r>
      <w:r w:rsidR="006755F2" w:rsidRPr="00B503E6">
        <w:rPr>
          <w:rFonts w:asciiTheme="majorBidi" w:hAnsiTheme="majorBidi" w:cstheme="majorBidi"/>
          <w:sz w:val="24"/>
          <w:szCs w:val="24"/>
        </w:rPr>
        <w:t xml:space="preserve">slightly </w:t>
      </w:r>
      <w:r w:rsidRPr="00B503E6">
        <w:rPr>
          <w:rFonts w:asciiTheme="majorBidi" w:hAnsiTheme="majorBidi" w:cstheme="majorBidi"/>
          <w:sz w:val="24"/>
          <w:szCs w:val="24"/>
        </w:rPr>
        <w:t>to 40,000 hectares before WWII.</w:t>
      </w:r>
      <w:r w:rsidR="00B766C8">
        <w:rPr>
          <w:rStyle w:val="EndnoteReference"/>
          <w:rFonts w:asciiTheme="majorBidi" w:hAnsiTheme="majorBidi" w:cstheme="majorBidi"/>
          <w:sz w:val="24"/>
          <w:szCs w:val="24"/>
        </w:rPr>
        <w:endnoteReference w:id="46"/>
      </w:r>
      <w:r w:rsidR="00A5377B" w:rsidRPr="00B503E6">
        <w:rPr>
          <w:rFonts w:asciiTheme="majorBidi" w:hAnsiTheme="majorBidi" w:cstheme="majorBidi"/>
          <w:sz w:val="24"/>
          <w:szCs w:val="24"/>
        </w:rPr>
        <w:t xml:space="preserve"> </w:t>
      </w:r>
    </w:p>
    <w:p w:rsidR="00D92602" w:rsidRPr="00B503E6" w:rsidRDefault="00D92602" w:rsidP="00097E9B">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Initially WWII caused an economic crisis in Syria and Lebanon since </w:t>
      </w:r>
      <w:r w:rsidR="00874E47">
        <w:rPr>
          <w:rFonts w:asciiTheme="majorBidi" w:hAnsiTheme="majorBidi" w:cstheme="majorBidi"/>
          <w:sz w:val="24"/>
          <w:szCs w:val="24"/>
        </w:rPr>
        <w:t xml:space="preserve">they were under </w:t>
      </w:r>
      <w:r w:rsidRPr="00B503E6">
        <w:rPr>
          <w:rFonts w:asciiTheme="majorBidi" w:hAnsiTheme="majorBidi" w:cstheme="majorBidi"/>
          <w:sz w:val="24"/>
          <w:szCs w:val="24"/>
        </w:rPr>
        <w:t xml:space="preserve">Vichy </w:t>
      </w:r>
      <w:r w:rsidR="00874E47">
        <w:rPr>
          <w:rFonts w:asciiTheme="majorBidi" w:hAnsiTheme="majorBidi" w:cstheme="majorBidi"/>
          <w:sz w:val="24"/>
          <w:szCs w:val="24"/>
        </w:rPr>
        <w:t xml:space="preserve">rule, </w:t>
      </w:r>
      <w:r w:rsidRPr="00B503E6">
        <w:rPr>
          <w:rFonts w:asciiTheme="majorBidi" w:hAnsiTheme="majorBidi" w:cstheme="majorBidi"/>
          <w:sz w:val="24"/>
          <w:szCs w:val="24"/>
        </w:rPr>
        <w:t xml:space="preserve">which led Britain to impose a blockade on </w:t>
      </w:r>
      <w:r w:rsidR="00097E9B">
        <w:rPr>
          <w:rFonts w:asciiTheme="majorBidi" w:hAnsiTheme="majorBidi" w:cstheme="majorBidi"/>
          <w:sz w:val="24"/>
          <w:szCs w:val="24"/>
        </w:rPr>
        <w:t>them</w:t>
      </w:r>
      <w:r w:rsidRPr="00B503E6">
        <w:rPr>
          <w:rFonts w:asciiTheme="majorBidi" w:hAnsiTheme="majorBidi" w:cstheme="majorBidi"/>
          <w:sz w:val="24"/>
          <w:szCs w:val="24"/>
        </w:rPr>
        <w:t xml:space="preserve"> (Thompson, 2000, 71).  However, after the Free French and the British captured Syria and Lebanon in July 1941, the economy began to recover.  Peter Sluglett (2002) noted that:</w:t>
      </w:r>
    </w:p>
    <w:p w:rsidR="00D92602" w:rsidRPr="00B503E6" w:rsidRDefault="00D92602" w:rsidP="006755F2">
      <w:pPr>
        <w:spacing w:line="480" w:lineRule="auto"/>
        <w:ind w:left="567"/>
        <w:contextualSpacing/>
        <w:jc w:val="both"/>
        <w:rPr>
          <w:rFonts w:asciiTheme="majorBidi" w:hAnsiTheme="majorBidi" w:cstheme="majorBidi"/>
          <w:sz w:val="24"/>
          <w:szCs w:val="24"/>
        </w:rPr>
      </w:pPr>
      <w:r w:rsidRPr="00B503E6">
        <w:rPr>
          <w:rFonts w:asciiTheme="majorBidi" w:hAnsiTheme="majorBidi" w:cstheme="majorBidi"/>
          <w:sz w:val="24"/>
          <w:szCs w:val="24"/>
        </w:rPr>
        <w:t>The Second World War and the period following it had been prosperous years for Aleppo’s entrepreneurs, especially those involved in agriculture. The growth in the cultivated area took place almost entirely in north and north east Syria, notably the development of the Jazira and the expansion of cotton cultivation on the Euphrates.</w:t>
      </w:r>
    </w:p>
    <w:p w:rsidR="00897264" w:rsidRPr="00B503E6" w:rsidRDefault="00D92602" w:rsidP="00B766C8">
      <w:pPr>
        <w:spacing w:line="480" w:lineRule="auto"/>
        <w:contextualSpacing/>
        <w:jc w:val="both"/>
        <w:rPr>
          <w:rFonts w:asciiTheme="majorBidi" w:hAnsiTheme="majorBidi" w:cstheme="majorBidi"/>
          <w:sz w:val="24"/>
          <w:szCs w:val="24"/>
          <w:vertAlign w:val="superscript"/>
        </w:rPr>
      </w:pPr>
      <w:r w:rsidRPr="00B503E6">
        <w:rPr>
          <w:rFonts w:asciiTheme="majorBidi" w:hAnsiTheme="majorBidi" w:cstheme="majorBidi"/>
          <w:sz w:val="24"/>
          <w:szCs w:val="24"/>
        </w:rPr>
        <w:lastRenderedPageBreak/>
        <w:t>Norman Lewis (1955, 59</w:t>
      </w:r>
      <w:r w:rsidR="00BF3A70" w:rsidRPr="00B503E6">
        <w:rPr>
          <w:rFonts w:asciiTheme="majorBidi" w:hAnsiTheme="majorBidi" w:cstheme="majorBidi"/>
          <w:sz w:val="24"/>
          <w:szCs w:val="24"/>
        </w:rPr>
        <w:t>,60</w:t>
      </w:r>
      <w:r w:rsidRPr="00B503E6">
        <w:rPr>
          <w:rFonts w:asciiTheme="majorBidi" w:hAnsiTheme="majorBidi" w:cstheme="majorBidi"/>
          <w:sz w:val="24"/>
          <w:szCs w:val="24"/>
        </w:rPr>
        <w:t xml:space="preserve">) </w:t>
      </w:r>
      <w:r w:rsidR="00BF3A70" w:rsidRPr="00B503E6">
        <w:rPr>
          <w:rFonts w:asciiTheme="majorBidi" w:hAnsiTheme="majorBidi" w:cstheme="majorBidi"/>
          <w:sz w:val="24"/>
          <w:szCs w:val="24"/>
        </w:rPr>
        <w:t xml:space="preserve">estimated that </w:t>
      </w:r>
      <w:r w:rsidR="00694A86" w:rsidRPr="00B503E6">
        <w:rPr>
          <w:rFonts w:asciiTheme="majorBidi" w:hAnsiTheme="majorBidi" w:cstheme="majorBidi"/>
          <w:sz w:val="24"/>
          <w:szCs w:val="24"/>
        </w:rPr>
        <w:t>“</w:t>
      </w:r>
      <w:r w:rsidR="00BF3A70" w:rsidRPr="00B503E6">
        <w:rPr>
          <w:rFonts w:asciiTheme="majorBidi" w:hAnsiTheme="majorBidi" w:cstheme="majorBidi"/>
          <w:sz w:val="24"/>
          <w:szCs w:val="24"/>
        </w:rPr>
        <w:t>in 1942 only about 50,000 acres were cultivated out of Jazira's total cultivable area of about two-and-a-half- million acres. By 1946, about 783,000 acres were cultivated.</w:t>
      </w:r>
      <w:r w:rsidR="00694A86" w:rsidRPr="00B503E6">
        <w:rPr>
          <w:rFonts w:asciiTheme="majorBidi" w:hAnsiTheme="majorBidi" w:cstheme="majorBidi"/>
          <w:sz w:val="24"/>
          <w:szCs w:val="24"/>
        </w:rPr>
        <w:t>”</w:t>
      </w:r>
      <w:r w:rsidR="00BF3A70" w:rsidRPr="00B503E6">
        <w:rPr>
          <w:rFonts w:asciiTheme="majorBidi" w:hAnsiTheme="majorBidi" w:cstheme="majorBidi"/>
          <w:sz w:val="24"/>
          <w:szCs w:val="24"/>
        </w:rPr>
        <w:t xml:space="preserve"> In addition he noted, </w:t>
      </w:r>
      <w:r w:rsidR="00694A86" w:rsidRPr="00B503E6">
        <w:rPr>
          <w:rFonts w:asciiTheme="majorBidi" w:hAnsiTheme="majorBidi" w:cstheme="majorBidi"/>
          <w:sz w:val="24"/>
          <w:szCs w:val="24"/>
        </w:rPr>
        <w:t>“</w:t>
      </w:r>
      <w:r w:rsidRPr="00B503E6">
        <w:rPr>
          <w:rFonts w:asciiTheme="majorBidi" w:hAnsiTheme="majorBidi" w:cstheme="majorBidi"/>
          <w:sz w:val="24"/>
          <w:szCs w:val="24"/>
        </w:rPr>
        <w:t>New lands are more likely to be broken by tractor-drawn steel ploughs than by the donkey driven wooden ploughs of the peasants.  The contrast between old and new is striking: In 1944 the present writer saw new American combine-harvesters at work in the Jazira.</w:t>
      </w:r>
      <w:r w:rsidR="00694A86" w:rsidRPr="00B503E6">
        <w:rPr>
          <w:rFonts w:asciiTheme="majorBidi" w:hAnsiTheme="majorBidi" w:cstheme="majorBidi"/>
          <w:sz w:val="24"/>
          <w:szCs w:val="24"/>
        </w:rPr>
        <w:t>”</w:t>
      </w:r>
      <w:r w:rsidR="00B766C8">
        <w:rPr>
          <w:rStyle w:val="EndnoteReference"/>
          <w:rFonts w:asciiTheme="majorBidi" w:hAnsiTheme="majorBidi" w:cstheme="majorBidi"/>
          <w:sz w:val="24"/>
          <w:szCs w:val="24"/>
        </w:rPr>
        <w:endnoteReference w:id="47"/>
      </w:r>
    </w:p>
    <w:p w:rsidR="004F0284" w:rsidRPr="00B503E6" w:rsidRDefault="004F0284" w:rsidP="00B766C8">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In 192</w:t>
      </w:r>
      <w:r w:rsidR="006A1302" w:rsidRPr="00B503E6">
        <w:rPr>
          <w:rFonts w:asciiTheme="majorBidi" w:hAnsiTheme="majorBidi" w:cstheme="majorBidi"/>
          <w:sz w:val="24"/>
          <w:szCs w:val="24"/>
        </w:rPr>
        <w:t>5</w:t>
      </w:r>
      <w:r w:rsidRPr="00B503E6">
        <w:rPr>
          <w:rFonts w:asciiTheme="majorBidi" w:hAnsiTheme="majorBidi" w:cstheme="majorBidi"/>
          <w:sz w:val="24"/>
          <w:szCs w:val="24"/>
        </w:rPr>
        <w:t xml:space="preserve"> imports to Palestine were £P</w:t>
      </w:r>
      <w:r w:rsidR="00756309" w:rsidRPr="00B503E6">
        <w:rPr>
          <w:rFonts w:asciiTheme="majorBidi" w:hAnsiTheme="majorBidi" w:cstheme="majorBidi"/>
          <w:sz w:val="24"/>
          <w:szCs w:val="24"/>
        </w:rPr>
        <w:t xml:space="preserve"> </w:t>
      </w:r>
      <w:r w:rsidR="006A1302" w:rsidRPr="00B503E6">
        <w:rPr>
          <w:rFonts w:asciiTheme="majorBidi" w:hAnsiTheme="majorBidi" w:cstheme="majorBidi"/>
          <w:sz w:val="24"/>
          <w:szCs w:val="24"/>
        </w:rPr>
        <w:t>7</w:t>
      </w:r>
      <w:r w:rsidRPr="00B503E6">
        <w:rPr>
          <w:rFonts w:asciiTheme="majorBidi" w:hAnsiTheme="majorBidi" w:cstheme="majorBidi"/>
          <w:sz w:val="24"/>
          <w:szCs w:val="24"/>
        </w:rPr>
        <w:t>,</w:t>
      </w:r>
      <w:r w:rsidR="006A1302" w:rsidRPr="00B503E6">
        <w:rPr>
          <w:rFonts w:asciiTheme="majorBidi" w:hAnsiTheme="majorBidi" w:cstheme="majorBidi"/>
          <w:sz w:val="24"/>
          <w:szCs w:val="24"/>
        </w:rPr>
        <w:t>526,657</w:t>
      </w:r>
      <w:r w:rsidRPr="00B503E6">
        <w:rPr>
          <w:rFonts w:asciiTheme="majorBidi" w:hAnsiTheme="majorBidi" w:cstheme="majorBidi"/>
          <w:sz w:val="24"/>
          <w:szCs w:val="24"/>
        </w:rPr>
        <w:t xml:space="preserve"> and exports (not including transit and re-exports) from Palestine were £P</w:t>
      </w:r>
      <w:r w:rsidR="00276D63" w:rsidRPr="00B503E6">
        <w:rPr>
          <w:rFonts w:asciiTheme="majorBidi" w:hAnsiTheme="majorBidi" w:cstheme="majorBidi"/>
          <w:sz w:val="24"/>
          <w:szCs w:val="24"/>
        </w:rPr>
        <w:t xml:space="preserve"> </w:t>
      </w:r>
      <w:r w:rsidRPr="00B503E6">
        <w:rPr>
          <w:rFonts w:asciiTheme="majorBidi" w:hAnsiTheme="majorBidi" w:cstheme="majorBidi"/>
          <w:sz w:val="24"/>
          <w:szCs w:val="24"/>
        </w:rPr>
        <w:t>1,3</w:t>
      </w:r>
      <w:r w:rsidR="006A1302" w:rsidRPr="00B503E6">
        <w:rPr>
          <w:rFonts w:asciiTheme="majorBidi" w:hAnsiTheme="majorBidi" w:cstheme="majorBidi"/>
          <w:sz w:val="24"/>
          <w:szCs w:val="24"/>
        </w:rPr>
        <w:t>30,830</w:t>
      </w:r>
      <w:r w:rsidR="005A4173" w:rsidRPr="00B503E6">
        <w:rPr>
          <w:rFonts w:asciiTheme="majorBidi" w:hAnsiTheme="majorBidi" w:cstheme="majorBidi"/>
          <w:sz w:val="24"/>
          <w:szCs w:val="24"/>
        </w:rPr>
        <w:t>.  I</w:t>
      </w:r>
      <w:r w:rsidRPr="00B503E6">
        <w:rPr>
          <w:rFonts w:asciiTheme="majorBidi" w:hAnsiTheme="majorBidi" w:cstheme="majorBidi"/>
          <w:sz w:val="24"/>
          <w:szCs w:val="24"/>
        </w:rPr>
        <w:t>n 1939, imports increased to £P</w:t>
      </w:r>
      <w:r w:rsidR="00276D63" w:rsidRPr="00B503E6">
        <w:rPr>
          <w:rFonts w:asciiTheme="majorBidi" w:hAnsiTheme="majorBidi" w:cstheme="majorBidi"/>
          <w:sz w:val="24"/>
          <w:szCs w:val="24"/>
        </w:rPr>
        <w:t xml:space="preserve"> </w:t>
      </w:r>
      <w:r w:rsidRPr="00B503E6">
        <w:rPr>
          <w:rFonts w:asciiTheme="majorBidi" w:hAnsiTheme="majorBidi" w:cstheme="majorBidi"/>
          <w:sz w:val="24"/>
          <w:szCs w:val="24"/>
        </w:rPr>
        <w:t>14,632,822 and exports to £P</w:t>
      </w:r>
      <w:r w:rsidR="00756309" w:rsidRPr="00B503E6">
        <w:rPr>
          <w:rFonts w:asciiTheme="majorBidi" w:hAnsiTheme="majorBidi" w:cstheme="majorBidi"/>
          <w:sz w:val="24"/>
          <w:szCs w:val="24"/>
        </w:rPr>
        <w:t xml:space="preserve"> </w:t>
      </w:r>
      <w:r w:rsidRPr="00B503E6">
        <w:rPr>
          <w:rFonts w:asciiTheme="majorBidi" w:hAnsiTheme="majorBidi" w:cstheme="majorBidi"/>
          <w:sz w:val="24"/>
          <w:szCs w:val="24"/>
        </w:rPr>
        <w:t>5,117,769.</w:t>
      </w:r>
      <w:r w:rsidR="002A03D3" w:rsidRPr="00B503E6">
        <w:rPr>
          <w:rFonts w:asciiTheme="majorBidi" w:hAnsiTheme="majorBidi" w:cstheme="majorBidi"/>
          <w:sz w:val="24"/>
          <w:szCs w:val="24"/>
        </w:rPr>
        <w:t xml:space="preserve">  The annual growth rate of exports 1925-1939, was 10.</w:t>
      </w:r>
      <w:r w:rsidR="00AC3255" w:rsidRPr="00B503E6">
        <w:rPr>
          <w:rFonts w:asciiTheme="majorBidi" w:hAnsiTheme="majorBidi" w:cstheme="majorBidi"/>
          <w:sz w:val="24"/>
          <w:szCs w:val="24"/>
        </w:rPr>
        <w:t>1</w:t>
      </w:r>
      <w:r w:rsidR="002A03D3" w:rsidRPr="00B503E6">
        <w:rPr>
          <w:rFonts w:asciiTheme="majorBidi" w:hAnsiTheme="majorBidi" w:cstheme="majorBidi"/>
          <w:sz w:val="24"/>
          <w:szCs w:val="24"/>
        </w:rPr>
        <w:t xml:space="preserve">0%, and </w:t>
      </w:r>
      <w:r w:rsidR="00DD2091" w:rsidRPr="00B503E6">
        <w:rPr>
          <w:rFonts w:asciiTheme="majorBidi" w:hAnsiTheme="majorBidi" w:cstheme="majorBidi"/>
          <w:sz w:val="24"/>
          <w:szCs w:val="24"/>
        </w:rPr>
        <w:t>p</w:t>
      </w:r>
      <w:r w:rsidR="002A03D3" w:rsidRPr="00B503E6">
        <w:rPr>
          <w:rFonts w:asciiTheme="majorBidi" w:hAnsiTheme="majorBidi" w:cstheme="majorBidi"/>
          <w:sz w:val="24"/>
          <w:szCs w:val="24"/>
        </w:rPr>
        <w:t xml:space="preserve">er capita exports were £ 1.69 in 1922 and </w:t>
      </w:r>
      <w:r w:rsidR="00DD2091" w:rsidRPr="00B503E6">
        <w:rPr>
          <w:rFonts w:asciiTheme="majorBidi" w:hAnsiTheme="majorBidi" w:cstheme="majorBidi"/>
          <w:sz w:val="24"/>
          <w:szCs w:val="24"/>
        </w:rPr>
        <w:t xml:space="preserve">this almost doubled to </w:t>
      </w:r>
      <w:r w:rsidR="002A03D3" w:rsidRPr="00B503E6">
        <w:rPr>
          <w:rFonts w:asciiTheme="majorBidi" w:hAnsiTheme="majorBidi" w:cstheme="majorBidi"/>
          <w:sz w:val="24"/>
          <w:szCs w:val="24"/>
        </w:rPr>
        <w:t xml:space="preserve">£ 3.32 in 1939.  During WWII, the economy in Palestine boomed supplying the British troops in </w:t>
      </w:r>
      <w:r w:rsidR="003D4200" w:rsidRPr="00B503E6">
        <w:rPr>
          <w:rFonts w:asciiTheme="majorBidi" w:hAnsiTheme="majorBidi" w:cstheme="majorBidi"/>
          <w:sz w:val="24"/>
          <w:szCs w:val="24"/>
        </w:rPr>
        <w:t>the Mediterranean area</w:t>
      </w:r>
      <w:r w:rsidR="00BB3C26" w:rsidRPr="00B503E6">
        <w:rPr>
          <w:rFonts w:asciiTheme="majorBidi" w:hAnsiTheme="majorBidi" w:cstheme="majorBidi"/>
          <w:sz w:val="24"/>
          <w:szCs w:val="24"/>
        </w:rPr>
        <w:t>, and</w:t>
      </w:r>
      <w:r w:rsidR="002A03D3" w:rsidRPr="00B503E6">
        <w:rPr>
          <w:rFonts w:asciiTheme="majorBidi" w:hAnsiTheme="majorBidi" w:cstheme="majorBidi"/>
          <w:sz w:val="24"/>
          <w:szCs w:val="24"/>
        </w:rPr>
        <w:t xml:space="preserve"> there was a further jump in exports in 1944 to £P 14,638,464, though these numbers are nominal and do not take into account the inflation during the war.</w:t>
      </w:r>
      <w:r w:rsidR="00B766C8">
        <w:rPr>
          <w:rStyle w:val="EndnoteReference"/>
          <w:rFonts w:asciiTheme="majorBidi" w:hAnsiTheme="majorBidi" w:cstheme="majorBidi"/>
          <w:sz w:val="24"/>
          <w:szCs w:val="24"/>
        </w:rPr>
        <w:endnoteReference w:id="48"/>
      </w:r>
      <w:r w:rsidRPr="00B503E6">
        <w:rPr>
          <w:rFonts w:asciiTheme="majorBidi" w:hAnsiTheme="majorBidi" w:cstheme="majorBidi"/>
          <w:sz w:val="24"/>
          <w:szCs w:val="24"/>
        </w:rPr>
        <w:t xml:space="preserve"> </w:t>
      </w:r>
    </w:p>
    <w:p w:rsidR="004F0284" w:rsidRPr="00B503E6" w:rsidRDefault="004F0284" w:rsidP="00B766C8">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In the pre-WWII period, oranges were the main export item in Palestine</w:t>
      </w:r>
      <w:r w:rsidR="006113E0" w:rsidRPr="00B503E6">
        <w:rPr>
          <w:rFonts w:asciiTheme="majorBidi" w:hAnsiTheme="majorBidi" w:cstheme="majorBidi"/>
          <w:sz w:val="24"/>
          <w:szCs w:val="24"/>
        </w:rPr>
        <w:t xml:space="preserve">, </w:t>
      </w:r>
      <w:r w:rsidR="009D2CA9" w:rsidRPr="00B503E6">
        <w:rPr>
          <w:rFonts w:asciiTheme="majorBidi" w:hAnsiTheme="majorBidi" w:cstheme="majorBidi"/>
          <w:sz w:val="24"/>
          <w:szCs w:val="24"/>
        </w:rPr>
        <w:t xml:space="preserve">as </w:t>
      </w:r>
      <w:r w:rsidR="006113E0" w:rsidRPr="00B503E6">
        <w:rPr>
          <w:rFonts w:asciiTheme="majorBidi" w:hAnsiTheme="majorBidi" w:cstheme="majorBidi"/>
          <w:sz w:val="24"/>
          <w:szCs w:val="24"/>
        </w:rPr>
        <w:t>due to its climate and underground aquifers,</w:t>
      </w:r>
      <w:r w:rsidR="009D2CA9" w:rsidRPr="00B503E6">
        <w:rPr>
          <w:rFonts w:asciiTheme="majorBidi" w:hAnsiTheme="majorBidi" w:cstheme="majorBidi"/>
          <w:sz w:val="24"/>
          <w:szCs w:val="24"/>
        </w:rPr>
        <w:t xml:space="preserve"> Palestine was very suitable for growing oranges and other citrus products.</w:t>
      </w:r>
      <w:r w:rsidRPr="00B503E6">
        <w:rPr>
          <w:rFonts w:asciiTheme="majorBidi" w:hAnsiTheme="majorBidi" w:cstheme="majorBidi"/>
          <w:sz w:val="24"/>
          <w:szCs w:val="24"/>
        </w:rPr>
        <w:t xml:space="preserve"> For the years 1925-1939, oranges compromised approximately 70% of total exports, and orange exports increased from </w:t>
      </w:r>
      <w:bookmarkStart w:id="0" w:name="OLE_LINK3"/>
      <w:bookmarkStart w:id="1" w:name="OLE_LINK4"/>
      <w:r w:rsidRPr="00B503E6">
        <w:rPr>
          <w:rFonts w:asciiTheme="majorBidi" w:hAnsiTheme="majorBidi" w:cstheme="majorBidi"/>
          <w:sz w:val="24"/>
          <w:szCs w:val="24"/>
        </w:rPr>
        <w:t>£P</w:t>
      </w:r>
      <w:bookmarkEnd w:id="0"/>
      <w:bookmarkEnd w:id="1"/>
      <w:r w:rsidR="00D15487" w:rsidRPr="00B503E6">
        <w:rPr>
          <w:rFonts w:asciiTheme="majorBidi" w:hAnsiTheme="majorBidi" w:cstheme="majorBidi"/>
          <w:sz w:val="24"/>
          <w:szCs w:val="24"/>
        </w:rPr>
        <w:t xml:space="preserve"> </w:t>
      </w:r>
      <w:r w:rsidRPr="00B503E6">
        <w:rPr>
          <w:rFonts w:asciiTheme="majorBidi" w:hAnsiTheme="majorBidi" w:cstheme="majorBidi"/>
          <w:sz w:val="24"/>
          <w:szCs w:val="24"/>
        </w:rPr>
        <w:t>466,000 in the 1925/26 growing season to £P</w:t>
      </w:r>
      <w:r w:rsidR="00D15487" w:rsidRPr="00B503E6">
        <w:rPr>
          <w:rFonts w:asciiTheme="majorBidi" w:hAnsiTheme="majorBidi" w:cstheme="majorBidi"/>
          <w:sz w:val="24"/>
          <w:szCs w:val="24"/>
        </w:rPr>
        <w:t xml:space="preserve"> </w:t>
      </w:r>
      <w:r w:rsidRPr="00B503E6">
        <w:rPr>
          <w:rFonts w:asciiTheme="majorBidi" w:hAnsiTheme="majorBidi" w:cstheme="majorBidi"/>
          <w:sz w:val="24"/>
          <w:szCs w:val="24"/>
        </w:rPr>
        <w:t>3,865,376 in the 1938/39 growing season.</w:t>
      </w:r>
      <w:r w:rsidR="00B766C8">
        <w:rPr>
          <w:rStyle w:val="EndnoteReference"/>
          <w:rFonts w:asciiTheme="majorBidi" w:hAnsiTheme="majorBidi" w:cstheme="majorBidi"/>
          <w:sz w:val="24"/>
          <w:szCs w:val="24"/>
        </w:rPr>
        <w:endnoteReference w:id="49"/>
      </w:r>
      <w:r w:rsidRPr="00B503E6">
        <w:rPr>
          <w:rFonts w:asciiTheme="majorBidi" w:hAnsiTheme="majorBidi" w:cstheme="majorBidi"/>
          <w:sz w:val="24"/>
          <w:szCs w:val="24"/>
        </w:rPr>
        <w:t xml:space="preserve">  In WWII, Palestine was cut-off from its main market, Great Britain, which caused its orange exports to plummet</w:t>
      </w:r>
      <w:r w:rsidR="0023293E" w:rsidRPr="00B503E6">
        <w:rPr>
          <w:rFonts w:asciiTheme="majorBidi" w:hAnsiTheme="majorBidi" w:cstheme="majorBidi"/>
          <w:sz w:val="24"/>
          <w:szCs w:val="24"/>
        </w:rPr>
        <w:t>. However, the diamond industry developed in Palestine due to refugees from Europe</w:t>
      </w:r>
      <w:r w:rsidR="002A03D3" w:rsidRPr="00B503E6">
        <w:rPr>
          <w:rFonts w:asciiTheme="majorBidi" w:hAnsiTheme="majorBidi" w:cstheme="majorBidi"/>
          <w:sz w:val="24"/>
          <w:szCs w:val="24"/>
        </w:rPr>
        <w:t xml:space="preserve">, and </w:t>
      </w:r>
      <w:r w:rsidR="00CC11D2" w:rsidRPr="00B503E6">
        <w:rPr>
          <w:rFonts w:asciiTheme="majorBidi" w:hAnsiTheme="majorBidi" w:cstheme="majorBidi"/>
          <w:sz w:val="24"/>
          <w:szCs w:val="24"/>
        </w:rPr>
        <w:t xml:space="preserve">Palestine </w:t>
      </w:r>
      <w:r w:rsidR="00AA4CA4" w:rsidRPr="00B503E6">
        <w:rPr>
          <w:rFonts w:asciiTheme="majorBidi" w:hAnsiTheme="majorBidi" w:cstheme="majorBidi"/>
          <w:sz w:val="24"/>
          <w:szCs w:val="24"/>
        </w:rPr>
        <w:t xml:space="preserve">became a major exporter of fuel </w:t>
      </w:r>
      <w:r w:rsidR="002A03D3" w:rsidRPr="00B503E6">
        <w:rPr>
          <w:rFonts w:asciiTheme="majorBidi" w:hAnsiTheme="majorBidi" w:cstheme="majorBidi"/>
          <w:sz w:val="24"/>
          <w:szCs w:val="24"/>
        </w:rPr>
        <w:t xml:space="preserve">due to a refinery in Haifa that had become operational in 1939.  In </w:t>
      </w:r>
      <w:r w:rsidRPr="00B503E6">
        <w:rPr>
          <w:rFonts w:asciiTheme="majorBidi" w:hAnsiTheme="majorBidi" w:cstheme="majorBidi"/>
          <w:sz w:val="24"/>
          <w:szCs w:val="24"/>
        </w:rPr>
        <w:t xml:space="preserve">1944, Palestine's main </w:t>
      </w:r>
      <w:r w:rsidRPr="00B503E6">
        <w:rPr>
          <w:rFonts w:asciiTheme="majorBidi" w:hAnsiTheme="majorBidi" w:cstheme="majorBidi"/>
          <w:sz w:val="24"/>
          <w:szCs w:val="24"/>
        </w:rPr>
        <w:lastRenderedPageBreak/>
        <w:t>export items were fuel (kerosene, gasoline, diesel, etc., £P</w:t>
      </w:r>
      <w:r w:rsidR="003A045F" w:rsidRPr="00B503E6">
        <w:rPr>
          <w:rFonts w:asciiTheme="majorBidi" w:hAnsiTheme="majorBidi" w:cstheme="majorBidi"/>
          <w:sz w:val="24"/>
          <w:szCs w:val="24"/>
        </w:rPr>
        <w:t xml:space="preserve"> </w:t>
      </w:r>
      <w:r w:rsidRPr="00B503E6">
        <w:rPr>
          <w:rFonts w:asciiTheme="majorBidi" w:hAnsiTheme="majorBidi" w:cstheme="majorBidi"/>
          <w:sz w:val="24"/>
          <w:szCs w:val="24"/>
        </w:rPr>
        <w:t>4,531,073), diamonds (cut and polished, £P</w:t>
      </w:r>
      <w:r w:rsidR="003A045F" w:rsidRPr="00B503E6">
        <w:rPr>
          <w:rFonts w:asciiTheme="majorBidi" w:hAnsiTheme="majorBidi" w:cstheme="majorBidi"/>
          <w:sz w:val="24"/>
          <w:szCs w:val="24"/>
        </w:rPr>
        <w:t xml:space="preserve"> </w:t>
      </w:r>
      <w:r w:rsidRPr="00B503E6">
        <w:rPr>
          <w:rFonts w:asciiTheme="majorBidi" w:hAnsiTheme="majorBidi" w:cstheme="majorBidi"/>
          <w:sz w:val="24"/>
          <w:szCs w:val="24"/>
        </w:rPr>
        <w:t>3,235,117) and oranges in cases (£P</w:t>
      </w:r>
      <w:r w:rsidR="003A045F" w:rsidRPr="00B503E6">
        <w:rPr>
          <w:rFonts w:asciiTheme="majorBidi" w:hAnsiTheme="majorBidi" w:cstheme="majorBidi"/>
          <w:sz w:val="24"/>
          <w:szCs w:val="24"/>
        </w:rPr>
        <w:t xml:space="preserve"> </w:t>
      </w:r>
      <w:r w:rsidRPr="00B503E6">
        <w:rPr>
          <w:rFonts w:asciiTheme="majorBidi" w:hAnsiTheme="majorBidi" w:cstheme="majorBidi"/>
          <w:sz w:val="24"/>
          <w:szCs w:val="24"/>
        </w:rPr>
        <w:t>1,082,979).</w:t>
      </w:r>
      <w:r w:rsidR="00B766C8">
        <w:rPr>
          <w:rStyle w:val="EndnoteReference"/>
          <w:rFonts w:asciiTheme="majorBidi" w:hAnsiTheme="majorBidi" w:cstheme="majorBidi"/>
          <w:sz w:val="24"/>
          <w:szCs w:val="24"/>
        </w:rPr>
        <w:endnoteReference w:id="50"/>
      </w:r>
      <w:r w:rsidRPr="00B503E6">
        <w:rPr>
          <w:rFonts w:asciiTheme="majorBidi" w:hAnsiTheme="majorBidi" w:cstheme="majorBidi"/>
          <w:sz w:val="24"/>
          <w:szCs w:val="24"/>
        </w:rPr>
        <w:t xml:space="preserve">             </w:t>
      </w:r>
    </w:p>
    <w:p w:rsidR="00F94908" w:rsidRPr="00B503E6" w:rsidRDefault="004F0284" w:rsidP="00B766C8">
      <w:pPr>
        <w:spacing w:line="480" w:lineRule="auto"/>
        <w:ind w:firstLine="567"/>
        <w:contextualSpacing/>
        <w:jc w:val="both"/>
        <w:rPr>
          <w:rFonts w:asciiTheme="majorBidi" w:hAnsiTheme="majorBidi" w:cstheme="majorBidi"/>
          <w:sz w:val="24"/>
          <w:szCs w:val="24"/>
          <w:vertAlign w:val="superscript"/>
        </w:rPr>
      </w:pPr>
      <w:r w:rsidRPr="00B503E6">
        <w:rPr>
          <w:rFonts w:asciiTheme="majorBidi" w:hAnsiTheme="majorBidi" w:cstheme="majorBidi"/>
          <w:sz w:val="24"/>
          <w:szCs w:val="24"/>
        </w:rPr>
        <w:t>In Trans-Jordan, the majority of its exports were wheat and barley.  For the years 1927-1930, average exports were £P</w:t>
      </w:r>
      <w:r w:rsidR="00D15487" w:rsidRPr="00B503E6">
        <w:rPr>
          <w:rFonts w:asciiTheme="majorBidi" w:hAnsiTheme="majorBidi" w:cstheme="majorBidi"/>
          <w:sz w:val="24"/>
          <w:szCs w:val="24"/>
        </w:rPr>
        <w:t xml:space="preserve"> </w:t>
      </w:r>
      <w:r w:rsidRPr="00B503E6">
        <w:rPr>
          <w:rFonts w:asciiTheme="majorBidi" w:hAnsiTheme="majorBidi" w:cstheme="majorBidi"/>
          <w:sz w:val="24"/>
          <w:szCs w:val="24"/>
        </w:rPr>
        <w:t>160,000</w:t>
      </w:r>
      <w:r w:rsidR="003109DB" w:rsidRPr="00B503E6">
        <w:rPr>
          <w:rFonts w:asciiTheme="majorBidi" w:hAnsiTheme="majorBidi" w:cstheme="majorBidi"/>
          <w:sz w:val="24"/>
          <w:szCs w:val="24"/>
        </w:rPr>
        <w:t xml:space="preserve"> (see Table 2)</w:t>
      </w:r>
      <w:r w:rsidRPr="00B503E6">
        <w:rPr>
          <w:rFonts w:asciiTheme="majorBidi" w:hAnsiTheme="majorBidi" w:cstheme="majorBidi"/>
          <w:sz w:val="24"/>
          <w:szCs w:val="24"/>
        </w:rPr>
        <w:t>, of which 62% w</w:t>
      </w:r>
      <w:r w:rsidR="00B00958" w:rsidRPr="00B503E6">
        <w:rPr>
          <w:rFonts w:asciiTheme="majorBidi" w:hAnsiTheme="majorBidi" w:cstheme="majorBidi"/>
          <w:sz w:val="24"/>
          <w:szCs w:val="24"/>
        </w:rPr>
        <w:t xml:space="preserve">ere </w:t>
      </w:r>
      <w:r w:rsidRPr="00B503E6">
        <w:rPr>
          <w:rFonts w:asciiTheme="majorBidi" w:hAnsiTheme="majorBidi" w:cstheme="majorBidi"/>
          <w:sz w:val="24"/>
          <w:szCs w:val="24"/>
        </w:rPr>
        <w:t>to Syria and the rem</w:t>
      </w:r>
      <w:r w:rsidR="00B00958" w:rsidRPr="00B503E6">
        <w:rPr>
          <w:rFonts w:asciiTheme="majorBidi" w:hAnsiTheme="majorBidi" w:cstheme="majorBidi"/>
          <w:sz w:val="24"/>
          <w:szCs w:val="24"/>
        </w:rPr>
        <w:t xml:space="preserve">ainder </w:t>
      </w:r>
      <w:r w:rsidRPr="00B503E6">
        <w:rPr>
          <w:rFonts w:asciiTheme="majorBidi" w:hAnsiTheme="majorBidi" w:cstheme="majorBidi"/>
          <w:sz w:val="24"/>
          <w:szCs w:val="24"/>
        </w:rPr>
        <w:t>w</w:t>
      </w:r>
      <w:r w:rsidR="00B00958" w:rsidRPr="00B503E6">
        <w:rPr>
          <w:rFonts w:asciiTheme="majorBidi" w:hAnsiTheme="majorBidi" w:cstheme="majorBidi"/>
          <w:sz w:val="24"/>
          <w:szCs w:val="24"/>
        </w:rPr>
        <w:t>ere</w:t>
      </w:r>
      <w:r w:rsidRPr="00B503E6">
        <w:rPr>
          <w:rFonts w:asciiTheme="majorBidi" w:hAnsiTheme="majorBidi" w:cstheme="majorBidi"/>
          <w:sz w:val="24"/>
          <w:szCs w:val="24"/>
        </w:rPr>
        <w:t xml:space="preserve"> to Palestine.</w:t>
      </w:r>
      <w:r w:rsidR="00B766C8">
        <w:rPr>
          <w:rStyle w:val="EndnoteReference"/>
          <w:rFonts w:asciiTheme="majorBidi" w:hAnsiTheme="majorBidi" w:cstheme="majorBidi"/>
          <w:sz w:val="24"/>
          <w:szCs w:val="24"/>
        </w:rPr>
        <w:endnoteReference w:id="51"/>
      </w:r>
      <w:r w:rsidRPr="00B503E6">
        <w:rPr>
          <w:rFonts w:asciiTheme="majorBidi" w:hAnsiTheme="majorBidi" w:cstheme="majorBidi"/>
          <w:sz w:val="24"/>
          <w:szCs w:val="24"/>
        </w:rPr>
        <w:t xml:space="preserve"> During the early 1930s exports declined, </w:t>
      </w:r>
      <w:r w:rsidR="00A56F9C" w:rsidRPr="00B503E6">
        <w:rPr>
          <w:rFonts w:asciiTheme="majorBidi" w:hAnsiTheme="majorBidi" w:cstheme="majorBidi"/>
          <w:sz w:val="24"/>
          <w:szCs w:val="24"/>
        </w:rPr>
        <w:t xml:space="preserve">possibly </w:t>
      </w:r>
      <w:r w:rsidRPr="00B503E6">
        <w:rPr>
          <w:rFonts w:asciiTheme="majorBidi" w:hAnsiTheme="majorBidi" w:cstheme="majorBidi"/>
          <w:sz w:val="24"/>
          <w:szCs w:val="24"/>
        </w:rPr>
        <w:t xml:space="preserve">due </w:t>
      </w:r>
      <w:r w:rsidR="00A56F9C" w:rsidRPr="00B503E6">
        <w:rPr>
          <w:rFonts w:asciiTheme="majorBidi" w:hAnsiTheme="majorBidi" w:cstheme="majorBidi"/>
          <w:sz w:val="24"/>
          <w:szCs w:val="24"/>
        </w:rPr>
        <w:t xml:space="preserve">more </w:t>
      </w:r>
      <w:r w:rsidRPr="00B503E6">
        <w:rPr>
          <w:rFonts w:asciiTheme="majorBidi" w:hAnsiTheme="majorBidi" w:cstheme="majorBidi"/>
          <w:sz w:val="24"/>
          <w:szCs w:val="24"/>
        </w:rPr>
        <w:t xml:space="preserve">to the weather than the Great Depression because there was a dry period </w:t>
      </w:r>
      <w:r w:rsidR="00F75A4F" w:rsidRPr="00B503E6">
        <w:rPr>
          <w:rFonts w:asciiTheme="majorBidi" w:hAnsiTheme="majorBidi" w:cstheme="majorBidi"/>
          <w:sz w:val="24"/>
          <w:szCs w:val="24"/>
        </w:rPr>
        <w:t xml:space="preserve">in the early 1930s </w:t>
      </w:r>
      <w:r w:rsidR="00D50DF4" w:rsidRPr="00B503E6">
        <w:rPr>
          <w:rFonts w:asciiTheme="majorBidi" w:hAnsiTheme="majorBidi" w:cstheme="majorBidi"/>
          <w:sz w:val="24"/>
          <w:szCs w:val="24"/>
        </w:rPr>
        <w:t>(</w:t>
      </w:r>
      <w:r w:rsidR="00F75A4F" w:rsidRPr="00B503E6">
        <w:rPr>
          <w:rFonts w:asciiTheme="majorBidi" w:hAnsiTheme="majorBidi" w:cstheme="majorBidi"/>
          <w:sz w:val="24"/>
          <w:szCs w:val="24"/>
        </w:rPr>
        <w:t>Fischbach, 2000</w:t>
      </w:r>
      <w:r w:rsidR="00D50DF4" w:rsidRPr="00B503E6">
        <w:rPr>
          <w:rFonts w:asciiTheme="majorBidi" w:hAnsiTheme="majorBidi" w:cstheme="majorBidi"/>
          <w:sz w:val="24"/>
          <w:szCs w:val="24"/>
        </w:rPr>
        <w:t xml:space="preserve">, </w:t>
      </w:r>
      <w:r w:rsidR="00F75A4F" w:rsidRPr="00B503E6">
        <w:rPr>
          <w:rFonts w:asciiTheme="majorBidi" w:hAnsiTheme="majorBidi" w:cstheme="majorBidi"/>
          <w:sz w:val="24"/>
          <w:szCs w:val="24"/>
        </w:rPr>
        <w:t>126</w:t>
      </w:r>
      <w:r w:rsidR="00D50DF4" w:rsidRPr="00B503E6">
        <w:rPr>
          <w:rFonts w:asciiTheme="majorBidi" w:hAnsiTheme="majorBidi" w:cstheme="majorBidi"/>
          <w:sz w:val="24"/>
          <w:szCs w:val="24"/>
        </w:rPr>
        <w:t>)</w:t>
      </w:r>
      <w:r w:rsidRPr="00B503E6">
        <w:rPr>
          <w:rFonts w:asciiTheme="majorBidi" w:hAnsiTheme="majorBidi" w:cstheme="majorBidi"/>
          <w:sz w:val="24"/>
          <w:szCs w:val="24"/>
        </w:rPr>
        <w:t xml:space="preserve">.  In 1936, exports </w:t>
      </w:r>
      <w:r w:rsidR="00E407C3" w:rsidRPr="00B503E6">
        <w:rPr>
          <w:rFonts w:asciiTheme="majorBidi" w:hAnsiTheme="majorBidi" w:cstheme="majorBidi"/>
          <w:sz w:val="24"/>
          <w:szCs w:val="24"/>
        </w:rPr>
        <w:t xml:space="preserve">jumped to </w:t>
      </w:r>
      <w:r w:rsidR="00F20B4A" w:rsidRPr="00B503E6">
        <w:rPr>
          <w:rFonts w:asciiTheme="majorBidi" w:hAnsiTheme="majorBidi" w:cstheme="majorBidi"/>
          <w:sz w:val="24"/>
          <w:szCs w:val="24"/>
        </w:rPr>
        <w:t xml:space="preserve">£P </w:t>
      </w:r>
      <w:r w:rsidR="00E407C3" w:rsidRPr="00B503E6">
        <w:rPr>
          <w:rFonts w:asciiTheme="majorBidi" w:hAnsiTheme="majorBidi" w:cstheme="majorBidi"/>
          <w:sz w:val="24"/>
          <w:szCs w:val="24"/>
        </w:rPr>
        <w:t xml:space="preserve">228,000 </w:t>
      </w:r>
      <w:r w:rsidRPr="00B503E6">
        <w:rPr>
          <w:rFonts w:asciiTheme="majorBidi" w:hAnsiTheme="majorBidi" w:cstheme="majorBidi"/>
          <w:sz w:val="24"/>
          <w:szCs w:val="24"/>
        </w:rPr>
        <w:t>and then they surged</w:t>
      </w:r>
      <w:r w:rsidR="009C1748" w:rsidRPr="00B503E6">
        <w:rPr>
          <w:rFonts w:asciiTheme="majorBidi" w:hAnsiTheme="majorBidi" w:cstheme="majorBidi"/>
          <w:sz w:val="24"/>
          <w:szCs w:val="24"/>
        </w:rPr>
        <w:t>, a</w:t>
      </w:r>
      <w:r w:rsidR="00E407C3" w:rsidRPr="00B503E6">
        <w:rPr>
          <w:rFonts w:asciiTheme="majorBidi" w:hAnsiTheme="majorBidi" w:cstheme="majorBidi"/>
          <w:sz w:val="24"/>
          <w:szCs w:val="24"/>
        </w:rPr>
        <w:t>s f</w:t>
      </w:r>
      <w:r w:rsidRPr="00B503E6">
        <w:rPr>
          <w:rFonts w:asciiTheme="majorBidi" w:hAnsiTheme="majorBidi" w:cstheme="majorBidi"/>
          <w:sz w:val="24"/>
          <w:szCs w:val="24"/>
        </w:rPr>
        <w:t>or the years 193</w:t>
      </w:r>
      <w:r w:rsidR="00E407C3" w:rsidRPr="00B503E6">
        <w:rPr>
          <w:rFonts w:asciiTheme="majorBidi" w:hAnsiTheme="majorBidi" w:cstheme="majorBidi"/>
          <w:sz w:val="24"/>
          <w:szCs w:val="24"/>
        </w:rPr>
        <w:t>7</w:t>
      </w:r>
      <w:r w:rsidRPr="00B503E6">
        <w:rPr>
          <w:rFonts w:asciiTheme="majorBidi" w:hAnsiTheme="majorBidi" w:cstheme="majorBidi"/>
          <w:sz w:val="24"/>
          <w:szCs w:val="24"/>
        </w:rPr>
        <w:t>-1939, Trans-Jordan's average exports were £P</w:t>
      </w:r>
      <w:r w:rsidR="00411E09" w:rsidRPr="00B503E6">
        <w:rPr>
          <w:rFonts w:asciiTheme="majorBidi" w:hAnsiTheme="majorBidi" w:cstheme="majorBidi"/>
          <w:sz w:val="24"/>
          <w:szCs w:val="24"/>
        </w:rPr>
        <w:t xml:space="preserve"> </w:t>
      </w:r>
      <w:r w:rsidR="00E407C3" w:rsidRPr="00B503E6">
        <w:rPr>
          <w:rFonts w:asciiTheme="majorBidi" w:hAnsiTheme="majorBidi" w:cstheme="majorBidi"/>
          <w:sz w:val="24"/>
          <w:szCs w:val="24"/>
        </w:rPr>
        <w:t>500,000. In total for the years 1936-1939,</w:t>
      </w:r>
      <w:r w:rsidRPr="00B503E6">
        <w:rPr>
          <w:rFonts w:asciiTheme="majorBidi" w:hAnsiTheme="majorBidi" w:cstheme="majorBidi"/>
          <w:sz w:val="24"/>
          <w:szCs w:val="24"/>
        </w:rPr>
        <w:t xml:space="preserve"> 88% </w:t>
      </w:r>
      <w:r w:rsidR="00E407C3" w:rsidRPr="00B503E6">
        <w:rPr>
          <w:rFonts w:asciiTheme="majorBidi" w:hAnsiTheme="majorBidi" w:cstheme="majorBidi"/>
          <w:sz w:val="24"/>
          <w:szCs w:val="24"/>
        </w:rPr>
        <w:t xml:space="preserve">of Trans-Jordan exports </w:t>
      </w:r>
      <w:r w:rsidRPr="00B503E6">
        <w:rPr>
          <w:rFonts w:asciiTheme="majorBidi" w:hAnsiTheme="majorBidi" w:cstheme="majorBidi"/>
          <w:sz w:val="24"/>
          <w:szCs w:val="24"/>
        </w:rPr>
        <w:t>w</w:t>
      </w:r>
      <w:r w:rsidR="00E407C3" w:rsidRPr="00B503E6">
        <w:rPr>
          <w:rFonts w:asciiTheme="majorBidi" w:hAnsiTheme="majorBidi" w:cstheme="majorBidi"/>
          <w:sz w:val="24"/>
          <w:szCs w:val="24"/>
        </w:rPr>
        <w:t xml:space="preserve">ere </w:t>
      </w:r>
      <w:r w:rsidRPr="00B503E6">
        <w:rPr>
          <w:rFonts w:asciiTheme="majorBidi" w:hAnsiTheme="majorBidi" w:cstheme="majorBidi"/>
          <w:sz w:val="24"/>
          <w:szCs w:val="24"/>
        </w:rPr>
        <w:t>to Palestine and 66% of exports were wheat and barley.</w:t>
      </w:r>
      <w:r w:rsidR="00B766C8">
        <w:rPr>
          <w:rStyle w:val="EndnoteReference"/>
          <w:rFonts w:asciiTheme="majorBidi" w:hAnsiTheme="majorBidi" w:cstheme="majorBidi"/>
          <w:sz w:val="24"/>
          <w:szCs w:val="24"/>
        </w:rPr>
        <w:endnoteReference w:id="52"/>
      </w:r>
      <w:r w:rsidR="00084CA5" w:rsidRPr="00B503E6">
        <w:rPr>
          <w:rFonts w:asciiTheme="majorBidi" w:hAnsiTheme="majorBidi" w:cstheme="majorBidi"/>
          <w:sz w:val="24"/>
          <w:szCs w:val="24"/>
        </w:rPr>
        <w:t xml:space="preserve">  </w:t>
      </w:r>
      <w:r w:rsidR="001C31C9" w:rsidRPr="00B503E6">
        <w:rPr>
          <w:rFonts w:asciiTheme="majorBidi" w:hAnsiTheme="majorBidi" w:cstheme="majorBidi"/>
          <w:sz w:val="24"/>
          <w:szCs w:val="24"/>
        </w:rPr>
        <w:t xml:space="preserve">For the years 1927-1939 the annual growth rate of exports was </w:t>
      </w:r>
      <w:r w:rsidR="00BD0694" w:rsidRPr="00B503E6">
        <w:rPr>
          <w:rFonts w:asciiTheme="majorBidi" w:hAnsiTheme="majorBidi" w:cstheme="majorBidi"/>
          <w:sz w:val="24"/>
          <w:szCs w:val="24"/>
        </w:rPr>
        <w:t>13.68% (</w:t>
      </w:r>
      <w:r w:rsidR="00E407C3" w:rsidRPr="00B503E6">
        <w:rPr>
          <w:rFonts w:asciiTheme="majorBidi" w:hAnsiTheme="majorBidi" w:cstheme="majorBidi"/>
          <w:sz w:val="24"/>
          <w:szCs w:val="24"/>
        </w:rPr>
        <w:t>10.27</w:t>
      </w:r>
      <w:r w:rsidR="001C31C9" w:rsidRPr="00B503E6">
        <w:rPr>
          <w:rFonts w:asciiTheme="majorBidi" w:hAnsiTheme="majorBidi" w:cstheme="majorBidi"/>
          <w:sz w:val="24"/>
          <w:szCs w:val="24"/>
        </w:rPr>
        <w:t>%</w:t>
      </w:r>
      <w:r w:rsidR="00BD0694" w:rsidRPr="00B503E6">
        <w:rPr>
          <w:rFonts w:asciiTheme="majorBidi" w:hAnsiTheme="majorBidi" w:cstheme="majorBidi"/>
          <w:sz w:val="24"/>
          <w:szCs w:val="24"/>
        </w:rPr>
        <w:t xml:space="preserve"> if </w:t>
      </w:r>
      <w:r w:rsidR="00E407C3" w:rsidRPr="00B503E6">
        <w:rPr>
          <w:rFonts w:asciiTheme="majorBidi" w:hAnsiTheme="majorBidi" w:cstheme="majorBidi"/>
          <w:sz w:val="24"/>
          <w:szCs w:val="24"/>
        </w:rPr>
        <w:t xml:space="preserve">one calculates </w:t>
      </w:r>
      <w:r w:rsidR="00BD0694" w:rsidRPr="00B503E6">
        <w:rPr>
          <w:rFonts w:asciiTheme="majorBidi" w:hAnsiTheme="majorBidi" w:cstheme="majorBidi"/>
          <w:sz w:val="24"/>
          <w:szCs w:val="24"/>
        </w:rPr>
        <w:t xml:space="preserve">the </w:t>
      </w:r>
      <w:r w:rsidR="00E407C3" w:rsidRPr="00B503E6">
        <w:rPr>
          <w:rFonts w:asciiTheme="majorBidi" w:hAnsiTheme="majorBidi" w:cstheme="majorBidi"/>
          <w:sz w:val="24"/>
          <w:szCs w:val="24"/>
        </w:rPr>
        <w:t xml:space="preserve">1927 figure as the </w:t>
      </w:r>
      <w:r w:rsidR="00BD0694" w:rsidRPr="00B503E6">
        <w:rPr>
          <w:rFonts w:asciiTheme="majorBidi" w:hAnsiTheme="majorBidi" w:cstheme="majorBidi"/>
          <w:sz w:val="24"/>
          <w:szCs w:val="24"/>
        </w:rPr>
        <w:t>average from 1927-1929</w:t>
      </w:r>
      <w:r w:rsidR="00E407C3" w:rsidRPr="00B503E6">
        <w:rPr>
          <w:rFonts w:asciiTheme="majorBidi" w:hAnsiTheme="majorBidi" w:cstheme="majorBidi"/>
          <w:sz w:val="24"/>
          <w:szCs w:val="24"/>
        </w:rPr>
        <w:t>)</w:t>
      </w:r>
      <w:r w:rsidR="001C31C9" w:rsidRPr="00B503E6">
        <w:rPr>
          <w:rFonts w:asciiTheme="majorBidi" w:hAnsiTheme="majorBidi" w:cstheme="majorBidi"/>
          <w:sz w:val="24"/>
          <w:szCs w:val="24"/>
        </w:rPr>
        <w:t>, and p</w:t>
      </w:r>
      <w:r w:rsidR="00084CA5" w:rsidRPr="00B503E6">
        <w:rPr>
          <w:rFonts w:asciiTheme="majorBidi" w:hAnsiTheme="majorBidi" w:cstheme="majorBidi"/>
          <w:sz w:val="24"/>
          <w:szCs w:val="24"/>
        </w:rPr>
        <w:t>er capita exports in 1939 w</w:t>
      </w:r>
      <w:r w:rsidR="0023293E" w:rsidRPr="00B503E6">
        <w:rPr>
          <w:rFonts w:asciiTheme="majorBidi" w:hAnsiTheme="majorBidi" w:cstheme="majorBidi"/>
          <w:sz w:val="24"/>
          <w:szCs w:val="24"/>
        </w:rPr>
        <w:t xml:space="preserve">ere </w:t>
      </w:r>
      <w:r w:rsidR="00084CA5" w:rsidRPr="00B503E6">
        <w:rPr>
          <w:rFonts w:asciiTheme="majorBidi" w:hAnsiTheme="majorBidi" w:cstheme="majorBidi"/>
          <w:sz w:val="24"/>
          <w:szCs w:val="24"/>
        </w:rPr>
        <w:t>£1.72.</w:t>
      </w:r>
      <w:r w:rsidR="00B766C8">
        <w:rPr>
          <w:rStyle w:val="EndnoteReference"/>
          <w:rFonts w:asciiTheme="majorBidi" w:hAnsiTheme="majorBidi" w:cstheme="majorBidi"/>
          <w:sz w:val="24"/>
          <w:szCs w:val="24"/>
        </w:rPr>
        <w:endnoteReference w:id="53"/>
      </w:r>
    </w:p>
    <w:p w:rsidR="004F0284" w:rsidRPr="00B503E6" w:rsidRDefault="00897264" w:rsidP="00B766C8">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During WWII merchants in Amman profited greatly from both the legal and illegal trade of wheat and contraband, and the population of Amman was estimated to have grown to 60,000 by 1945.</w:t>
      </w:r>
      <w:r w:rsidR="00B766C8">
        <w:rPr>
          <w:rStyle w:val="EndnoteReference"/>
          <w:rFonts w:asciiTheme="majorBidi" w:hAnsiTheme="majorBidi" w:cstheme="majorBidi"/>
          <w:sz w:val="24"/>
          <w:szCs w:val="24"/>
        </w:rPr>
        <w:endnoteReference w:id="54"/>
      </w:r>
      <w:r w:rsidRPr="00B503E6">
        <w:rPr>
          <w:rFonts w:asciiTheme="majorBidi" w:hAnsiTheme="majorBidi" w:cstheme="majorBidi"/>
          <w:sz w:val="24"/>
          <w:szCs w:val="24"/>
        </w:rPr>
        <w:t xml:space="preserve"> </w:t>
      </w:r>
      <w:r w:rsidR="00B766C8">
        <w:rPr>
          <w:rFonts w:asciiTheme="majorBidi" w:hAnsiTheme="majorBidi" w:cstheme="majorBidi"/>
          <w:sz w:val="24"/>
          <w:szCs w:val="24"/>
        </w:rPr>
        <w:t xml:space="preserve"> </w:t>
      </w:r>
      <w:r w:rsidR="004F0284" w:rsidRPr="00B503E6">
        <w:rPr>
          <w:rFonts w:asciiTheme="majorBidi" w:hAnsiTheme="majorBidi" w:cstheme="majorBidi"/>
          <w:sz w:val="24"/>
          <w:szCs w:val="24"/>
        </w:rPr>
        <w:t>Trans-Jordan's average official exports for the years 1940-1942 was £P</w:t>
      </w:r>
      <w:r w:rsidR="00411E09" w:rsidRPr="00B503E6">
        <w:rPr>
          <w:rFonts w:asciiTheme="majorBidi" w:hAnsiTheme="majorBidi" w:cstheme="majorBidi"/>
          <w:sz w:val="24"/>
          <w:szCs w:val="24"/>
        </w:rPr>
        <w:t xml:space="preserve"> </w:t>
      </w:r>
      <w:r w:rsidR="004F0284" w:rsidRPr="00B503E6">
        <w:rPr>
          <w:rFonts w:asciiTheme="majorBidi" w:hAnsiTheme="majorBidi" w:cstheme="majorBidi"/>
          <w:sz w:val="24"/>
          <w:szCs w:val="24"/>
        </w:rPr>
        <w:t>690,</w:t>
      </w:r>
      <w:r w:rsidR="005A4173" w:rsidRPr="00B503E6">
        <w:rPr>
          <w:rFonts w:asciiTheme="majorBidi" w:hAnsiTheme="majorBidi" w:cstheme="majorBidi"/>
          <w:sz w:val="24"/>
          <w:szCs w:val="24"/>
        </w:rPr>
        <w:t>000</w:t>
      </w:r>
      <w:r w:rsidR="004F0284" w:rsidRPr="00B503E6">
        <w:rPr>
          <w:rFonts w:asciiTheme="majorBidi" w:hAnsiTheme="majorBidi" w:cstheme="majorBidi"/>
          <w:sz w:val="24"/>
          <w:szCs w:val="24"/>
        </w:rPr>
        <w:t>, of which 98% w</w:t>
      </w:r>
      <w:r w:rsidR="00B00958" w:rsidRPr="00B503E6">
        <w:rPr>
          <w:rFonts w:asciiTheme="majorBidi" w:hAnsiTheme="majorBidi" w:cstheme="majorBidi"/>
          <w:sz w:val="24"/>
          <w:szCs w:val="24"/>
        </w:rPr>
        <w:t>ere</w:t>
      </w:r>
      <w:r w:rsidR="004F0284" w:rsidRPr="00B503E6">
        <w:rPr>
          <w:rFonts w:asciiTheme="majorBidi" w:hAnsiTheme="majorBidi" w:cstheme="majorBidi"/>
          <w:sz w:val="24"/>
          <w:szCs w:val="24"/>
        </w:rPr>
        <w:t xml:space="preserve"> to Palestine, and 51% of all exports were wheat and barley. </w:t>
      </w:r>
      <w:r w:rsidR="00265FA6" w:rsidRPr="00B503E6">
        <w:rPr>
          <w:rFonts w:asciiTheme="majorBidi" w:hAnsiTheme="majorBidi" w:cstheme="majorBidi"/>
          <w:sz w:val="24"/>
          <w:szCs w:val="24"/>
        </w:rPr>
        <w:t>A</w:t>
      </w:r>
      <w:r w:rsidR="00B00958" w:rsidRPr="00B503E6">
        <w:rPr>
          <w:rFonts w:asciiTheme="majorBidi" w:hAnsiTheme="majorBidi" w:cstheme="majorBidi"/>
          <w:sz w:val="24"/>
          <w:szCs w:val="24"/>
        </w:rPr>
        <w:t>fterwards</w:t>
      </w:r>
      <w:r w:rsidR="00813D7C" w:rsidRPr="00B503E6">
        <w:rPr>
          <w:rFonts w:asciiTheme="majorBidi" w:hAnsiTheme="majorBidi" w:cstheme="majorBidi"/>
          <w:sz w:val="24"/>
          <w:szCs w:val="24"/>
        </w:rPr>
        <w:t xml:space="preserve">, exports increased, as </w:t>
      </w:r>
      <w:r w:rsidR="005A4173" w:rsidRPr="00B503E6">
        <w:rPr>
          <w:rFonts w:asciiTheme="majorBidi" w:hAnsiTheme="majorBidi" w:cstheme="majorBidi"/>
          <w:sz w:val="24"/>
          <w:szCs w:val="24"/>
        </w:rPr>
        <w:t xml:space="preserve">in </w:t>
      </w:r>
      <w:r w:rsidR="004F0284" w:rsidRPr="00B503E6">
        <w:rPr>
          <w:rFonts w:asciiTheme="majorBidi" w:hAnsiTheme="majorBidi" w:cstheme="majorBidi"/>
          <w:sz w:val="24"/>
          <w:szCs w:val="24"/>
        </w:rPr>
        <w:t xml:space="preserve">1944 Trans-Jordan's exports </w:t>
      </w:r>
      <w:r w:rsidR="005A4173" w:rsidRPr="00B503E6">
        <w:rPr>
          <w:rFonts w:asciiTheme="majorBidi" w:hAnsiTheme="majorBidi" w:cstheme="majorBidi"/>
          <w:sz w:val="24"/>
          <w:szCs w:val="24"/>
        </w:rPr>
        <w:t xml:space="preserve">were </w:t>
      </w:r>
      <w:r w:rsidR="004F0284" w:rsidRPr="00B503E6">
        <w:rPr>
          <w:rFonts w:asciiTheme="majorBidi" w:hAnsiTheme="majorBidi" w:cstheme="majorBidi"/>
          <w:sz w:val="24"/>
          <w:szCs w:val="24"/>
        </w:rPr>
        <w:t>£P</w:t>
      </w:r>
      <w:r w:rsidR="00E155CB" w:rsidRPr="00B503E6">
        <w:rPr>
          <w:rFonts w:asciiTheme="majorBidi" w:hAnsiTheme="majorBidi" w:cstheme="majorBidi"/>
          <w:sz w:val="24"/>
          <w:szCs w:val="24"/>
        </w:rPr>
        <w:t xml:space="preserve"> </w:t>
      </w:r>
      <w:r w:rsidR="004F0284" w:rsidRPr="00B503E6">
        <w:rPr>
          <w:rFonts w:asciiTheme="majorBidi" w:hAnsiTheme="majorBidi" w:cstheme="majorBidi"/>
          <w:sz w:val="24"/>
          <w:szCs w:val="24"/>
        </w:rPr>
        <w:t>1,</w:t>
      </w:r>
      <w:r w:rsidR="005A4173" w:rsidRPr="00B503E6">
        <w:rPr>
          <w:rFonts w:asciiTheme="majorBidi" w:hAnsiTheme="majorBidi" w:cstheme="majorBidi"/>
          <w:sz w:val="24"/>
          <w:szCs w:val="24"/>
        </w:rPr>
        <w:t>457,000</w:t>
      </w:r>
      <w:r w:rsidR="00D50DF4" w:rsidRPr="00B503E6">
        <w:rPr>
          <w:rFonts w:asciiTheme="majorBidi" w:hAnsiTheme="majorBidi" w:cstheme="majorBidi"/>
          <w:sz w:val="24"/>
          <w:szCs w:val="24"/>
        </w:rPr>
        <w:t xml:space="preserve"> (Konikoff 1946</w:t>
      </w:r>
      <w:r w:rsidR="006531A7" w:rsidRPr="00B503E6">
        <w:rPr>
          <w:rFonts w:asciiTheme="majorBidi" w:hAnsiTheme="majorBidi" w:cstheme="majorBidi"/>
          <w:sz w:val="24"/>
          <w:szCs w:val="24"/>
        </w:rPr>
        <w:t>,</w:t>
      </w:r>
      <w:r w:rsidR="00D50DF4" w:rsidRPr="00B503E6">
        <w:rPr>
          <w:rFonts w:asciiTheme="majorBidi" w:hAnsiTheme="majorBidi" w:cstheme="majorBidi"/>
          <w:sz w:val="24"/>
          <w:szCs w:val="24"/>
        </w:rPr>
        <w:t xml:space="preserve"> 65)</w:t>
      </w:r>
      <w:r w:rsidR="00813D7C" w:rsidRPr="00B503E6">
        <w:rPr>
          <w:rFonts w:asciiTheme="majorBidi" w:hAnsiTheme="majorBidi" w:cstheme="majorBidi"/>
          <w:sz w:val="24"/>
          <w:szCs w:val="24"/>
        </w:rPr>
        <w:t xml:space="preserve">, and in 1946, £P 2,044,171 (Shwadran, 1959, 242), </w:t>
      </w:r>
      <w:r w:rsidR="00934F3D" w:rsidRPr="00B503E6">
        <w:rPr>
          <w:rFonts w:asciiTheme="majorBidi" w:hAnsiTheme="majorBidi" w:cstheme="majorBidi"/>
          <w:sz w:val="24"/>
          <w:szCs w:val="24"/>
        </w:rPr>
        <w:t xml:space="preserve">though </w:t>
      </w:r>
      <w:r w:rsidR="00733764" w:rsidRPr="00B503E6">
        <w:rPr>
          <w:rFonts w:asciiTheme="majorBidi" w:hAnsiTheme="majorBidi" w:cstheme="majorBidi"/>
          <w:sz w:val="24"/>
          <w:szCs w:val="24"/>
        </w:rPr>
        <w:t xml:space="preserve">again </w:t>
      </w:r>
      <w:r w:rsidR="00813D7C" w:rsidRPr="00B503E6">
        <w:rPr>
          <w:rFonts w:asciiTheme="majorBidi" w:hAnsiTheme="majorBidi" w:cstheme="majorBidi"/>
          <w:sz w:val="24"/>
          <w:szCs w:val="24"/>
        </w:rPr>
        <w:t>these numbers are heavily influenced by the inflation in the period</w:t>
      </w:r>
      <w:r w:rsidR="004F0284" w:rsidRPr="00B503E6">
        <w:rPr>
          <w:rFonts w:asciiTheme="majorBidi" w:hAnsiTheme="majorBidi" w:cstheme="majorBidi"/>
          <w:sz w:val="24"/>
          <w:szCs w:val="24"/>
        </w:rPr>
        <w:t xml:space="preserve">. </w:t>
      </w:r>
      <w:r w:rsidR="00BF6DE1" w:rsidRPr="00B503E6">
        <w:rPr>
          <w:rFonts w:asciiTheme="majorBidi" w:hAnsiTheme="majorBidi" w:cstheme="majorBidi"/>
          <w:sz w:val="24"/>
          <w:szCs w:val="24"/>
        </w:rPr>
        <w:t xml:space="preserve"> </w:t>
      </w:r>
    </w:p>
    <w:p w:rsidR="00F94908" w:rsidRPr="00B503E6" w:rsidRDefault="004F0284" w:rsidP="00B766C8">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This growth in exports in Trans-Jordan is collaborated by the increases in output of wheat and barley.  In 1927, </w:t>
      </w:r>
      <w:r w:rsidR="008D04EF" w:rsidRPr="00B503E6">
        <w:rPr>
          <w:rFonts w:asciiTheme="majorBidi" w:hAnsiTheme="majorBidi" w:cstheme="majorBidi"/>
          <w:sz w:val="24"/>
          <w:szCs w:val="24"/>
        </w:rPr>
        <w:t xml:space="preserve">which </w:t>
      </w:r>
      <w:r w:rsidR="00C42136" w:rsidRPr="00B503E6">
        <w:rPr>
          <w:rFonts w:asciiTheme="majorBidi" w:hAnsiTheme="majorBidi" w:cstheme="majorBidi"/>
          <w:sz w:val="24"/>
          <w:szCs w:val="24"/>
        </w:rPr>
        <w:t xml:space="preserve">according to the annual British report, </w:t>
      </w:r>
      <w:r w:rsidR="00F13B4E" w:rsidRPr="00B503E6">
        <w:rPr>
          <w:rFonts w:asciiTheme="majorBidi" w:hAnsiTheme="majorBidi" w:cstheme="majorBidi"/>
          <w:sz w:val="24"/>
          <w:szCs w:val="24"/>
        </w:rPr>
        <w:t xml:space="preserve">was a year where </w:t>
      </w:r>
      <w:r w:rsidR="00694A86" w:rsidRPr="00B503E6">
        <w:rPr>
          <w:rFonts w:asciiTheme="majorBidi" w:hAnsiTheme="majorBidi" w:cstheme="majorBidi"/>
          <w:sz w:val="24"/>
          <w:szCs w:val="24"/>
        </w:rPr>
        <w:t>“</w:t>
      </w:r>
      <w:r w:rsidR="00C42136" w:rsidRPr="00B503E6">
        <w:rPr>
          <w:rFonts w:asciiTheme="majorBidi" w:hAnsiTheme="majorBidi" w:cstheme="majorBidi"/>
          <w:sz w:val="24"/>
          <w:szCs w:val="24"/>
        </w:rPr>
        <w:t>climatic conditions were favorable,</w:t>
      </w:r>
      <w:r w:rsidR="00694A86" w:rsidRPr="00B503E6">
        <w:rPr>
          <w:rFonts w:asciiTheme="majorBidi" w:hAnsiTheme="majorBidi" w:cstheme="majorBidi"/>
          <w:sz w:val="24"/>
          <w:szCs w:val="24"/>
        </w:rPr>
        <w:t>”</w:t>
      </w:r>
      <w:r w:rsidR="00C42136" w:rsidRPr="00B503E6">
        <w:rPr>
          <w:rFonts w:asciiTheme="majorBidi" w:hAnsiTheme="majorBidi" w:cstheme="majorBidi"/>
          <w:sz w:val="24"/>
          <w:szCs w:val="24"/>
        </w:rPr>
        <w:t xml:space="preserve"> </w:t>
      </w:r>
      <w:r w:rsidRPr="00B503E6">
        <w:rPr>
          <w:rFonts w:asciiTheme="majorBidi" w:hAnsiTheme="majorBidi" w:cstheme="majorBidi"/>
          <w:sz w:val="24"/>
          <w:szCs w:val="24"/>
        </w:rPr>
        <w:t>the country produced 35,000 tons of wheat and 12,000 tons of barley.</w:t>
      </w:r>
      <w:r w:rsidR="00B766C8">
        <w:rPr>
          <w:rStyle w:val="EndnoteReference"/>
          <w:rFonts w:asciiTheme="majorBidi" w:hAnsiTheme="majorBidi" w:cstheme="majorBidi"/>
          <w:sz w:val="24"/>
          <w:szCs w:val="24"/>
        </w:rPr>
        <w:endnoteReference w:id="55"/>
      </w:r>
      <w:r w:rsidRPr="00B503E6">
        <w:rPr>
          <w:rFonts w:asciiTheme="majorBidi" w:hAnsiTheme="majorBidi" w:cstheme="majorBidi"/>
          <w:sz w:val="24"/>
          <w:szCs w:val="24"/>
        </w:rPr>
        <w:t xml:space="preserve">  </w:t>
      </w:r>
      <w:r w:rsidR="00694A86" w:rsidRPr="00B503E6">
        <w:rPr>
          <w:rFonts w:asciiTheme="majorBidi" w:hAnsiTheme="majorBidi" w:cstheme="majorBidi"/>
          <w:sz w:val="24"/>
          <w:szCs w:val="24"/>
        </w:rPr>
        <w:t xml:space="preserve">Output </w:t>
      </w:r>
      <w:r w:rsidR="00BB5B9D" w:rsidRPr="00B503E6">
        <w:rPr>
          <w:rFonts w:asciiTheme="majorBidi" w:hAnsiTheme="majorBidi" w:cstheme="majorBidi"/>
          <w:sz w:val="24"/>
          <w:szCs w:val="24"/>
        </w:rPr>
        <w:t xml:space="preserve">increased in </w:t>
      </w:r>
      <w:r w:rsidRPr="00B503E6">
        <w:rPr>
          <w:rFonts w:asciiTheme="majorBidi" w:hAnsiTheme="majorBidi" w:cstheme="majorBidi"/>
          <w:sz w:val="24"/>
          <w:szCs w:val="24"/>
        </w:rPr>
        <w:t>1936</w:t>
      </w:r>
      <w:r w:rsidR="00BB5B9D" w:rsidRPr="00B503E6">
        <w:rPr>
          <w:rFonts w:asciiTheme="majorBidi" w:hAnsiTheme="majorBidi" w:cstheme="majorBidi"/>
          <w:sz w:val="24"/>
          <w:szCs w:val="24"/>
        </w:rPr>
        <w:t xml:space="preserve"> to</w:t>
      </w:r>
      <w:r w:rsidRPr="00B503E6">
        <w:rPr>
          <w:rFonts w:asciiTheme="majorBidi" w:hAnsiTheme="majorBidi" w:cstheme="majorBidi"/>
          <w:sz w:val="24"/>
          <w:szCs w:val="24"/>
        </w:rPr>
        <w:t xml:space="preserve"> 40,800 tons of wheat </w:t>
      </w:r>
      <w:r w:rsidRPr="00B503E6">
        <w:rPr>
          <w:rFonts w:asciiTheme="majorBidi" w:hAnsiTheme="majorBidi" w:cstheme="majorBidi"/>
          <w:sz w:val="24"/>
          <w:szCs w:val="24"/>
        </w:rPr>
        <w:lastRenderedPageBreak/>
        <w:t>and 16,800 tons of barley</w:t>
      </w:r>
      <w:r w:rsidR="007A69DB" w:rsidRPr="00B503E6">
        <w:rPr>
          <w:rFonts w:asciiTheme="majorBidi" w:hAnsiTheme="majorBidi" w:cstheme="majorBidi"/>
          <w:sz w:val="24"/>
          <w:szCs w:val="24"/>
        </w:rPr>
        <w:t xml:space="preserve">, </w:t>
      </w:r>
      <w:r w:rsidR="00BB5B9D" w:rsidRPr="00B503E6">
        <w:rPr>
          <w:rFonts w:asciiTheme="majorBidi" w:hAnsiTheme="majorBidi" w:cstheme="majorBidi"/>
          <w:sz w:val="24"/>
          <w:szCs w:val="24"/>
        </w:rPr>
        <w:t xml:space="preserve">and then </w:t>
      </w:r>
      <w:r w:rsidR="007A69DB" w:rsidRPr="00B503E6">
        <w:rPr>
          <w:rFonts w:asciiTheme="majorBidi" w:hAnsiTheme="majorBidi" w:cstheme="majorBidi"/>
          <w:sz w:val="24"/>
          <w:szCs w:val="24"/>
        </w:rPr>
        <w:t xml:space="preserve">in </w:t>
      </w:r>
      <w:r w:rsidRPr="00B503E6">
        <w:rPr>
          <w:rFonts w:asciiTheme="majorBidi" w:hAnsiTheme="majorBidi" w:cstheme="majorBidi"/>
          <w:sz w:val="24"/>
          <w:szCs w:val="24"/>
        </w:rPr>
        <w:t>1939</w:t>
      </w:r>
      <w:r w:rsidR="00F13B4E" w:rsidRPr="00B503E6">
        <w:rPr>
          <w:rFonts w:asciiTheme="majorBidi" w:hAnsiTheme="majorBidi" w:cstheme="majorBidi"/>
          <w:sz w:val="24"/>
          <w:szCs w:val="24"/>
        </w:rPr>
        <w:t xml:space="preserve">/40, the average output jumped to </w:t>
      </w:r>
      <w:r w:rsidRPr="00B503E6">
        <w:rPr>
          <w:rFonts w:asciiTheme="majorBidi" w:hAnsiTheme="majorBidi" w:cstheme="majorBidi"/>
          <w:sz w:val="24"/>
          <w:szCs w:val="24"/>
        </w:rPr>
        <w:t>16</w:t>
      </w:r>
      <w:r w:rsidR="00F13B4E" w:rsidRPr="00B503E6">
        <w:rPr>
          <w:rFonts w:asciiTheme="majorBidi" w:hAnsiTheme="majorBidi" w:cstheme="majorBidi"/>
          <w:sz w:val="24"/>
          <w:szCs w:val="24"/>
        </w:rPr>
        <w:t>9</w:t>
      </w:r>
      <w:r w:rsidRPr="00B503E6">
        <w:rPr>
          <w:rFonts w:asciiTheme="majorBidi" w:hAnsiTheme="majorBidi" w:cstheme="majorBidi"/>
          <w:sz w:val="24"/>
          <w:szCs w:val="24"/>
        </w:rPr>
        <w:t>,</w:t>
      </w:r>
      <w:r w:rsidR="00F13B4E" w:rsidRPr="00B503E6">
        <w:rPr>
          <w:rFonts w:asciiTheme="majorBidi" w:hAnsiTheme="majorBidi" w:cstheme="majorBidi"/>
          <w:sz w:val="24"/>
          <w:szCs w:val="24"/>
        </w:rPr>
        <w:t>7</w:t>
      </w:r>
      <w:r w:rsidRPr="00B503E6">
        <w:rPr>
          <w:rFonts w:asciiTheme="majorBidi" w:hAnsiTheme="majorBidi" w:cstheme="majorBidi"/>
          <w:sz w:val="24"/>
          <w:szCs w:val="24"/>
        </w:rPr>
        <w:t xml:space="preserve">00 tons of wheat and </w:t>
      </w:r>
      <w:r w:rsidR="00F13B4E" w:rsidRPr="00B503E6">
        <w:rPr>
          <w:rFonts w:asciiTheme="majorBidi" w:hAnsiTheme="majorBidi" w:cstheme="majorBidi"/>
          <w:sz w:val="24"/>
          <w:szCs w:val="24"/>
        </w:rPr>
        <w:t xml:space="preserve">78,150 </w:t>
      </w:r>
      <w:r w:rsidRPr="00B503E6">
        <w:rPr>
          <w:rFonts w:asciiTheme="majorBidi" w:hAnsiTheme="majorBidi" w:cstheme="majorBidi"/>
          <w:sz w:val="24"/>
          <w:szCs w:val="24"/>
        </w:rPr>
        <w:t>tons of barley</w:t>
      </w:r>
      <w:r w:rsidR="00F13B4E" w:rsidRPr="00B503E6">
        <w:rPr>
          <w:rFonts w:asciiTheme="majorBidi" w:hAnsiTheme="majorBidi" w:cstheme="majorBidi"/>
          <w:sz w:val="24"/>
          <w:szCs w:val="24"/>
        </w:rPr>
        <w:t xml:space="preserve">. </w:t>
      </w:r>
      <w:r w:rsidR="00ED2D53" w:rsidRPr="00B503E6">
        <w:rPr>
          <w:rFonts w:asciiTheme="majorBidi" w:hAnsiTheme="majorBidi" w:cstheme="majorBidi"/>
          <w:sz w:val="24"/>
          <w:szCs w:val="24"/>
        </w:rPr>
        <w:t xml:space="preserve"> During WWII, the average for the years 1940-1942 was 95,000 tons of wheat and 47,000 tons of barley.</w:t>
      </w:r>
      <w:r w:rsidR="007959A0" w:rsidRPr="00B503E6">
        <w:rPr>
          <w:rFonts w:asciiTheme="majorBidi" w:hAnsiTheme="majorBidi" w:cstheme="majorBidi"/>
          <w:sz w:val="24"/>
          <w:szCs w:val="24"/>
        </w:rPr>
        <w:t xml:space="preserve"> </w:t>
      </w:r>
      <w:r w:rsidR="00ED2D53" w:rsidRPr="00B503E6">
        <w:rPr>
          <w:rFonts w:asciiTheme="majorBidi" w:hAnsiTheme="majorBidi" w:cstheme="majorBidi"/>
          <w:sz w:val="24"/>
          <w:szCs w:val="24"/>
        </w:rPr>
        <w:t xml:space="preserve">This was an increase of 171% and 291% </w:t>
      </w:r>
      <w:r w:rsidR="00F20B4A" w:rsidRPr="00B503E6">
        <w:rPr>
          <w:rFonts w:asciiTheme="majorBidi" w:hAnsiTheme="majorBidi" w:cstheme="majorBidi"/>
          <w:sz w:val="24"/>
          <w:szCs w:val="24"/>
        </w:rPr>
        <w:t xml:space="preserve">in </w:t>
      </w:r>
      <w:r w:rsidR="00F13B4E" w:rsidRPr="00B503E6">
        <w:rPr>
          <w:rFonts w:asciiTheme="majorBidi" w:hAnsiTheme="majorBidi" w:cstheme="majorBidi"/>
          <w:sz w:val="24"/>
          <w:szCs w:val="24"/>
        </w:rPr>
        <w:t xml:space="preserve">the output of wheat and barley </w:t>
      </w:r>
      <w:r w:rsidR="00ED2D53" w:rsidRPr="00B503E6">
        <w:rPr>
          <w:rFonts w:asciiTheme="majorBidi" w:hAnsiTheme="majorBidi" w:cstheme="majorBidi"/>
          <w:sz w:val="24"/>
          <w:szCs w:val="24"/>
        </w:rPr>
        <w:t>from 1927.</w:t>
      </w:r>
      <w:r w:rsidR="00B766C8">
        <w:rPr>
          <w:rStyle w:val="EndnoteReference"/>
          <w:rFonts w:asciiTheme="majorBidi" w:hAnsiTheme="majorBidi" w:cstheme="majorBidi"/>
          <w:sz w:val="24"/>
          <w:szCs w:val="24"/>
        </w:rPr>
        <w:endnoteReference w:id="56"/>
      </w:r>
      <w:r w:rsidRPr="00B503E6">
        <w:rPr>
          <w:rFonts w:asciiTheme="majorBidi" w:hAnsiTheme="majorBidi" w:cstheme="majorBidi"/>
          <w:sz w:val="24"/>
          <w:szCs w:val="24"/>
        </w:rPr>
        <w:t xml:space="preserve">  </w:t>
      </w:r>
    </w:p>
    <w:p w:rsidR="00A24EBB" w:rsidRPr="00B503E6" w:rsidRDefault="00D61296" w:rsidP="00464D9F">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With regard to industry, </w:t>
      </w:r>
      <w:r w:rsidR="003D4200" w:rsidRPr="00B503E6">
        <w:rPr>
          <w:rFonts w:asciiTheme="majorBidi" w:hAnsiTheme="majorBidi" w:cstheme="majorBidi"/>
          <w:sz w:val="24"/>
          <w:szCs w:val="24"/>
        </w:rPr>
        <w:t xml:space="preserve">in Syria and Lebanon </w:t>
      </w:r>
      <w:r w:rsidRPr="00B503E6">
        <w:rPr>
          <w:rFonts w:asciiTheme="majorBidi" w:hAnsiTheme="majorBidi" w:cstheme="majorBidi"/>
          <w:sz w:val="24"/>
          <w:szCs w:val="24"/>
        </w:rPr>
        <w:t xml:space="preserve">the </w:t>
      </w:r>
      <w:r w:rsidR="002E1C7B" w:rsidRPr="00B503E6">
        <w:rPr>
          <w:rFonts w:asciiTheme="majorBidi" w:hAnsiTheme="majorBidi" w:cstheme="majorBidi"/>
          <w:sz w:val="24"/>
          <w:szCs w:val="24"/>
        </w:rPr>
        <w:t xml:space="preserve">beginning of the </w:t>
      </w:r>
      <w:r w:rsidR="003D4200" w:rsidRPr="00B503E6">
        <w:rPr>
          <w:rFonts w:asciiTheme="majorBidi" w:hAnsiTheme="majorBidi" w:cstheme="majorBidi"/>
          <w:sz w:val="24"/>
          <w:szCs w:val="24"/>
        </w:rPr>
        <w:t>m</w:t>
      </w:r>
      <w:r w:rsidR="00E26C05" w:rsidRPr="00B503E6">
        <w:rPr>
          <w:rFonts w:asciiTheme="majorBidi" w:hAnsiTheme="majorBidi" w:cstheme="majorBidi"/>
          <w:sz w:val="24"/>
          <w:szCs w:val="24"/>
        </w:rPr>
        <w:t>andate</w:t>
      </w:r>
      <w:r w:rsidRPr="00B503E6">
        <w:rPr>
          <w:rFonts w:asciiTheme="majorBidi" w:hAnsiTheme="majorBidi" w:cstheme="majorBidi"/>
          <w:sz w:val="24"/>
          <w:szCs w:val="24"/>
        </w:rPr>
        <w:t xml:space="preserve"> period was very difficult for the old traditional industries</w:t>
      </w:r>
      <w:r w:rsidR="00AE36F4" w:rsidRPr="00B503E6">
        <w:rPr>
          <w:rFonts w:asciiTheme="majorBidi" w:hAnsiTheme="majorBidi" w:cstheme="majorBidi"/>
          <w:sz w:val="24"/>
          <w:szCs w:val="24"/>
        </w:rPr>
        <w:t xml:space="preserve">, such as </w:t>
      </w:r>
      <w:r w:rsidRPr="00B503E6">
        <w:rPr>
          <w:rFonts w:asciiTheme="majorBidi" w:hAnsiTheme="majorBidi" w:cstheme="majorBidi"/>
          <w:sz w:val="24"/>
          <w:szCs w:val="24"/>
        </w:rPr>
        <w:t>textiles and soap</w:t>
      </w:r>
      <w:r w:rsidR="00AE36F4" w:rsidRPr="00B503E6">
        <w:rPr>
          <w:rFonts w:asciiTheme="majorBidi" w:hAnsiTheme="majorBidi" w:cstheme="majorBidi"/>
          <w:sz w:val="24"/>
          <w:szCs w:val="24"/>
        </w:rPr>
        <w:t xml:space="preserve">. </w:t>
      </w:r>
      <w:r w:rsidRPr="00B503E6">
        <w:rPr>
          <w:rFonts w:asciiTheme="majorBidi" w:hAnsiTheme="majorBidi" w:cstheme="majorBidi"/>
          <w:sz w:val="24"/>
          <w:szCs w:val="24"/>
        </w:rPr>
        <w:t xml:space="preserve"> </w:t>
      </w:r>
      <w:r w:rsidR="00AE36F4" w:rsidRPr="00B503E6">
        <w:rPr>
          <w:rFonts w:asciiTheme="majorBidi" w:hAnsiTheme="majorBidi" w:cstheme="majorBidi"/>
          <w:sz w:val="24"/>
          <w:szCs w:val="24"/>
        </w:rPr>
        <w:t xml:space="preserve"> For example, it is estimated that in 1913 there were 40,000 textile workers in Aleppo, while by 1929 the number had fallen to 10,000 due partly to competition from Japanese producers (Sluglett, 2002). </w:t>
      </w:r>
      <w:r w:rsidR="001471BD" w:rsidRPr="00B503E6">
        <w:rPr>
          <w:rFonts w:asciiTheme="majorBidi" w:hAnsiTheme="majorBidi" w:cstheme="majorBidi"/>
          <w:sz w:val="24"/>
          <w:szCs w:val="24"/>
        </w:rPr>
        <w:t xml:space="preserve">Instead, </w:t>
      </w:r>
      <w:r w:rsidR="003D4200" w:rsidRPr="00B503E6">
        <w:rPr>
          <w:rFonts w:asciiTheme="majorBidi" w:hAnsiTheme="majorBidi" w:cstheme="majorBidi"/>
          <w:sz w:val="24"/>
          <w:szCs w:val="24"/>
        </w:rPr>
        <w:t>t</w:t>
      </w:r>
      <w:r w:rsidR="001471BD" w:rsidRPr="00B503E6">
        <w:rPr>
          <w:rFonts w:asciiTheme="majorBidi" w:hAnsiTheme="majorBidi" w:cstheme="majorBidi"/>
          <w:sz w:val="24"/>
          <w:szCs w:val="24"/>
        </w:rPr>
        <w:t>here was a development of new industries such as cement and food processing industries</w:t>
      </w:r>
      <w:r w:rsidR="00FD0823" w:rsidRPr="00B503E6">
        <w:rPr>
          <w:rFonts w:asciiTheme="majorBidi" w:hAnsiTheme="majorBidi" w:cstheme="majorBidi"/>
          <w:sz w:val="24"/>
          <w:szCs w:val="24"/>
        </w:rPr>
        <w:t xml:space="preserve">.  </w:t>
      </w:r>
      <w:r w:rsidR="00A24EBB" w:rsidRPr="00B503E6">
        <w:rPr>
          <w:rFonts w:asciiTheme="majorBidi" w:hAnsiTheme="majorBidi" w:cstheme="majorBidi"/>
          <w:sz w:val="24"/>
          <w:szCs w:val="24"/>
        </w:rPr>
        <w:t xml:space="preserve">Stephen Longrigg (1972, 274) writes,  </w:t>
      </w:r>
    </w:p>
    <w:p w:rsidR="00A24EBB" w:rsidRPr="00B503E6" w:rsidRDefault="00A24EBB" w:rsidP="00A24EBB">
      <w:pPr>
        <w:spacing w:line="480" w:lineRule="auto"/>
        <w:ind w:left="567"/>
        <w:contextualSpacing/>
        <w:jc w:val="both"/>
        <w:rPr>
          <w:rFonts w:asciiTheme="majorBidi" w:hAnsiTheme="majorBidi" w:cstheme="majorBidi"/>
          <w:sz w:val="24"/>
          <w:szCs w:val="24"/>
        </w:rPr>
      </w:pPr>
      <w:r w:rsidRPr="00B503E6">
        <w:rPr>
          <w:rFonts w:asciiTheme="majorBidi" w:hAnsiTheme="majorBidi" w:cstheme="majorBidi"/>
          <w:sz w:val="24"/>
          <w:szCs w:val="24"/>
        </w:rPr>
        <w:t>The period witnessed another and more vigorous growth, that of the modern-type industry which has since 1945 developed so rapidly that its foundation and careful fostering in the period 1928-1940 are often forgotten…Nothing could be less true than the common belief that Syro-Lebanese modern industry dates only from the post-Mandate period, or that the French, even though their own nationals took little part in such investment, failed to give its earliest days careful and effective fostering.</w:t>
      </w:r>
    </w:p>
    <w:p w:rsidR="00F75301" w:rsidRPr="00B503E6" w:rsidRDefault="00A24EBB" w:rsidP="00A24EBB">
      <w:pPr>
        <w:spacing w:line="480" w:lineRule="auto"/>
        <w:contextualSpacing/>
        <w:jc w:val="both"/>
        <w:rPr>
          <w:rFonts w:asciiTheme="majorBidi" w:hAnsiTheme="majorBidi" w:cstheme="majorBidi"/>
          <w:sz w:val="24"/>
          <w:szCs w:val="24"/>
        </w:rPr>
      </w:pPr>
      <w:r w:rsidRPr="00B503E6">
        <w:rPr>
          <w:rFonts w:asciiTheme="majorBidi" w:hAnsiTheme="majorBidi" w:cstheme="majorBidi"/>
          <w:sz w:val="24"/>
          <w:szCs w:val="24"/>
        </w:rPr>
        <w:t>Similarly,</w:t>
      </w:r>
      <w:r>
        <w:rPr>
          <w:rFonts w:asciiTheme="majorBidi" w:hAnsiTheme="majorBidi" w:cstheme="majorBidi"/>
          <w:sz w:val="24"/>
          <w:szCs w:val="24"/>
        </w:rPr>
        <w:t xml:space="preserve"> </w:t>
      </w:r>
      <w:r w:rsidR="00F75301" w:rsidRPr="00B503E6">
        <w:rPr>
          <w:rFonts w:asciiTheme="majorBidi" w:hAnsiTheme="majorBidi" w:cstheme="majorBidi"/>
          <w:sz w:val="24"/>
          <w:szCs w:val="24"/>
        </w:rPr>
        <w:t>Owen and Pamuk (1999, 67) note:</w:t>
      </w:r>
    </w:p>
    <w:p w:rsidR="00F75301" w:rsidRPr="00B503E6" w:rsidRDefault="00F75301" w:rsidP="00F75301">
      <w:pPr>
        <w:spacing w:line="480" w:lineRule="auto"/>
        <w:ind w:left="567"/>
        <w:contextualSpacing/>
        <w:jc w:val="both"/>
        <w:rPr>
          <w:rFonts w:asciiTheme="majorBidi" w:hAnsiTheme="majorBidi" w:cstheme="majorBidi"/>
          <w:sz w:val="24"/>
          <w:szCs w:val="24"/>
        </w:rPr>
      </w:pPr>
      <w:r w:rsidRPr="00B503E6">
        <w:rPr>
          <w:rFonts w:asciiTheme="majorBidi" w:hAnsiTheme="majorBidi" w:cstheme="majorBidi"/>
          <w:sz w:val="24"/>
          <w:szCs w:val="24"/>
        </w:rPr>
        <w:t>What can be said with greater confidence is that the revival of Syrian manufacturing activity in the 1930s represents the beginning of a process of import substitution which by 1938 was able to meet half the local demand for cotton thread, a third for cotton textiles, and about half for cement.</w:t>
      </w:r>
    </w:p>
    <w:p w:rsidR="00FF4BE5" w:rsidRPr="00B503E6" w:rsidRDefault="004174FF" w:rsidP="004174FF">
      <w:pPr>
        <w:spacing w:line="480" w:lineRule="auto"/>
        <w:contextualSpacing/>
        <w:jc w:val="both"/>
        <w:rPr>
          <w:rFonts w:asciiTheme="majorBidi" w:hAnsiTheme="majorBidi" w:cstheme="majorBidi"/>
          <w:sz w:val="24"/>
          <w:szCs w:val="24"/>
        </w:rPr>
      </w:pPr>
      <w:r w:rsidRPr="00B503E6">
        <w:rPr>
          <w:rFonts w:asciiTheme="majorBidi" w:hAnsiTheme="majorBidi" w:cstheme="majorBidi"/>
          <w:sz w:val="24"/>
          <w:szCs w:val="24"/>
        </w:rPr>
        <w:t>By the end of the mandate period, e</w:t>
      </w:r>
      <w:r w:rsidR="00FF4BE5" w:rsidRPr="00B503E6">
        <w:rPr>
          <w:rFonts w:asciiTheme="majorBidi" w:hAnsiTheme="majorBidi" w:cstheme="majorBidi"/>
          <w:sz w:val="24"/>
          <w:szCs w:val="24"/>
        </w:rPr>
        <w:t xml:space="preserve">ven the </w:t>
      </w:r>
      <w:r w:rsidR="00897264" w:rsidRPr="00B503E6">
        <w:rPr>
          <w:rFonts w:asciiTheme="majorBidi" w:hAnsiTheme="majorBidi" w:cstheme="majorBidi"/>
          <w:sz w:val="24"/>
          <w:szCs w:val="24"/>
        </w:rPr>
        <w:t xml:space="preserve">Syrian </w:t>
      </w:r>
      <w:r w:rsidR="00FF4BE5" w:rsidRPr="00B503E6">
        <w:rPr>
          <w:rFonts w:asciiTheme="majorBidi" w:hAnsiTheme="majorBidi" w:cstheme="majorBidi"/>
          <w:sz w:val="24"/>
          <w:szCs w:val="24"/>
        </w:rPr>
        <w:t>textile industry recovered.  Geoffrey Schad (2002) writes:</w:t>
      </w:r>
    </w:p>
    <w:p w:rsidR="00FF4BE5" w:rsidRPr="00B503E6" w:rsidRDefault="00FF4BE5" w:rsidP="00FF4BE5">
      <w:pPr>
        <w:spacing w:line="480" w:lineRule="auto"/>
        <w:ind w:left="567"/>
        <w:contextualSpacing/>
        <w:jc w:val="both"/>
        <w:rPr>
          <w:rFonts w:asciiTheme="majorBidi" w:hAnsiTheme="majorBidi" w:cstheme="majorBidi"/>
          <w:sz w:val="24"/>
          <w:szCs w:val="24"/>
        </w:rPr>
      </w:pPr>
      <w:r w:rsidRPr="00B503E6">
        <w:rPr>
          <w:rFonts w:asciiTheme="majorBidi" w:hAnsiTheme="majorBidi" w:cstheme="majorBidi"/>
          <w:sz w:val="24"/>
          <w:szCs w:val="24"/>
        </w:rPr>
        <w:lastRenderedPageBreak/>
        <w:t>During the course of the French mandate, the Syrian textile industry, centered on Aleppo, experienced a significant development. From an artisanal manufacturing sector, based on manual labor in scattered locations, it had evolved by Syrian independence into a highly centralized factory industry that provided the bulk of Syrian industrial production and gave birth to an industrial bourgeoisie that was to gain significant influence over the Syrian state during the early 1950s.</w:t>
      </w:r>
    </w:p>
    <w:p w:rsidR="00DE00C9" w:rsidRDefault="00DE00C9" w:rsidP="00DE00C9">
      <w:pPr>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With regard to Lebanon, </w:t>
      </w:r>
      <w:r w:rsidR="00AF3BBC">
        <w:rPr>
          <w:rFonts w:asciiTheme="majorBidi" w:hAnsiTheme="majorBidi" w:cstheme="majorBidi"/>
          <w:sz w:val="24"/>
          <w:szCs w:val="24"/>
        </w:rPr>
        <w:t>Hedley Cooke (1952, 125</w:t>
      </w:r>
      <w:r w:rsidR="007609DE">
        <w:rPr>
          <w:rFonts w:asciiTheme="majorBidi" w:hAnsiTheme="majorBidi" w:cstheme="majorBidi"/>
          <w:sz w:val="24"/>
          <w:szCs w:val="24"/>
        </w:rPr>
        <w:t>,126</w:t>
      </w:r>
      <w:r w:rsidR="00AF3BBC">
        <w:rPr>
          <w:rFonts w:asciiTheme="majorBidi" w:hAnsiTheme="majorBidi" w:cstheme="majorBidi"/>
          <w:sz w:val="24"/>
          <w:szCs w:val="24"/>
        </w:rPr>
        <w:t xml:space="preserve">) notes, "During the period between the wars Lebanon's </w:t>
      </w:r>
      <w:r w:rsidR="007609DE">
        <w:rPr>
          <w:rFonts w:asciiTheme="majorBidi" w:hAnsiTheme="majorBidi" w:cstheme="majorBidi"/>
          <w:sz w:val="24"/>
          <w:szCs w:val="24"/>
        </w:rPr>
        <w:t>industry underwent a complete change-over from cottage crafts to modernized production….Some illustrative figures for 1938 are 1,558,054 liters of beer, 189,000 pairs of hose, 171,000 tons of cement, and 14,980,000 boxes of matches."</w:t>
      </w:r>
    </w:p>
    <w:p w:rsidR="00897264" w:rsidRPr="00B503E6" w:rsidRDefault="007609DE" w:rsidP="00DE00C9">
      <w:pPr>
        <w:spacing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Lebanon's </w:t>
      </w:r>
      <w:r w:rsidR="00897264" w:rsidRPr="00B503E6">
        <w:rPr>
          <w:rFonts w:asciiTheme="majorBidi" w:hAnsiTheme="majorBidi" w:cstheme="majorBidi"/>
          <w:sz w:val="24"/>
          <w:szCs w:val="24"/>
        </w:rPr>
        <w:t xml:space="preserve">financial sector </w:t>
      </w:r>
      <w:r>
        <w:rPr>
          <w:rFonts w:asciiTheme="majorBidi" w:hAnsiTheme="majorBidi" w:cstheme="majorBidi"/>
          <w:sz w:val="24"/>
          <w:szCs w:val="24"/>
        </w:rPr>
        <w:t>also prospered</w:t>
      </w:r>
      <w:r w:rsidR="00DE00C9">
        <w:rPr>
          <w:rFonts w:asciiTheme="majorBidi" w:hAnsiTheme="majorBidi" w:cstheme="majorBidi"/>
          <w:sz w:val="24"/>
          <w:szCs w:val="24"/>
        </w:rPr>
        <w:t>.</w:t>
      </w:r>
      <w:r w:rsidR="00897264" w:rsidRPr="00B503E6">
        <w:rPr>
          <w:rFonts w:asciiTheme="majorBidi" w:hAnsiTheme="majorBidi" w:cstheme="majorBidi"/>
          <w:sz w:val="24"/>
          <w:szCs w:val="24"/>
        </w:rPr>
        <w:t xml:space="preserve"> Meir Zamir (1997, 240) notes:</w:t>
      </w:r>
    </w:p>
    <w:p w:rsidR="00897264" w:rsidRPr="00B503E6" w:rsidRDefault="00897264" w:rsidP="00A377C8">
      <w:pPr>
        <w:spacing w:line="480" w:lineRule="auto"/>
        <w:ind w:left="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By the eve of second World War, despite numerous problems that continued to trouble Lebanon….Its economy had recovered from the recession of the early 1930s and its entrepreneurs had taken full advantage of the economic opportunities available under the </w:t>
      </w:r>
      <w:r w:rsidR="00A377C8" w:rsidRPr="00B503E6">
        <w:rPr>
          <w:rFonts w:asciiTheme="majorBidi" w:hAnsiTheme="majorBidi" w:cstheme="majorBidi"/>
          <w:sz w:val="24"/>
          <w:szCs w:val="24"/>
        </w:rPr>
        <w:t>m</w:t>
      </w:r>
      <w:r w:rsidRPr="00B503E6">
        <w:rPr>
          <w:rFonts w:asciiTheme="majorBidi" w:hAnsiTheme="majorBidi" w:cstheme="majorBidi"/>
          <w:sz w:val="24"/>
          <w:szCs w:val="24"/>
        </w:rPr>
        <w:t>andate, turning Lebanon into a leading commercial and financial centre for the entre Middle East.</w:t>
      </w:r>
    </w:p>
    <w:p w:rsidR="00897264" w:rsidRPr="00B503E6" w:rsidRDefault="00897264" w:rsidP="00F20B4A">
      <w:pPr>
        <w:spacing w:line="480" w:lineRule="auto"/>
        <w:contextualSpacing/>
        <w:jc w:val="both"/>
        <w:rPr>
          <w:rFonts w:asciiTheme="majorBidi" w:hAnsiTheme="majorBidi" w:cstheme="majorBidi"/>
          <w:sz w:val="24"/>
          <w:szCs w:val="24"/>
        </w:rPr>
      </w:pPr>
      <w:r w:rsidRPr="00B503E6">
        <w:rPr>
          <w:rFonts w:asciiTheme="majorBidi" w:hAnsiTheme="majorBidi" w:cstheme="majorBidi"/>
          <w:sz w:val="24"/>
          <w:szCs w:val="24"/>
        </w:rPr>
        <w:t>Issawi (1964, 284) noted that this growth continued in WWII</w:t>
      </w:r>
      <w:r w:rsidR="00151D73" w:rsidRPr="00B503E6">
        <w:rPr>
          <w:rFonts w:asciiTheme="majorBidi" w:hAnsiTheme="majorBidi" w:cstheme="majorBidi"/>
          <w:sz w:val="24"/>
          <w:szCs w:val="24"/>
        </w:rPr>
        <w:t xml:space="preserve">, </w:t>
      </w:r>
      <w:r w:rsidR="00F20B4A" w:rsidRPr="00B503E6">
        <w:rPr>
          <w:rFonts w:asciiTheme="majorBidi" w:hAnsiTheme="majorBidi" w:cstheme="majorBidi"/>
          <w:sz w:val="24"/>
          <w:szCs w:val="24"/>
        </w:rPr>
        <w:t>“</w:t>
      </w:r>
      <w:r w:rsidRPr="00B503E6">
        <w:rPr>
          <w:rFonts w:asciiTheme="majorBidi" w:hAnsiTheme="majorBidi" w:cstheme="majorBidi"/>
          <w:sz w:val="24"/>
          <w:szCs w:val="24"/>
        </w:rPr>
        <w:t>As for the businessmen – merchants, financiers, and a few industrialists- their profits increased several fold.</w:t>
      </w:r>
      <w:r w:rsidR="00F20B4A" w:rsidRPr="00B503E6">
        <w:rPr>
          <w:rFonts w:asciiTheme="majorBidi" w:hAnsiTheme="majorBidi" w:cstheme="majorBidi"/>
          <w:sz w:val="24"/>
          <w:szCs w:val="24"/>
        </w:rPr>
        <w:t>”</w:t>
      </w:r>
    </w:p>
    <w:p w:rsidR="00D92602" w:rsidRPr="00B503E6" w:rsidRDefault="00D92602" w:rsidP="00B766C8">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One industry that did not prosper in Lebanon in the mandate period was the silk industry. Hakim (1936, 136) note</w:t>
      </w:r>
      <w:r w:rsidR="009C1748" w:rsidRPr="00B503E6">
        <w:rPr>
          <w:rFonts w:asciiTheme="majorBidi" w:hAnsiTheme="majorBidi" w:cstheme="majorBidi"/>
          <w:sz w:val="24"/>
          <w:szCs w:val="24"/>
        </w:rPr>
        <w:t>s</w:t>
      </w:r>
      <w:r w:rsidRPr="00B503E6">
        <w:rPr>
          <w:rFonts w:asciiTheme="majorBidi" w:hAnsiTheme="majorBidi" w:cstheme="majorBidi"/>
          <w:sz w:val="24"/>
          <w:szCs w:val="24"/>
        </w:rPr>
        <w:t xml:space="preserve"> that in the 1920s, </w:t>
      </w:r>
      <w:r w:rsidR="009C1748" w:rsidRPr="00B503E6">
        <w:rPr>
          <w:rFonts w:asciiTheme="majorBidi" w:hAnsiTheme="majorBidi" w:cstheme="majorBidi"/>
          <w:sz w:val="24"/>
          <w:szCs w:val="24"/>
        </w:rPr>
        <w:t>“</w:t>
      </w:r>
      <w:r w:rsidRPr="00B503E6">
        <w:rPr>
          <w:rFonts w:asciiTheme="majorBidi" w:hAnsiTheme="majorBidi" w:cstheme="majorBidi"/>
          <w:sz w:val="24"/>
          <w:szCs w:val="24"/>
        </w:rPr>
        <w:t>Due to great efforts made by the French High Commission and the Lebanese government, cocoon-raising was revised after the war and progressed rapidly.</w:t>
      </w:r>
      <w:r w:rsidR="009C1748" w:rsidRPr="00B503E6">
        <w:rPr>
          <w:rFonts w:asciiTheme="majorBidi" w:hAnsiTheme="majorBidi" w:cstheme="majorBidi"/>
          <w:sz w:val="24"/>
          <w:szCs w:val="24"/>
        </w:rPr>
        <w:t>”</w:t>
      </w:r>
      <w:r w:rsidRPr="00B503E6">
        <w:rPr>
          <w:rFonts w:asciiTheme="majorBidi" w:hAnsiTheme="majorBidi" w:cstheme="majorBidi"/>
          <w:sz w:val="24"/>
          <w:szCs w:val="24"/>
        </w:rPr>
        <w:t xml:space="preserve"> However, in the Great Depression, prices fell so </w:t>
      </w:r>
      <w:r w:rsidRPr="00B503E6">
        <w:rPr>
          <w:rFonts w:asciiTheme="majorBidi" w:hAnsiTheme="majorBidi" w:cstheme="majorBidi"/>
          <w:sz w:val="24"/>
          <w:szCs w:val="24"/>
        </w:rPr>
        <w:lastRenderedPageBreak/>
        <w:t>much that many silk factories closed, and instead Lebanon began to grow citrus fruits instead of mulberry trees.</w:t>
      </w:r>
      <w:r w:rsidR="00B766C8">
        <w:rPr>
          <w:rStyle w:val="EndnoteReference"/>
          <w:rFonts w:asciiTheme="majorBidi" w:hAnsiTheme="majorBidi" w:cstheme="majorBidi"/>
          <w:sz w:val="24"/>
          <w:szCs w:val="24"/>
        </w:rPr>
        <w:endnoteReference w:id="57"/>
      </w:r>
    </w:p>
    <w:p w:rsidR="001471BD" w:rsidRPr="00B503E6" w:rsidRDefault="00BC0AD8" w:rsidP="00A134C7">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Trans-Jordan</w:t>
      </w:r>
      <w:r w:rsidR="00DE28B5" w:rsidRPr="00B503E6">
        <w:rPr>
          <w:rFonts w:asciiTheme="majorBidi" w:hAnsiTheme="majorBidi" w:cstheme="majorBidi"/>
          <w:sz w:val="24"/>
          <w:szCs w:val="24"/>
        </w:rPr>
        <w:t xml:space="preserve"> had the least </w:t>
      </w:r>
      <w:r w:rsidRPr="00B503E6">
        <w:rPr>
          <w:rFonts w:asciiTheme="majorBidi" w:hAnsiTheme="majorBidi" w:cstheme="majorBidi"/>
          <w:sz w:val="24"/>
          <w:szCs w:val="24"/>
        </w:rPr>
        <w:t>development of industry</w:t>
      </w:r>
      <w:r w:rsidR="00BA4C0C" w:rsidRPr="00B503E6">
        <w:rPr>
          <w:rFonts w:asciiTheme="majorBidi" w:hAnsiTheme="majorBidi" w:cstheme="majorBidi"/>
          <w:sz w:val="24"/>
          <w:szCs w:val="24"/>
        </w:rPr>
        <w:t xml:space="preserve"> in the area</w:t>
      </w:r>
      <w:r w:rsidRPr="00B503E6">
        <w:rPr>
          <w:rFonts w:asciiTheme="majorBidi" w:hAnsiTheme="majorBidi" w:cstheme="majorBidi"/>
          <w:sz w:val="24"/>
          <w:szCs w:val="24"/>
        </w:rPr>
        <w:t xml:space="preserve">, as the only factories that could be considered modern were two tobacco factories whose output in 1939 were 32,439 kg of cigarettes and 39,556 kg </w:t>
      </w:r>
      <w:r w:rsidR="002D4393" w:rsidRPr="00B503E6">
        <w:rPr>
          <w:rFonts w:asciiTheme="majorBidi" w:hAnsiTheme="majorBidi" w:cstheme="majorBidi"/>
          <w:sz w:val="24"/>
          <w:szCs w:val="24"/>
        </w:rPr>
        <w:t xml:space="preserve">of </w:t>
      </w:r>
      <w:r w:rsidRPr="00B503E6">
        <w:rPr>
          <w:rFonts w:asciiTheme="majorBidi" w:hAnsiTheme="majorBidi" w:cstheme="majorBidi"/>
          <w:sz w:val="24"/>
          <w:szCs w:val="24"/>
        </w:rPr>
        <w:t>cut tobacco</w:t>
      </w:r>
      <w:r w:rsidR="00352B47" w:rsidRPr="00B503E6">
        <w:rPr>
          <w:rFonts w:asciiTheme="majorBidi" w:hAnsiTheme="majorBidi" w:cstheme="majorBidi"/>
          <w:sz w:val="24"/>
          <w:szCs w:val="24"/>
        </w:rPr>
        <w:t xml:space="preserve"> (Hershlag 1980, 271)</w:t>
      </w:r>
      <w:r w:rsidRPr="00B503E6">
        <w:rPr>
          <w:rFonts w:asciiTheme="majorBidi" w:hAnsiTheme="majorBidi" w:cstheme="majorBidi"/>
          <w:sz w:val="24"/>
          <w:szCs w:val="24"/>
        </w:rPr>
        <w:t xml:space="preserve">. </w:t>
      </w:r>
      <w:r w:rsidR="00C121FD" w:rsidRPr="00B503E6">
        <w:rPr>
          <w:rFonts w:asciiTheme="majorBidi" w:hAnsiTheme="majorBidi" w:cstheme="majorBidi"/>
          <w:sz w:val="24"/>
          <w:szCs w:val="24"/>
        </w:rPr>
        <w:t xml:space="preserve"> </w:t>
      </w:r>
    </w:p>
    <w:p w:rsidR="00AA2212" w:rsidRPr="00B503E6" w:rsidRDefault="009C1748" w:rsidP="009C1748">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I</w:t>
      </w:r>
      <w:r w:rsidR="00C121FD" w:rsidRPr="00B503E6">
        <w:rPr>
          <w:rFonts w:asciiTheme="majorBidi" w:hAnsiTheme="majorBidi" w:cstheme="majorBidi"/>
          <w:sz w:val="24"/>
          <w:szCs w:val="24"/>
        </w:rPr>
        <w:t xml:space="preserve">n Palestine there was a </w:t>
      </w:r>
      <w:r w:rsidR="006E7556" w:rsidRPr="00B503E6">
        <w:rPr>
          <w:rFonts w:asciiTheme="majorBidi" w:hAnsiTheme="majorBidi" w:cstheme="majorBidi"/>
          <w:sz w:val="24"/>
          <w:szCs w:val="24"/>
        </w:rPr>
        <w:t xml:space="preserve">large </w:t>
      </w:r>
      <w:r w:rsidR="00C121FD" w:rsidRPr="00B503E6">
        <w:rPr>
          <w:rFonts w:asciiTheme="majorBidi" w:hAnsiTheme="majorBidi" w:cstheme="majorBidi"/>
          <w:sz w:val="24"/>
          <w:szCs w:val="24"/>
        </w:rPr>
        <w:t>growth in industrialization</w:t>
      </w:r>
      <w:r w:rsidR="003B3777" w:rsidRPr="00B503E6">
        <w:rPr>
          <w:rFonts w:asciiTheme="majorBidi" w:hAnsiTheme="majorBidi" w:cstheme="majorBidi"/>
          <w:sz w:val="24"/>
          <w:szCs w:val="24"/>
        </w:rPr>
        <w:t xml:space="preserve"> </w:t>
      </w:r>
      <w:r w:rsidR="00E810B5" w:rsidRPr="00B503E6">
        <w:rPr>
          <w:rFonts w:asciiTheme="majorBidi" w:hAnsiTheme="majorBidi" w:cstheme="majorBidi"/>
          <w:sz w:val="24"/>
          <w:szCs w:val="24"/>
        </w:rPr>
        <w:t xml:space="preserve">in </w:t>
      </w:r>
      <w:r w:rsidR="003B3777" w:rsidRPr="00B503E6">
        <w:rPr>
          <w:rFonts w:asciiTheme="majorBidi" w:hAnsiTheme="majorBidi" w:cstheme="majorBidi"/>
          <w:sz w:val="24"/>
          <w:szCs w:val="24"/>
        </w:rPr>
        <w:t>both the Jewish and Arab sectors.</w:t>
      </w:r>
      <w:r w:rsidR="00C121FD" w:rsidRPr="00B503E6">
        <w:rPr>
          <w:rFonts w:asciiTheme="majorBidi" w:hAnsiTheme="majorBidi" w:cstheme="majorBidi"/>
          <w:sz w:val="24"/>
          <w:szCs w:val="24"/>
        </w:rPr>
        <w:t xml:space="preserve"> </w:t>
      </w:r>
      <w:r w:rsidR="00AA2212" w:rsidRPr="00B503E6">
        <w:rPr>
          <w:rFonts w:asciiTheme="majorBidi" w:hAnsiTheme="majorBidi" w:cstheme="majorBidi"/>
          <w:sz w:val="24"/>
          <w:szCs w:val="24"/>
        </w:rPr>
        <w:t>According to Metzer's (1998</w:t>
      </w:r>
      <w:r w:rsidR="000F52DD" w:rsidRPr="00B503E6">
        <w:rPr>
          <w:rFonts w:asciiTheme="majorBidi" w:hAnsiTheme="majorBidi" w:cstheme="majorBidi"/>
          <w:sz w:val="24"/>
          <w:szCs w:val="24"/>
        </w:rPr>
        <w:t>,</w:t>
      </w:r>
      <w:r w:rsidR="00BE165E" w:rsidRPr="00B503E6">
        <w:rPr>
          <w:rFonts w:asciiTheme="majorBidi" w:hAnsiTheme="majorBidi" w:cstheme="majorBidi"/>
          <w:sz w:val="24"/>
          <w:szCs w:val="24"/>
        </w:rPr>
        <w:t xml:space="preserve"> </w:t>
      </w:r>
      <w:r w:rsidR="00AA2212" w:rsidRPr="00B503E6">
        <w:rPr>
          <w:rFonts w:asciiTheme="majorBidi" w:hAnsiTheme="majorBidi" w:cstheme="majorBidi"/>
          <w:sz w:val="24"/>
          <w:szCs w:val="24"/>
        </w:rPr>
        <w:t xml:space="preserve">142) data for Palestine, manufacturing increased from 19.7% of the net domestic product of the Jewish sector in 1922 to 33.1% in 1945, and manufacturing increased from 5.2% of the net domestic product of the Arab sector in 1922 to 10.3% in 1945. </w:t>
      </w:r>
    </w:p>
    <w:p w:rsidR="00A35525" w:rsidRPr="00B503E6" w:rsidRDefault="00B52C12" w:rsidP="00E64D4B">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Another </w:t>
      </w:r>
      <w:r w:rsidR="008B0F90" w:rsidRPr="00B503E6">
        <w:rPr>
          <w:rFonts w:asciiTheme="majorBidi" w:hAnsiTheme="majorBidi" w:cstheme="majorBidi"/>
          <w:sz w:val="24"/>
          <w:szCs w:val="24"/>
        </w:rPr>
        <w:t>indication</w:t>
      </w:r>
      <w:r w:rsidRPr="00B503E6">
        <w:rPr>
          <w:rFonts w:asciiTheme="majorBidi" w:hAnsiTheme="majorBidi" w:cstheme="majorBidi"/>
          <w:sz w:val="24"/>
          <w:szCs w:val="24"/>
        </w:rPr>
        <w:t xml:space="preserve"> </w:t>
      </w:r>
      <w:r w:rsidR="008B0F90" w:rsidRPr="00B503E6">
        <w:rPr>
          <w:rFonts w:asciiTheme="majorBidi" w:hAnsiTheme="majorBidi" w:cstheme="majorBidi"/>
          <w:sz w:val="24"/>
          <w:szCs w:val="24"/>
        </w:rPr>
        <w:t>o</w:t>
      </w:r>
      <w:r w:rsidRPr="00B503E6">
        <w:rPr>
          <w:rFonts w:asciiTheme="majorBidi" w:hAnsiTheme="majorBidi" w:cstheme="majorBidi"/>
          <w:sz w:val="24"/>
          <w:szCs w:val="24"/>
        </w:rPr>
        <w:t>f</w:t>
      </w:r>
      <w:r w:rsidR="008B0F90" w:rsidRPr="00B503E6">
        <w:rPr>
          <w:rFonts w:asciiTheme="majorBidi" w:hAnsiTheme="majorBidi" w:cstheme="majorBidi"/>
          <w:sz w:val="24"/>
          <w:szCs w:val="24"/>
        </w:rPr>
        <w:t xml:space="preserve"> economic growth was the rise in motor vehicles</w:t>
      </w:r>
      <w:r w:rsidR="003716FC" w:rsidRPr="00B503E6">
        <w:rPr>
          <w:rFonts w:asciiTheme="majorBidi" w:hAnsiTheme="majorBidi" w:cstheme="majorBidi"/>
          <w:sz w:val="24"/>
          <w:szCs w:val="24"/>
        </w:rPr>
        <w:t>, telephone service, aviation and electricity</w:t>
      </w:r>
      <w:r w:rsidR="0067630B" w:rsidRPr="00B503E6">
        <w:rPr>
          <w:rFonts w:asciiTheme="majorBidi" w:hAnsiTheme="majorBidi" w:cstheme="majorBidi"/>
          <w:sz w:val="24"/>
          <w:szCs w:val="24"/>
        </w:rPr>
        <w:t xml:space="preserve"> in LPST</w:t>
      </w:r>
      <w:r w:rsidR="00813D7C" w:rsidRPr="00B503E6">
        <w:rPr>
          <w:rFonts w:asciiTheme="majorBidi" w:hAnsiTheme="majorBidi" w:cstheme="majorBidi"/>
          <w:sz w:val="24"/>
          <w:szCs w:val="24"/>
        </w:rPr>
        <w:t>.</w:t>
      </w:r>
      <w:r w:rsidR="008B0F90" w:rsidRPr="00B503E6">
        <w:rPr>
          <w:rFonts w:asciiTheme="majorBidi" w:hAnsiTheme="majorBidi" w:cstheme="majorBidi"/>
          <w:sz w:val="24"/>
          <w:szCs w:val="24"/>
        </w:rPr>
        <w:t xml:space="preserve"> In Syria and Lebanon, in 1919 there were 100 vehicles, and by 1939 there were 11,000 vehicles. In Palestine, in 1923, there were 236 registered vehicles, and by 1939, 15,955 vehicles. In Trans-Jordan, in 1926 there were 130 licensed motor vehicles, and in 1945, 615 vehicles.</w:t>
      </w:r>
      <w:r w:rsidR="00E64D4B">
        <w:rPr>
          <w:rStyle w:val="EndnoteReference"/>
          <w:rFonts w:asciiTheme="majorBidi" w:hAnsiTheme="majorBidi" w:cstheme="majorBidi"/>
          <w:sz w:val="24"/>
          <w:szCs w:val="24"/>
        </w:rPr>
        <w:endnoteReference w:id="58"/>
      </w:r>
      <w:r w:rsidR="003716FC" w:rsidRPr="00B503E6">
        <w:rPr>
          <w:rFonts w:asciiTheme="majorBidi" w:hAnsiTheme="majorBidi" w:cstheme="majorBidi"/>
          <w:sz w:val="24"/>
          <w:szCs w:val="24"/>
        </w:rPr>
        <w:t xml:space="preserve"> </w:t>
      </w:r>
      <w:r w:rsidR="009C1748" w:rsidRPr="00B503E6">
        <w:rPr>
          <w:rFonts w:asciiTheme="majorBidi" w:hAnsiTheme="majorBidi" w:cstheme="majorBidi"/>
          <w:sz w:val="24"/>
          <w:szCs w:val="24"/>
        </w:rPr>
        <w:t>T</w:t>
      </w:r>
      <w:r w:rsidR="001E6282" w:rsidRPr="00B503E6">
        <w:rPr>
          <w:rFonts w:asciiTheme="majorBidi" w:hAnsiTheme="majorBidi" w:cstheme="majorBidi"/>
          <w:sz w:val="24"/>
          <w:szCs w:val="24"/>
        </w:rPr>
        <w:t xml:space="preserve">elephone service began </w:t>
      </w:r>
      <w:r w:rsidR="00874E47">
        <w:rPr>
          <w:rFonts w:asciiTheme="majorBidi" w:hAnsiTheme="majorBidi" w:cstheme="majorBidi"/>
          <w:sz w:val="24"/>
          <w:szCs w:val="24"/>
        </w:rPr>
        <w:t xml:space="preserve">in the region </w:t>
      </w:r>
      <w:r w:rsidR="001E6282" w:rsidRPr="00B503E6">
        <w:rPr>
          <w:rFonts w:asciiTheme="majorBidi" w:hAnsiTheme="majorBidi" w:cstheme="majorBidi"/>
          <w:sz w:val="24"/>
          <w:szCs w:val="24"/>
        </w:rPr>
        <w:t xml:space="preserve">after WWI and by 1937 there were </w:t>
      </w:r>
      <w:r w:rsidR="00885BEC" w:rsidRPr="00B503E6">
        <w:rPr>
          <w:rFonts w:asciiTheme="majorBidi" w:hAnsiTheme="majorBidi" w:cstheme="majorBidi"/>
          <w:sz w:val="24"/>
          <w:szCs w:val="24"/>
        </w:rPr>
        <w:t>3</w:t>
      </w:r>
      <w:r w:rsidR="009739E4" w:rsidRPr="00B503E6">
        <w:rPr>
          <w:rFonts w:asciiTheme="majorBidi" w:hAnsiTheme="majorBidi" w:cstheme="majorBidi"/>
          <w:sz w:val="24"/>
          <w:szCs w:val="24"/>
        </w:rPr>
        <w:t>8</w:t>
      </w:r>
      <w:r w:rsidR="00885BEC" w:rsidRPr="00B503E6">
        <w:rPr>
          <w:rFonts w:asciiTheme="majorBidi" w:hAnsiTheme="majorBidi" w:cstheme="majorBidi"/>
          <w:sz w:val="24"/>
          <w:szCs w:val="24"/>
        </w:rPr>
        <w:t>,</w:t>
      </w:r>
      <w:r w:rsidR="009739E4" w:rsidRPr="00B503E6">
        <w:rPr>
          <w:rFonts w:asciiTheme="majorBidi" w:hAnsiTheme="majorBidi" w:cstheme="majorBidi"/>
          <w:sz w:val="24"/>
          <w:szCs w:val="24"/>
        </w:rPr>
        <w:t>590</w:t>
      </w:r>
      <w:r w:rsidR="00885BEC" w:rsidRPr="00B503E6">
        <w:rPr>
          <w:rFonts w:asciiTheme="majorBidi" w:hAnsiTheme="majorBidi" w:cstheme="majorBidi"/>
          <w:sz w:val="24"/>
          <w:szCs w:val="24"/>
        </w:rPr>
        <w:t xml:space="preserve">,000 telephone calls in Palestine, </w:t>
      </w:r>
      <w:r w:rsidR="001E6282" w:rsidRPr="00B503E6">
        <w:rPr>
          <w:rFonts w:asciiTheme="majorBidi" w:hAnsiTheme="majorBidi" w:cstheme="majorBidi"/>
          <w:sz w:val="24"/>
          <w:szCs w:val="24"/>
        </w:rPr>
        <w:t xml:space="preserve">826,000 in Syria and Lebanon, </w:t>
      </w:r>
      <w:r w:rsidR="008A5C2C" w:rsidRPr="00B503E6">
        <w:rPr>
          <w:rFonts w:asciiTheme="majorBidi" w:hAnsiTheme="majorBidi" w:cstheme="majorBidi"/>
          <w:sz w:val="24"/>
          <w:szCs w:val="24"/>
        </w:rPr>
        <w:t>and 118,457 in Trans-Jordan.</w:t>
      </w:r>
      <w:r w:rsidR="00E64D4B">
        <w:rPr>
          <w:rStyle w:val="EndnoteReference"/>
          <w:rFonts w:asciiTheme="majorBidi" w:hAnsiTheme="majorBidi" w:cstheme="majorBidi"/>
          <w:sz w:val="24"/>
          <w:szCs w:val="24"/>
        </w:rPr>
        <w:endnoteReference w:id="59"/>
      </w:r>
      <w:r w:rsidR="001E6282" w:rsidRPr="00B503E6">
        <w:rPr>
          <w:rFonts w:asciiTheme="majorBidi" w:hAnsiTheme="majorBidi" w:cstheme="majorBidi"/>
          <w:sz w:val="24"/>
          <w:szCs w:val="24"/>
        </w:rPr>
        <w:t xml:space="preserve"> </w:t>
      </w:r>
      <w:r w:rsidR="006E63D7" w:rsidRPr="00B503E6">
        <w:rPr>
          <w:rFonts w:asciiTheme="majorBidi" w:hAnsiTheme="majorBidi" w:cstheme="majorBidi"/>
          <w:sz w:val="24"/>
          <w:szCs w:val="24"/>
        </w:rPr>
        <w:t xml:space="preserve"> </w:t>
      </w:r>
      <w:r w:rsidR="00EF5E5A" w:rsidRPr="00B503E6">
        <w:rPr>
          <w:rFonts w:asciiTheme="majorBidi" w:hAnsiTheme="majorBidi" w:cstheme="majorBidi"/>
          <w:sz w:val="24"/>
          <w:szCs w:val="24"/>
        </w:rPr>
        <w:t xml:space="preserve">Civilian aviation began in </w:t>
      </w:r>
      <w:r w:rsidR="00535D69" w:rsidRPr="00B503E6">
        <w:rPr>
          <w:rFonts w:asciiTheme="majorBidi" w:hAnsiTheme="majorBidi" w:cstheme="majorBidi"/>
          <w:sz w:val="24"/>
          <w:szCs w:val="24"/>
        </w:rPr>
        <w:t xml:space="preserve">the </w:t>
      </w:r>
      <w:r w:rsidR="0077703D" w:rsidRPr="00B503E6">
        <w:rPr>
          <w:rFonts w:asciiTheme="majorBidi" w:hAnsiTheme="majorBidi" w:cstheme="majorBidi"/>
          <w:sz w:val="24"/>
          <w:szCs w:val="24"/>
        </w:rPr>
        <w:t xml:space="preserve">1930s in </w:t>
      </w:r>
      <w:r w:rsidR="00EF5E5A" w:rsidRPr="00B503E6">
        <w:rPr>
          <w:rFonts w:asciiTheme="majorBidi" w:hAnsiTheme="majorBidi" w:cstheme="majorBidi"/>
          <w:sz w:val="24"/>
          <w:szCs w:val="24"/>
        </w:rPr>
        <w:t>Syria, Lebanon and Pales</w:t>
      </w:r>
      <w:r w:rsidR="000E0A1D" w:rsidRPr="00B503E6">
        <w:rPr>
          <w:rFonts w:asciiTheme="majorBidi" w:hAnsiTheme="majorBidi" w:cstheme="majorBidi"/>
          <w:sz w:val="24"/>
          <w:szCs w:val="24"/>
        </w:rPr>
        <w:t>t</w:t>
      </w:r>
      <w:r w:rsidR="00EF5E5A" w:rsidRPr="00B503E6">
        <w:rPr>
          <w:rFonts w:asciiTheme="majorBidi" w:hAnsiTheme="majorBidi" w:cstheme="majorBidi"/>
          <w:sz w:val="24"/>
          <w:szCs w:val="24"/>
        </w:rPr>
        <w:t>ine, but not in Trans-Jordan</w:t>
      </w:r>
      <w:r w:rsidR="000F505E" w:rsidRPr="00B503E6">
        <w:rPr>
          <w:rFonts w:asciiTheme="majorBidi" w:hAnsiTheme="majorBidi" w:cstheme="majorBidi"/>
          <w:sz w:val="24"/>
          <w:szCs w:val="24"/>
        </w:rPr>
        <w:t>.</w:t>
      </w:r>
      <w:r w:rsidR="00E64D4B">
        <w:rPr>
          <w:rStyle w:val="EndnoteReference"/>
          <w:rFonts w:asciiTheme="majorBidi" w:hAnsiTheme="majorBidi" w:cstheme="majorBidi"/>
          <w:sz w:val="24"/>
          <w:szCs w:val="24"/>
        </w:rPr>
        <w:endnoteReference w:id="60"/>
      </w:r>
      <w:r w:rsidR="00EF5E5A" w:rsidRPr="00B503E6">
        <w:rPr>
          <w:rFonts w:asciiTheme="majorBidi" w:hAnsiTheme="majorBidi" w:cstheme="majorBidi"/>
          <w:sz w:val="24"/>
          <w:szCs w:val="24"/>
        </w:rPr>
        <w:t xml:space="preserve"> </w:t>
      </w:r>
      <w:r w:rsidR="004A305A" w:rsidRPr="00B503E6">
        <w:rPr>
          <w:rFonts w:asciiTheme="majorBidi" w:hAnsiTheme="majorBidi" w:cstheme="majorBidi"/>
          <w:sz w:val="24"/>
          <w:szCs w:val="24"/>
        </w:rPr>
        <w:t xml:space="preserve"> </w:t>
      </w:r>
      <w:r w:rsidR="00F26262" w:rsidRPr="00B503E6">
        <w:rPr>
          <w:rFonts w:asciiTheme="majorBidi" w:hAnsiTheme="majorBidi" w:cstheme="majorBidi"/>
          <w:sz w:val="24"/>
          <w:szCs w:val="24"/>
        </w:rPr>
        <w:t xml:space="preserve">With regard to electricity, </w:t>
      </w:r>
      <w:r w:rsidR="00535B6B" w:rsidRPr="00B503E6">
        <w:rPr>
          <w:rFonts w:asciiTheme="majorBidi" w:hAnsiTheme="majorBidi" w:cstheme="majorBidi"/>
          <w:sz w:val="24"/>
          <w:szCs w:val="24"/>
        </w:rPr>
        <w:t xml:space="preserve">prior to WWI, the only electricity in the region </w:t>
      </w:r>
      <w:r w:rsidR="007F630B" w:rsidRPr="00B503E6">
        <w:rPr>
          <w:rFonts w:asciiTheme="majorBidi" w:hAnsiTheme="majorBidi" w:cstheme="majorBidi"/>
          <w:sz w:val="24"/>
          <w:szCs w:val="24"/>
        </w:rPr>
        <w:t xml:space="preserve">began </w:t>
      </w:r>
      <w:r w:rsidR="00535B6B" w:rsidRPr="00B503E6">
        <w:rPr>
          <w:rFonts w:asciiTheme="majorBidi" w:hAnsiTheme="majorBidi" w:cstheme="majorBidi"/>
          <w:sz w:val="24"/>
          <w:szCs w:val="24"/>
        </w:rPr>
        <w:t>in 1907 in Damascus and afterwards in 1908 in Beirut, but even this was quite limited, mostly for tramways in each city (Issawi 1988, 29,30).  B</w:t>
      </w:r>
      <w:r w:rsidR="005C7E86" w:rsidRPr="00B503E6">
        <w:rPr>
          <w:rFonts w:asciiTheme="majorBidi" w:hAnsiTheme="majorBidi" w:cstheme="majorBidi"/>
          <w:sz w:val="24"/>
          <w:szCs w:val="24"/>
        </w:rPr>
        <w:t>y 1939, production of electricity had increased to 39 million kilowatt hours in Lebanon, 25 million kilowatt hours in Syria and 91</w:t>
      </w:r>
      <w:r w:rsidR="00A83F5B" w:rsidRPr="00B503E6">
        <w:rPr>
          <w:rFonts w:asciiTheme="majorBidi" w:hAnsiTheme="majorBidi" w:cstheme="majorBidi"/>
          <w:sz w:val="24"/>
          <w:szCs w:val="24"/>
        </w:rPr>
        <w:t xml:space="preserve"> </w:t>
      </w:r>
      <w:r w:rsidR="005C7E86" w:rsidRPr="00B503E6">
        <w:rPr>
          <w:rFonts w:asciiTheme="majorBidi" w:hAnsiTheme="majorBidi" w:cstheme="majorBidi"/>
          <w:sz w:val="24"/>
          <w:szCs w:val="24"/>
        </w:rPr>
        <w:t xml:space="preserve">million kilowatt hours in Palestine.  During WWII, there was </w:t>
      </w:r>
      <w:r w:rsidR="00A83F5B" w:rsidRPr="00B503E6">
        <w:rPr>
          <w:rFonts w:asciiTheme="majorBidi" w:hAnsiTheme="majorBidi" w:cstheme="majorBidi"/>
          <w:sz w:val="24"/>
          <w:szCs w:val="24"/>
        </w:rPr>
        <w:t xml:space="preserve">more </w:t>
      </w:r>
      <w:r w:rsidR="005C7E86" w:rsidRPr="00B503E6">
        <w:rPr>
          <w:rFonts w:asciiTheme="majorBidi" w:hAnsiTheme="majorBidi" w:cstheme="majorBidi"/>
          <w:sz w:val="24"/>
          <w:szCs w:val="24"/>
        </w:rPr>
        <w:t xml:space="preserve">growth in </w:t>
      </w:r>
      <w:r w:rsidR="00A83F5B" w:rsidRPr="00B503E6">
        <w:rPr>
          <w:rFonts w:asciiTheme="majorBidi" w:hAnsiTheme="majorBidi" w:cstheme="majorBidi"/>
          <w:sz w:val="24"/>
          <w:szCs w:val="24"/>
        </w:rPr>
        <w:t xml:space="preserve">the </w:t>
      </w:r>
      <w:r w:rsidR="005C7E86" w:rsidRPr="00B503E6">
        <w:rPr>
          <w:rFonts w:asciiTheme="majorBidi" w:hAnsiTheme="majorBidi" w:cstheme="majorBidi"/>
          <w:sz w:val="24"/>
          <w:szCs w:val="24"/>
        </w:rPr>
        <w:t>production of electricity</w:t>
      </w:r>
      <w:r w:rsidR="00A83F5B" w:rsidRPr="00B503E6">
        <w:rPr>
          <w:rFonts w:asciiTheme="majorBidi" w:hAnsiTheme="majorBidi" w:cstheme="majorBidi"/>
          <w:sz w:val="24"/>
          <w:szCs w:val="24"/>
        </w:rPr>
        <w:t>.</w:t>
      </w:r>
      <w:r w:rsidR="005C7E86" w:rsidRPr="00B503E6">
        <w:rPr>
          <w:rFonts w:asciiTheme="majorBidi" w:hAnsiTheme="majorBidi" w:cstheme="majorBidi"/>
          <w:sz w:val="24"/>
          <w:szCs w:val="24"/>
        </w:rPr>
        <w:t xml:space="preserve">  </w:t>
      </w:r>
      <w:r w:rsidR="00A83F5B" w:rsidRPr="00B503E6">
        <w:rPr>
          <w:rFonts w:asciiTheme="majorBidi" w:hAnsiTheme="majorBidi" w:cstheme="majorBidi"/>
          <w:sz w:val="24"/>
          <w:szCs w:val="24"/>
        </w:rPr>
        <w:t>I</w:t>
      </w:r>
      <w:r w:rsidR="005C7E86" w:rsidRPr="00B503E6">
        <w:rPr>
          <w:rFonts w:asciiTheme="majorBidi" w:hAnsiTheme="majorBidi" w:cstheme="majorBidi"/>
          <w:sz w:val="24"/>
          <w:szCs w:val="24"/>
        </w:rPr>
        <w:t>n 1946</w:t>
      </w:r>
      <w:r w:rsidR="000F52DD" w:rsidRPr="00B503E6">
        <w:rPr>
          <w:rFonts w:asciiTheme="majorBidi" w:hAnsiTheme="majorBidi" w:cstheme="majorBidi"/>
          <w:sz w:val="24"/>
          <w:szCs w:val="24"/>
        </w:rPr>
        <w:t>,</w:t>
      </w:r>
      <w:r w:rsidR="005C7E86" w:rsidRPr="00B503E6">
        <w:rPr>
          <w:rFonts w:asciiTheme="majorBidi" w:hAnsiTheme="majorBidi" w:cstheme="majorBidi"/>
          <w:sz w:val="24"/>
          <w:szCs w:val="24"/>
        </w:rPr>
        <w:t xml:space="preserve"> Lebanon produced 61 million kilowatt hours, and Syria produced 38 million kilowatt hours, </w:t>
      </w:r>
      <w:r w:rsidR="005C7E86" w:rsidRPr="00B503E6">
        <w:rPr>
          <w:rFonts w:asciiTheme="majorBidi" w:hAnsiTheme="majorBidi" w:cstheme="majorBidi"/>
          <w:sz w:val="24"/>
          <w:szCs w:val="24"/>
        </w:rPr>
        <w:lastRenderedPageBreak/>
        <w:t xml:space="preserve">while in Palestine, production </w:t>
      </w:r>
      <w:r w:rsidR="002D4393" w:rsidRPr="00B503E6">
        <w:rPr>
          <w:rFonts w:asciiTheme="majorBidi" w:hAnsiTheme="majorBidi" w:cstheme="majorBidi"/>
          <w:sz w:val="24"/>
          <w:szCs w:val="24"/>
        </w:rPr>
        <w:t xml:space="preserve">jumped </w:t>
      </w:r>
      <w:r w:rsidR="005C7E86" w:rsidRPr="00B503E6">
        <w:rPr>
          <w:rFonts w:asciiTheme="majorBidi" w:hAnsiTheme="majorBidi" w:cstheme="majorBidi"/>
          <w:sz w:val="24"/>
          <w:szCs w:val="24"/>
        </w:rPr>
        <w:t>to 252 million kilowatt hours</w:t>
      </w:r>
      <w:r w:rsidR="007F6472" w:rsidRPr="00B503E6">
        <w:rPr>
          <w:rFonts w:asciiTheme="majorBidi" w:hAnsiTheme="majorBidi" w:cstheme="majorBidi"/>
          <w:sz w:val="24"/>
          <w:szCs w:val="24"/>
        </w:rPr>
        <w:t xml:space="preserve">. </w:t>
      </w:r>
      <w:r w:rsidR="00786D3C" w:rsidRPr="00B503E6">
        <w:rPr>
          <w:rFonts w:asciiTheme="majorBidi" w:hAnsiTheme="majorBidi" w:cstheme="majorBidi"/>
          <w:sz w:val="24"/>
          <w:szCs w:val="24"/>
        </w:rPr>
        <w:t xml:space="preserve"> In Trans-Jordan, even towards the end of the </w:t>
      </w:r>
      <w:r w:rsidR="00E26C05" w:rsidRPr="00B503E6">
        <w:rPr>
          <w:rFonts w:asciiTheme="majorBidi" w:hAnsiTheme="majorBidi" w:cstheme="majorBidi"/>
          <w:sz w:val="24"/>
          <w:szCs w:val="24"/>
        </w:rPr>
        <w:t>Mandate</w:t>
      </w:r>
      <w:r w:rsidR="00786D3C" w:rsidRPr="00B503E6">
        <w:rPr>
          <w:rFonts w:asciiTheme="majorBidi" w:hAnsiTheme="majorBidi" w:cstheme="majorBidi"/>
          <w:sz w:val="24"/>
          <w:szCs w:val="24"/>
        </w:rPr>
        <w:t xml:space="preserve"> period, there were </w:t>
      </w:r>
      <w:r w:rsidR="004377C0" w:rsidRPr="00B503E6">
        <w:rPr>
          <w:rFonts w:asciiTheme="majorBidi" w:hAnsiTheme="majorBidi" w:cstheme="majorBidi"/>
          <w:sz w:val="24"/>
          <w:szCs w:val="24"/>
        </w:rPr>
        <w:t xml:space="preserve">only </w:t>
      </w:r>
      <w:r w:rsidR="00786D3C" w:rsidRPr="00B503E6">
        <w:rPr>
          <w:rFonts w:asciiTheme="majorBidi" w:hAnsiTheme="majorBidi" w:cstheme="majorBidi"/>
          <w:sz w:val="24"/>
          <w:szCs w:val="24"/>
        </w:rPr>
        <w:t xml:space="preserve">two local power plants that provided electricity </w:t>
      </w:r>
      <w:r w:rsidR="000F52DD" w:rsidRPr="00B503E6">
        <w:rPr>
          <w:rFonts w:asciiTheme="majorBidi" w:hAnsiTheme="majorBidi" w:cstheme="majorBidi"/>
          <w:sz w:val="24"/>
          <w:szCs w:val="24"/>
        </w:rPr>
        <w:t xml:space="preserve">just </w:t>
      </w:r>
      <w:r w:rsidR="00786D3C" w:rsidRPr="00B503E6">
        <w:rPr>
          <w:rFonts w:asciiTheme="majorBidi" w:hAnsiTheme="majorBidi" w:cstheme="majorBidi"/>
          <w:sz w:val="24"/>
          <w:szCs w:val="24"/>
        </w:rPr>
        <w:t>to Amman and Zarqa (near Amman).</w:t>
      </w:r>
      <w:r w:rsidR="00E64D4B">
        <w:rPr>
          <w:rStyle w:val="EndnoteReference"/>
          <w:rFonts w:asciiTheme="majorBidi" w:hAnsiTheme="majorBidi" w:cstheme="majorBidi"/>
          <w:sz w:val="24"/>
          <w:szCs w:val="24"/>
        </w:rPr>
        <w:endnoteReference w:id="61"/>
      </w:r>
      <w:r w:rsidR="00786D3C" w:rsidRPr="00B503E6">
        <w:rPr>
          <w:rFonts w:asciiTheme="majorBidi" w:hAnsiTheme="majorBidi" w:cstheme="majorBidi"/>
          <w:sz w:val="24"/>
          <w:szCs w:val="24"/>
        </w:rPr>
        <w:t xml:space="preserve"> </w:t>
      </w:r>
    </w:p>
    <w:p w:rsidR="00D62876" w:rsidRPr="00B503E6" w:rsidRDefault="00F75301" w:rsidP="003D4200">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All this data imply that </w:t>
      </w:r>
      <w:r w:rsidR="002D13C0" w:rsidRPr="00B503E6">
        <w:rPr>
          <w:rFonts w:asciiTheme="majorBidi" w:hAnsiTheme="majorBidi" w:cstheme="majorBidi"/>
          <w:sz w:val="24"/>
          <w:szCs w:val="24"/>
        </w:rPr>
        <w:t xml:space="preserve">in all four </w:t>
      </w:r>
      <w:r w:rsidR="0067630B" w:rsidRPr="00B503E6">
        <w:rPr>
          <w:rFonts w:asciiTheme="majorBidi" w:hAnsiTheme="majorBidi" w:cstheme="majorBidi"/>
          <w:sz w:val="24"/>
          <w:szCs w:val="24"/>
        </w:rPr>
        <w:t xml:space="preserve">areas </w:t>
      </w:r>
      <w:r w:rsidR="002D13C0" w:rsidRPr="00B503E6">
        <w:rPr>
          <w:rFonts w:asciiTheme="majorBidi" w:hAnsiTheme="majorBidi" w:cstheme="majorBidi"/>
          <w:sz w:val="24"/>
          <w:szCs w:val="24"/>
        </w:rPr>
        <w:t xml:space="preserve">there was economic growth, but not to the same extent. </w:t>
      </w:r>
      <w:r w:rsidR="00DF43E9" w:rsidRPr="00B503E6">
        <w:rPr>
          <w:rFonts w:asciiTheme="majorBidi" w:hAnsiTheme="majorBidi" w:cstheme="majorBidi"/>
          <w:sz w:val="24"/>
          <w:szCs w:val="24"/>
        </w:rPr>
        <w:t xml:space="preserve">All the different factors </w:t>
      </w:r>
      <w:r w:rsidR="006531A7" w:rsidRPr="00B503E6">
        <w:rPr>
          <w:rFonts w:asciiTheme="majorBidi" w:hAnsiTheme="majorBidi" w:cstheme="majorBidi"/>
          <w:sz w:val="24"/>
          <w:szCs w:val="24"/>
        </w:rPr>
        <w:t xml:space="preserve">mentioned </w:t>
      </w:r>
      <w:r w:rsidR="00DF43E9" w:rsidRPr="00B503E6">
        <w:rPr>
          <w:rFonts w:asciiTheme="majorBidi" w:hAnsiTheme="majorBidi" w:cstheme="majorBidi"/>
          <w:sz w:val="24"/>
          <w:szCs w:val="24"/>
        </w:rPr>
        <w:t xml:space="preserve">indicate </w:t>
      </w:r>
      <w:r w:rsidR="00CF3A2A" w:rsidRPr="00B503E6">
        <w:rPr>
          <w:rFonts w:asciiTheme="majorBidi" w:hAnsiTheme="majorBidi" w:cstheme="majorBidi"/>
          <w:sz w:val="24"/>
          <w:szCs w:val="24"/>
        </w:rPr>
        <w:t xml:space="preserve">that Palestine had the highest economic growth </w:t>
      </w:r>
      <w:r w:rsidR="002D13C0" w:rsidRPr="00B503E6">
        <w:rPr>
          <w:rFonts w:asciiTheme="majorBidi" w:hAnsiTheme="majorBidi" w:cstheme="majorBidi"/>
          <w:sz w:val="24"/>
          <w:szCs w:val="24"/>
        </w:rPr>
        <w:t xml:space="preserve">of the four territories and the growth occurred almost throughout the period with the exception of the years of the Arab revolt from 1936-1939.  </w:t>
      </w:r>
      <w:r w:rsidR="00C342D4" w:rsidRPr="00B503E6">
        <w:rPr>
          <w:rFonts w:asciiTheme="majorBidi" w:hAnsiTheme="majorBidi" w:cstheme="majorBidi"/>
          <w:sz w:val="24"/>
          <w:szCs w:val="24"/>
        </w:rPr>
        <w:t xml:space="preserve">Trans-Jordan's economy also grew, though it seems that it began only in the mid-1930s. In Syria and Lebanon, there was </w:t>
      </w:r>
      <w:r w:rsidR="0067630B" w:rsidRPr="00B503E6">
        <w:rPr>
          <w:rFonts w:asciiTheme="majorBidi" w:hAnsiTheme="majorBidi" w:cstheme="majorBidi"/>
          <w:sz w:val="24"/>
          <w:szCs w:val="24"/>
        </w:rPr>
        <w:t>s</w:t>
      </w:r>
      <w:r w:rsidR="00A377C8" w:rsidRPr="00B503E6">
        <w:rPr>
          <w:rFonts w:asciiTheme="majorBidi" w:hAnsiTheme="majorBidi" w:cstheme="majorBidi"/>
          <w:sz w:val="24"/>
          <w:szCs w:val="24"/>
        </w:rPr>
        <w:t>ome</w:t>
      </w:r>
      <w:r w:rsidR="0067630B" w:rsidRPr="00B503E6">
        <w:rPr>
          <w:rFonts w:asciiTheme="majorBidi" w:hAnsiTheme="majorBidi" w:cstheme="majorBidi"/>
          <w:sz w:val="24"/>
          <w:szCs w:val="24"/>
        </w:rPr>
        <w:t xml:space="preserve"> </w:t>
      </w:r>
      <w:r w:rsidR="00C342D4" w:rsidRPr="00B503E6">
        <w:rPr>
          <w:rFonts w:asciiTheme="majorBidi" w:hAnsiTheme="majorBidi" w:cstheme="majorBidi"/>
          <w:sz w:val="24"/>
          <w:szCs w:val="24"/>
        </w:rPr>
        <w:t xml:space="preserve">growth in the 1920s, even with the Druze revolt, as output of cereals was growing, </w:t>
      </w:r>
      <w:r w:rsidR="003D4200" w:rsidRPr="00B503E6">
        <w:rPr>
          <w:rFonts w:asciiTheme="majorBidi" w:hAnsiTheme="majorBidi" w:cstheme="majorBidi"/>
          <w:sz w:val="24"/>
          <w:szCs w:val="24"/>
        </w:rPr>
        <w:t xml:space="preserve">and </w:t>
      </w:r>
      <w:r w:rsidR="00C342D4" w:rsidRPr="00B503E6">
        <w:rPr>
          <w:rFonts w:asciiTheme="majorBidi" w:hAnsiTheme="majorBidi" w:cstheme="majorBidi"/>
          <w:sz w:val="24"/>
          <w:szCs w:val="24"/>
        </w:rPr>
        <w:t>modern industry was beginning to stir</w:t>
      </w:r>
      <w:r w:rsidR="003D4200" w:rsidRPr="00B503E6">
        <w:rPr>
          <w:rFonts w:asciiTheme="majorBidi" w:hAnsiTheme="majorBidi" w:cstheme="majorBidi"/>
          <w:sz w:val="24"/>
          <w:szCs w:val="24"/>
        </w:rPr>
        <w:t>.</w:t>
      </w:r>
      <w:r w:rsidR="00C342D4" w:rsidRPr="00B503E6">
        <w:rPr>
          <w:rFonts w:asciiTheme="majorBidi" w:hAnsiTheme="majorBidi" w:cstheme="majorBidi"/>
          <w:sz w:val="24"/>
          <w:szCs w:val="24"/>
        </w:rPr>
        <w:t xml:space="preserve"> The Great Depression, with its reduced demand, set both economies back, but they both started to grow again in 1936.</w:t>
      </w:r>
      <w:r w:rsidR="00D62876" w:rsidRPr="00B503E6">
        <w:rPr>
          <w:rFonts w:asciiTheme="majorBidi" w:hAnsiTheme="majorBidi" w:cstheme="majorBidi"/>
          <w:sz w:val="24"/>
          <w:szCs w:val="24"/>
        </w:rPr>
        <w:t xml:space="preserve"> </w:t>
      </w:r>
    </w:p>
    <w:p w:rsidR="00D5252C" w:rsidRPr="00B503E6" w:rsidRDefault="00D62876" w:rsidP="00A24EBB">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I</w:t>
      </w:r>
      <w:r w:rsidR="00A47B59" w:rsidRPr="00B503E6">
        <w:rPr>
          <w:rFonts w:asciiTheme="majorBidi" w:hAnsiTheme="majorBidi" w:cstheme="majorBidi"/>
          <w:sz w:val="24"/>
          <w:szCs w:val="24"/>
        </w:rPr>
        <w:t xml:space="preserve">t is difficult to definitely ascertain which </w:t>
      </w:r>
      <w:r w:rsidRPr="00B503E6">
        <w:rPr>
          <w:rFonts w:asciiTheme="majorBidi" w:hAnsiTheme="majorBidi" w:cstheme="majorBidi"/>
          <w:sz w:val="24"/>
          <w:szCs w:val="24"/>
        </w:rPr>
        <w:t>of the three areas, Trans-Jordan, Lebanon or Syria</w:t>
      </w:r>
      <w:r w:rsidR="00A03B40"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A47B59" w:rsidRPr="00B503E6">
        <w:rPr>
          <w:rFonts w:asciiTheme="majorBidi" w:hAnsiTheme="majorBidi" w:cstheme="majorBidi"/>
          <w:sz w:val="24"/>
          <w:szCs w:val="24"/>
        </w:rPr>
        <w:t xml:space="preserve">had </w:t>
      </w:r>
      <w:r w:rsidRPr="00B503E6">
        <w:rPr>
          <w:rFonts w:asciiTheme="majorBidi" w:hAnsiTheme="majorBidi" w:cstheme="majorBidi"/>
          <w:sz w:val="24"/>
          <w:szCs w:val="24"/>
        </w:rPr>
        <w:t xml:space="preserve">better </w:t>
      </w:r>
      <w:r w:rsidR="00A47B59" w:rsidRPr="00B503E6">
        <w:rPr>
          <w:rFonts w:asciiTheme="majorBidi" w:hAnsiTheme="majorBidi" w:cstheme="majorBidi"/>
          <w:sz w:val="24"/>
          <w:szCs w:val="24"/>
        </w:rPr>
        <w:t xml:space="preserve">growth.  </w:t>
      </w:r>
      <w:r w:rsidR="00A332E4" w:rsidRPr="00B503E6">
        <w:rPr>
          <w:rFonts w:asciiTheme="majorBidi" w:hAnsiTheme="majorBidi" w:cstheme="majorBidi"/>
          <w:sz w:val="24"/>
          <w:szCs w:val="24"/>
        </w:rPr>
        <w:t xml:space="preserve">Trans-Jordan, with </w:t>
      </w:r>
      <w:r w:rsidR="00885BEC" w:rsidRPr="00B503E6">
        <w:rPr>
          <w:rFonts w:asciiTheme="majorBidi" w:hAnsiTheme="majorBidi" w:cstheme="majorBidi"/>
          <w:sz w:val="24"/>
          <w:szCs w:val="24"/>
        </w:rPr>
        <w:t xml:space="preserve">its </w:t>
      </w:r>
      <w:r w:rsidR="0067630B" w:rsidRPr="00B503E6">
        <w:rPr>
          <w:rFonts w:asciiTheme="majorBidi" w:hAnsiTheme="majorBidi" w:cstheme="majorBidi"/>
          <w:sz w:val="24"/>
          <w:szCs w:val="24"/>
        </w:rPr>
        <w:t xml:space="preserve">larger </w:t>
      </w:r>
      <w:r w:rsidR="00885BEC" w:rsidRPr="00B503E6">
        <w:rPr>
          <w:rFonts w:asciiTheme="majorBidi" w:hAnsiTheme="majorBidi" w:cstheme="majorBidi"/>
          <w:sz w:val="24"/>
          <w:szCs w:val="24"/>
        </w:rPr>
        <w:t xml:space="preserve">increase </w:t>
      </w:r>
      <w:r w:rsidR="00A332E4" w:rsidRPr="00B503E6">
        <w:rPr>
          <w:rFonts w:asciiTheme="majorBidi" w:hAnsiTheme="majorBidi" w:cstheme="majorBidi"/>
          <w:sz w:val="24"/>
          <w:szCs w:val="24"/>
        </w:rPr>
        <w:t>in exports</w:t>
      </w:r>
      <w:r w:rsidR="002745C0" w:rsidRPr="00B503E6">
        <w:rPr>
          <w:rFonts w:asciiTheme="majorBidi" w:hAnsiTheme="majorBidi" w:cstheme="majorBidi"/>
          <w:sz w:val="24"/>
          <w:szCs w:val="24"/>
        </w:rPr>
        <w:t xml:space="preserve">, albeit from a smaller base, </w:t>
      </w:r>
      <w:r w:rsidR="00733764" w:rsidRPr="00B503E6">
        <w:rPr>
          <w:rFonts w:asciiTheme="majorBidi" w:hAnsiTheme="majorBidi" w:cstheme="majorBidi"/>
          <w:sz w:val="24"/>
          <w:szCs w:val="24"/>
        </w:rPr>
        <w:t xml:space="preserve">might </w:t>
      </w:r>
      <w:r w:rsidR="00A332E4" w:rsidRPr="00B503E6">
        <w:rPr>
          <w:rFonts w:asciiTheme="majorBidi" w:hAnsiTheme="majorBidi" w:cstheme="majorBidi"/>
          <w:sz w:val="24"/>
          <w:szCs w:val="24"/>
        </w:rPr>
        <w:t xml:space="preserve">appear </w:t>
      </w:r>
      <w:r w:rsidR="00A47B59" w:rsidRPr="00B503E6">
        <w:rPr>
          <w:rFonts w:asciiTheme="majorBidi" w:hAnsiTheme="majorBidi" w:cstheme="majorBidi"/>
          <w:sz w:val="24"/>
          <w:szCs w:val="24"/>
        </w:rPr>
        <w:t xml:space="preserve">to have </w:t>
      </w:r>
      <w:r w:rsidR="00A17A17" w:rsidRPr="00B503E6">
        <w:rPr>
          <w:rFonts w:asciiTheme="majorBidi" w:hAnsiTheme="majorBidi" w:cstheme="majorBidi"/>
          <w:sz w:val="24"/>
          <w:szCs w:val="24"/>
        </w:rPr>
        <w:t xml:space="preserve">had </w:t>
      </w:r>
      <w:r w:rsidR="00A332E4" w:rsidRPr="00B503E6">
        <w:rPr>
          <w:rFonts w:asciiTheme="majorBidi" w:hAnsiTheme="majorBidi" w:cstheme="majorBidi"/>
          <w:sz w:val="24"/>
          <w:szCs w:val="24"/>
        </w:rPr>
        <w:t>greater growth</w:t>
      </w:r>
      <w:r w:rsidR="002745C0" w:rsidRPr="00B503E6">
        <w:rPr>
          <w:rFonts w:asciiTheme="majorBidi" w:hAnsiTheme="majorBidi" w:cstheme="majorBidi"/>
          <w:sz w:val="24"/>
          <w:szCs w:val="24"/>
        </w:rPr>
        <w:t xml:space="preserve"> </w:t>
      </w:r>
      <w:r w:rsidR="00A332E4" w:rsidRPr="00B503E6">
        <w:rPr>
          <w:rFonts w:asciiTheme="majorBidi" w:hAnsiTheme="majorBidi" w:cstheme="majorBidi"/>
          <w:sz w:val="24"/>
          <w:szCs w:val="24"/>
        </w:rPr>
        <w:t>than Syria and Lebanon</w:t>
      </w:r>
      <w:r w:rsidR="00DE00C9">
        <w:rPr>
          <w:rFonts w:asciiTheme="majorBidi" w:hAnsiTheme="majorBidi" w:cstheme="majorBidi"/>
          <w:sz w:val="24"/>
          <w:szCs w:val="24"/>
        </w:rPr>
        <w:t>, but it had less growth in industry as compared to Syria and Lebanon.</w:t>
      </w:r>
      <w:r w:rsidR="00A332E4" w:rsidRPr="00B503E6">
        <w:rPr>
          <w:rFonts w:asciiTheme="majorBidi" w:hAnsiTheme="majorBidi" w:cstheme="majorBidi"/>
          <w:sz w:val="24"/>
          <w:szCs w:val="24"/>
        </w:rPr>
        <w:t xml:space="preserve">  </w:t>
      </w:r>
      <w:r w:rsidR="00DE00C9">
        <w:rPr>
          <w:rFonts w:asciiTheme="majorBidi" w:hAnsiTheme="majorBidi" w:cstheme="majorBidi"/>
          <w:sz w:val="24"/>
          <w:szCs w:val="24"/>
        </w:rPr>
        <w:t xml:space="preserve">Furthermore, </w:t>
      </w:r>
      <w:r w:rsidR="00A47B59" w:rsidRPr="00B503E6">
        <w:rPr>
          <w:rFonts w:asciiTheme="majorBidi" w:hAnsiTheme="majorBidi" w:cstheme="majorBidi"/>
          <w:sz w:val="24"/>
          <w:szCs w:val="24"/>
        </w:rPr>
        <w:t xml:space="preserve">in Lebanon there was the development of its </w:t>
      </w:r>
      <w:r w:rsidR="003E529A" w:rsidRPr="00B503E6">
        <w:rPr>
          <w:rFonts w:asciiTheme="majorBidi" w:hAnsiTheme="majorBidi" w:cstheme="majorBidi"/>
          <w:sz w:val="24"/>
          <w:szCs w:val="24"/>
        </w:rPr>
        <w:t xml:space="preserve">citrus and </w:t>
      </w:r>
      <w:r w:rsidR="00CC0F0B" w:rsidRPr="00B503E6">
        <w:rPr>
          <w:rFonts w:asciiTheme="majorBidi" w:hAnsiTheme="majorBidi" w:cstheme="majorBidi"/>
          <w:sz w:val="24"/>
          <w:szCs w:val="24"/>
        </w:rPr>
        <w:t xml:space="preserve">financial </w:t>
      </w:r>
      <w:r w:rsidR="002F1215" w:rsidRPr="00B503E6">
        <w:rPr>
          <w:rFonts w:asciiTheme="majorBidi" w:hAnsiTheme="majorBidi" w:cstheme="majorBidi"/>
          <w:sz w:val="24"/>
          <w:szCs w:val="24"/>
        </w:rPr>
        <w:t>sector</w:t>
      </w:r>
      <w:r w:rsidR="003E529A" w:rsidRPr="00B503E6">
        <w:rPr>
          <w:rFonts w:asciiTheme="majorBidi" w:hAnsiTheme="majorBidi" w:cstheme="majorBidi"/>
          <w:sz w:val="24"/>
          <w:szCs w:val="24"/>
        </w:rPr>
        <w:t>s</w:t>
      </w:r>
      <w:r w:rsidR="002F1215" w:rsidRPr="00B503E6">
        <w:rPr>
          <w:rFonts w:asciiTheme="majorBidi" w:hAnsiTheme="majorBidi" w:cstheme="majorBidi"/>
          <w:sz w:val="24"/>
          <w:szCs w:val="24"/>
        </w:rPr>
        <w:t xml:space="preserve">, </w:t>
      </w:r>
      <w:r w:rsidR="00803238" w:rsidRPr="00B503E6">
        <w:rPr>
          <w:rFonts w:asciiTheme="majorBidi" w:hAnsiTheme="majorBidi" w:cstheme="majorBidi"/>
          <w:sz w:val="24"/>
          <w:szCs w:val="24"/>
        </w:rPr>
        <w:t xml:space="preserve">and </w:t>
      </w:r>
      <w:r w:rsidR="00A47B59" w:rsidRPr="00B503E6">
        <w:rPr>
          <w:rFonts w:asciiTheme="majorBidi" w:hAnsiTheme="majorBidi" w:cstheme="majorBidi"/>
          <w:sz w:val="24"/>
          <w:szCs w:val="24"/>
        </w:rPr>
        <w:t xml:space="preserve">a greater increase in electricity than in Syria and Trans-Jordan. </w:t>
      </w:r>
      <w:r w:rsidR="0013482B" w:rsidRPr="00B503E6">
        <w:rPr>
          <w:rFonts w:asciiTheme="majorBidi" w:hAnsiTheme="majorBidi" w:cstheme="majorBidi"/>
          <w:sz w:val="24"/>
          <w:szCs w:val="24"/>
        </w:rPr>
        <w:t xml:space="preserve"> On the other hand, in </w:t>
      </w:r>
      <w:r w:rsidR="00803238" w:rsidRPr="00B503E6">
        <w:rPr>
          <w:rFonts w:asciiTheme="majorBidi" w:hAnsiTheme="majorBidi" w:cstheme="majorBidi"/>
          <w:sz w:val="24"/>
          <w:szCs w:val="24"/>
        </w:rPr>
        <w:t xml:space="preserve">Syria </w:t>
      </w:r>
      <w:r w:rsidR="00A24EBB">
        <w:rPr>
          <w:rFonts w:asciiTheme="majorBidi" w:hAnsiTheme="majorBidi" w:cstheme="majorBidi"/>
          <w:sz w:val="24"/>
          <w:szCs w:val="24"/>
        </w:rPr>
        <w:t xml:space="preserve">in the end of the period, </w:t>
      </w:r>
      <w:r w:rsidR="00803238" w:rsidRPr="00B503E6">
        <w:rPr>
          <w:rFonts w:asciiTheme="majorBidi" w:hAnsiTheme="majorBidi" w:cstheme="majorBidi"/>
          <w:sz w:val="24"/>
          <w:szCs w:val="24"/>
        </w:rPr>
        <w:t xml:space="preserve">there were </w:t>
      </w:r>
      <w:r w:rsidR="0013482B" w:rsidRPr="00B503E6">
        <w:rPr>
          <w:rFonts w:asciiTheme="majorBidi" w:hAnsiTheme="majorBidi" w:cstheme="majorBidi"/>
          <w:sz w:val="24"/>
          <w:szCs w:val="24"/>
        </w:rPr>
        <w:t xml:space="preserve">large </w:t>
      </w:r>
      <w:r w:rsidR="00C62AFB" w:rsidRPr="00B503E6">
        <w:rPr>
          <w:rFonts w:asciiTheme="majorBidi" w:hAnsiTheme="majorBidi" w:cstheme="majorBidi"/>
          <w:sz w:val="24"/>
          <w:szCs w:val="24"/>
        </w:rPr>
        <w:t>increases in agricultural output</w:t>
      </w:r>
      <w:r w:rsidR="0067630B" w:rsidRPr="00B503E6">
        <w:rPr>
          <w:rFonts w:asciiTheme="majorBidi" w:hAnsiTheme="majorBidi" w:cstheme="majorBidi"/>
          <w:sz w:val="24"/>
          <w:szCs w:val="24"/>
        </w:rPr>
        <w:t xml:space="preserve"> </w:t>
      </w:r>
      <w:r w:rsidR="00596788">
        <w:rPr>
          <w:rFonts w:asciiTheme="majorBidi" w:hAnsiTheme="majorBidi" w:cstheme="majorBidi"/>
          <w:sz w:val="24"/>
          <w:szCs w:val="24"/>
        </w:rPr>
        <w:t>a</w:t>
      </w:r>
      <w:r w:rsidR="00A24EBB">
        <w:rPr>
          <w:rFonts w:asciiTheme="majorBidi" w:hAnsiTheme="majorBidi" w:cstheme="majorBidi"/>
          <w:sz w:val="24"/>
          <w:szCs w:val="24"/>
        </w:rPr>
        <w:t xml:space="preserve">long with </w:t>
      </w:r>
      <w:r w:rsidR="00596788">
        <w:rPr>
          <w:rFonts w:asciiTheme="majorBidi" w:hAnsiTheme="majorBidi" w:cstheme="majorBidi"/>
          <w:sz w:val="24"/>
          <w:szCs w:val="24"/>
        </w:rPr>
        <w:t xml:space="preserve">the </w:t>
      </w:r>
      <w:r w:rsidR="00A24EBB">
        <w:rPr>
          <w:rFonts w:asciiTheme="majorBidi" w:hAnsiTheme="majorBidi" w:cstheme="majorBidi"/>
          <w:sz w:val="24"/>
          <w:szCs w:val="24"/>
        </w:rPr>
        <w:t>growth of its textile industry</w:t>
      </w:r>
      <w:r w:rsidR="00DE00C9">
        <w:rPr>
          <w:rFonts w:asciiTheme="majorBidi" w:hAnsiTheme="majorBidi" w:cstheme="majorBidi"/>
          <w:sz w:val="24"/>
          <w:szCs w:val="24"/>
        </w:rPr>
        <w:t>.</w:t>
      </w:r>
      <w:r w:rsidR="0013482B" w:rsidRPr="00B503E6">
        <w:rPr>
          <w:rFonts w:asciiTheme="majorBidi" w:hAnsiTheme="majorBidi" w:cstheme="majorBidi"/>
          <w:sz w:val="24"/>
          <w:szCs w:val="24"/>
        </w:rPr>
        <w:t xml:space="preserve"> </w:t>
      </w:r>
      <w:r w:rsidR="00C62AFB" w:rsidRPr="00B503E6">
        <w:rPr>
          <w:rFonts w:asciiTheme="majorBidi" w:hAnsiTheme="majorBidi" w:cstheme="majorBidi"/>
          <w:sz w:val="24"/>
          <w:szCs w:val="24"/>
        </w:rPr>
        <w:t xml:space="preserve">  </w:t>
      </w:r>
    </w:p>
    <w:p w:rsidR="0035479E" w:rsidRPr="00B503E6" w:rsidRDefault="0035479E" w:rsidP="00FC5435">
      <w:pPr>
        <w:spacing w:line="480" w:lineRule="auto"/>
        <w:contextualSpacing/>
        <w:jc w:val="both"/>
        <w:rPr>
          <w:rFonts w:asciiTheme="majorBidi" w:hAnsiTheme="majorBidi" w:cstheme="majorBidi"/>
          <w:sz w:val="24"/>
          <w:szCs w:val="24"/>
        </w:rPr>
      </w:pPr>
    </w:p>
    <w:p w:rsidR="0035479E" w:rsidRPr="00B503E6" w:rsidRDefault="0035479E" w:rsidP="003716FC">
      <w:pPr>
        <w:pStyle w:val="ListParagraph"/>
        <w:numPr>
          <w:ilvl w:val="0"/>
          <w:numId w:val="4"/>
        </w:numPr>
        <w:spacing w:line="480" w:lineRule="auto"/>
        <w:ind w:left="426" w:hanging="426"/>
        <w:rPr>
          <w:rFonts w:asciiTheme="majorBidi" w:hAnsiTheme="majorBidi" w:cstheme="majorBidi"/>
          <w:sz w:val="24"/>
          <w:szCs w:val="24"/>
        </w:rPr>
      </w:pPr>
      <w:r w:rsidRPr="00B503E6">
        <w:rPr>
          <w:rFonts w:asciiTheme="majorBidi" w:hAnsiTheme="majorBidi" w:cstheme="majorBidi"/>
          <w:sz w:val="24"/>
          <w:szCs w:val="24"/>
        </w:rPr>
        <w:t>Institutions</w:t>
      </w:r>
      <w:r w:rsidR="00662CAB" w:rsidRPr="00B503E6">
        <w:rPr>
          <w:rFonts w:asciiTheme="majorBidi" w:hAnsiTheme="majorBidi" w:cstheme="majorBidi"/>
          <w:sz w:val="24"/>
          <w:szCs w:val="24"/>
        </w:rPr>
        <w:t>, proximate causes</w:t>
      </w:r>
      <w:r w:rsidRPr="00B503E6">
        <w:rPr>
          <w:rFonts w:asciiTheme="majorBidi" w:hAnsiTheme="majorBidi" w:cstheme="majorBidi"/>
          <w:sz w:val="24"/>
          <w:szCs w:val="24"/>
        </w:rPr>
        <w:t xml:space="preserve"> and economic growth</w:t>
      </w:r>
    </w:p>
    <w:p w:rsidR="00BF7754" w:rsidRPr="00B503E6" w:rsidRDefault="00662CAB" w:rsidP="00A3059B">
      <w:pPr>
        <w:tabs>
          <w:tab w:val="right" w:pos="426"/>
        </w:tabs>
        <w:spacing w:line="480" w:lineRule="auto"/>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The </w:t>
      </w:r>
      <w:r w:rsidR="007B2E71" w:rsidRPr="00B503E6">
        <w:rPr>
          <w:rFonts w:asciiTheme="majorBidi" w:hAnsiTheme="majorBidi" w:cstheme="majorBidi"/>
          <w:sz w:val="24"/>
          <w:szCs w:val="24"/>
        </w:rPr>
        <w:t xml:space="preserve">correspondence between </w:t>
      </w:r>
      <w:r w:rsidRPr="00B503E6">
        <w:rPr>
          <w:rFonts w:asciiTheme="majorBidi" w:hAnsiTheme="majorBidi" w:cstheme="majorBidi"/>
          <w:sz w:val="24"/>
          <w:szCs w:val="24"/>
        </w:rPr>
        <w:t xml:space="preserve">economic growth </w:t>
      </w:r>
      <w:r w:rsidR="007B2E71" w:rsidRPr="00B503E6">
        <w:rPr>
          <w:rFonts w:asciiTheme="majorBidi" w:hAnsiTheme="majorBidi" w:cstheme="majorBidi"/>
          <w:sz w:val="24"/>
          <w:szCs w:val="24"/>
        </w:rPr>
        <w:t xml:space="preserve">and the inclusive institutions in the four Mandate territories </w:t>
      </w:r>
      <w:r w:rsidRPr="00B503E6">
        <w:rPr>
          <w:rFonts w:asciiTheme="majorBidi" w:hAnsiTheme="majorBidi" w:cstheme="majorBidi"/>
          <w:sz w:val="24"/>
          <w:szCs w:val="24"/>
        </w:rPr>
        <w:t xml:space="preserve">accords with Acemoglu's thesis that inclusive institutions are </w:t>
      </w:r>
      <w:r w:rsidRPr="00B503E6">
        <w:rPr>
          <w:rFonts w:asciiTheme="majorBidi" w:hAnsiTheme="majorBidi" w:cstheme="majorBidi"/>
          <w:sz w:val="24"/>
          <w:szCs w:val="24"/>
        </w:rPr>
        <w:lastRenderedPageBreak/>
        <w:t xml:space="preserve">a </w:t>
      </w:r>
      <w:r w:rsidR="00102E86" w:rsidRPr="00B503E6">
        <w:rPr>
          <w:rFonts w:asciiTheme="majorBidi" w:hAnsiTheme="majorBidi" w:cstheme="majorBidi"/>
          <w:sz w:val="24"/>
          <w:szCs w:val="24"/>
        </w:rPr>
        <w:t xml:space="preserve">fundamental </w:t>
      </w:r>
      <w:r w:rsidRPr="00B503E6">
        <w:rPr>
          <w:rFonts w:asciiTheme="majorBidi" w:hAnsiTheme="majorBidi" w:cstheme="majorBidi"/>
          <w:sz w:val="24"/>
          <w:szCs w:val="24"/>
        </w:rPr>
        <w:t>c</w:t>
      </w:r>
      <w:r w:rsidR="00102E86" w:rsidRPr="00B503E6">
        <w:rPr>
          <w:rFonts w:asciiTheme="majorBidi" w:hAnsiTheme="majorBidi" w:cstheme="majorBidi"/>
          <w:sz w:val="24"/>
          <w:szCs w:val="24"/>
        </w:rPr>
        <w:t>ause of economic growth</w:t>
      </w:r>
      <w:r w:rsidR="00A3059B" w:rsidRPr="00B503E6">
        <w:rPr>
          <w:rFonts w:asciiTheme="majorBidi" w:hAnsiTheme="majorBidi" w:cstheme="majorBidi"/>
          <w:sz w:val="24"/>
          <w:szCs w:val="24"/>
        </w:rPr>
        <w:t xml:space="preserve">.  </w:t>
      </w:r>
      <w:r w:rsidR="00C753E3" w:rsidRPr="00B503E6">
        <w:rPr>
          <w:rFonts w:asciiTheme="majorBidi" w:hAnsiTheme="majorBidi" w:cstheme="majorBidi"/>
          <w:sz w:val="24"/>
          <w:szCs w:val="24"/>
        </w:rPr>
        <w:t>This relationship (though not using the term inclusive institutions) has been noted by other scholars</w:t>
      </w:r>
      <w:r w:rsidR="00716A28" w:rsidRPr="00B503E6">
        <w:rPr>
          <w:rFonts w:asciiTheme="majorBidi" w:hAnsiTheme="majorBidi" w:cstheme="majorBidi"/>
          <w:sz w:val="24"/>
          <w:szCs w:val="24"/>
        </w:rPr>
        <w:t xml:space="preserve"> for LPST for this period</w:t>
      </w:r>
      <w:r w:rsidR="00C753E3" w:rsidRPr="00B503E6">
        <w:rPr>
          <w:rFonts w:asciiTheme="majorBidi" w:hAnsiTheme="majorBidi" w:cstheme="majorBidi"/>
          <w:sz w:val="24"/>
          <w:szCs w:val="24"/>
        </w:rPr>
        <w:t>.</w:t>
      </w:r>
      <w:r w:rsidR="00BF7754" w:rsidRPr="00B503E6">
        <w:rPr>
          <w:rFonts w:asciiTheme="majorBidi" w:hAnsiTheme="majorBidi" w:cstheme="majorBidi"/>
          <w:sz w:val="24"/>
          <w:szCs w:val="24"/>
        </w:rPr>
        <w:t xml:space="preserve"> </w:t>
      </w:r>
    </w:p>
    <w:p w:rsidR="002074C7" w:rsidRPr="00B503E6" w:rsidRDefault="00A3059B" w:rsidP="00716A28">
      <w:pPr>
        <w:tabs>
          <w:tab w:val="right" w:pos="426"/>
        </w:tabs>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For example, </w:t>
      </w:r>
      <w:r w:rsidR="002074C7" w:rsidRPr="00B503E6">
        <w:rPr>
          <w:rFonts w:asciiTheme="majorBidi" w:hAnsiTheme="majorBidi" w:cstheme="majorBidi"/>
          <w:sz w:val="24"/>
          <w:szCs w:val="24"/>
        </w:rPr>
        <w:t>Ruppin in a speech in New York in 1922 to encourage Jewish investors to Palestine, noted “that a few years ago it was not possible to say that private enterprises were safe, but since the change of administration a change in the economic conditions of the country had taken place” (The New York Times</w:t>
      </w:r>
      <w:r w:rsidR="00DF33AB" w:rsidRPr="00B503E6">
        <w:rPr>
          <w:rFonts w:asciiTheme="majorBidi" w:hAnsiTheme="majorBidi" w:cstheme="majorBidi"/>
          <w:sz w:val="24"/>
          <w:szCs w:val="24"/>
        </w:rPr>
        <w:t>,</w:t>
      </w:r>
      <w:r w:rsidR="002074C7" w:rsidRPr="00B503E6">
        <w:rPr>
          <w:rFonts w:asciiTheme="majorBidi" w:hAnsiTheme="majorBidi" w:cstheme="majorBidi"/>
          <w:sz w:val="24"/>
          <w:szCs w:val="24"/>
        </w:rPr>
        <w:t xml:space="preserve"> November 9, 1922).  </w:t>
      </w:r>
    </w:p>
    <w:p w:rsidR="003B0EB2" w:rsidRPr="00B503E6" w:rsidRDefault="002074C7" w:rsidP="004978AD">
      <w:pPr>
        <w:tabs>
          <w:tab w:val="right" w:pos="426"/>
        </w:tabs>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Norman </w:t>
      </w:r>
      <w:r w:rsidR="00CE7D13" w:rsidRPr="00B503E6">
        <w:rPr>
          <w:rFonts w:asciiTheme="majorBidi" w:hAnsiTheme="majorBidi" w:cstheme="majorBidi"/>
          <w:sz w:val="24"/>
          <w:szCs w:val="24"/>
        </w:rPr>
        <w:t xml:space="preserve">Burns (1933, 160,161) notes that wool production in Syria in 1929 was double the level </w:t>
      </w:r>
      <w:r w:rsidR="00F70806" w:rsidRPr="00B503E6">
        <w:rPr>
          <w:rFonts w:asciiTheme="majorBidi" w:hAnsiTheme="majorBidi" w:cstheme="majorBidi"/>
          <w:sz w:val="24"/>
          <w:szCs w:val="24"/>
        </w:rPr>
        <w:t xml:space="preserve">from </w:t>
      </w:r>
      <w:r w:rsidR="00CE7D13" w:rsidRPr="00B503E6">
        <w:rPr>
          <w:rFonts w:asciiTheme="majorBidi" w:hAnsiTheme="majorBidi" w:cstheme="majorBidi"/>
          <w:sz w:val="24"/>
          <w:szCs w:val="24"/>
        </w:rPr>
        <w:t xml:space="preserve">before </w:t>
      </w:r>
      <w:r w:rsidR="00CD15BD" w:rsidRPr="00B503E6">
        <w:rPr>
          <w:rFonts w:asciiTheme="majorBidi" w:hAnsiTheme="majorBidi" w:cstheme="majorBidi"/>
          <w:sz w:val="24"/>
          <w:szCs w:val="24"/>
        </w:rPr>
        <w:t xml:space="preserve">WWI, and he writes </w:t>
      </w:r>
      <w:r w:rsidR="00F70806" w:rsidRPr="00B503E6">
        <w:rPr>
          <w:rFonts w:asciiTheme="majorBidi" w:hAnsiTheme="majorBidi" w:cstheme="majorBidi"/>
          <w:sz w:val="24"/>
          <w:szCs w:val="24"/>
        </w:rPr>
        <w:t xml:space="preserve">that </w:t>
      </w:r>
      <w:r w:rsidR="00CD15BD" w:rsidRPr="00B503E6">
        <w:rPr>
          <w:rFonts w:asciiTheme="majorBidi" w:hAnsiTheme="majorBidi" w:cstheme="majorBidi"/>
          <w:sz w:val="24"/>
          <w:szCs w:val="24"/>
        </w:rPr>
        <w:t>th</w:t>
      </w:r>
      <w:r w:rsidR="00F70806" w:rsidRPr="00B503E6">
        <w:rPr>
          <w:rFonts w:asciiTheme="majorBidi" w:hAnsiTheme="majorBidi" w:cstheme="majorBidi"/>
          <w:sz w:val="24"/>
          <w:szCs w:val="24"/>
        </w:rPr>
        <w:t xml:space="preserve">is occurred </w:t>
      </w:r>
      <w:r w:rsidRPr="00B503E6">
        <w:rPr>
          <w:rFonts w:asciiTheme="majorBidi" w:hAnsiTheme="majorBidi" w:cstheme="majorBidi"/>
          <w:sz w:val="24"/>
          <w:szCs w:val="24"/>
        </w:rPr>
        <w:t xml:space="preserve">not because of specific government support </w:t>
      </w:r>
      <w:r w:rsidR="004978AD" w:rsidRPr="00B503E6">
        <w:rPr>
          <w:rFonts w:asciiTheme="majorBidi" w:hAnsiTheme="majorBidi" w:cstheme="majorBidi"/>
          <w:sz w:val="24"/>
          <w:szCs w:val="24"/>
        </w:rPr>
        <w:t xml:space="preserve">for the industry </w:t>
      </w:r>
      <w:r w:rsidRPr="00B503E6">
        <w:rPr>
          <w:rFonts w:asciiTheme="majorBidi" w:hAnsiTheme="majorBidi" w:cstheme="majorBidi"/>
          <w:sz w:val="24"/>
          <w:szCs w:val="24"/>
        </w:rPr>
        <w:t xml:space="preserve">but </w:t>
      </w:r>
      <w:r w:rsidR="00CD15BD" w:rsidRPr="00B503E6">
        <w:rPr>
          <w:rFonts w:asciiTheme="majorBidi" w:hAnsiTheme="majorBidi" w:cstheme="majorBidi"/>
          <w:sz w:val="24"/>
          <w:szCs w:val="24"/>
        </w:rPr>
        <w:t>“</w:t>
      </w:r>
      <w:r w:rsidR="00CE7D13" w:rsidRPr="00B503E6">
        <w:rPr>
          <w:rFonts w:asciiTheme="majorBidi" w:hAnsiTheme="majorBidi" w:cstheme="majorBidi"/>
          <w:sz w:val="24"/>
          <w:szCs w:val="24"/>
        </w:rPr>
        <w:t xml:space="preserve">favored by political security, the nomadic herders </w:t>
      </w:r>
      <w:r w:rsidR="00CD15BD" w:rsidRPr="00B503E6">
        <w:rPr>
          <w:rFonts w:asciiTheme="majorBidi" w:hAnsiTheme="majorBidi" w:cstheme="majorBidi"/>
          <w:sz w:val="24"/>
          <w:szCs w:val="24"/>
        </w:rPr>
        <w:t xml:space="preserve">have increased their flock.” </w:t>
      </w:r>
      <w:r w:rsidR="00F70806" w:rsidRPr="00B503E6">
        <w:rPr>
          <w:rFonts w:asciiTheme="majorBidi" w:hAnsiTheme="majorBidi" w:cstheme="majorBidi"/>
          <w:sz w:val="24"/>
          <w:szCs w:val="24"/>
        </w:rPr>
        <w:t xml:space="preserve"> </w:t>
      </w:r>
      <w:r w:rsidRPr="00B503E6">
        <w:rPr>
          <w:rFonts w:asciiTheme="majorBidi" w:hAnsiTheme="majorBidi" w:cstheme="majorBidi"/>
          <w:sz w:val="24"/>
          <w:szCs w:val="24"/>
        </w:rPr>
        <w:t xml:space="preserve">With regard to Syria and Lebanon, Albert Hourani </w:t>
      </w:r>
      <w:r w:rsidR="005A1283" w:rsidRPr="00B503E6">
        <w:rPr>
          <w:rFonts w:asciiTheme="majorBidi" w:hAnsiTheme="majorBidi" w:cstheme="majorBidi"/>
          <w:sz w:val="24"/>
          <w:szCs w:val="24"/>
        </w:rPr>
        <w:t>(1968, 174) writes</w:t>
      </w:r>
      <w:r w:rsidR="003B0EB2" w:rsidRPr="00B503E6">
        <w:rPr>
          <w:rFonts w:asciiTheme="majorBidi" w:hAnsiTheme="majorBidi" w:cstheme="majorBidi"/>
          <w:sz w:val="24"/>
          <w:szCs w:val="24"/>
        </w:rPr>
        <w:t>:</w:t>
      </w:r>
    </w:p>
    <w:p w:rsidR="003B0EB2" w:rsidRPr="00B503E6" w:rsidRDefault="003B0EB2" w:rsidP="004978AD">
      <w:pPr>
        <w:tabs>
          <w:tab w:val="right" w:pos="426"/>
        </w:tabs>
        <w:spacing w:line="480" w:lineRule="auto"/>
        <w:ind w:left="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Briefly stated, the achievement of France was to bring into existence in Syria and Lebanon some of the essential conditions which would make it possible the transition from a medieval to a modern society. Law and order were firmly established, even in backward regions where civil government existed scarcely or not at all in Turkish days…The system of public finance was reduced to some sort of order.  It was placed on a comparatively reasonable basis, although there are still serious flaws, as for example, the regressive incidence of taxation… </w:t>
      </w:r>
      <w:r w:rsidR="004978AD" w:rsidRPr="00B503E6">
        <w:rPr>
          <w:rFonts w:asciiTheme="majorBidi" w:hAnsiTheme="majorBidi" w:cstheme="majorBidi"/>
          <w:sz w:val="24"/>
          <w:szCs w:val="24"/>
        </w:rPr>
        <w:t>T</w:t>
      </w:r>
      <w:r w:rsidRPr="00B503E6">
        <w:rPr>
          <w:rFonts w:asciiTheme="majorBidi" w:hAnsiTheme="majorBidi" w:cstheme="majorBidi"/>
          <w:sz w:val="24"/>
          <w:szCs w:val="24"/>
        </w:rPr>
        <w:t>he improvement in public order and administration made possible an extension in the area of cultivation.  The nomads were no longer allowed to raid the settled land and were gradually induced to become peasants</w:t>
      </w:r>
      <w:r w:rsidR="00C01526" w:rsidRPr="00B503E6">
        <w:rPr>
          <w:rFonts w:asciiTheme="majorBidi" w:hAnsiTheme="majorBidi" w:cstheme="majorBidi"/>
          <w:sz w:val="24"/>
          <w:szCs w:val="24"/>
        </w:rPr>
        <w:t>.</w:t>
      </w:r>
      <w:r w:rsidRPr="00B503E6">
        <w:rPr>
          <w:rFonts w:asciiTheme="majorBidi" w:hAnsiTheme="majorBidi" w:cstheme="majorBidi"/>
          <w:sz w:val="24"/>
          <w:szCs w:val="24"/>
        </w:rPr>
        <w:t xml:space="preserve">  Some of the area</w:t>
      </w:r>
      <w:r w:rsidR="00C01526" w:rsidRPr="00B503E6">
        <w:rPr>
          <w:rFonts w:asciiTheme="majorBidi" w:hAnsiTheme="majorBidi" w:cstheme="majorBidi"/>
          <w:sz w:val="24"/>
          <w:szCs w:val="24"/>
        </w:rPr>
        <w:t>s</w:t>
      </w:r>
      <w:r w:rsidRPr="00B503E6">
        <w:rPr>
          <w:rFonts w:asciiTheme="majorBidi" w:hAnsiTheme="majorBidi" w:cstheme="majorBidi"/>
          <w:sz w:val="24"/>
          <w:szCs w:val="24"/>
        </w:rPr>
        <w:t xml:space="preserve"> which they formally dominated were thus opened up for agriculture; this was especially marked in the Syrian Jazirah.  </w:t>
      </w:r>
    </w:p>
    <w:p w:rsidR="00F70806" w:rsidRPr="00B503E6" w:rsidRDefault="003B0EB2" w:rsidP="003B0EB2">
      <w:pPr>
        <w:tabs>
          <w:tab w:val="right" w:pos="426"/>
        </w:tabs>
        <w:spacing w:line="480" w:lineRule="auto"/>
        <w:contextualSpacing/>
        <w:jc w:val="both"/>
        <w:rPr>
          <w:rFonts w:asciiTheme="majorBidi" w:hAnsiTheme="majorBidi" w:cstheme="majorBidi"/>
          <w:sz w:val="24"/>
          <w:szCs w:val="24"/>
        </w:rPr>
      </w:pPr>
      <w:r w:rsidRPr="00B503E6">
        <w:rPr>
          <w:rFonts w:asciiTheme="majorBidi" w:hAnsiTheme="majorBidi" w:cstheme="majorBidi"/>
          <w:sz w:val="24"/>
          <w:szCs w:val="24"/>
        </w:rPr>
        <w:lastRenderedPageBreak/>
        <w:t xml:space="preserve">Similarly, </w:t>
      </w:r>
      <w:r w:rsidR="00327D06" w:rsidRPr="00B503E6">
        <w:rPr>
          <w:rFonts w:asciiTheme="majorBidi" w:hAnsiTheme="majorBidi" w:cstheme="majorBidi"/>
          <w:sz w:val="24"/>
          <w:szCs w:val="24"/>
        </w:rPr>
        <w:t xml:space="preserve">Lewis (1955) credited the agricultural growth </w:t>
      </w:r>
      <w:r w:rsidR="00C753E3" w:rsidRPr="00B503E6">
        <w:rPr>
          <w:rFonts w:asciiTheme="majorBidi" w:hAnsiTheme="majorBidi" w:cstheme="majorBidi"/>
          <w:sz w:val="24"/>
          <w:szCs w:val="24"/>
        </w:rPr>
        <w:t xml:space="preserve">in Syria </w:t>
      </w:r>
      <w:r w:rsidR="00327D06" w:rsidRPr="00B503E6">
        <w:rPr>
          <w:rFonts w:asciiTheme="majorBidi" w:hAnsiTheme="majorBidi" w:cstheme="majorBidi"/>
          <w:sz w:val="24"/>
          <w:szCs w:val="24"/>
        </w:rPr>
        <w:t xml:space="preserve">both to the French who established security in the area and to Allied policy in WWII to encourage production of food. </w:t>
      </w:r>
    </w:p>
    <w:p w:rsidR="00FE0339" w:rsidRPr="00B503E6" w:rsidRDefault="00AD509E" w:rsidP="00AD509E">
      <w:pPr>
        <w:tabs>
          <w:tab w:val="right" w:pos="426"/>
        </w:tabs>
        <w:spacing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With regard to </w:t>
      </w:r>
      <w:r w:rsidR="006D6322" w:rsidRPr="00B503E6">
        <w:rPr>
          <w:rFonts w:asciiTheme="majorBidi" w:hAnsiTheme="majorBidi" w:cstheme="majorBidi"/>
          <w:sz w:val="24"/>
          <w:szCs w:val="24"/>
        </w:rPr>
        <w:t xml:space="preserve">Trans-Jordan, </w:t>
      </w:r>
      <w:r w:rsidR="00FE0339" w:rsidRPr="00B503E6">
        <w:rPr>
          <w:rFonts w:asciiTheme="majorBidi" w:hAnsiTheme="majorBidi" w:cstheme="majorBidi"/>
          <w:i/>
          <w:iCs/>
          <w:sz w:val="24"/>
          <w:szCs w:val="24"/>
        </w:rPr>
        <w:t>The Economist</w:t>
      </w:r>
      <w:r w:rsidR="00FE0339" w:rsidRPr="00B503E6">
        <w:rPr>
          <w:rFonts w:asciiTheme="majorBidi" w:hAnsiTheme="majorBidi" w:cstheme="majorBidi"/>
          <w:sz w:val="24"/>
          <w:szCs w:val="24"/>
        </w:rPr>
        <w:t xml:space="preserve"> (</w:t>
      </w:r>
      <w:r w:rsidR="00747E06" w:rsidRPr="00B503E6">
        <w:rPr>
          <w:rFonts w:asciiTheme="majorBidi" w:hAnsiTheme="majorBidi" w:cstheme="majorBidi"/>
          <w:sz w:val="24"/>
          <w:szCs w:val="24"/>
        </w:rPr>
        <w:t xml:space="preserve">October 16, </w:t>
      </w:r>
      <w:r w:rsidR="00FE0339" w:rsidRPr="00B503E6">
        <w:rPr>
          <w:rFonts w:asciiTheme="majorBidi" w:hAnsiTheme="majorBidi" w:cstheme="majorBidi"/>
          <w:sz w:val="24"/>
          <w:szCs w:val="24"/>
        </w:rPr>
        <w:t>1943</w:t>
      </w:r>
      <w:r w:rsidR="00747E06" w:rsidRPr="00B503E6">
        <w:rPr>
          <w:rFonts w:asciiTheme="majorBidi" w:hAnsiTheme="majorBidi" w:cstheme="majorBidi"/>
          <w:sz w:val="24"/>
          <w:szCs w:val="24"/>
        </w:rPr>
        <w:t>,</w:t>
      </w:r>
      <w:r w:rsidR="00FE0339" w:rsidRPr="00B503E6">
        <w:rPr>
          <w:rFonts w:asciiTheme="majorBidi" w:hAnsiTheme="majorBidi" w:cstheme="majorBidi"/>
          <w:sz w:val="24"/>
          <w:szCs w:val="24"/>
        </w:rPr>
        <w:t xml:space="preserve"> 522) </w:t>
      </w:r>
      <w:r w:rsidR="006D6322" w:rsidRPr="00B503E6">
        <w:rPr>
          <w:rFonts w:asciiTheme="majorBidi" w:hAnsiTheme="majorBidi" w:cstheme="majorBidi"/>
          <w:sz w:val="24"/>
          <w:szCs w:val="24"/>
        </w:rPr>
        <w:t>noted</w:t>
      </w:r>
      <w:r w:rsidR="00FE0339" w:rsidRPr="00B503E6">
        <w:rPr>
          <w:rFonts w:asciiTheme="majorBidi" w:hAnsiTheme="majorBidi" w:cstheme="majorBidi"/>
          <w:sz w:val="24"/>
          <w:szCs w:val="24"/>
        </w:rPr>
        <w:t>,</w:t>
      </w:r>
      <w:r w:rsidR="00F70806" w:rsidRPr="00B503E6">
        <w:rPr>
          <w:rFonts w:asciiTheme="majorBidi" w:hAnsiTheme="majorBidi" w:cstheme="majorBidi"/>
          <w:sz w:val="24"/>
          <w:szCs w:val="24"/>
        </w:rPr>
        <w:t xml:space="preserve"> “</w:t>
      </w:r>
      <w:r w:rsidR="00FE0339" w:rsidRPr="00B503E6">
        <w:rPr>
          <w:rFonts w:asciiTheme="majorBidi" w:hAnsiTheme="majorBidi" w:cstheme="majorBidi"/>
          <w:sz w:val="24"/>
          <w:szCs w:val="24"/>
        </w:rPr>
        <w:t>Efficient control of the Bedouin tribes has practically put an end to raiding and the new security has induced the villagers to improve their methods of harvesting and to increase their own flocks.</w:t>
      </w:r>
      <w:r w:rsidR="00F70806" w:rsidRPr="00B503E6">
        <w:rPr>
          <w:rFonts w:asciiTheme="majorBidi" w:hAnsiTheme="majorBidi" w:cstheme="majorBidi"/>
          <w:sz w:val="24"/>
          <w:szCs w:val="24"/>
        </w:rPr>
        <w:t xml:space="preserve">”  </w:t>
      </w:r>
      <w:r w:rsidR="00102E86" w:rsidRPr="00B503E6">
        <w:rPr>
          <w:rFonts w:asciiTheme="majorBidi" w:hAnsiTheme="majorBidi" w:cstheme="majorBidi"/>
          <w:sz w:val="24"/>
          <w:szCs w:val="24"/>
        </w:rPr>
        <w:t xml:space="preserve">Similarly, </w:t>
      </w:r>
      <w:r w:rsidR="00FE0339" w:rsidRPr="00B503E6">
        <w:rPr>
          <w:rFonts w:asciiTheme="majorBidi" w:hAnsiTheme="majorBidi" w:cstheme="majorBidi"/>
          <w:sz w:val="24"/>
          <w:szCs w:val="24"/>
        </w:rPr>
        <w:t>Konikoff (1946</w:t>
      </w:r>
      <w:r w:rsidR="000F52DD" w:rsidRPr="00B503E6">
        <w:rPr>
          <w:rFonts w:asciiTheme="majorBidi" w:hAnsiTheme="majorBidi" w:cstheme="majorBidi"/>
          <w:sz w:val="24"/>
          <w:szCs w:val="24"/>
        </w:rPr>
        <w:t>,</w:t>
      </w:r>
      <w:r w:rsidR="00FE0339" w:rsidRPr="00B503E6">
        <w:rPr>
          <w:rFonts w:asciiTheme="majorBidi" w:hAnsiTheme="majorBidi" w:cstheme="majorBidi"/>
          <w:sz w:val="24"/>
          <w:szCs w:val="24"/>
        </w:rPr>
        <w:t xml:space="preserve"> 37) in a survey of Trans-Jordan noted,</w:t>
      </w:r>
      <w:r w:rsidR="00F70806" w:rsidRPr="00B503E6">
        <w:rPr>
          <w:rFonts w:asciiTheme="majorBidi" w:hAnsiTheme="majorBidi" w:cstheme="majorBidi"/>
          <w:sz w:val="24"/>
          <w:szCs w:val="24"/>
        </w:rPr>
        <w:t xml:space="preserve"> “</w:t>
      </w:r>
      <w:r w:rsidR="00FE0339" w:rsidRPr="00B503E6">
        <w:rPr>
          <w:rFonts w:asciiTheme="majorBidi" w:hAnsiTheme="majorBidi" w:cstheme="majorBidi"/>
          <w:sz w:val="24"/>
          <w:szCs w:val="24"/>
        </w:rPr>
        <w:t>Although customs and habits are slow to change, the effect of land settlement becomes gradually evident. In settled villages the advantage of security of tenure is being exploited: manure is spread, walls are built and trees planted.</w:t>
      </w:r>
      <w:r w:rsidR="00F70806" w:rsidRPr="00B503E6">
        <w:rPr>
          <w:rFonts w:asciiTheme="majorBidi" w:hAnsiTheme="majorBidi" w:cstheme="majorBidi"/>
          <w:sz w:val="24"/>
          <w:szCs w:val="24"/>
        </w:rPr>
        <w:t>”</w:t>
      </w:r>
      <w:r w:rsidR="00B0667E" w:rsidRPr="00B503E6">
        <w:rPr>
          <w:rFonts w:asciiTheme="majorBidi" w:hAnsiTheme="majorBidi" w:cstheme="majorBidi"/>
          <w:sz w:val="24"/>
          <w:szCs w:val="24"/>
        </w:rPr>
        <w:t xml:space="preserve">  In his conclusion to his study on Trans-Jordan, he comes even closer to the idea of inclusive institutions, as Konikoff (99) writes</w:t>
      </w:r>
      <w:r w:rsidR="003223CB" w:rsidRPr="00B503E6">
        <w:rPr>
          <w:rFonts w:asciiTheme="majorBidi" w:hAnsiTheme="majorBidi" w:cstheme="majorBidi"/>
          <w:sz w:val="24"/>
          <w:szCs w:val="24"/>
        </w:rPr>
        <w:t>:</w:t>
      </w:r>
    </w:p>
    <w:p w:rsidR="00B0667E" w:rsidRDefault="00B0667E" w:rsidP="003223CB">
      <w:pPr>
        <w:tabs>
          <w:tab w:val="right" w:pos="426"/>
        </w:tabs>
        <w:spacing w:line="480" w:lineRule="auto"/>
        <w:ind w:left="567"/>
        <w:contextualSpacing/>
        <w:jc w:val="both"/>
        <w:rPr>
          <w:rFonts w:asciiTheme="majorBidi" w:hAnsiTheme="majorBidi" w:cstheme="majorBidi"/>
          <w:sz w:val="24"/>
          <w:szCs w:val="24"/>
        </w:rPr>
      </w:pPr>
      <w:r w:rsidRPr="00B503E6">
        <w:rPr>
          <w:rFonts w:asciiTheme="majorBidi" w:hAnsiTheme="majorBidi" w:cstheme="majorBidi"/>
          <w:sz w:val="24"/>
          <w:szCs w:val="24"/>
        </w:rPr>
        <w:t>Facilitated by exemplary public security and fostered by a rapid process of land settlement and a revised system of taxation, it (Trans-Jordan) has during the years of its existence as a political entity, witnessed a steady though not spectacular development which is reflected by an increase of population as well as production and a general opening up of the country to the outside world.</w:t>
      </w:r>
    </w:p>
    <w:p w:rsidR="00AD509E" w:rsidRPr="00B503E6" w:rsidRDefault="00AD509E" w:rsidP="00E144AF">
      <w:pPr>
        <w:tabs>
          <w:tab w:val="right" w:pos="426"/>
        </w:tabs>
        <w:spacing w:line="480" w:lineRule="auto"/>
        <w:contextualSpacing/>
        <w:jc w:val="both"/>
        <w:rPr>
          <w:rFonts w:asciiTheme="majorBidi" w:hAnsiTheme="majorBidi" w:cstheme="majorBidi"/>
          <w:sz w:val="24"/>
          <w:szCs w:val="24"/>
        </w:rPr>
      </w:pPr>
      <w:r>
        <w:rPr>
          <w:rFonts w:asciiTheme="majorBidi" w:hAnsiTheme="majorBidi" w:cstheme="majorBidi"/>
          <w:sz w:val="24"/>
          <w:szCs w:val="24"/>
        </w:rPr>
        <w:t>Accordingly</w:t>
      </w:r>
      <w:r w:rsidR="00E144AF">
        <w:rPr>
          <w:rFonts w:asciiTheme="majorBidi" w:hAnsiTheme="majorBidi" w:cstheme="majorBidi"/>
          <w:sz w:val="24"/>
          <w:szCs w:val="24"/>
        </w:rPr>
        <w:t xml:space="preserve"> due to these changes </w:t>
      </w:r>
      <w:r>
        <w:rPr>
          <w:rFonts w:asciiTheme="majorBidi" w:hAnsiTheme="majorBidi" w:cstheme="majorBidi"/>
          <w:sz w:val="24"/>
          <w:szCs w:val="24"/>
        </w:rPr>
        <w:t xml:space="preserve">when </w:t>
      </w:r>
      <w:r w:rsidRPr="00B503E6">
        <w:rPr>
          <w:rFonts w:asciiTheme="majorBidi" w:hAnsiTheme="majorBidi" w:cstheme="majorBidi"/>
          <w:sz w:val="24"/>
          <w:szCs w:val="24"/>
        </w:rPr>
        <w:t xml:space="preserve">there was an increase in demand for wheat and barley during the end of the 1930s and </w:t>
      </w:r>
      <w:r>
        <w:rPr>
          <w:rFonts w:asciiTheme="majorBidi" w:hAnsiTheme="majorBidi" w:cstheme="majorBidi"/>
          <w:sz w:val="24"/>
          <w:szCs w:val="24"/>
        </w:rPr>
        <w:t xml:space="preserve">in </w:t>
      </w:r>
      <w:r w:rsidRPr="00B503E6">
        <w:rPr>
          <w:rFonts w:asciiTheme="majorBidi" w:hAnsiTheme="majorBidi" w:cstheme="majorBidi"/>
          <w:sz w:val="24"/>
          <w:szCs w:val="24"/>
        </w:rPr>
        <w:t xml:space="preserve">WWII, the territory </w:t>
      </w:r>
      <w:r>
        <w:rPr>
          <w:rFonts w:asciiTheme="majorBidi" w:hAnsiTheme="majorBidi" w:cstheme="majorBidi"/>
          <w:sz w:val="24"/>
          <w:szCs w:val="24"/>
        </w:rPr>
        <w:t xml:space="preserve">was able </w:t>
      </w:r>
      <w:r w:rsidRPr="00B503E6">
        <w:rPr>
          <w:rFonts w:asciiTheme="majorBidi" w:hAnsiTheme="majorBidi" w:cstheme="majorBidi"/>
          <w:sz w:val="24"/>
          <w:szCs w:val="24"/>
        </w:rPr>
        <w:t xml:space="preserve">to respond with </w:t>
      </w:r>
      <w:r>
        <w:rPr>
          <w:rFonts w:asciiTheme="majorBidi" w:hAnsiTheme="majorBidi" w:cstheme="majorBidi"/>
          <w:sz w:val="24"/>
          <w:szCs w:val="24"/>
        </w:rPr>
        <w:t xml:space="preserve">large </w:t>
      </w:r>
      <w:r w:rsidRPr="00B503E6">
        <w:rPr>
          <w:rFonts w:asciiTheme="majorBidi" w:hAnsiTheme="majorBidi" w:cstheme="majorBidi"/>
          <w:sz w:val="24"/>
          <w:szCs w:val="24"/>
        </w:rPr>
        <w:t xml:space="preserve">increases in output to meet the demand.  </w:t>
      </w:r>
      <w:r>
        <w:rPr>
          <w:rFonts w:asciiTheme="majorBidi" w:hAnsiTheme="majorBidi" w:cstheme="majorBidi"/>
          <w:sz w:val="24"/>
          <w:szCs w:val="24"/>
        </w:rPr>
        <w:t xml:space="preserve"> </w:t>
      </w:r>
    </w:p>
    <w:p w:rsidR="00802A7D" w:rsidRPr="00B503E6" w:rsidRDefault="00C01526" w:rsidP="00AD509E">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Following all these scholars, it appears that one can view the growth in </w:t>
      </w:r>
      <w:r w:rsidR="002745C0" w:rsidRPr="00B503E6">
        <w:rPr>
          <w:rFonts w:asciiTheme="majorBidi" w:hAnsiTheme="majorBidi" w:cstheme="majorBidi"/>
          <w:sz w:val="24"/>
          <w:szCs w:val="24"/>
        </w:rPr>
        <w:t xml:space="preserve">LPST </w:t>
      </w:r>
      <w:r w:rsidR="00B0667E" w:rsidRPr="00B503E6">
        <w:rPr>
          <w:rFonts w:asciiTheme="majorBidi" w:hAnsiTheme="majorBidi" w:cstheme="majorBidi"/>
          <w:sz w:val="24"/>
          <w:szCs w:val="24"/>
        </w:rPr>
        <w:t xml:space="preserve">during the mandate period </w:t>
      </w:r>
      <w:r w:rsidRPr="00B503E6">
        <w:rPr>
          <w:rFonts w:asciiTheme="majorBidi" w:hAnsiTheme="majorBidi" w:cstheme="majorBidi"/>
          <w:sz w:val="24"/>
          <w:szCs w:val="24"/>
        </w:rPr>
        <w:t xml:space="preserve">as being due to </w:t>
      </w:r>
      <w:r w:rsidR="00C753E3" w:rsidRPr="00B503E6">
        <w:rPr>
          <w:rFonts w:asciiTheme="majorBidi" w:hAnsiTheme="majorBidi" w:cstheme="majorBidi"/>
          <w:sz w:val="24"/>
          <w:szCs w:val="24"/>
        </w:rPr>
        <w:t xml:space="preserve">greater security </w:t>
      </w:r>
      <w:r w:rsidR="004978AD" w:rsidRPr="00B503E6">
        <w:rPr>
          <w:rFonts w:asciiTheme="majorBidi" w:hAnsiTheme="majorBidi" w:cstheme="majorBidi"/>
          <w:sz w:val="24"/>
          <w:szCs w:val="24"/>
        </w:rPr>
        <w:t>both legally and physically of the inhabitants of the areas</w:t>
      </w:r>
      <w:r w:rsidR="003223CB" w:rsidRPr="00B503E6">
        <w:rPr>
          <w:rFonts w:asciiTheme="majorBidi" w:hAnsiTheme="majorBidi" w:cstheme="majorBidi"/>
          <w:sz w:val="24"/>
          <w:szCs w:val="24"/>
        </w:rPr>
        <w:t xml:space="preserve"> and of their possessions, which would be the idea of inclusive institutions</w:t>
      </w:r>
      <w:r w:rsidRPr="00B503E6">
        <w:rPr>
          <w:rFonts w:asciiTheme="majorBidi" w:hAnsiTheme="majorBidi" w:cstheme="majorBidi"/>
          <w:sz w:val="24"/>
          <w:szCs w:val="24"/>
        </w:rPr>
        <w:t>. Yet, h</w:t>
      </w:r>
      <w:r w:rsidR="00BF7754" w:rsidRPr="00B503E6">
        <w:rPr>
          <w:rFonts w:asciiTheme="majorBidi" w:hAnsiTheme="majorBidi" w:cstheme="majorBidi"/>
          <w:sz w:val="24"/>
          <w:szCs w:val="24"/>
        </w:rPr>
        <w:t>ow does the economic growth in LPST relate to the proximate causes of growth</w:t>
      </w:r>
      <w:r w:rsidRPr="00B503E6">
        <w:rPr>
          <w:rFonts w:asciiTheme="majorBidi" w:hAnsiTheme="majorBidi" w:cstheme="majorBidi"/>
          <w:sz w:val="24"/>
          <w:szCs w:val="24"/>
        </w:rPr>
        <w:t xml:space="preserve">? </w:t>
      </w:r>
      <w:r w:rsidR="00BF7754" w:rsidRPr="00B503E6">
        <w:rPr>
          <w:rFonts w:asciiTheme="majorBidi" w:hAnsiTheme="majorBidi" w:cstheme="majorBidi"/>
          <w:sz w:val="24"/>
          <w:szCs w:val="24"/>
        </w:rPr>
        <w:t>I</w:t>
      </w:r>
      <w:r w:rsidR="00B6759D" w:rsidRPr="00B503E6">
        <w:rPr>
          <w:rFonts w:asciiTheme="majorBidi" w:hAnsiTheme="majorBidi" w:cstheme="majorBidi"/>
          <w:sz w:val="24"/>
          <w:szCs w:val="24"/>
        </w:rPr>
        <w:t xml:space="preserve">f </w:t>
      </w:r>
      <w:r w:rsidR="00B376FD" w:rsidRPr="00B503E6">
        <w:rPr>
          <w:rFonts w:asciiTheme="majorBidi" w:hAnsiTheme="majorBidi" w:cstheme="majorBidi"/>
          <w:sz w:val="24"/>
          <w:szCs w:val="24"/>
        </w:rPr>
        <w:t xml:space="preserve">inclusive institutions are the be all and end all to </w:t>
      </w:r>
      <w:r w:rsidR="00B376FD" w:rsidRPr="00B503E6">
        <w:rPr>
          <w:rFonts w:asciiTheme="majorBidi" w:hAnsiTheme="majorBidi" w:cstheme="majorBidi"/>
          <w:sz w:val="24"/>
          <w:szCs w:val="24"/>
        </w:rPr>
        <w:lastRenderedPageBreak/>
        <w:t xml:space="preserve">economic growth, then </w:t>
      </w:r>
      <w:r w:rsidR="00B87C3E" w:rsidRPr="00B503E6">
        <w:rPr>
          <w:rFonts w:asciiTheme="majorBidi" w:hAnsiTheme="majorBidi" w:cstheme="majorBidi"/>
          <w:sz w:val="24"/>
          <w:szCs w:val="24"/>
        </w:rPr>
        <w:t xml:space="preserve">why did Palestine have greater </w:t>
      </w:r>
      <w:r w:rsidR="00B376FD" w:rsidRPr="00B503E6">
        <w:rPr>
          <w:rFonts w:asciiTheme="majorBidi" w:hAnsiTheme="majorBidi" w:cstheme="majorBidi"/>
          <w:sz w:val="24"/>
          <w:szCs w:val="24"/>
        </w:rPr>
        <w:t>growth than Trans-Jordan</w:t>
      </w:r>
      <w:r w:rsidR="00B87C3E" w:rsidRPr="00B503E6">
        <w:rPr>
          <w:rFonts w:asciiTheme="majorBidi" w:hAnsiTheme="majorBidi" w:cstheme="majorBidi"/>
          <w:sz w:val="24"/>
          <w:szCs w:val="24"/>
        </w:rPr>
        <w:t xml:space="preserve">? In both areas, the British instituted inclusive institutions and Trans-Jordan had </w:t>
      </w:r>
      <w:r w:rsidR="000816C0" w:rsidRPr="00B503E6">
        <w:rPr>
          <w:rFonts w:asciiTheme="majorBidi" w:hAnsiTheme="majorBidi" w:cstheme="majorBidi"/>
          <w:sz w:val="24"/>
          <w:szCs w:val="24"/>
        </w:rPr>
        <w:t xml:space="preserve">more </w:t>
      </w:r>
      <w:r w:rsidR="002C0127" w:rsidRPr="00B503E6">
        <w:rPr>
          <w:rFonts w:asciiTheme="majorBidi" w:hAnsiTheme="majorBidi" w:cstheme="majorBidi"/>
          <w:sz w:val="24"/>
          <w:szCs w:val="24"/>
        </w:rPr>
        <w:t>peaceful conditions</w:t>
      </w:r>
      <w:r w:rsidR="00B87C3E" w:rsidRPr="00B503E6">
        <w:rPr>
          <w:rFonts w:asciiTheme="majorBidi" w:hAnsiTheme="majorBidi" w:cstheme="majorBidi"/>
          <w:sz w:val="24"/>
          <w:szCs w:val="24"/>
        </w:rPr>
        <w:t xml:space="preserve"> than Palestine</w:t>
      </w:r>
      <w:r w:rsidR="002C0127" w:rsidRPr="00B503E6">
        <w:rPr>
          <w:rFonts w:asciiTheme="majorBidi" w:hAnsiTheme="majorBidi" w:cstheme="majorBidi"/>
          <w:sz w:val="24"/>
          <w:szCs w:val="24"/>
        </w:rPr>
        <w:t>.</w:t>
      </w:r>
      <w:r w:rsidR="002D06D6" w:rsidRPr="00B503E6">
        <w:rPr>
          <w:rFonts w:asciiTheme="majorBidi" w:hAnsiTheme="majorBidi" w:cstheme="majorBidi"/>
          <w:sz w:val="24"/>
          <w:szCs w:val="24"/>
        </w:rPr>
        <w:t xml:space="preserve">  Why did Trans-Jordan not develop modern industries </w:t>
      </w:r>
      <w:r w:rsidR="00BF1E13" w:rsidRPr="00B503E6">
        <w:rPr>
          <w:rFonts w:asciiTheme="majorBidi" w:hAnsiTheme="majorBidi" w:cstheme="majorBidi"/>
          <w:sz w:val="24"/>
          <w:szCs w:val="24"/>
        </w:rPr>
        <w:t>a</w:t>
      </w:r>
      <w:r w:rsidR="002D06D6" w:rsidRPr="00B503E6">
        <w:rPr>
          <w:rFonts w:asciiTheme="majorBidi" w:hAnsiTheme="majorBidi" w:cstheme="majorBidi"/>
          <w:sz w:val="24"/>
          <w:szCs w:val="24"/>
        </w:rPr>
        <w:t>s occurred in Palestine?</w:t>
      </w:r>
    </w:p>
    <w:p w:rsidR="00DF43E9" w:rsidRPr="00B503E6" w:rsidRDefault="005108F8" w:rsidP="00596788">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A </w:t>
      </w:r>
      <w:r w:rsidR="00B87C3E" w:rsidRPr="00B503E6">
        <w:rPr>
          <w:rFonts w:asciiTheme="majorBidi" w:hAnsiTheme="majorBidi" w:cstheme="majorBidi"/>
          <w:sz w:val="24"/>
          <w:szCs w:val="24"/>
        </w:rPr>
        <w:t xml:space="preserve">likely </w:t>
      </w:r>
      <w:r w:rsidRPr="00B503E6">
        <w:rPr>
          <w:rFonts w:asciiTheme="majorBidi" w:hAnsiTheme="majorBidi" w:cstheme="majorBidi"/>
          <w:sz w:val="24"/>
          <w:szCs w:val="24"/>
        </w:rPr>
        <w:t>answer is that i</w:t>
      </w:r>
      <w:r w:rsidR="00102E86" w:rsidRPr="00B503E6">
        <w:rPr>
          <w:rFonts w:asciiTheme="majorBidi" w:hAnsiTheme="majorBidi" w:cstheme="majorBidi"/>
          <w:sz w:val="24"/>
          <w:szCs w:val="24"/>
        </w:rPr>
        <w:t xml:space="preserve">n addition to the inclusive institutions, </w:t>
      </w:r>
      <w:r w:rsidR="00802A7D" w:rsidRPr="00B503E6">
        <w:rPr>
          <w:rFonts w:asciiTheme="majorBidi" w:hAnsiTheme="majorBidi" w:cstheme="majorBidi"/>
          <w:sz w:val="24"/>
          <w:szCs w:val="24"/>
        </w:rPr>
        <w:t>Palestine</w:t>
      </w:r>
      <w:r w:rsidR="00BF1E13" w:rsidRPr="00B503E6">
        <w:rPr>
          <w:rFonts w:asciiTheme="majorBidi" w:hAnsiTheme="majorBidi" w:cstheme="majorBidi"/>
          <w:sz w:val="24"/>
          <w:szCs w:val="24"/>
        </w:rPr>
        <w:t xml:space="preserve">'s growth </w:t>
      </w:r>
      <w:r w:rsidR="00102E86" w:rsidRPr="00B503E6">
        <w:rPr>
          <w:rFonts w:asciiTheme="majorBidi" w:hAnsiTheme="majorBidi" w:cstheme="majorBidi"/>
          <w:sz w:val="24"/>
          <w:szCs w:val="24"/>
        </w:rPr>
        <w:t xml:space="preserve">was also due to the huge growth in </w:t>
      </w:r>
      <w:r w:rsidR="00DC48C9" w:rsidRPr="00B503E6">
        <w:rPr>
          <w:rFonts w:asciiTheme="majorBidi" w:hAnsiTheme="majorBidi" w:cstheme="majorBidi"/>
          <w:sz w:val="24"/>
          <w:szCs w:val="24"/>
        </w:rPr>
        <w:t>Jewish immigrants with their human capital</w:t>
      </w:r>
      <w:r w:rsidR="0067630B" w:rsidRPr="00B503E6">
        <w:rPr>
          <w:rFonts w:asciiTheme="majorBidi" w:hAnsiTheme="majorBidi" w:cstheme="majorBidi"/>
          <w:sz w:val="24"/>
          <w:szCs w:val="24"/>
        </w:rPr>
        <w:t>, for example the diamond workers who came to Palestine,</w:t>
      </w:r>
      <w:r w:rsidR="00DC48C9" w:rsidRPr="00B503E6">
        <w:rPr>
          <w:rFonts w:asciiTheme="majorBidi" w:hAnsiTheme="majorBidi" w:cstheme="majorBidi"/>
          <w:sz w:val="24"/>
          <w:szCs w:val="24"/>
        </w:rPr>
        <w:t xml:space="preserve"> and </w:t>
      </w:r>
      <w:r w:rsidR="0067630B" w:rsidRPr="00B503E6">
        <w:rPr>
          <w:rFonts w:asciiTheme="majorBidi" w:hAnsiTheme="majorBidi" w:cstheme="majorBidi"/>
          <w:sz w:val="24"/>
          <w:szCs w:val="24"/>
        </w:rPr>
        <w:t xml:space="preserve">the </w:t>
      </w:r>
      <w:r w:rsidR="00DC48C9" w:rsidRPr="00B503E6">
        <w:rPr>
          <w:rFonts w:asciiTheme="majorBidi" w:hAnsiTheme="majorBidi" w:cstheme="majorBidi"/>
          <w:sz w:val="24"/>
          <w:szCs w:val="24"/>
        </w:rPr>
        <w:t xml:space="preserve">money </w:t>
      </w:r>
      <w:r w:rsidR="006476EF" w:rsidRPr="00B503E6">
        <w:rPr>
          <w:rFonts w:asciiTheme="majorBidi" w:hAnsiTheme="majorBidi" w:cstheme="majorBidi"/>
          <w:sz w:val="24"/>
          <w:szCs w:val="24"/>
        </w:rPr>
        <w:t>that the</w:t>
      </w:r>
      <w:r w:rsidR="00733764" w:rsidRPr="00B503E6">
        <w:rPr>
          <w:rFonts w:asciiTheme="majorBidi" w:hAnsiTheme="majorBidi" w:cstheme="majorBidi"/>
          <w:sz w:val="24"/>
          <w:szCs w:val="24"/>
        </w:rPr>
        <w:t xml:space="preserve"> immigrants and Jews from abroad</w:t>
      </w:r>
      <w:r w:rsidR="006476EF" w:rsidRPr="00B503E6">
        <w:rPr>
          <w:rFonts w:asciiTheme="majorBidi" w:hAnsiTheme="majorBidi" w:cstheme="majorBidi"/>
          <w:sz w:val="24"/>
          <w:szCs w:val="24"/>
        </w:rPr>
        <w:t xml:space="preserve"> invested in Palestine</w:t>
      </w:r>
      <w:r w:rsidR="004978AD" w:rsidRPr="00B503E6">
        <w:rPr>
          <w:rFonts w:asciiTheme="majorBidi" w:hAnsiTheme="majorBidi" w:cstheme="majorBidi"/>
          <w:sz w:val="24"/>
          <w:szCs w:val="24"/>
        </w:rPr>
        <w:t>.</w:t>
      </w:r>
      <w:r w:rsidR="00E64D4B">
        <w:rPr>
          <w:rStyle w:val="EndnoteReference"/>
          <w:rFonts w:asciiTheme="majorBidi" w:hAnsiTheme="majorBidi" w:cstheme="majorBidi"/>
          <w:sz w:val="24"/>
          <w:szCs w:val="24"/>
        </w:rPr>
        <w:endnoteReference w:id="62"/>
      </w:r>
      <w:r w:rsidR="00EE4D5D" w:rsidRPr="00B503E6">
        <w:rPr>
          <w:rFonts w:asciiTheme="majorBidi" w:hAnsiTheme="majorBidi" w:cstheme="majorBidi"/>
          <w:sz w:val="24"/>
          <w:szCs w:val="24"/>
        </w:rPr>
        <w:t xml:space="preserve">  </w:t>
      </w:r>
      <w:r w:rsidR="00AF7DA0" w:rsidRPr="00B503E6">
        <w:rPr>
          <w:rFonts w:asciiTheme="majorBidi" w:hAnsiTheme="majorBidi" w:cstheme="majorBidi"/>
          <w:sz w:val="24"/>
          <w:szCs w:val="24"/>
        </w:rPr>
        <w:t>The Palestine Royal Commission (1937</w:t>
      </w:r>
      <w:r w:rsidR="000F52DD" w:rsidRPr="00B503E6">
        <w:rPr>
          <w:rFonts w:asciiTheme="majorBidi" w:hAnsiTheme="majorBidi" w:cstheme="majorBidi"/>
          <w:sz w:val="24"/>
          <w:szCs w:val="24"/>
        </w:rPr>
        <w:t>,</w:t>
      </w:r>
      <w:r w:rsidR="00AF7DA0" w:rsidRPr="00B503E6">
        <w:rPr>
          <w:rFonts w:asciiTheme="majorBidi" w:hAnsiTheme="majorBidi" w:cstheme="majorBidi"/>
          <w:sz w:val="24"/>
          <w:szCs w:val="24"/>
        </w:rPr>
        <w:t xml:space="preserve"> 212) noted that, "The most singular feature in the economy of Palestine is the vast amount of capital which has been invested in the country." </w:t>
      </w:r>
      <w:r w:rsidR="001D4A39" w:rsidRPr="00B503E6">
        <w:rPr>
          <w:rFonts w:asciiTheme="majorBidi" w:hAnsiTheme="majorBidi" w:cstheme="majorBidi"/>
          <w:sz w:val="24"/>
          <w:szCs w:val="24"/>
        </w:rPr>
        <w:t xml:space="preserve"> </w:t>
      </w:r>
      <w:r w:rsidR="00075077" w:rsidRPr="00B503E6">
        <w:rPr>
          <w:rFonts w:asciiTheme="majorBidi" w:hAnsiTheme="majorBidi" w:cstheme="majorBidi"/>
          <w:sz w:val="24"/>
          <w:szCs w:val="24"/>
        </w:rPr>
        <w:t>T</w:t>
      </w:r>
      <w:r w:rsidR="002C0127" w:rsidRPr="00B503E6">
        <w:rPr>
          <w:rFonts w:asciiTheme="majorBidi" w:hAnsiTheme="majorBidi" w:cstheme="majorBidi"/>
          <w:sz w:val="24"/>
          <w:szCs w:val="24"/>
        </w:rPr>
        <w:t xml:space="preserve">he </w:t>
      </w:r>
      <w:r w:rsidR="004978AD" w:rsidRPr="00B503E6">
        <w:rPr>
          <w:rFonts w:asciiTheme="majorBidi" w:hAnsiTheme="majorBidi" w:cstheme="majorBidi"/>
          <w:sz w:val="24"/>
          <w:szCs w:val="24"/>
        </w:rPr>
        <w:t xml:space="preserve">increase in immigration and investment are examples of proximate causes of growth. Accordingly, the </w:t>
      </w:r>
      <w:r w:rsidR="002C0127" w:rsidRPr="00B503E6">
        <w:rPr>
          <w:rFonts w:asciiTheme="majorBidi" w:hAnsiTheme="majorBidi" w:cstheme="majorBidi"/>
          <w:sz w:val="24"/>
          <w:szCs w:val="24"/>
        </w:rPr>
        <w:t xml:space="preserve">economic growth in Palestine was greater than in Trans-Jordan since it had both inclusive institutions and a huge growth in the proximate </w:t>
      </w:r>
      <w:r w:rsidR="001D4A39" w:rsidRPr="00B503E6">
        <w:rPr>
          <w:rFonts w:asciiTheme="majorBidi" w:hAnsiTheme="majorBidi" w:cstheme="majorBidi"/>
          <w:sz w:val="24"/>
          <w:szCs w:val="24"/>
        </w:rPr>
        <w:t xml:space="preserve">causes </w:t>
      </w:r>
      <w:r w:rsidR="002C0127" w:rsidRPr="00B503E6">
        <w:rPr>
          <w:rFonts w:asciiTheme="majorBidi" w:hAnsiTheme="majorBidi" w:cstheme="majorBidi"/>
          <w:sz w:val="24"/>
          <w:szCs w:val="24"/>
        </w:rPr>
        <w:t>of growth</w:t>
      </w:r>
      <w:r w:rsidR="001D4A39" w:rsidRPr="00B503E6">
        <w:rPr>
          <w:rFonts w:asciiTheme="majorBidi" w:hAnsiTheme="majorBidi" w:cstheme="majorBidi"/>
          <w:sz w:val="24"/>
          <w:szCs w:val="24"/>
        </w:rPr>
        <w:t>, while Trans-Jordan only had the inclusive institutions</w:t>
      </w:r>
      <w:r w:rsidR="00617278" w:rsidRPr="00B503E6">
        <w:rPr>
          <w:rFonts w:asciiTheme="majorBidi" w:hAnsiTheme="majorBidi" w:cstheme="majorBidi"/>
          <w:sz w:val="24"/>
          <w:szCs w:val="24"/>
        </w:rPr>
        <w:t>, even possibly more than in Palestine, but</w:t>
      </w:r>
      <w:r w:rsidR="001D4A39" w:rsidRPr="00B503E6">
        <w:rPr>
          <w:rFonts w:asciiTheme="majorBidi" w:hAnsiTheme="majorBidi" w:cstheme="majorBidi"/>
          <w:sz w:val="24"/>
          <w:szCs w:val="24"/>
        </w:rPr>
        <w:t xml:space="preserve"> </w:t>
      </w:r>
      <w:r w:rsidR="00617278" w:rsidRPr="00B503E6">
        <w:rPr>
          <w:rFonts w:asciiTheme="majorBidi" w:hAnsiTheme="majorBidi" w:cstheme="majorBidi"/>
          <w:sz w:val="24"/>
          <w:szCs w:val="24"/>
        </w:rPr>
        <w:t>there w</w:t>
      </w:r>
      <w:r w:rsidR="00DF43E9" w:rsidRPr="00B503E6">
        <w:rPr>
          <w:rFonts w:asciiTheme="majorBidi" w:hAnsiTheme="majorBidi" w:cstheme="majorBidi"/>
          <w:sz w:val="24"/>
          <w:szCs w:val="24"/>
        </w:rPr>
        <w:t xml:space="preserve">ere </w:t>
      </w:r>
      <w:r w:rsidR="00617278" w:rsidRPr="00B503E6">
        <w:rPr>
          <w:rFonts w:asciiTheme="majorBidi" w:hAnsiTheme="majorBidi" w:cstheme="majorBidi"/>
          <w:sz w:val="24"/>
          <w:szCs w:val="24"/>
        </w:rPr>
        <w:t>no large increase</w:t>
      </w:r>
      <w:r w:rsidR="00DF43E9" w:rsidRPr="00B503E6">
        <w:rPr>
          <w:rFonts w:asciiTheme="majorBidi" w:hAnsiTheme="majorBidi" w:cstheme="majorBidi"/>
          <w:sz w:val="24"/>
          <w:szCs w:val="24"/>
        </w:rPr>
        <w:t>s</w:t>
      </w:r>
      <w:r w:rsidR="00617278" w:rsidRPr="00B503E6">
        <w:rPr>
          <w:rFonts w:asciiTheme="majorBidi" w:hAnsiTheme="majorBidi" w:cstheme="majorBidi"/>
          <w:sz w:val="24"/>
          <w:szCs w:val="24"/>
        </w:rPr>
        <w:t xml:space="preserve"> in </w:t>
      </w:r>
      <w:r w:rsidR="001D4A39" w:rsidRPr="00B503E6">
        <w:rPr>
          <w:rFonts w:asciiTheme="majorBidi" w:hAnsiTheme="majorBidi" w:cstheme="majorBidi"/>
          <w:sz w:val="24"/>
          <w:szCs w:val="24"/>
        </w:rPr>
        <w:t xml:space="preserve">the physical capital </w:t>
      </w:r>
      <w:r w:rsidR="00733764" w:rsidRPr="00B503E6">
        <w:rPr>
          <w:rFonts w:asciiTheme="majorBidi" w:hAnsiTheme="majorBidi" w:cstheme="majorBidi"/>
          <w:sz w:val="24"/>
          <w:szCs w:val="24"/>
        </w:rPr>
        <w:t>i</w:t>
      </w:r>
      <w:r w:rsidR="001D4A39" w:rsidRPr="00B503E6">
        <w:rPr>
          <w:rFonts w:asciiTheme="majorBidi" w:hAnsiTheme="majorBidi" w:cstheme="majorBidi"/>
          <w:sz w:val="24"/>
          <w:szCs w:val="24"/>
        </w:rPr>
        <w:t>n the country.</w:t>
      </w:r>
      <w:r w:rsidR="00DF43E9" w:rsidRPr="00B503E6">
        <w:rPr>
          <w:rFonts w:asciiTheme="majorBidi" w:hAnsiTheme="majorBidi" w:cstheme="majorBidi"/>
          <w:sz w:val="24"/>
          <w:szCs w:val="24"/>
        </w:rPr>
        <w:t xml:space="preserve"> </w:t>
      </w:r>
      <w:r w:rsidR="001D4A39" w:rsidRPr="00B503E6">
        <w:rPr>
          <w:rFonts w:asciiTheme="majorBidi" w:hAnsiTheme="majorBidi" w:cstheme="majorBidi"/>
          <w:sz w:val="24"/>
          <w:szCs w:val="24"/>
        </w:rPr>
        <w:t xml:space="preserve">We can generalize this result. </w:t>
      </w:r>
    </w:p>
    <w:p w:rsidR="00414C67" w:rsidRPr="00B503E6" w:rsidRDefault="007C33C4" w:rsidP="002745C0">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The </w:t>
      </w:r>
      <w:r w:rsidR="00D25602" w:rsidRPr="00B503E6">
        <w:rPr>
          <w:rFonts w:asciiTheme="majorBidi" w:hAnsiTheme="majorBidi" w:cstheme="majorBidi"/>
          <w:sz w:val="24"/>
          <w:szCs w:val="24"/>
        </w:rPr>
        <w:t xml:space="preserve">relationship </w:t>
      </w:r>
      <w:r w:rsidR="005E29C7" w:rsidRPr="00B503E6">
        <w:rPr>
          <w:rFonts w:asciiTheme="majorBidi" w:hAnsiTheme="majorBidi" w:cstheme="majorBidi"/>
          <w:sz w:val="24"/>
          <w:szCs w:val="24"/>
        </w:rPr>
        <w:t>between</w:t>
      </w:r>
      <w:r w:rsidRPr="00B503E6">
        <w:rPr>
          <w:rFonts w:asciiTheme="majorBidi" w:hAnsiTheme="majorBidi" w:cstheme="majorBidi"/>
          <w:sz w:val="24"/>
          <w:szCs w:val="24"/>
        </w:rPr>
        <w:t xml:space="preserve"> inclusive economic ins</w:t>
      </w:r>
      <w:r w:rsidR="003E12A0" w:rsidRPr="00B503E6">
        <w:rPr>
          <w:rFonts w:asciiTheme="majorBidi" w:hAnsiTheme="majorBidi" w:cstheme="majorBidi"/>
          <w:sz w:val="24"/>
          <w:szCs w:val="24"/>
        </w:rPr>
        <w:t>t</w:t>
      </w:r>
      <w:r w:rsidRPr="00B503E6">
        <w:rPr>
          <w:rFonts w:asciiTheme="majorBidi" w:hAnsiTheme="majorBidi" w:cstheme="majorBidi"/>
          <w:sz w:val="24"/>
          <w:szCs w:val="24"/>
        </w:rPr>
        <w:t>itutions and economic growth is t</w:t>
      </w:r>
      <w:r w:rsidR="003E12A0" w:rsidRPr="00B503E6">
        <w:rPr>
          <w:rFonts w:asciiTheme="majorBidi" w:hAnsiTheme="majorBidi" w:cstheme="majorBidi"/>
          <w:sz w:val="24"/>
          <w:szCs w:val="24"/>
        </w:rPr>
        <w:t>h</w:t>
      </w:r>
      <w:r w:rsidRPr="00B503E6">
        <w:rPr>
          <w:rFonts w:asciiTheme="majorBidi" w:hAnsiTheme="majorBidi" w:cstheme="majorBidi"/>
          <w:sz w:val="24"/>
          <w:szCs w:val="24"/>
        </w:rPr>
        <w:t xml:space="preserve">at </w:t>
      </w:r>
      <w:r w:rsidR="005E29C7" w:rsidRPr="00B503E6">
        <w:rPr>
          <w:rFonts w:asciiTheme="majorBidi" w:hAnsiTheme="majorBidi" w:cstheme="majorBidi"/>
          <w:sz w:val="24"/>
          <w:szCs w:val="24"/>
        </w:rPr>
        <w:t xml:space="preserve">due to the inclusive institutions </w:t>
      </w:r>
      <w:r w:rsidR="003E12A0" w:rsidRPr="00B503E6">
        <w:rPr>
          <w:rFonts w:asciiTheme="majorBidi" w:hAnsiTheme="majorBidi" w:cstheme="majorBidi"/>
          <w:sz w:val="24"/>
          <w:szCs w:val="24"/>
        </w:rPr>
        <w:t xml:space="preserve">it is worthwhile for a person to work hard, save and invest because he/ she will be able to profit from his/ her efforts and investments.  </w:t>
      </w:r>
      <w:r w:rsidR="00FE5B7E" w:rsidRPr="00B503E6">
        <w:rPr>
          <w:rFonts w:asciiTheme="majorBidi" w:hAnsiTheme="majorBidi" w:cstheme="majorBidi"/>
          <w:sz w:val="24"/>
          <w:szCs w:val="24"/>
        </w:rPr>
        <w:t xml:space="preserve">With this process, a country could develop economic growth </w:t>
      </w:r>
      <w:r w:rsidR="00D25602" w:rsidRPr="00B503E6">
        <w:rPr>
          <w:rFonts w:asciiTheme="majorBidi" w:hAnsiTheme="majorBidi" w:cstheme="majorBidi"/>
          <w:sz w:val="24"/>
          <w:szCs w:val="24"/>
        </w:rPr>
        <w:t>internally</w:t>
      </w:r>
      <w:r w:rsidR="007861BC" w:rsidRPr="00B503E6">
        <w:rPr>
          <w:rFonts w:asciiTheme="majorBidi" w:hAnsiTheme="majorBidi" w:cstheme="majorBidi"/>
          <w:sz w:val="24"/>
          <w:szCs w:val="24"/>
        </w:rPr>
        <w:t>, but t</w:t>
      </w:r>
      <w:r w:rsidR="003E12A0" w:rsidRPr="00B503E6">
        <w:rPr>
          <w:rFonts w:asciiTheme="majorBidi" w:hAnsiTheme="majorBidi" w:cstheme="majorBidi"/>
          <w:sz w:val="24"/>
          <w:szCs w:val="24"/>
        </w:rPr>
        <w:t xml:space="preserve">his is a slow process since it takes a long time </w:t>
      </w:r>
      <w:r w:rsidR="001D4A39" w:rsidRPr="00B503E6">
        <w:rPr>
          <w:rFonts w:asciiTheme="majorBidi" w:hAnsiTheme="majorBidi" w:cstheme="majorBidi"/>
          <w:sz w:val="24"/>
          <w:szCs w:val="24"/>
        </w:rPr>
        <w:t xml:space="preserve">for </w:t>
      </w:r>
      <w:r w:rsidR="00A377C8" w:rsidRPr="00B503E6">
        <w:rPr>
          <w:rFonts w:asciiTheme="majorBidi" w:hAnsiTheme="majorBidi" w:cstheme="majorBidi"/>
          <w:sz w:val="24"/>
          <w:szCs w:val="24"/>
        </w:rPr>
        <w:t>people t</w:t>
      </w:r>
      <w:r w:rsidR="003E12A0" w:rsidRPr="00B503E6">
        <w:rPr>
          <w:rFonts w:asciiTheme="majorBidi" w:hAnsiTheme="majorBidi" w:cstheme="majorBidi"/>
          <w:sz w:val="24"/>
          <w:szCs w:val="24"/>
        </w:rPr>
        <w:t xml:space="preserve">o accumulate the needed capital to make investments to generate economic growth.  The process can be quickened if </w:t>
      </w:r>
      <w:r w:rsidR="00414C67" w:rsidRPr="00B503E6">
        <w:rPr>
          <w:rFonts w:asciiTheme="majorBidi" w:hAnsiTheme="majorBidi" w:cstheme="majorBidi"/>
          <w:sz w:val="24"/>
          <w:szCs w:val="24"/>
        </w:rPr>
        <w:t xml:space="preserve">one can combine </w:t>
      </w:r>
      <w:r w:rsidR="002C0127" w:rsidRPr="00B503E6">
        <w:rPr>
          <w:rFonts w:asciiTheme="majorBidi" w:hAnsiTheme="majorBidi" w:cstheme="majorBidi"/>
          <w:sz w:val="24"/>
          <w:szCs w:val="24"/>
        </w:rPr>
        <w:t xml:space="preserve">growth in </w:t>
      </w:r>
      <w:r w:rsidR="00414C67" w:rsidRPr="00B503E6">
        <w:rPr>
          <w:rFonts w:asciiTheme="majorBidi" w:hAnsiTheme="majorBidi" w:cstheme="majorBidi"/>
          <w:sz w:val="24"/>
          <w:szCs w:val="24"/>
        </w:rPr>
        <w:t xml:space="preserve">the proximate </w:t>
      </w:r>
      <w:r w:rsidR="001D4A39" w:rsidRPr="00B503E6">
        <w:rPr>
          <w:rFonts w:asciiTheme="majorBidi" w:hAnsiTheme="majorBidi" w:cstheme="majorBidi"/>
          <w:sz w:val="24"/>
          <w:szCs w:val="24"/>
        </w:rPr>
        <w:t xml:space="preserve">causes </w:t>
      </w:r>
      <w:r w:rsidR="002C0127" w:rsidRPr="00B503E6">
        <w:rPr>
          <w:rFonts w:asciiTheme="majorBidi" w:hAnsiTheme="majorBidi" w:cstheme="majorBidi"/>
          <w:sz w:val="24"/>
          <w:szCs w:val="24"/>
        </w:rPr>
        <w:t xml:space="preserve">with </w:t>
      </w:r>
      <w:r w:rsidR="00414C67" w:rsidRPr="00B503E6">
        <w:rPr>
          <w:rFonts w:asciiTheme="majorBidi" w:hAnsiTheme="majorBidi" w:cstheme="majorBidi"/>
          <w:sz w:val="24"/>
          <w:szCs w:val="24"/>
        </w:rPr>
        <w:t>the inclusive institution, which is what occurred in Palestine</w:t>
      </w:r>
      <w:r w:rsidR="002C0127" w:rsidRPr="00B503E6">
        <w:rPr>
          <w:rFonts w:asciiTheme="majorBidi" w:hAnsiTheme="majorBidi" w:cstheme="majorBidi"/>
          <w:sz w:val="24"/>
          <w:szCs w:val="24"/>
        </w:rPr>
        <w:t>, but not in Trans-Jordan</w:t>
      </w:r>
      <w:r w:rsidR="00414C67" w:rsidRPr="00B503E6">
        <w:rPr>
          <w:rFonts w:asciiTheme="majorBidi" w:hAnsiTheme="majorBidi" w:cstheme="majorBidi"/>
          <w:sz w:val="24"/>
          <w:szCs w:val="24"/>
        </w:rPr>
        <w:t>.</w:t>
      </w:r>
      <w:r w:rsidR="002C0127" w:rsidRPr="00B503E6">
        <w:rPr>
          <w:rFonts w:asciiTheme="majorBidi" w:hAnsiTheme="majorBidi" w:cstheme="majorBidi"/>
          <w:sz w:val="24"/>
          <w:szCs w:val="24"/>
        </w:rPr>
        <w:t xml:space="preserve">  </w:t>
      </w:r>
      <w:r w:rsidR="001D4A39" w:rsidRPr="00B503E6">
        <w:rPr>
          <w:rFonts w:asciiTheme="majorBidi" w:hAnsiTheme="majorBidi" w:cstheme="majorBidi"/>
          <w:sz w:val="24"/>
          <w:szCs w:val="24"/>
        </w:rPr>
        <w:t>Yet, w</w:t>
      </w:r>
      <w:r w:rsidR="002C0127" w:rsidRPr="00B503E6">
        <w:rPr>
          <w:rFonts w:asciiTheme="majorBidi" w:hAnsiTheme="majorBidi" w:cstheme="majorBidi"/>
          <w:sz w:val="24"/>
          <w:szCs w:val="24"/>
        </w:rPr>
        <w:t>hy in Trans-Jordan w</w:t>
      </w:r>
      <w:r w:rsidR="002745C0" w:rsidRPr="00B503E6">
        <w:rPr>
          <w:rFonts w:asciiTheme="majorBidi" w:hAnsiTheme="majorBidi" w:cstheme="majorBidi"/>
          <w:sz w:val="24"/>
          <w:szCs w:val="24"/>
        </w:rPr>
        <w:t xml:space="preserve">as </w:t>
      </w:r>
      <w:r w:rsidR="002C0127" w:rsidRPr="00B503E6">
        <w:rPr>
          <w:rFonts w:asciiTheme="majorBidi" w:hAnsiTheme="majorBidi" w:cstheme="majorBidi"/>
          <w:sz w:val="24"/>
          <w:szCs w:val="24"/>
        </w:rPr>
        <w:t xml:space="preserve">there </w:t>
      </w:r>
      <w:r w:rsidR="001D4A39" w:rsidRPr="00B503E6">
        <w:rPr>
          <w:rFonts w:asciiTheme="majorBidi" w:hAnsiTheme="majorBidi" w:cstheme="majorBidi"/>
          <w:sz w:val="24"/>
          <w:szCs w:val="24"/>
        </w:rPr>
        <w:t xml:space="preserve">also </w:t>
      </w:r>
      <w:r w:rsidR="002C0127" w:rsidRPr="00B503E6">
        <w:rPr>
          <w:rFonts w:asciiTheme="majorBidi" w:hAnsiTheme="majorBidi" w:cstheme="majorBidi"/>
          <w:sz w:val="24"/>
          <w:szCs w:val="24"/>
        </w:rPr>
        <w:t xml:space="preserve">not also a growth in the proximate factors of growth? </w:t>
      </w:r>
      <w:r w:rsidR="00414C67" w:rsidRPr="00B503E6">
        <w:rPr>
          <w:rFonts w:asciiTheme="majorBidi" w:hAnsiTheme="majorBidi" w:cstheme="majorBidi"/>
          <w:sz w:val="24"/>
          <w:szCs w:val="24"/>
        </w:rPr>
        <w:t xml:space="preserve"> </w:t>
      </w:r>
    </w:p>
    <w:p w:rsidR="005546F9" w:rsidRPr="00B503E6" w:rsidRDefault="00414C67" w:rsidP="00E144AF">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lastRenderedPageBreak/>
        <w:t xml:space="preserve">There are several ways for the proximate </w:t>
      </w:r>
      <w:r w:rsidR="002C0127" w:rsidRPr="00B503E6">
        <w:rPr>
          <w:rFonts w:asciiTheme="majorBidi" w:hAnsiTheme="majorBidi" w:cstheme="majorBidi"/>
          <w:sz w:val="24"/>
          <w:szCs w:val="24"/>
        </w:rPr>
        <w:t xml:space="preserve">factors </w:t>
      </w:r>
      <w:r w:rsidR="00617278" w:rsidRPr="00B503E6">
        <w:rPr>
          <w:rFonts w:asciiTheme="majorBidi" w:hAnsiTheme="majorBidi" w:cstheme="majorBidi"/>
          <w:sz w:val="24"/>
          <w:szCs w:val="24"/>
        </w:rPr>
        <w:t xml:space="preserve">of growth to grow. </w:t>
      </w:r>
      <w:r w:rsidRPr="00B503E6">
        <w:rPr>
          <w:rFonts w:asciiTheme="majorBidi" w:hAnsiTheme="majorBidi" w:cstheme="majorBidi"/>
          <w:sz w:val="24"/>
          <w:szCs w:val="24"/>
        </w:rPr>
        <w:t xml:space="preserve">One way </w:t>
      </w:r>
      <w:r w:rsidR="003E12A0" w:rsidRPr="00B503E6">
        <w:rPr>
          <w:rFonts w:asciiTheme="majorBidi" w:hAnsiTheme="majorBidi" w:cstheme="majorBidi"/>
          <w:sz w:val="24"/>
          <w:szCs w:val="24"/>
        </w:rPr>
        <w:t xml:space="preserve">is </w:t>
      </w:r>
      <w:r w:rsidR="005546F9" w:rsidRPr="00B503E6">
        <w:rPr>
          <w:rFonts w:asciiTheme="majorBidi" w:hAnsiTheme="majorBidi" w:cstheme="majorBidi"/>
          <w:sz w:val="24"/>
          <w:szCs w:val="24"/>
        </w:rPr>
        <w:t xml:space="preserve">for there to be large foreign investment, which occurred in Palestine but not in Trans-Jordan. A second way is if there is an </w:t>
      </w:r>
      <w:r w:rsidR="00A058F6" w:rsidRPr="00B503E6">
        <w:rPr>
          <w:rFonts w:asciiTheme="majorBidi" w:hAnsiTheme="majorBidi" w:cstheme="majorBidi"/>
          <w:sz w:val="24"/>
          <w:szCs w:val="24"/>
        </w:rPr>
        <w:t xml:space="preserve">effective </w:t>
      </w:r>
      <w:r w:rsidR="00C04B52" w:rsidRPr="00B503E6">
        <w:rPr>
          <w:rFonts w:asciiTheme="majorBidi" w:hAnsiTheme="majorBidi" w:cstheme="majorBidi"/>
          <w:sz w:val="24"/>
          <w:szCs w:val="24"/>
        </w:rPr>
        <w:t>banking system</w:t>
      </w:r>
      <w:r w:rsidRPr="00B503E6">
        <w:rPr>
          <w:rFonts w:asciiTheme="majorBidi" w:hAnsiTheme="majorBidi" w:cstheme="majorBidi"/>
          <w:sz w:val="24"/>
          <w:szCs w:val="24"/>
        </w:rPr>
        <w:t>, which speeds up the domestic savings and investment</w:t>
      </w:r>
      <w:r w:rsidR="00617278" w:rsidRPr="00B503E6">
        <w:rPr>
          <w:rFonts w:asciiTheme="majorBidi" w:hAnsiTheme="majorBidi" w:cstheme="majorBidi"/>
          <w:sz w:val="24"/>
          <w:szCs w:val="24"/>
        </w:rPr>
        <w:t>, but the banking system in Trans-Jordan was unde</w:t>
      </w:r>
      <w:r w:rsidR="00DF43E9" w:rsidRPr="00B503E6">
        <w:rPr>
          <w:rFonts w:asciiTheme="majorBidi" w:hAnsiTheme="majorBidi" w:cstheme="majorBidi"/>
          <w:sz w:val="24"/>
          <w:szCs w:val="24"/>
        </w:rPr>
        <w:t>rde</w:t>
      </w:r>
      <w:r w:rsidR="00617278" w:rsidRPr="00B503E6">
        <w:rPr>
          <w:rFonts w:asciiTheme="majorBidi" w:hAnsiTheme="majorBidi" w:cstheme="majorBidi"/>
          <w:sz w:val="24"/>
          <w:szCs w:val="24"/>
        </w:rPr>
        <w:t>veloped. Vart</w:t>
      </w:r>
      <w:r w:rsidR="00E144AF">
        <w:rPr>
          <w:rFonts w:asciiTheme="majorBidi" w:hAnsiTheme="majorBidi" w:cstheme="majorBidi"/>
          <w:sz w:val="24"/>
          <w:szCs w:val="24"/>
        </w:rPr>
        <w:t>a</w:t>
      </w:r>
      <w:r w:rsidR="00617278" w:rsidRPr="00B503E6">
        <w:rPr>
          <w:rFonts w:asciiTheme="majorBidi" w:hAnsiTheme="majorBidi" w:cstheme="majorBidi"/>
          <w:sz w:val="24"/>
          <w:szCs w:val="24"/>
        </w:rPr>
        <w:t xml:space="preserve">n Amadouny (1994, 158,159) notes that when Trans-Jordan became independent in 1946 its financial institutions were the </w:t>
      </w:r>
      <w:r w:rsidR="00716A28" w:rsidRPr="00B503E6">
        <w:rPr>
          <w:rFonts w:asciiTheme="majorBidi" w:hAnsiTheme="majorBidi" w:cstheme="majorBidi"/>
          <w:sz w:val="24"/>
          <w:szCs w:val="24"/>
        </w:rPr>
        <w:t>“</w:t>
      </w:r>
      <w:r w:rsidR="00617278" w:rsidRPr="00B503E6">
        <w:rPr>
          <w:rFonts w:asciiTheme="majorBidi" w:hAnsiTheme="majorBidi" w:cstheme="majorBidi"/>
          <w:sz w:val="24"/>
          <w:szCs w:val="24"/>
        </w:rPr>
        <w:t>the weakest element in the infrastructure of power,</w:t>
      </w:r>
      <w:r w:rsidR="00716A28" w:rsidRPr="00B503E6">
        <w:rPr>
          <w:rFonts w:asciiTheme="majorBidi" w:hAnsiTheme="majorBidi" w:cstheme="majorBidi"/>
          <w:sz w:val="24"/>
          <w:szCs w:val="24"/>
        </w:rPr>
        <w:t>”</w:t>
      </w:r>
      <w:r w:rsidR="00617278" w:rsidRPr="00B503E6">
        <w:rPr>
          <w:rFonts w:asciiTheme="majorBidi" w:hAnsiTheme="majorBidi" w:cstheme="majorBidi"/>
          <w:sz w:val="24"/>
          <w:szCs w:val="24"/>
        </w:rPr>
        <w:t xml:space="preserve"> as in the </w:t>
      </w:r>
      <w:r w:rsidR="00716A28" w:rsidRPr="00B503E6">
        <w:rPr>
          <w:rFonts w:asciiTheme="majorBidi" w:hAnsiTheme="majorBidi" w:cstheme="majorBidi"/>
          <w:sz w:val="24"/>
          <w:szCs w:val="24"/>
        </w:rPr>
        <w:t>m</w:t>
      </w:r>
      <w:r w:rsidR="00617278" w:rsidRPr="00B503E6">
        <w:rPr>
          <w:rFonts w:asciiTheme="majorBidi" w:hAnsiTheme="majorBidi" w:cstheme="majorBidi"/>
          <w:sz w:val="24"/>
          <w:szCs w:val="24"/>
        </w:rPr>
        <w:t xml:space="preserve">andate period, there was </w:t>
      </w:r>
      <w:r w:rsidR="006027EF" w:rsidRPr="00B503E6">
        <w:rPr>
          <w:rFonts w:asciiTheme="majorBidi" w:hAnsiTheme="majorBidi" w:cstheme="majorBidi"/>
          <w:sz w:val="24"/>
          <w:szCs w:val="24"/>
        </w:rPr>
        <w:t xml:space="preserve">just </w:t>
      </w:r>
      <w:r w:rsidR="00617278" w:rsidRPr="00B503E6">
        <w:rPr>
          <w:rFonts w:asciiTheme="majorBidi" w:hAnsiTheme="majorBidi" w:cstheme="majorBidi"/>
          <w:sz w:val="24"/>
          <w:szCs w:val="24"/>
        </w:rPr>
        <w:t>a government bank, and one private bank, the Arab bank, which opened branches in Amman in 1934 and in Irbid in 1943.</w:t>
      </w:r>
    </w:p>
    <w:p w:rsidR="005D1FAA" w:rsidRPr="00B503E6" w:rsidRDefault="00414C67" w:rsidP="00AD509E">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A third path to increase the amount of proximate </w:t>
      </w:r>
      <w:r w:rsidR="00C71DBB" w:rsidRPr="00B503E6">
        <w:rPr>
          <w:rFonts w:asciiTheme="majorBidi" w:hAnsiTheme="majorBidi" w:cstheme="majorBidi"/>
          <w:sz w:val="24"/>
          <w:szCs w:val="24"/>
        </w:rPr>
        <w:t xml:space="preserve">factors of growth </w:t>
      </w:r>
      <w:r w:rsidR="00980A1E" w:rsidRPr="00B503E6">
        <w:rPr>
          <w:rFonts w:asciiTheme="majorBidi" w:hAnsiTheme="majorBidi" w:cstheme="majorBidi"/>
          <w:sz w:val="24"/>
          <w:szCs w:val="24"/>
        </w:rPr>
        <w:t>depends on the</w:t>
      </w:r>
      <w:r w:rsidR="00724B96" w:rsidRPr="00B503E6">
        <w:rPr>
          <w:rFonts w:asciiTheme="majorBidi" w:hAnsiTheme="majorBidi" w:cstheme="majorBidi"/>
          <w:sz w:val="24"/>
          <w:szCs w:val="24"/>
        </w:rPr>
        <w:t xml:space="preserve"> demand for the country's good. If th</w:t>
      </w:r>
      <w:r w:rsidR="0095693B" w:rsidRPr="00B503E6">
        <w:rPr>
          <w:rFonts w:asciiTheme="majorBidi" w:hAnsiTheme="majorBidi" w:cstheme="majorBidi"/>
          <w:sz w:val="24"/>
          <w:szCs w:val="24"/>
        </w:rPr>
        <w:t>e</w:t>
      </w:r>
      <w:r w:rsidR="00724B96" w:rsidRPr="00B503E6">
        <w:rPr>
          <w:rFonts w:asciiTheme="majorBidi" w:hAnsiTheme="majorBidi" w:cstheme="majorBidi"/>
          <w:sz w:val="24"/>
          <w:szCs w:val="24"/>
        </w:rPr>
        <w:t>re is l</w:t>
      </w:r>
      <w:r w:rsidR="0095693B" w:rsidRPr="00B503E6">
        <w:rPr>
          <w:rFonts w:asciiTheme="majorBidi" w:hAnsiTheme="majorBidi" w:cstheme="majorBidi"/>
          <w:sz w:val="24"/>
          <w:szCs w:val="24"/>
        </w:rPr>
        <w:t>a</w:t>
      </w:r>
      <w:r w:rsidR="00724B96" w:rsidRPr="00B503E6">
        <w:rPr>
          <w:rFonts w:asciiTheme="majorBidi" w:hAnsiTheme="majorBidi" w:cstheme="majorBidi"/>
          <w:sz w:val="24"/>
          <w:szCs w:val="24"/>
        </w:rPr>
        <w:t>rge de</w:t>
      </w:r>
      <w:r w:rsidR="0095693B" w:rsidRPr="00B503E6">
        <w:rPr>
          <w:rFonts w:asciiTheme="majorBidi" w:hAnsiTheme="majorBidi" w:cstheme="majorBidi"/>
          <w:sz w:val="24"/>
          <w:szCs w:val="24"/>
        </w:rPr>
        <w:t>ma</w:t>
      </w:r>
      <w:r w:rsidR="00724B96" w:rsidRPr="00B503E6">
        <w:rPr>
          <w:rFonts w:asciiTheme="majorBidi" w:hAnsiTheme="majorBidi" w:cstheme="majorBidi"/>
          <w:sz w:val="24"/>
          <w:szCs w:val="24"/>
        </w:rPr>
        <w:t>nd fo</w:t>
      </w:r>
      <w:r w:rsidR="0095693B" w:rsidRPr="00B503E6">
        <w:rPr>
          <w:rFonts w:asciiTheme="majorBidi" w:hAnsiTheme="majorBidi" w:cstheme="majorBidi"/>
          <w:sz w:val="24"/>
          <w:szCs w:val="24"/>
        </w:rPr>
        <w:t>r</w:t>
      </w:r>
      <w:r w:rsidR="00724B96" w:rsidRPr="00B503E6">
        <w:rPr>
          <w:rFonts w:asciiTheme="majorBidi" w:hAnsiTheme="majorBidi" w:cstheme="majorBidi"/>
          <w:sz w:val="24"/>
          <w:szCs w:val="24"/>
        </w:rPr>
        <w:t xml:space="preserve"> the</w:t>
      </w:r>
      <w:r w:rsidR="0095693B" w:rsidRPr="00B503E6">
        <w:rPr>
          <w:rFonts w:asciiTheme="majorBidi" w:hAnsiTheme="majorBidi" w:cstheme="majorBidi"/>
          <w:sz w:val="24"/>
          <w:szCs w:val="24"/>
        </w:rPr>
        <w:t xml:space="preserve"> </w:t>
      </w:r>
      <w:r w:rsidR="00724B96" w:rsidRPr="00B503E6">
        <w:rPr>
          <w:rFonts w:asciiTheme="majorBidi" w:hAnsiTheme="majorBidi" w:cstheme="majorBidi"/>
          <w:sz w:val="24"/>
          <w:szCs w:val="24"/>
        </w:rPr>
        <w:t>c</w:t>
      </w:r>
      <w:r w:rsidR="0095693B" w:rsidRPr="00B503E6">
        <w:rPr>
          <w:rFonts w:asciiTheme="majorBidi" w:hAnsiTheme="majorBidi" w:cstheme="majorBidi"/>
          <w:sz w:val="24"/>
          <w:szCs w:val="24"/>
        </w:rPr>
        <w:t>o</w:t>
      </w:r>
      <w:r w:rsidR="00724B96" w:rsidRPr="00B503E6">
        <w:rPr>
          <w:rFonts w:asciiTheme="majorBidi" w:hAnsiTheme="majorBidi" w:cstheme="majorBidi"/>
          <w:sz w:val="24"/>
          <w:szCs w:val="24"/>
        </w:rPr>
        <w:t>untry's pro</w:t>
      </w:r>
      <w:r w:rsidR="0095693B" w:rsidRPr="00B503E6">
        <w:rPr>
          <w:rFonts w:asciiTheme="majorBidi" w:hAnsiTheme="majorBidi" w:cstheme="majorBidi"/>
          <w:sz w:val="24"/>
          <w:szCs w:val="24"/>
        </w:rPr>
        <w:t>d</w:t>
      </w:r>
      <w:r w:rsidR="00724B96" w:rsidRPr="00B503E6">
        <w:rPr>
          <w:rFonts w:asciiTheme="majorBidi" w:hAnsiTheme="majorBidi" w:cstheme="majorBidi"/>
          <w:sz w:val="24"/>
          <w:szCs w:val="24"/>
        </w:rPr>
        <w:t>uct, t</w:t>
      </w:r>
      <w:r w:rsidR="0095693B" w:rsidRPr="00B503E6">
        <w:rPr>
          <w:rFonts w:asciiTheme="majorBidi" w:hAnsiTheme="majorBidi" w:cstheme="majorBidi"/>
          <w:sz w:val="24"/>
          <w:szCs w:val="24"/>
        </w:rPr>
        <w:t>h</w:t>
      </w:r>
      <w:r w:rsidR="00724B96" w:rsidRPr="00B503E6">
        <w:rPr>
          <w:rFonts w:asciiTheme="majorBidi" w:hAnsiTheme="majorBidi" w:cstheme="majorBidi"/>
          <w:sz w:val="24"/>
          <w:szCs w:val="24"/>
        </w:rPr>
        <w:t xml:space="preserve">en the </w:t>
      </w:r>
      <w:r w:rsidR="0095693B" w:rsidRPr="00B503E6">
        <w:rPr>
          <w:rFonts w:asciiTheme="majorBidi" w:hAnsiTheme="majorBidi" w:cstheme="majorBidi"/>
          <w:sz w:val="24"/>
          <w:szCs w:val="24"/>
        </w:rPr>
        <w:t xml:space="preserve">producers of these goods will be able to accumulate capital at a quicker rate than in another country </w:t>
      </w:r>
      <w:r w:rsidR="00AD509E">
        <w:rPr>
          <w:rFonts w:asciiTheme="majorBidi" w:hAnsiTheme="majorBidi" w:cstheme="majorBidi"/>
          <w:sz w:val="24"/>
          <w:szCs w:val="24"/>
        </w:rPr>
        <w:t xml:space="preserve">that </w:t>
      </w:r>
      <w:r w:rsidR="0095693B" w:rsidRPr="00B503E6">
        <w:rPr>
          <w:rFonts w:asciiTheme="majorBidi" w:hAnsiTheme="majorBidi" w:cstheme="majorBidi"/>
          <w:sz w:val="24"/>
          <w:szCs w:val="24"/>
        </w:rPr>
        <w:t xml:space="preserve">also has inclusive institutions but </w:t>
      </w:r>
      <w:r w:rsidR="002D4393" w:rsidRPr="00B503E6">
        <w:rPr>
          <w:rFonts w:asciiTheme="majorBidi" w:hAnsiTheme="majorBidi" w:cstheme="majorBidi"/>
          <w:sz w:val="24"/>
          <w:szCs w:val="24"/>
        </w:rPr>
        <w:t xml:space="preserve">for </w:t>
      </w:r>
      <w:r w:rsidR="0095693B" w:rsidRPr="00B503E6">
        <w:rPr>
          <w:rFonts w:asciiTheme="majorBidi" w:hAnsiTheme="majorBidi" w:cstheme="majorBidi"/>
          <w:sz w:val="24"/>
          <w:szCs w:val="24"/>
        </w:rPr>
        <w:t xml:space="preserve">which there is less demand for the products of the country.  </w:t>
      </w:r>
      <w:r w:rsidR="00702029" w:rsidRPr="00B503E6">
        <w:rPr>
          <w:rFonts w:asciiTheme="majorBidi" w:hAnsiTheme="majorBidi" w:cstheme="majorBidi"/>
          <w:sz w:val="24"/>
          <w:szCs w:val="24"/>
        </w:rPr>
        <w:t>I</w:t>
      </w:r>
      <w:r w:rsidR="0095693B" w:rsidRPr="00B503E6">
        <w:rPr>
          <w:rFonts w:asciiTheme="majorBidi" w:hAnsiTheme="majorBidi" w:cstheme="majorBidi"/>
          <w:sz w:val="24"/>
          <w:szCs w:val="24"/>
        </w:rPr>
        <w:t xml:space="preserve">n Palestine, independent of </w:t>
      </w:r>
      <w:r w:rsidR="006027EF" w:rsidRPr="00B503E6">
        <w:rPr>
          <w:rFonts w:asciiTheme="majorBidi" w:hAnsiTheme="majorBidi" w:cstheme="majorBidi"/>
          <w:sz w:val="24"/>
          <w:szCs w:val="24"/>
        </w:rPr>
        <w:t xml:space="preserve">the </w:t>
      </w:r>
      <w:r w:rsidR="006872F6" w:rsidRPr="00B503E6">
        <w:rPr>
          <w:rFonts w:asciiTheme="majorBidi" w:hAnsiTheme="majorBidi" w:cstheme="majorBidi"/>
          <w:sz w:val="24"/>
          <w:szCs w:val="24"/>
        </w:rPr>
        <w:t xml:space="preserve">foreign </w:t>
      </w:r>
      <w:r w:rsidR="0095693B" w:rsidRPr="00B503E6">
        <w:rPr>
          <w:rFonts w:asciiTheme="majorBidi" w:hAnsiTheme="majorBidi" w:cstheme="majorBidi"/>
          <w:sz w:val="24"/>
          <w:szCs w:val="24"/>
        </w:rPr>
        <w:t>investment, because orange</w:t>
      </w:r>
      <w:r w:rsidR="00980A1E" w:rsidRPr="00B503E6">
        <w:rPr>
          <w:rFonts w:asciiTheme="majorBidi" w:hAnsiTheme="majorBidi" w:cstheme="majorBidi"/>
          <w:sz w:val="24"/>
          <w:szCs w:val="24"/>
        </w:rPr>
        <w:t>s</w:t>
      </w:r>
      <w:r w:rsidR="0095693B" w:rsidRPr="00B503E6">
        <w:rPr>
          <w:rFonts w:asciiTheme="majorBidi" w:hAnsiTheme="majorBidi" w:cstheme="majorBidi"/>
          <w:sz w:val="24"/>
          <w:szCs w:val="24"/>
        </w:rPr>
        <w:t xml:space="preserve"> w</w:t>
      </w:r>
      <w:r w:rsidR="00980A1E" w:rsidRPr="00B503E6">
        <w:rPr>
          <w:rFonts w:asciiTheme="majorBidi" w:hAnsiTheme="majorBidi" w:cstheme="majorBidi"/>
          <w:sz w:val="24"/>
          <w:szCs w:val="24"/>
        </w:rPr>
        <w:t xml:space="preserve">ere </w:t>
      </w:r>
      <w:r w:rsidR="0095693B" w:rsidRPr="00B503E6">
        <w:rPr>
          <w:rFonts w:asciiTheme="majorBidi" w:hAnsiTheme="majorBidi" w:cstheme="majorBidi"/>
          <w:sz w:val="24"/>
          <w:szCs w:val="24"/>
        </w:rPr>
        <w:t xml:space="preserve">such a popular product </w:t>
      </w:r>
      <w:r w:rsidR="00980A1E" w:rsidRPr="00B503E6">
        <w:rPr>
          <w:rFonts w:asciiTheme="majorBidi" w:hAnsiTheme="majorBidi" w:cstheme="majorBidi"/>
          <w:sz w:val="24"/>
          <w:szCs w:val="24"/>
        </w:rPr>
        <w:t>i</w:t>
      </w:r>
      <w:r w:rsidR="0095693B" w:rsidRPr="00B503E6">
        <w:rPr>
          <w:rFonts w:asciiTheme="majorBidi" w:hAnsiTheme="majorBidi" w:cstheme="majorBidi"/>
          <w:sz w:val="24"/>
          <w:szCs w:val="24"/>
        </w:rPr>
        <w:t xml:space="preserve">n </w:t>
      </w:r>
      <w:r w:rsidR="002D4393" w:rsidRPr="00B503E6">
        <w:rPr>
          <w:rFonts w:asciiTheme="majorBidi" w:hAnsiTheme="majorBidi" w:cstheme="majorBidi"/>
          <w:sz w:val="24"/>
          <w:szCs w:val="24"/>
        </w:rPr>
        <w:t>Britain</w:t>
      </w:r>
      <w:r w:rsidR="0095693B" w:rsidRPr="00B503E6">
        <w:rPr>
          <w:rFonts w:asciiTheme="majorBidi" w:hAnsiTheme="majorBidi" w:cstheme="majorBidi"/>
          <w:sz w:val="24"/>
          <w:szCs w:val="24"/>
        </w:rPr>
        <w:t xml:space="preserve"> this w</w:t>
      </w:r>
      <w:r w:rsidR="006D1076" w:rsidRPr="00B503E6">
        <w:rPr>
          <w:rFonts w:asciiTheme="majorBidi" w:hAnsiTheme="majorBidi" w:cstheme="majorBidi"/>
          <w:sz w:val="24"/>
          <w:szCs w:val="24"/>
        </w:rPr>
        <w:t xml:space="preserve">as </w:t>
      </w:r>
      <w:r w:rsidR="00AD509E">
        <w:rPr>
          <w:rFonts w:asciiTheme="majorBidi" w:hAnsiTheme="majorBidi" w:cstheme="majorBidi"/>
          <w:sz w:val="24"/>
          <w:szCs w:val="24"/>
        </w:rPr>
        <w:t xml:space="preserve">able </w:t>
      </w:r>
      <w:r w:rsidR="0095693B" w:rsidRPr="00B503E6">
        <w:rPr>
          <w:rFonts w:asciiTheme="majorBidi" w:hAnsiTheme="majorBidi" w:cstheme="majorBidi"/>
          <w:sz w:val="24"/>
          <w:szCs w:val="24"/>
        </w:rPr>
        <w:t xml:space="preserve">to generate internal investment, which </w:t>
      </w:r>
      <w:r w:rsidR="00716A28" w:rsidRPr="00B503E6">
        <w:rPr>
          <w:rFonts w:asciiTheme="majorBidi" w:hAnsiTheme="majorBidi" w:cstheme="majorBidi"/>
          <w:sz w:val="24"/>
          <w:szCs w:val="24"/>
        </w:rPr>
        <w:t xml:space="preserve">further </w:t>
      </w:r>
      <w:r w:rsidR="0095693B" w:rsidRPr="00B503E6">
        <w:rPr>
          <w:rFonts w:asciiTheme="majorBidi" w:hAnsiTheme="majorBidi" w:cstheme="majorBidi"/>
          <w:sz w:val="24"/>
          <w:szCs w:val="24"/>
        </w:rPr>
        <w:t>contributed to the growth in Palestine.</w:t>
      </w:r>
      <w:r w:rsidR="006027EF" w:rsidRPr="00B503E6">
        <w:rPr>
          <w:rFonts w:asciiTheme="majorBidi" w:hAnsiTheme="majorBidi" w:cstheme="majorBidi"/>
          <w:sz w:val="24"/>
          <w:szCs w:val="24"/>
        </w:rPr>
        <w:t xml:space="preserve">  However, in Trans-Jordan,</w:t>
      </w:r>
      <w:r w:rsidR="005B4030" w:rsidRPr="00B503E6">
        <w:rPr>
          <w:rFonts w:asciiTheme="majorBidi" w:hAnsiTheme="majorBidi" w:cstheme="majorBidi"/>
          <w:sz w:val="24"/>
          <w:szCs w:val="24"/>
        </w:rPr>
        <w:t xml:space="preserve"> </w:t>
      </w:r>
      <w:r w:rsidR="00DE5945" w:rsidRPr="00B503E6">
        <w:rPr>
          <w:rFonts w:asciiTheme="majorBidi" w:hAnsiTheme="majorBidi" w:cstheme="majorBidi"/>
          <w:sz w:val="24"/>
          <w:szCs w:val="24"/>
        </w:rPr>
        <w:t xml:space="preserve">the </w:t>
      </w:r>
      <w:r w:rsidR="00733764" w:rsidRPr="00B503E6">
        <w:rPr>
          <w:rFonts w:asciiTheme="majorBidi" w:hAnsiTheme="majorBidi" w:cstheme="majorBidi"/>
          <w:sz w:val="24"/>
          <w:szCs w:val="24"/>
        </w:rPr>
        <w:t xml:space="preserve">production of </w:t>
      </w:r>
      <w:r w:rsidR="00DE5945" w:rsidRPr="00B503E6">
        <w:rPr>
          <w:rFonts w:asciiTheme="majorBidi" w:hAnsiTheme="majorBidi" w:cstheme="majorBidi"/>
          <w:sz w:val="24"/>
          <w:szCs w:val="24"/>
        </w:rPr>
        <w:t xml:space="preserve">its </w:t>
      </w:r>
      <w:r w:rsidR="00AD509E">
        <w:rPr>
          <w:rFonts w:asciiTheme="majorBidi" w:hAnsiTheme="majorBidi" w:cstheme="majorBidi"/>
          <w:sz w:val="24"/>
          <w:szCs w:val="24"/>
        </w:rPr>
        <w:t xml:space="preserve">cereals </w:t>
      </w:r>
      <w:r w:rsidR="006027EF" w:rsidRPr="00B503E6">
        <w:rPr>
          <w:rFonts w:asciiTheme="majorBidi" w:hAnsiTheme="majorBidi" w:cstheme="majorBidi"/>
          <w:sz w:val="24"/>
          <w:szCs w:val="24"/>
        </w:rPr>
        <w:t xml:space="preserve">only began to </w:t>
      </w:r>
      <w:r w:rsidR="002D13C0" w:rsidRPr="00B503E6">
        <w:rPr>
          <w:rFonts w:asciiTheme="majorBidi" w:hAnsiTheme="majorBidi" w:cstheme="majorBidi"/>
          <w:sz w:val="24"/>
          <w:szCs w:val="24"/>
        </w:rPr>
        <w:t>increase towards the end of the period</w:t>
      </w:r>
      <w:r w:rsidR="00DA1FF8" w:rsidRPr="00B503E6">
        <w:rPr>
          <w:rFonts w:asciiTheme="majorBidi" w:hAnsiTheme="majorBidi" w:cstheme="majorBidi"/>
          <w:sz w:val="24"/>
          <w:szCs w:val="24"/>
        </w:rPr>
        <w:t xml:space="preserve"> due to several years of poor weather</w:t>
      </w:r>
      <w:r w:rsidR="00733764" w:rsidRPr="00B503E6">
        <w:rPr>
          <w:rFonts w:asciiTheme="majorBidi" w:hAnsiTheme="majorBidi" w:cstheme="majorBidi"/>
          <w:sz w:val="24"/>
          <w:szCs w:val="24"/>
        </w:rPr>
        <w:t xml:space="preserve"> in the early 1930s</w:t>
      </w:r>
      <w:r w:rsidR="002D13C0" w:rsidRPr="00B503E6">
        <w:rPr>
          <w:rFonts w:asciiTheme="majorBidi" w:hAnsiTheme="majorBidi" w:cstheme="majorBidi"/>
          <w:sz w:val="24"/>
          <w:szCs w:val="24"/>
        </w:rPr>
        <w:t>.</w:t>
      </w:r>
      <w:r w:rsidR="000816C0" w:rsidRPr="00B503E6">
        <w:rPr>
          <w:rFonts w:asciiTheme="majorBidi" w:hAnsiTheme="majorBidi" w:cstheme="majorBidi"/>
          <w:sz w:val="24"/>
          <w:szCs w:val="24"/>
        </w:rPr>
        <w:t xml:space="preserve">  Furthermore, Palestine had an advantage with regard to exports that it is located on the Mediterranean, which made it easier to ship its good abroad, while Trans-Jordan was relatively land-locked.</w:t>
      </w:r>
    </w:p>
    <w:p w:rsidR="005B4030" w:rsidRPr="00B503E6" w:rsidRDefault="000816C0" w:rsidP="00387690">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T</w:t>
      </w:r>
      <w:r w:rsidR="005D1FAA" w:rsidRPr="00B503E6">
        <w:rPr>
          <w:rFonts w:asciiTheme="majorBidi" w:hAnsiTheme="majorBidi" w:cstheme="majorBidi"/>
          <w:sz w:val="24"/>
          <w:szCs w:val="24"/>
        </w:rPr>
        <w:t>hese reasons might also explain why Lebanon and Syria were more successful at developing industry than Trans-Jordan.  Lebanon had more foreign investment (from France and émigrés) than Trans-Jordan, and its banking sector was much more developed (Himadeh 1936</w:t>
      </w:r>
      <w:r w:rsidR="00806C64" w:rsidRPr="00B503E6">
        <w:rPr>
          <w:rFonts w:asciiTheme="majorBidi" w:hAnsiTheme="majorBidi" w:cstheme="majorBidi"/>
          <w:sz w:val="24"/>
          <w:szCs w:val="24"/>
        </w:rPr>
        <w:t>, 289</w:t>
      </w:r>
      <w:r w:rsidR="005D1FAA" w:rsidRPr="00B503E6">
        <w:rPr>
          <w:rFonts w:asciiTheme="majorBidi" w:hAnsiTheme="majorBidi" w:cstheme="majorBidi"/>
          <w:sz w:val="24"/>
          <w:szCs w:val="24"/>
        </w:rPr>
        <w:t xml:space="preserve">). Syria, also had a more developed banking system </w:t>
      </w:r>
      <w:r w:rsidR="00C505CE" w:rsidRPr="00B503E6">
        <w:rPr>
          <w:rFonts w:asciiTheme="majorBidi" w:hAnsiTheme="majorBidi" w:cstheme="majorBidi"/>
          <w:sz w:val="24"/>
          <w:szCs w:val="24"/>
        </w:rPr>
        <w:lastRenderedPageBreak/>
        <w:t xml:space="preserve">than Trans-Jordan, </w:t>
      </w:r>
      <w:r w:rsidR="005D1FAA" w:rsidRPr="00B503E6">
        <w:rPr>
          <w:rFonts w:asciiTheme="majorBidi" w:hAnsiTheme="majorBidi" w:cstheme="majorBidi"/>
          <w:sz w:val="24"/>
          <w:szCs w:val="24"/>
        </w:rPr>
        <w:t xml:space="preserve">and due to its much larger population than Trans-Jordan had a bigger domestic market for its products.  </w:t>
      </w:r>
      <w:r w:rsidR="002D13C0" w:rsidRPr="00B503E6">
        <w:rPr>
          <w:rFonts w:asciiTheme="majorBidi" w:hAnsiTheme="majorBidi" w:cstheme="majorBidi"/>
          <w:sz w:val="24"/>
          <w:szCs w:val="24"/>
        </w:rPr>
        <w:t xml:space="preserve"> </w:t>
      </w:r>
      <w:r w:rsidR="006027EF" w:rsidRPr="00B503E6">
        <w:rPr>
          <w:rFonts w:asciiTheme="majorBidi" w:hAnsiTheme="majorBidi" w:cstheme="majorBidi"/>
          <w:sz w:val="24"/>
          <w:szCs w:val="24"/>
        </w:rPr>
        <w:t xml:space="preserve"> </w:t>
      </w:r>
      <w:r w:rsidR="005B4030" w:rsidRPr="00B503E6">
        <w:rPr>
          <w:rFonts w:asciiTheme="majorBidi" w:hAnsiTheme="majorBidi" w:cstheme="majorBidi"/>
          <w:sz w:val="24"/>
          <w:szCs w:val="24"/>
        </w:rPr>
        <w:t xml:space="preserve"> </w:t>
      </w:r>
      <w:r w:rsidR="004A4E4A" w:rsidRPr="00B503E6">
        <w:rPr>
          <w:rFonts w:asciiTheme="majorBidi" w:hAnsiTheme="majorBidi" w:cstheme="majorBidi"/>
          <w:sz w:val="24"/>
          <w:szCs w:val="24"/>
        </w:rPr>
        <w:t xml:space="preserve">  </w:t>
      </w:r>
    </w:p>
    <w:p w:rsidR="0003122A" w:rsidRPr="00B503E6" w:rsidRDefault="002D13C0" w:rsidP="000816C0">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With regard to the French mandates, </w:t>
      </w:r>
      <w:r w:rsidR="00A03B40" w:rsidRPr="00B503E6">
        <w:rPr>
          <w:rFonts w:asciiTheme="majorBidi" w:hAnsiTheme="majorBidi" w:cstheme="majorBidi"/>
          <w:sz w:val="24"/>
          <w:szCs w:val="24"/>
        </w:rPr>
        <w:t>L</w:t>
      </w:r>
      <w:r w:rsidR="000C3784" w:rsidRPr="00B503E6">
        <w:rPr>
          <w:rFonts w:asciiTheme="majorBidi" w:hAnsiTheme="majorBidi" w:cstheme="majorBidi"/>
          <w:sz w:val="24"/>
          <w:szCs w:val="24"/>
        </w:rPr>
        <w:t xml:space="preserve">ebanon had more </w:t>
      </w:r>
      <w:r w:rsidR="00E97713" w:rsidRPr="00B503E6">
        <w:rPr>
          <w:rFonts w:asciiTheme="majorBidi" w:hAnsiTheme="majorBidi" w:cstheme="majorBidi"/>
          <w:sz w:val="24"/>
          <w:szCs w:val="24"/>
        </w:rPr>
        <w:t xml:space="preserve">foreign investment </w:t>
      </w:r>
      <w:r w:rsidR="000816C0" w:rsidRPr="00B503E6">
        <w:rPr>
          <w:rFonts w:asciiTheme="majorBidi" w:hAnsiTheme="majorBidi" w:cstheme="majorBidi"/>
          <w:sz w:val="24"/>
          <w:szCs w:val="24"/>
        </w:rPr>
        <w:t>t</w:t>
      </w:r>
      <w:r w:rsidR="000C3784" w:rsidRPr="00B503E6">
        <w:rPr>
          <w:rFonts w:asciiTheme="majorBidi" w:hAnsiTheme="majorBidi" w:cstheme="majorBidi"/>
          <w:sz w:val="24"/>
          <w:szCs w:val="24"/>
        </w:rPr>
        <w:t>han Syria</w:t>
      </w:r>
      <w:r w:rsidR="00423ACA" w:rsidRPr="00B503E6">
        <w:rPr>
          <w:rFonts w:asciiTheme="majorBidi" w:hAnsiTheme="majorBidi" w:cstheme="majorBidi"/>
          <w:sz w:val="24"/>
          <w:szCs w:val="24"/>
        </w:rPr>
        <w:t xml:space="preserve"> </w:t>
      </w:r>
      <w:r w:rsidR="005100CA" w:rsidRPr="00B503E6">
        <w:rPr>
          <w:rFonts w:asciiTheme="majorBidi" w:hAnsiTheme="majorBidi" w:cstheme="majorBidi"/>
          <w:sz w:val="24"/>
          <w:szCs w:val="24"/>
        </w:rPr>
        <w:t xml:space="preserve">due to its closer connection with France </w:t>
      </w:r>
      <w:r w:rsidR="00C505CE" w:rsidRPr="00B503E6">
        <w:rPr>
          <w:rFonts w:asciiTheme="majorBidi" w:hAnsiTheme="majorBidi" w:cstheme="majorBidi"/>
          <w:sz w:val="24"/>
          <w:szCs w:val="24"/>
        </w:rPr>
        <w:t xml:space="preserve">than Syria </w:t>
      </w:r>
      <w:r w:rsidR="00423ACA" w:rsidRPr="00B503E6">
        <w:rPr>
          <w:rFonts w:asciiTheme="majorBidi" w:hAnsiTheme="majorBidi" w:cstheme="majorBidi"/>
          <w:sz w:val="24"/>
          <w:szCs w:val="24"/>
        </w:rPr>
        <w:t xml:space="preserve">and </w:t>
      </w:r>
      <w:r w:rsidR="003E67A8" w:rsidRPr="00B503E6">
        <w:rPr>
          <w:rFonts w:asciiTheme="majorBidi" w:hAnsiTheme="majorBidi" w:cstheme="majorBidi"/>
          <w:sz w:val="24"/>
          <w:szCs w:val="24"/>
        </w:rPr>
        <w:t xml:space="preserve">maybe </w:t>
      </w:r>
      <w:r w:rsidR="000C3784" w:rsidRPr="00B503E6">
        <w:rPr>
          <w:rFonts w:asciiTheme="majorBidi" w:hAnsiTheme="majorBidi" w:cstheme="majorBidi"/>
          <w:sz w:val="24"/>
          <w:szCs w:val="24"/>
        </w:rPr>
        <w:t>this can explain why Lebanon seems to have had better growth than Syria</w:t>
      </w:r>
      <w:r w:rsidR="005100CA" w:rsidRPr="00B503E6">
        <w:rPr>
          <w:rFonts w:asciiTheme="majorBidi" w:hAnsiTheme="majorBidi" w:cstheme="majorBidi"/>
          <w:sz w:val="24"/>
          <w:szCs w:val="24"/>
        </w:rPr>
        <w:t xml:space="preserve">. </w:t>
      </w:r>
      <w:r w:rsidR="000C3784" w:rsidRPr="00B503E6">
        <w:rPr>
          <w:rFonts w:asciiTheme="majorBidi" w:hAnsiTheme="majorBidi" w:cstheme="majorBidi"/>
          <w:sz w:val="24"/>
          <w:szCs w:val="24"/>
        </w:rPr>
        <w:t xml:space="preserve"> </w:t>
      </w:r>
      <w:r w:rsidR="0072594F" w:rsidRPr="00B503E6">
        <w:rPr>
          <w:rFonts w:asciiTheme="majorBidi" w:hAnsiTheme="majorBidi" w:cstheme="majorBidi"/>
          <w:sz w:val="24"/>
          <w:szCs w:val="24"/>
        </w:rPr>
        <w:t>Th</w:t>
      </w:r>
      <w:r w:rsidR="00D507C8" w:rsidRPr="00B503E6">
        <w:rPr>
          <w:rFonts w:asciiTheme="majorBidi" w:hAnsiTheme="majorBidi" w:cstheme="majorBidi"/>
          <w:sz w:val="24"/>
          <w:szCs w:val="24"/>
        </w:rPr>
        <w:t>e differences between these areas are</w:t>
      </w:r>
      <w:r w:rsidR="0072594F" w:rsidRPr="00B503E6">
        <w:rPr>
          <w:rFonts w:asciiTheme="majorBidi" w:hAnsiTheme="majorBidi" w:cstheme="majorBidi"/>
          <w:sz w:val="24"/>
          <w:szCs w:val="24"/>
        </w:rPr>
        <w:t xml:space="preserve"> then also an example of the joint effect of the growth in proximate </w:t>
      </w:r>
      <w:r w:rsidR="00A03B40" w:rsidRPr="00B503E6">
        <w:rPr>
          <w:rFonts w:asciiTheme="majorBidi" w:hAnsiTheme="majorBidi" w:cstheme="majorBidi"/>
          <w:sz w:val="24"/>
          <w:szCs w:val="24"/>
        </w:rPr>
        <w:t xml:space="preserve">causes </w:t>
      </w:r>
      <w:r w:rsidR="0072594F" w:rsidRPr="00B503E6">
        <w:rPr>
          <w:rFonts w:asciiTheme="majorBidi" w:hAnsiTheme="majorBidi" w:cstheme="majorBidi"/>
          <w:sz w:val="24"/>
          <w:szCs w:val="24"/>
        </w:rPr>
        <w:t>of growth with inclusive institutions.</w:t>
      </w:r>
    </w:p>
    <w:p w:rsidR="00C71DBB" w:rsidRPr="00B503E6" w:rsidRDefault="00A03B40" w:rsidP="00486ED4">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t>A</w:t>
      </w:r>
      <w:r w:rsidR="008B5B8F" w:rsidRPr="00B503E6">
        <w:rPr>
          <w:rFonts w:asciiTheme="majorBidi" w:hAnsiTheme="majorBidi" w:cstheme="majorBidi"/>
          <w:sz w:val="24"/>
          <w:szCs w:val="24"/>
        </w:rPr>
        <w:t xml:space="preserve">nother </w:t>
      </w:r>
      <w:r w:rsidRPr="00B503E6">
        <w:rPr>
          <w:rFonts w:asciiTheme="majorBidi" w:hAnsiTheme="majorBidi" w:cstheme="majorBidi"/>
          <w:sz w:val="24"/>
          <w:szCs w:val="24"/>
        </w:rPr>
        <w:t xml:space="preserve">comparison is between </w:t>
      </w:r>
      <w:r w:rsidR="008B5B8F" w:rsidRPr="00B503E6">
        <w:rPr>
          <w:rFonts w:asciiTheme="majorBidi" w:hAnsiTheme="majorBidi" w:cstheme="majorBidi"/>
          <w:sz w:val="24"/>
          <w:szCs w:val="24"/>
        </w:rPr>
        <w:t>Palestine and Lebanon</w:t>
      </w:r>
      <w:r w:rsidR="00C505CE" w:rsidRPr="00B503E6">
        <w:rPr>
          <w:rFonts w:asciiTheme="majorBidi" w:hAnsiTheme="majorBidi" w:cstheme="majorBidi"/>
          <w:sz w:val="24"/>
          <w:szCs w:val="24"/>
        </w:rPr>
        <w:t xml:space="preserve">. </w:t>
      </w:r>
      <w:r w:rsidR="00DE5945" w:rsidRPr="00B503E6">
        <w:rPr>
          <w:rFonts w:asciiTheme="majorBidi" w:hAnsiTheme="majorBidi" w:cstheme="majorBidi"/>
          <w:sz w:val="24"/>
          <w:szCs w:val="24"/>
        </w:rPr>
        <w:t xml:space="preserve"> </w:t>
      </w:r>
      <w:r w:rsidR="00C71DBB" w:rsidRPr="00B503E6">
        <w:rPr>
          <w:rFonts w:asciiTheme="majorBidi" w:hAnsiTheme="majorBidi" w:cstheme="majorBidi"/>
          <w:sz w:val="24"/>
          <w:szCs w:val="24"/>
        </w:rPr>
        <w:t xml:space="preserve">In </w:t>
      </w:r>
      <w:r w:rsidRPr="00B503E6">
        <w:rPr>
          <w:rFonts w:asciiTheme="majorBidi" w:hAnsiTheme="majorBidi" w:cstheme="majorBidi"/>
          <w:sz w:val="24"/>
          <w:szCs w:val="24"/>
        </w:rPr>
        <w:t xml:space="preserve">both countries there were inclusive institutions and foreign investment and a relatively developed banking system, but the economic growth was greater in Palestine than in Lebanon.  There </w:t>
      </w:r>
      <w:r w:rsidR="000816C0" w:rsidRPr="00B503E6">
        <w:rPr>
          <w:rFonts w:asciiTheme="majorBidi" w:hAnsiTheme="majorBidi" w:cstheme="majorBidi"/>
          <w:sz w:val="24"/>
          <w:szCs w:val="24"/>
        </w:rPr>
        <w:t xml:space="preserve">are </w:t>
      </w:r>
      <w:r w:rsidR="008B1891" w:rsidRPr="00B503E6">
        <w:rPr>
          <w:rFonts w:asciiTheme="majorBidi" w:hAnsiTheme="majorBidi" w:cstheme="majorBidi"/>
          <w:sz w:val="24"/>
          <w:szCs w:val="24"/>
        </w:rPr>
        <w:t xml:space="preserve">several </w:t>
      </w:r>
      <w:r w:rsidRPr="00B503E6">
        <w:rPr>
          <w:rFonts w:asciiTheme="majorBidi" w:hAnsiTheme="majorBidi" w:cstheme="majorBidi"/>
          <w:sz w:val="24"/>
          <w:szCs w:val="24"/>
        </w:rPr>
        <w:t>possible explanations</w:t>
      </w:r>
      <w:r w:rsidR="00D507C8" w:rsidRPr="00B503E6">
        <w:rPr>
          <w:rFonts w:asciiTheme="majorBidi" w:hAnsiTheme="majorBidi" w:cstheme="majorBidi"/>
          <w:sz w:val="24"/>
          <w:szCs w:val="24"/>
        </w:rPr>
        <w:t xml:space="preserve"> for this difference</w:t>
      </w:r>
      <w:r w:rsidRPr="00B503E6">
        <w:rPr>
          <w:rFonts w:asciiTheme="majorBidi" w:hAnsiTheme="majorBidi" w:cstheme="majorBidi"/>
          <w:sz w:val="24"/>
          <w:szCs w:val="24"/>
        </w:rPr>
        <w:t>.  One</w:t>
      </w:r>
      <w:r w:rsidR="008B1891" w:rsidRPr="00B503E6">
        <w:rPr>
          <w:rFonts w:asciiTheme="majorBidi" w:hAnsiTheme="majorBidi" w:cstheme="majorBidi"/>
          <w:sz w:val="24"/>
          <w:szCs w:val="24"/>
        </w:rPr>
        <w:t xml:space="preserve"> possible explanation is that </w:t>
      </w:r>
      <w:r w:rsidR="00716A28" w:rsidRPr="00B503E6">
        <w:rPr>
          <w:rFonts w:asciiTheme="majorBidi" w:hAnsiTheme="majorBidi" w:cstheme="majorBidi"/>
          <w:sz w:val="24"/>
          <w:szCs w:val="24"/>
        </w:rPr>
        <w:t xml:space="preserve">the </w:t>
      </w:r>
      <w:r w:rsidR="008B1891" w:rsidRPr="00B503E6">
        <w:rPr>
          <w:rFonts w:asciiTheme="majorBidi" w:hAnsiTheme="majorBidi" w:cstheme="majorBidi"/>
          <w:sz w:val="24"/>
          <w:szCs w:val="24"/>
        </w:rPr>
        <w:t>Brit</w:t>
      </w:r>
      <w:r w:rsidR="00716A28" w:rsidRPr="00B503E6">
        <w:rPr>
          <w:rFonts w:asciiTheme="majorBidi" w:hAnsiTheme="majorBidi" w:cstheme="majorBidi"/>
          <w:sz w:val="24"/>
          <w:szCs w:val="24"/>
        </w:rPr>
        <w:t xml:space="preserve">ish </w:t>
      </w:r>
      <w:r w:rsidR="008B1891" w:rsidRPr="00B503E6">
        <w:rPr>
          <w:rFonts w:asciiTheme="majorBidi" w:hAnsiTheme="majorBidi" w:cstheme="majorBidi"/>
          <w:sz w:val="24"/>
          <w:szCs w:val="24"/>
        </w:rPr>
        <w:t>w</w:t>
      </w:r>
      <w:r w:rsidR="00716A28" w:rsidRPr="00B503E6">
        <w:rPr>
          <w:rFonts w:asciiTheme="majorBidi" w:hAnsiTheme="majorBidi" w:cstheme="majorBidi"/>
          <w:sz w:val="24"/>
          <w:szCs w:val="24"/>
        </w:rPr>
        <w:t xml:space="preserve">ere </w:t>
      </w:r>
      <w:r w:rsidR="008B1891" w:rsidRPr="00B503E6">
        <w:rPr>
          <w:rFonts w:asciiTheme="majorBidi" w:hAnsiTheme="majorBidi" w:cstheme="majorBidi"/>
          <w:sz w:val="24"/>
          <w:szCs w:val="24"/>
        </w:rPr>
        <w:t xml:space="preserve">more successful in applying inclusive institutions in Palestine than the French were in Lebanon, </w:t>
      </w:r>
      <w:r w:rsidR="003E67A8" w:rsidRPr="00B503E6">
        <w:rPr>
          <w:rFonts w:asciiTheme="majorBidi" w:hAnsiTheme="majorBidi" w:cstheme="majorBidi"/>
          <w:sz w:val="24"/>
          <w:szCs w:val="24"/>
        </w:rPr>
        <w:t xml:space="preserve">as for example by making the tax system more equitable, </w:t>
      </w:r>
      <w:r w:rsidR="008B1891" w:rsidRPr="00B503E6">
        <w:rPr>
          <w:rFonts w:asciiTheme="majorBidi" w:hAnsiTheme="majorBidi" w:cstheme="majorBidi"/>
          <w:sz w:val="24"/>
          <w:szCs w:val="24"/>
        </w:rPr>
        <w:t xml:space="preserve">but the much greater violence in Palestine than in Lebanon </w:t>
      </w:r>
      <w:r w:rsidR="00C505CE" w:rsidRPr="00B503E6">
        <w:rPr>
          <w:rFonts w:asciiTheme="majorBidi" w:hAnsiTheme="majorBidi" w:cstheme="majorBidi"/>
          <w:sz w:val="24"/>
          <w:szCs w:val="24"/>
        </w:rPr>
        <w:t>co</w:t>
      </w:r>
      <w:r w:rsidR="008B1891" w:rsidRPr="00B503E6">
        <w:rPr>
          <w:rFonts w:asciiTheme="majorBidi" w:hAnsiTheme="majorBidi" w:cstheme="majorBidi"/>
          <w:sz w:val="24"/>
          <w:szCs w:val="24"/>
        </w:rPr>
        <w:t xml:space="preserve">uld have canceled out any possible </w:t>
      </w:r>
      <w:r w:rsidR="00857B66" w:rsidRPr="00B503E6">
        <w:rPr>
          <w:rFonts w:asciiTheme="majorBidi" w:hAnsiTheme="majorBidi" w:cstheme="majorBidi"/>
          <w:sz w:val="24"/>
          <w:szCs w:val="24"/>
        </w:rPr>
        <w:t xml:space="preserve">benefit from being more inclusive. Two, a variation on </w:t>
      </w:r>
      <w:r w:rsidR="003B5FF6" w:rsidRPr="00B503E6">
        <w:rPr>
          <w:rFonts w:asciiTheme="majorBidi" w:hAnsiTheme="majorBidi" w:cstheme="majorBidi"/>
          <w:sz w:val="24"/>
          <w:szCs w:val="24"/>
        </w:rPr>
        <w:t>the first explanation</w:t>
      </w:r>
      <w:r w:rsidRPr="00B503E6">
        <w:rPr>
          <w:rFonts w:asciiTheme="majorBidi" w:hAnsiTheme="majorBidi" w:cstheme="majorBidi"/>
          <w:sz w:val="24"/>
          <w:szCs w:val="24"/>
        </w:rPr>
        <w:t xml:space="preserve">, </w:t>
      </w:r>
      <w:r w:rsidR="00857B66" w:rsidRPr="00B503E6">
        <w:rPr>
          <w:rFonts w:asciiTheme="majorBidi" w:hAnsiTheme="majorBidi" w:cstheme="majorBidi"/>
          <w:sz w:val="24"/>
          <w:szCs w:val="24"/>
        </w:rPr>
        <w:t xml:space="preserve">is that </w:t>
      </w:r>
      <w:r w:rsidR="008B1891" w:rsidRPr="00B503E6">
        <w:rPr>
          <w:rFonts w:asciiTheme="majorBidi" w:hAnsiTheme="majorBidi" w:cstheme="majorBidi"/>
          <w:sz w:val="24"/>
          <w:szCs w:val="24"/>
        </w:rPr>
        <w:t>La Porta, Lope</w:t>
      </w:r>
      <w:r w:rsidR="0070352E" w:rsidRPr="00B503E6">
        <w:rPr>
          <w:rFonts w:asciiTheme="majorBidi" w:hAnsiTheme="majorBidi" w:cstheme="majorBidi"/>
          <w:sz w:val="24"/>
          <w:szCs w:val="24"/>
        </w:rPr>
        <w:t xml:space="preserve">z </w:t>
      </w:r>
      <w:r w:rsidR="008B1891" w:rsidRPr="00B503E6">
        <w:rPr>
          <w:rFonts w:asciiTheme="majorBidi" w:hAnsiTheme="majorBidi" w:cstheme="majorBidi"/>
          <w:sz w:val="24"/>
          <w:szCs w:val="24"/>
        </w:rPr>
        <w:t>de</w:t>
      </w:r>
      <w:r w:rsidR="0070352E" w:rsidRPr="00B503E6">
        <w:rPr>
          <w:rFonts w:asciiTheme="majorBidi" w:hAnsiTheme="majorBidi" w:cstheme="majorBidi"/>
          <w:sz w:val="24"/>
          <w:szCs w:val="24"/>
        </w:rPr>
        <w:t xml:space="preserve"> </w:t>
      </w:r>
      <w:r w:rsidR="008B1891" w:rsidRPr="00B503E6">
        <w:rPr>
          <w:rFonts w:asciiTheme="majorBidi" w:hAnsiTheme="majorBidi" w:cstheme="majorBidi"/>
          <w:sz w:val="24"/>
          <w:szCs w:val="24"/>
        </w:rPr>
        <w:t>S</w:t>
      </w:r>
      <w:r w:rsidR="0070352E" w:rsidRPr="00B503E6">
        <w:rPr>
          <w:rFonts w:asciiTheme="majorBidi" w:hAnsiTheme="majorBidi" w:cstheme="majorBidi"/>
          <w:sz w:val="24"/>
          <w:szCs w:val="24"/>
        </w:rPr>
        <w:t>i</w:t>
      </w:r>
      <w:r w:rsidR="008B1891" w:rsidRPr="00B503E6">
        <w:rPr>
          <w:rFonts w:asciiTheme="majorBidi" w:hAnsiTheme="majorBidi" w:cstheme="majorBidi"/>
          <w:sz w:val="24"/>
          <w:szCs w:val="24"/>
        </w:rPr>
        <w:t>l</w:t>
      </w:r>
      <w:r w:rsidR="0070352E" w:rsidRPr="00B503E6">
        <w:rPr>
          <w:rFonts w:asciiTheme="majorBidi" w:hAnsiTheme="majorBidi" w:cstheme="majorBidi"/>
          <w:sz w:val="24"/>
          <w:szCs w:val="24"/>
        </w:rPr>
        <w:t>a</w:t>
      </w:r>
      <w:r w:rsidR="008B1891" w:rsidRPr="00B503E6">
        <w:rPr>
          <w:rFonts w:asciiTheme="majorBidi" w:hAnsiTheme="majorBidi" w:cstheme="majorBidi"/>
          <w:sz w:val="24"/>
          <w:szCs w:val="24"/>
        </w:rPr>
        <w:t>nes and S</w:t>
      </w:r>
      <w:r w:rsidR="006A4775" w:rsidRPr="00B503E6">
        <w:rPr>
          <w:rFonts w:asciiTheme="majorBidi" w:hAnsiTheme="majorBidi" w:cstheme="majorBidi"/>
          <w:sz w:val="24"/>
          <w:szCs w:val="24"/>
        </w:rPr>
        <w:t>h</w:t>
      </w:r>
      <w:r w:rsidR="008B1891" w:rsidRPr="00B503E6">
        <w:rPr>
          <w:rFonts w:asciiTheme="majorBidi" w:hAnsiTheme="majorBidi" w:cstheme="majorBidi"/>
          <w:sz w:val="24"/>
          <w:szCs w:val="24"/>
        </w:rPr>
        <w:t xml:space="preserve">leifer (2008) have argued that the British common law system promotes investment and hence growth better than the French civil law system. This difference between Palestine and Lebanon might then be an example of this difference in the legal systems.  A </w:t>
      </w:r>
      <w:r w:rsidR="00857B66" w:rsidRPr="00B503E6">
        <w:rPr>
          <w:rFonts w:asciiTheme="majorBidi" w:hAnsiTheme="majorBidi" w:cstheme="majorBidi"/>
          <w:sz w:val="24"/>
          <w:szCs w:val="24"/>
        </w:rPr>
        <w:t xml:space="preserve">third reason is that while both areas had foreign investment, Palestine had more foreign investment than Lebanon. A fourth reason is that Lebanon did </w:t>
      </w:r>
      <w:r w:rsidR="00486ED4" w:rsidRPr="00B503E6">
        <w:rPr>
          <w:rFonts w:asciiTheme="majorBidi" w:hAnsiTheme="majorBidi" w:cstheme="majorBidi"/>
          <w:sz w:val="24"/>
          <w:szCs w:val="24"/>
        </w:rPr>
        <w:t xml:space="preserve">not </w:t>
      </w:r>
      <w:r w:rsidR="00857B66" w:rsidRPr="00B503E6">
        <w:rPr>
          <w:rFonts w:asciiTheme="majorBidi" w:hAnsiTheme="majorBidi" w:cstheme="majorBidi"/>
          <w:sz w:val="24"/>
          <w:szCs w:val="24"/>
        </w:rPr>
        <w:t xml:space="preserve">have a product that was as successful </w:t>
      </w:r>
      <w:r w:rsidR="00486ED4" w:rsidRPr="00B503E6">
        <w:rPr>
          <w:rFonts w:asciiTheme="majorBidi" w:hAnsiTheme="majorBidi" w:cstheme="majorBidi"/>
          <w:sz w:val="24"/>
          <w:szCs w:val="24"/>
        </w:rPr>
        <w:t xml:space="preserve">as </w:t>
      </w:r>
      <w:r w:rsidR="00857B66" w:rsidRPr="00B503E6">
        <w:rPr>
          <w:rFonts w:asciiTheme="majorBidi" w:hAnsiTheme="majorBidi" w:cstheme="majorBidi"/>
          <w:sz w:val="24"/>
          <w:szCs w:val="24"/>
        </w:rPr>
        <w:t>oranges</w:t>
      </w:r>
      <w:r w:rsidR="00486ED4" w:rsidRPr="00B503E6">
        <w:rPr>
          <w:rFonts w:asciiTheme="majorBidi" w:hAnsiTheme="majorBidi" w:cstheme="majorBidi"/>
          <w:sz w:val="24"/>
          <w:szCs w:val="24"/>
        </w:rPr>
        <w:t xml:space="preserve"> were for Palestine since </w:t>
      </w:r>
      <w:r w:rsidR="00857B66" w:rsidRPr="00B503E6">
        <w:rPr>
          <w:rFonts w:asciiTheme="majorBidi" w:hAnsiTheme="majorBidi" w:cstheme="majorBidi"/>
          <w:sz w:val="24"/>
          <w:szCs w:val="24"/>
        </w:rPr>
        <w:t xml:space="preserve">their silk industry died out during the </w:t>
      </w:r>
      <w:r w:rsidR="002E7A3E" w:rsidRPr="00B503E6">
        <w:rPr>
          <w:rFonts w:asciiTheme="majorBidi" w:hAnsiTheme="majorBidi" w:cstheme="majorBidi"/>
          <w:sz w:val="24"/>
          <w:szCs w:val="24"/>
        </w:rPr>
        <w:t xml:space="preserve">Great </w:t>
      </w:r>
      <w:r w:rsidR="00857B66" w:rsidRPr="00B503E6">
        <w:rPr>
          <w:rFonts w:asciiTheme="majorBidi" w:hAnsiTheme="majorBidi" w:cstheme="majorBidi"/>
          <w:sz w:val="24"/>
          <w:szCs w:val="24"/>
        </w:rPr>
        <w:t>Depression, and the</w:t>
      </w:r>
      <w:r w:rsidR="00AD509E">
        <w:rPr>
          <w:rFonts w:asciiTheme="majorBidi" w:hAnsiTheme="majorBidi" w:cstheme="majorBidi"/>
          <w:sz w:val="24"/>
          <w:szCs w:val="24"/>
        </w:rPr>
        <w:t>ir</w:t>
      </w:r>
      <w:r w:rsidR="00857B66" w:rsidRPr="00B503E6">
        <w:rPr>
          <w:rFonts w:asciiTheme="majorBidi" w:hAnsiTheme="majorBidi" w:cstheme="majorBidi"/>
          <w:sz w:val="24"/>
          <w:szCs w:val="24"/>
        </w:rPr>
        <w:t xml:space="preserve"> orange industry was just beginning to develop in the end of the period.</w:t>
      </w:r>
      <w:r w:rsidR="0013482B" w:rsidRPr="00B503E6">
        <w:rPr>
          <w:rFonts w:asciiTheme="majorBidi" w:hAnsiTheme="majorBidi" w:cstheme="majorBidi"/>
          <w:sz w:val="24"/>
          <w:szCs w:val="24"/>
        </w:rPr>
        <w:t xml:space="preserve">  A fifth possible reason is the effects of the Great Depression were much larger on Lebanon than in Palestine due </w:t>
      </w:r>
      <w:r w:rsidR="00C505CE" w:rsidRPr="00B503E6">
        <w:rPr>
          <w:rFonts w:asciiTheme="majorBidi" w:hAnsiTheme="majorBidi" w:cstheme="majorBidi"/>
          <w:sz w:val="24"/>
          <w:szCs w:val="24"/>
        </w:rPr>
        <w:t>to</w:t>
      </w:r>
      <w:r w:rsidR="0013482B" w:rsidRPr="00B503E6">
        <w:rPr>
          <w:rFonts w:asciiTheme="majorBidi" w:hAnsiTheme="majorBidi" w:cstheme="majorBidi"/>
          <w:sz w:val="24"/>
          <w:szCs w:val="24"/>
        </w:rPr>
        <w:t xml:space="preserve"> France remaining on the gold standard longer than Britain.</w:t>
      </w:r>
      <w:r w:rsidR="00857B66" w:rsidRPr="00B503E6">
        <w:rPr>
          <w:rFonts w:asciiTheme="majorBidi" w:hAnsiTheme="majorBidi" w:cstheme="majorBidi"/>
          <w:sz w:val="24"/>
          <w:szCs w:val="24"/>
        </w:rPr>
        <w:t xml:space="preserve">  </w:t>
      </w:r>
    </w:p>
    <w:p w:rsidR="0050634D" w:rsidRPr="00B503E6" w:rsidRDefault="00392C58" w:rsidP="00486ED4">
      <w:pPr>
        <w:spacing w:line="480" w:lineRule="auto"/>
        <w:ind w:firstLine="567"/>
        <w:contextualSpacing/>
        <w:jc w:val="both"/>
        <w:rPr>
          <w:rFonts w:asciiTheme="majorBidi" w:hAnsiTheme="majorBidi" w:cstheme="majorBidi"/>
          <w:sz w:val="24"/>
          <w:szCs w:val="24"/>
        </w:rPr>
      </w:pPr>
      <w:r w:rsidRPr="00B503E6">
        <w:rPr>
          <w:rFonts w:asciiTheme="majorBidi" w:hAnsiTheme="majorBidi" w:cstheme="majorBidi"/>
          <w:sz w:val="24"/>
          <w:szCs w:val="24"/>
        </w:rPr>
        <w:lastRenderedPageBreak/>
        <w:t xml:space="preserve">In conclusion, </w:t>
      </w:r>
      <w:r w:rsidR="00E53F22" w:rsidRPr="00B503E6">
        <w:rPr>
          <w:rFonts w:asciiTheme="majorBidi" w:hAnsiTheme="majorBidi" w:cstheme="majorBidi"/>
          <w:sz w:val="24"/>
          <w:szCs w:val="24"/>
        </w:rPr>
        <w:t xml:space="preserve">the </w:t>
      </w:r>
      <w:r w:rsidR="00C30C53" w:rsidRPr="00B503E6">
        <w:rPr>
          <w:rFonts w:asciiTheme="majorBidi" w:hAnsiTheme="majorBidi" w:cstheme="majorBidi"/>
          <w:sz w:val="24"/>
          <w:szCs w:val="24"/>
        </w:rPr>
        <w:t>economic growth in Lebanon</w:t>
      </w:r>
      <w:r w:rsidR="00246C0A" w:rsidRPr="00B503E6">
        <w:rPr>
          <w:rFonts w:asciiTheme="majorBidi" w:hAnsiTheme="majorBidi" w:cstheme="majorBidi"/>
          <w:sz w:val="24"/>
          <w:szCs w:val="24"/>
        </w:rPr>
        <w:t>,</w:t>
      </w:r>
      <w:r w:rsidR="00C30C53" w:rsidRPr="00B503E6">
        <w:rPr>
          <w:rFonts w:asciiTheme="majorBidi" w:hAnsiTheme="majorBidi" w:cstheme="majorBidi"/>
          <w:sz w:val="24"/>
          <w:szCs w:val="24"/>
        </w:rPr>
        <w:t xml:space="preserve"> Palestine</w:t>
      </w:r>
      <w:r w:rsidR="00486ED4" w:rsidRPr="00B503E6">
        <w:rPr>
          <w:rFonts w:asciiTheme="majorBidi" w:hAnsiTheme="majorBidi" w:cstheme="majorBidi"/>
          <w:sz w:val="24"/>
          <w:szCs w:val="24"/>
        </w:rPr>
        <w:t>, Syria</w:t>
      </w:r>
      <w:r w:rsidR="00C30C53" w:rsidRPr="00B503E6">
        <w:rPr>
          <w:rFonts w:asciiTheme="majorBidi" w:hAnsiTheme="majorBidi" w:cstheme="majorBidi"/>
          <w:sz w:val="24"/>
          <w:szCs w:val="24"/>
        </w:rPr>
        <w:t xml:space="preserve"> and Trans-Jordan are examples of the correlation between inclusive private property institutions and economic growth.  In </w:t>
      </w:r>
      <w:r w:rsidR="00857B66" w:rsidRPr="00B503E6">
        <w:rPr>
          <w:rFonts w:asciiTheme="majorBidi" w:hAnsiTheme="majorBidi" w:cstheme="majorBidi"/>
          <w:sz w:val="24"/>
          <w:szCs w:val="24"/>
        </w:rPr>
        <w:t xml:space="preserve">addition the differences in the growth rates </w:t>
      </w:r>
      <w:r w:rsidR="00486ED4" w:rsidRPr="00B503E6">
        <w:rPr>
          <w:rFonts w:asciiTheme="majorBidi" w:hAnsiTheme="majorBidi" w:cstheme="majorBidi"/>
          <w:sz w:val="24"/>
          <w:szCs w:val="24"/>
        </w:rPr>
        <w:t xml:space="preserve">between the areas </w:t>
      </w:r>
      <w:r w:rsidR="00857B66" w:rsidRPr="00B503E6">
        <w:rPr>
          <w:rFonts w:asciiTheme="majorBidi" w:hAnsiTheme="majorBidi" w:cstheme="majorBidi"/>
          <w:sz w:val="24"/>
          <w:szCs w:val="24"/>
        </w:rPr>
        <w:t xml:space="preserve">indicate the importance of joining the proximate causes of growth with inclusive institutions. </w:t>
      </w:r>
      <w:r w:rsidR="00486ED4" w:rsidRPr="00B503E6">
        <w:rPr>
          <w:rFonts w:asciiTheme="majorBidi" w:hAnsiTheme="majorBidi" w:cstheme="majorBidi"/>
          <w:sz w:val="24"/>
          <w:szCs w:val="24"/>
        </w:rPr>
        <w:t xml:space="preserve"> </w:t>
      </w:r>
      <w:r w:rsidR="00857B66" w:rsidRPr="00B503E6">
        <w:rPr>
          <w:rFonts w:asciiTheme="majorBidi" w:hAnsiTheme="majorBidi" w:cstheme="majorBidi"/>
          <w:sz w:val="24"/>
          <w:szCs w:val="24"/>
        </w:rPr>
        <w:t xml:space="preserve">In </w:t>
      </w:r>
      <w:r w:rsidR="00C30C53" w:rsidRPr="00B503E6">
        <w:rPr>
          <w:rFonts w:asciiTheme="majorBidi" w:hAnsiTheme="majorBidi" w:cstheme="majorBidi"/>
          <w:sz w:val="24"/>
          <w:szCs w:val="24"/>
        </w:rPr>
        <w:t>Lebanon</w:t>
      </w:r>
      <w:r w:rsidR="00486ED4" w:rsidRPr="00B503E6">
        <w:rPr>
          <w:rFonts w:asciiTheme="majorBidi" w:hAnsiTheme="majorBidi" w:cstheme="majorBidi"/>
          <w:sz w:val="24"/>
          <w:szCs w:val="24"/>
        </w:rPr>
        <w:t>, Syria</w:t>
      </w:r>
      <w:r w:rsidR="00C30C53" w:rsidRPr="00B503E6">
        <w:rPr>
          <w:rFonts w:asciiTheme="majorBidi" w:hAnsiTheme="majorBidi" w:cstheme="majorBidi"/>
          <w:sz w:val="24"/>
          <w:szCs w:val="24"/>
        </w:rPr>
        <w:t xml:space="preserve"> and Trans-Jordan, the </w:t>
      </w:r>
      <w:r w:rsidR="00E950C4" w:rsidRPr="00B503E6">
        <w:rPr>
          <w:rFonts w:asciiTheme="majorBidi" w:hAnsiTheme="majorBidi" w:cstheme="majorBidi"/>
          <w:sz w:val="24"/>
          <w:szCs w:val="24"/>
        </w:rPr>
        <w:t xml:space="preserve">economic </w:t>
      </w:r>
      <w:r w:rsidR="00C30C53" w:rsidRPr="00B503E6">
        <w:rPr>
          <w:rFonts w:asciiTheme="majorBidi" w:hAnsiTheme="majorBidi" w:cstheme="majorBidi"/>
          <w:sz w:val="24"/>
          <w:szCs w:val="24"/>
        </w:rPr>
        <w:t xml:space="preserve">growth was delayed </w:t>
      </w:r>
      <w:r w:rsidR="00EA3D55" w:rsidRPr="00B503E6">
        <w:rPr>
          <w:rFonts w:asciiTheme="majorBidi" w:hAnsiTheme="majorBidi" w:cstheme="majorBidi"/>
          <w:sz w:val="24"/>
          <w:szCs w:val="24"/>
        </w:rPr>
        <w:t xml:space="preserve">due </w:t>
      </w:r>
      <w:r w:rsidR="00C30C53" w:rsidRPr="00B503E6">
        <w:rPr>
          <w:rFonts w:asciiTheme="majorBidi" w:hAnsiTheme="majorBidi" w:cstheme="majorBidi"/>
          <w:sz w:val="24"/>
          <w:szCs w:val="24"/>
        </w:rPr>
        <w:t>to the slow effect of inclusive institutions</w:t>
      </w:r>
      <w:r w:rsidR="005E29C7" w:rsidRPr="00B503E6">
        <w:rPr>
          <w:rFonts w:asciiTheme="majorBidi" w:hAnsiTheme="majorBidi" w:cstheme="majorBidi"/>
          <w:sz w:val="24"/>
          <w:szCs w:val="24"/>
        </w:rPr>
        <w:t xml:space="preserve">, </w:t>
      </w:r>
      <w:r w:rsidR="00C30C53" w:rsidRPr="00B503E6">
        <w:rPr>
          <w:rFonts w:asciiTheme="majorBidi" w:hAnsiTheme="majorBidi" w:cstheme="majorBidi"/>
          <w:sz w:val="24"/>
          <w:szCs w:val="24"/>
        </w:rPr>
        <w:t xml:space="preserve">to bad weather (Trans-Jordan) and </w:t>
      </w:r>
      <w:r w:rsidR="005E29C7" w:rsidRPr="00B503E6">
        <w:rPr>
          <w:rFonts w:asciiTheme="majorBidi" w:hAnsiTheme="majorBidi" w:cstheme="majorBidi"/>
          <w:sz w:val="24"/>
          <w:szCs w:val="24"/>
        </w:rPr>
        <w:t xml:space="preserve">to </w:t>
      </w:r>
      <w:r w:rsidR="00C30C53" w:rsidRPr="00B503E6">
        <w:rPr>
          <w:rFonts w:asciiTheme="majorBidi" w:hAnsiTheme="majorBidi" w:cstheme="majorBidi"/>
          <w:sz w:val="24"/>
          <w:szCs w:val="24"/>
        </w:rPr>
        <w:t>the Great Depression</w:t>
      </w:r>
      <w:r w:rsidR="00246C0A" w:rsidRPr="00B503E6">
        <w:rPr>
          <w:rFonts w:asciiTheme="majorBidi" w:hAnsiTheme="majorBidi" w:cstheme="majorBidi"/>
          <w:sz w:val="24"/>
          <w:szCs w:val="24"/>
        </w:rPr>
        <w:t xml:space="preserve"> (Syria and Lebanon)</w:t>
      </w:r>
      <w:r w:rsidR="00C30C53" w:rsidRPr="00B503E6">
        <w:rPr>
          <w:rFonts w:asciiTheme="majorBidi" w:hAnsiTheme="majorBidi" w:cstheme="majorBidi"/>
          <w:sz w:val="24"/>
          <w:szCs w:val="24"/>
        </w:rPr>
        <w:t xml:space="preserve">.  In Palestine, </w:t>
      </w:r>
      <w:r w:rsidR="00C32622" w:rsidRPr="00B503E6">
        <w:rPr>
          <w:rFonts w:asciiTheme="majorBidi" w:hAnsiTheme="majorBidi" w:cstheme="majorBidi"/>
          <w:sz w:val="24"/>
          <w:szCs w:val="24"/>
        </w:rPr>
        <w:t xml:space="preserve">the </w:t>
      </w:r>
      <w:r w:rsidR="00CE1BA9" w:rsidRPr="00B503E6">
        <w:rPr>
          <w:rFonts w:asciiTheme="majorBidi" w:hAnsiTheme="majorBidi" w:cstheme="majorBidi"/>
          <w:sz w:val="24"/>
          <w:szCs w:val="24"/>
        </w:rPr>
        <w:t xml:space="preserve">great demand in </w:t>
      </w:r>
      <w:r w:rsidR="002D4393" w:rsidRPr="00B503E6">
        <w:rPr>
          <w:rFonts w:asciiTheme="majorBidi" w:hAnsiTheme="majorBidi" w:cstheme="majorBidi"/>
          <w:sz w:val="24"/>
          <w:szCs w:val="24"/>
        </w:rPr>
        <w:t xml:space="preserve">Britain </w:t>
      </w:r>
      <w:r w:rsidR="00CE1BA9" w:rsidRPr="00B503E6">
        <w:rPr>
          <w:rFonts w:asciiTheme="majorBidi" w:hAnsiTheme="majorBidi" w:cstheme="majorBidi"/>
          <w:sz w:val="24"/>
          <w:szCs w:val="24"/>
        </w:rPr>
        <w:t>for its oranges</w:t>
      </w:r>
      <w:r w:rsidR="00BB15BB" w:rsidRPr="00B503E6">
        <w:rPr>
          <w:rFonts w:asciiTheme="majorBidi" w:hAnsiTheme="majorBidi" w:cstheme="majorBidi"/>
          <w:sz w:val="24"/>
          <w:szCs w:val="24"/>
        </w:rPr>
        <w:t xml:space="preserve">, the large Jewish immigration </w:t>
      </w:r>
      <w:r w:rsidR="00CE1BA9" w:rsidRPr="00B503E6">
        <w:rPr>
          <w:rFonts w:asciiTheme="majorBidi" w:hAnsiTheme="majorBidi" w:cstheme="majorBidi"/>
          <w:sz w:val="24"/>
          <w:szCs w:val="24"/>
        </w:rPr>
        <w:t xml:space="preserve">and </w:t>
      </w:r>
      <w:r w:rsidR="00BB15BB" w:rsidRPr="00B503E6">
        <w:rPr>
          <w:rFonts w:asciiTheme="majorBidi" w:hAnsiTheme="majorBidi" w:cstheme="majorBidi"/>
          <w:sz w:val="24"/>
          <w:szCs w:val="24"/>
        </w:rPr>
        <w:t xml:space="preserve">the considerable </w:t>
      </w:r>
      <w:r w:rsidR="00CE1BA9" w:rsidRPr="00B503E6">
        <w:rPr>
          <w:rFonts w:asciiTheme="majorBidi" w:hAnsiTheme="majorBidi" w:cstheme="majorBidi"/>
          <w:sz w:val="24"/>
          <w:szCs w:val="24"/>
        </w:rPr>
        <w:t xml:space="preserve">investment from abroad, </w:t>
      </w:r>
      <w:r w:rsidR="00C32622" w:rsidRPr="00B503E6">
        <w:rPr>
          <w:rFonts w:asciiTheme="majorBidi" w:hAnsiTheme="majorBidi" w:cstheme="majorBidi"/>
          <w:sz w:val="24"/>
          <w:szCs w:val="24"/>
        </w:rPr>
        <w:t>speeded up the effect of inclusive institutions</w:t>
      </w:r>
      <w:r w:rsidR="00246C0A" w:rsidRPr="00B503E6">
        <w:rPr>
          <w:rFonts w:asciiTheme="majorBidi" w:hAnsiTheme="majorBidi" w:cstheme="majorBidi"/>
          <w:sz w:val="24"/>
          <w:szCs w:val="24"/>
        </w:rPr>
        <w:t xml:space="preserve"> that its economy grew the fastest in the region. </w:t>
      </w:r>
    </w:p>
    <w:p w:rsidR="00B503E6" w:rsidRDefault="00B503E6">
      <w:pPr>
        <w:rPr>
          <w:rFonts w:asciiTheme="majorBidi" w:hAnsiTheme="majorBidi" w:cstheme="majorBidi"/>
          <w:sz w:val="24"/>
          <w:szCs w:val="24"/>
        </w:rPr>
      </w:pPr>
      <w:r>
        <w:rPr>
          <w:rFonts w:asciiTheme="majorBidi" w:hAnsiTheme="majorBidi" w:cstheme="majorBidi"/>
          <w:sz w:val="24"/>
          <w:szCs w:val="24"/>
        </w:rPr>
        <w:br w:type="page"/>
      </w:r>
    </w:p>
    <w:p w:rsidR="00B503E6" w:rsidRDefault="00B503E6" w:rsidP="00B503E6"/>
    <w:p w:rsidR="00B503E6" w:rsidRPr="00AD509E" w:rsidRDefault="00B503E6" w:rsidP="00B503E6">
      <w:pPr>
        <w:jc w:val="center"/>
        <w:rPr>
          <w:rFonts w:ascii="Times New Roman" w:hAnsi="Times New Roman"/>
          <w:sz w:val="24"/>
          <w:szCs w:val="24"/>
        </w:rPr>
      </w:pPr>
      <w:r w:rsidRPr="00AD509E">
        <w:rPr>
          <w:rFonts w:ascii="Times New Roman" w:hAnsi="Times New Roman"/>
          <w:sz w:val="24"/>
          <w:szCs w:val="24"/>
        </w:rPr>
        <w:t>Table 1. Tax revenue (thousands) in the Mandate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104"/>
        <w:gridCol w:w="1157"/>
        <w:gridCol w:w="1108"/>
        <w:gridCol w:w="1104"/>
        <w:gridCol w:w="1126"/>
        <w:gridCol w:w="1318"/>
      </w:tblGrid>
      <w:tr w:rsidR="00B503E6" w:rsidRPr="006B4012" w:rsidTr="00B766C8">
        <w:tc>
          <w:tcPr>
            <w:tcW w:w="1605" w:type="dxa"/>
            <w:vAlign w:val="center"/>
          </w:tcPr>
          <w:p w:rsidR="00B503E6" w:rsidRPr="006B4012" w:rsidRDefault="00B503E6" w:rsidP="00B766C8">
            <w:pPr>
              <w:jc w:val="center"/>
              <w:rPr>
                <w:rFonts w:ascii="Times New Roman" w:hAnsi="Times New Roman"/>
              </w:rPr>
            </w:pPr>
          </w:p>
        </w:tc>
        <w:tc>
          <w:tcPr>
            <w:tcW w:w="1104" w:type="dxa"/>
            <w:vAlign w:val="center"/>
          </w:tcPr>
          <w:p w:rsidR="00B503E6" w:rsidRPr="006B4012" w:rsidRDefault="00B503E6" w:rsidP="00B766C8">
            <w:pPr>
              <w:jc w:val="center"/>
              <w:rPr>
                <w:rFonts w:ascii="Times New Roman" w:hAnsi="Times New Roman"/>
              </w:rPr>
            </w:pPr>
            <w:r w:rsidRPr="006B4012">
              <w:rPr>
                <w:rFonts w:ascii="Times New Roman" w:hAnsi="Times New Roman"/>
              </w:rPr>
              <w:t>1927</w:t>
            </w:r>
          </w:p>
        </w:tc>
        <w:tc>
          <w:tcPr>
            <w:tcW w:w="1157" w:type="dxa"/>
            <w:vAlign w:val="center"/>
          </w:tcPr>
          <w:p w:rsidR="00B503E6" w:rsidRPr="006B4012" w:rsidRDefault="00B503E6" w:rsidP="00B766C8">
            <w:pPr>
              <w:jc w:val="center"/>
              <w:rPr>
                <w:rFonts w:ascii="Times New Roman" w:hAnsi="Times New Roman"/>
              </w:rPr>
            </w:pPr>
            <w:r w:rsidRPr="006B4012">
              <w:rPr>
                <w:rFonts w:ascii="Times New Roman" w:hAnsi="Times New Roman"/>
              </w:rPr>
              <w:t>1929</w:t>
            </w:r>
          </w:p>
        </w:tc>
        <w:tc>
          <w:tcPr>
            <w:tcW w:w="1108" w:type="dxa"/>
            <w:vAlign w:val="center"/>
          </w:tcPr>
          <w:p w:rsidR="00B503E6" w:rsidRPr="006B4012" w:rsidRDefault="00B503E6" w:rsidP="00B766C8">
            <w:pPr>
              <w:jc w:val="center"/>
              <w:rPr>
                <w:rFonts w:ascii="Times New Roman" w:hAnsi="Times New Roman"/>
              </w:rPr>
            </w:pPr>
            <w:r w:rsidRPr="006B4012">
              <w:rPr>
                <w:rFonts w:ascii="Times New Roman" w:hAnsi="Times New Roman"/>
              </w:rPr>
              <w:t>1931</w:t>
            </w:r>
          </w:p>
        </w:tc>
        <w:tc>
          <w:tcPr>
            <w:tcW w:w="1104" w:type="dxa"/>
            <w:vAlign w:val="center"/>
          </w:tcPr>
          <w:p w:rsidR="00B503E6" w:rsidRPr="006B4012" w:rsidRDefault="00B503E6" w:rsidP="00B766C8">
            <w:pPr>
              <w:jc w:val="center"/>
              <w:rPr>
                <w:rFonts w:ascii="Times New Roman" w:hAnsi="Times New Roman"/>
              </w:rPr>
            </w:pPr>
            <w:r w:rsidRPr="006B4012">
              <w:rPr>
                <w:rFonts w:ascii="Times New Roman" w:hAnsi="Times New Roman"/>
              </w:rPr>
              <w:t>1939</w:t>
            </w:r>
          </w:p>
        </w:tc>
        <w:tc>
          <w:tcPr>
            <w:tcW w:w="1126" w:type="dxa"/>
            <w:vAlign w:val="center"/>
          </w:tcPr>
          <w:p w:rsidR="00B503E6" w:rsidRPr="006B4012" w:rsidRDefault="00B503E6" w:rsidP="00B766C8">
            <w:pPr>
              <w:jc w:val="center"/>
              <w:rPr>
                <w:rFonts w:ascii="Times New Roman" w:hAnsi="Times New Roman"/>
              </w:rPr>
            </w:pPr>
            <w:r w:rsidRPr="006B4012">
              <w:rPr>
                <w:rFonts w:ascii="Times New Roman" w:hAnsi="Times New Roman"/>
              </w:rPr>
              <w:t>1942</w:t>
            </w:r>
          </w:p>
        </w:tc>
        <w:tc>
          <w:tcPr>
            <w:tcW w:w="1318" w:type="dxa"/>
            <w:vAlign w:val="center"/>
          </w:tcPr>
          <w:p w:rsidR="00B503E6" w:rsidRPr="006B4012" w:rsidRDefault="00B503E6" w:rsidP="00B766C8">
            <w:pPr>
              <w:jc w:val="center"/>
              <w:rPr>
                <w:rFonts w:ascii="Times New Roman" w:hAnsi="Times New Roman"/>
              </w:rPr>
            </w:pPr>
            <w:r w:rsidRPr="006B4012">
              <w:rPr>
                <w:rFonts w:ascii="Times New Roman" w:hAnsi="Times New Roman"/>
              </w:rPr>
              <w:t>Growth rate</w:t>
            </w:r>
          </w:p>
        </w:tc>
      </w:tr>
      <w:tr w:rsidR="00B503E6" w:rsidRPr="006B4012" w:rsidTr="00B766C8">
        <w:tc>
          <w:tcPr>
            <w:tcW w:w="1605" w:type="dxa"/>
            <w:vAlign w:val="center"/>
          </w:tcPr>
          <w:p w:rsidR="00B503E6" w:rsidRPr="006B4012" w:rsidRDefault="00B503E6" w:rsidP="00B766C8">
            <w:pPr>
              <w:jc w:val="center"/>
              <w:rPr>
                <w:rFonts w:ascii="Times New Roman" w:hAnsi="Times New Roman"/>
              </w:rPr>
            </w:pPr>
            <w:r w:rsidRPr="006B4012">
              <w:rPr>
                <w:rFonts w:ascii="Times New Roman" w:hAnsi="Times New Roman"/>
              </w:rPr>
              <w:t>Lebanon (£S)</w:t>
            </w:r>
          </w:p>
        </w:tc>
        <w:tc>
          <w:tcPr>
            <w:tcW w:w="1104" w:type="dxa"/>
            <w:vAlign w:val="center"/>
          </w:tcPr>
          <w:p w:rsidR="00B503E6" w:rsidRPr="006B4012" w:rsidRDefault="00B503E6" w:rsidP="00B766C8">
            <w:pPr>
              <w:pStyle w:val="NormalWeb"/>
              <w:spacing w:before="0" w:beforeAutospacing="0" w:after="0" w:afterAutospacing="0"/>
              <w:jc w:val="center"/>
            </w:pPr>
            <w:r w:rsidRPr="006B4012">
              <w:t>5,997</w:t>
            </w:r>
          </w:p>
        </w:tc>
        <w:tc>
          <w:tcPr>
            <w:tcW w:w="1157" w:type="dxa"/>
            <w:vAlign w:val="center"/>
          </w:tcPr>
          <w:p w:rsidR="00B503E6" w:rsidRPr="006B4012" w:rsidRDefault="00B503E6" w:rsidP="00B766C8">
            <w:pPr>
              <w:pStyle w:val="NormalWeb"/>
              <w:spacing w:before="0" w:beforeAutospacing="0" w:after="0" w:afterAutospacing="0"/>
              <w:jc w:val="center"/>
              <w:textAlignment w:val="bottom"/>
            </w:pPr>
            <w:r w:rsidRPr="006B4012">
              <w:t>7,273</w:t>
            </w:r>
          </w:p>
        </w:tc>
        <w:tc>
          <w:tcPr>
            <w:tcW w:w="1108" w:type="dxa"/>
            <w:vAlign w:val="center"/>
          </w:tcPr>
          <w:p w:rsidR="00B503E6" w:rsidRPr="006B4012" w:rsidRDefault="00B503E6" w:rsidP="00B766C8">
            <w:pPr>
              <w:pStyle w:val="NormalWeb"/>
              <w:spacing w:before="0" w:beforeAutospacing="0" w:after="0" w:afterAutospacing="0"/>
              <w:jc w:val="center"/>
              <w:textAlignment w:val="bottom"/>
            </w:pPr>
            <w:r w:rsidRPr="006B4012">
              <w:t>5,994</w:t>
            </w:r>
          </w:p>
        </w:tc>
        <w:tc>
          <w:tcPr>
            <w:tcW w:w="1104" w:type="dxa"/>
            <w:vAlign w:val="center"/>
          </w:tcPr>
          <w:p w:rsidR="00B503E6" w:rsidRPr="006B4012" w:rsidRDefault="00B503E6" w:rsidP="00B766C8">
            <w:pPr>
              <w:pStyle w:val="NormalWeb"/>
              <w:spacing w:before="0" w:beforeAutospacing="0" w:after="0" w:afterAutospacing="0"/>
              <w:jc w:val="center"/>
              <w:textAlignment w:val="bottom"/>
            </w:pPr>
            <w:r w:rsidRPr="006B4012">
              <w:t>7,490</w:t>
            </w:r>
          </w:p>
        </w:tc>
        <w:tc>
          <w:tcPr>
            <w:tcW w:w="1126" w:type="dxa"/>
            <w:vAlign w:val="center"/>
          </w:tcPr>
          <w:p w:rsidR="00B503E6" w:rsidRPr="006B4012" w:rsidRDefault="00B503E6" w:rsidP="00B766C8">
            <w:pPr>
              <w:pStyle w:val="NormalWeb"/>
              <w:spacing w:before="0" w:beforeAutospacing="0" w:after="0" w:afterAutospacing="0"/>
              <w:jc w:val="center"/>
              <w:textAlignment w:val="bottom"/>
            </w:pPr>
            <w:r w:rsidRPr="006B4012">
              <w:t>14,072</w:t>
            </w:r>
          </w:p>
        </w:tc>
        <w:tc>
          <w:tcPr>
            <w:tcW w:w="1318" w:type="dxa"/>
            <w:vAlign w:val="center"/>
          </w:tcPr>
          <w:p w:rsidR="00B503E6" w:rsidRPr="006B4012" w:rsidRDefault="00B503E6" w:rsidP="00B766C8">
            <w:pPr>
              <w:pStyle w:val="NormalWeb"/>
              <w:spacing w:before="0" w:beforeAutospacing="0" w:after="0" w:afterAutospacing="0"/>
              <w:jc w:val="center"/>
              <w:textAlignment w:val="bottom"/>
            </w:pPr>
            <w:r w:rsidRPr="006B4012">
              <w:t>5.85%</w:t>
            </w:r>
          </w:p>
        </w:tc>
      </w:tr>
      <w:tr w:rsidR="00B503E6" w:rsidRPr="006B4012" w:rsidTr="00B766C8">
        <w:tc>
          <w:tcPr>
            <w:tcW w:w="1605" w:type="dxa"/>
            <w:vAlign w:val="center"/>
          </w:tcPr>
          <w:p w:rsidR="00B503E6" w:rsidRPr="006B4012" w:rsidRDefault="00B503E6" w:rsidP="00B766C8">
            <w:pPr>
              <w:jc w:val="center"/>
              <w:rPr>
                <w:rFonts w:ascii="Times New Roman" w:hAnsi="Times New Roman"/>
              </w:rPr>
            </w:pPr>
            <w:r w:rsidRPr="006B4012">
              <w:rPr>
                <w:rFonts w:ascii="Times New Roman" w:hAnsi="Times New Roman"/>
              </w:rPr>
              <w:t>Syria (£S)</w:t>
            </w:r>
          </w:p>
        </w:tc>
        <w:tc>
          <w:tcPr>
            <w:tcW w:w="1104" w:type="dxa"/>
            <w:vAlign w:val="center"/>
          </w:tcPr>
          <w:p w:rsidR="00B503E6" w:rsidRPr="006B4012" w:rsidRDefault="00B503E6" w:rsidP="00B766C8">
            <w:pPr>
              <w:jc w:val="center"/>
              <w:rPr>
                <w:rFonts w:ascii="Times New Roman" w:hAnsi="Times New Roman"/>
              </w:rPr>
            </w:pPr>
            <w:r w:rsidRPr="006B4012">
              <w:rPr>
                <w:rFonts w:ascii="Times New Roman" w:hAnsi="Times New Roman"/>
              </w:rPr>
              <w:t>14,953</w:t>
            </w:r>
          </w:p>
        </w:tc>
        <w:tc>
          <w:tcPr>
            <w:tcW w:w="1157" w:type="dxa"/>
            <w:vAlign w:val="center"/>
          </w:tcPr>
          <w:p w:rsidR="00B503E6" w:rsidRPr="006B4012" w:rsidRDefault="00B503E6" w:rsidP="00B766C8">
            <w:pPr>
              <w:jc w:val="center"/>
              <w:rPr>
                <w:rFonts w:ascii="Times New Roman" w:hAnsi="Times New Roman"/>
              </w:rPr>
            </w:pPr>
            <w:r w:rsidRPr="006B4012">
              <w:rPr>
                <w:rFonts w:ascii="Times New Roman" w:hAnsi="Times New Roman"/>
              </w:rPr>
              <w:t>16,853</w:t>
            </w:r>
          </w:p>
        </w:tc>
        <w:tc>
          <w:tcPr>
            <w:tcW w:w="1108" w:type="dxa"/>
            <w:vAlign w:val="center"/>
          </w:tcPr>
          <w:p w:rsidR="00B503E6" w:rsidRPr="006B4012" w:rsidRDefault="00B503E6" w:rsidP="00B766C8">
            <w:pPr>
              <w:jc w:val="center"/>
              <w:rPr>
                <w:rFonts w:ascii="Times New Roman" w:hAnsi="Times New Roman"/>
              </w:rPr>
            </w:pPr>
            <w:r w:rsidRPr="006B4012">
              <w:rPr>
                <w:rFonts w:ascii="Times New Roman" w:hAnsi="Times New Roman"/>
              </w:rPr>
              <w:t>13,434</w:t>
            </w:r>
          </w:p>
        </w:tc>
        <w:tc>
          <w:tcPr>
            <w:tcW w:w="1104" w:type="dxa"/>
            <w:vAlign w:val="center"/>
          </w:tcPr>
          <w:p w:rsidR="00B503E6" w:rsidRPr="006B4012" w:rsidRDefault="00B503E6" w:rsidP="00B766C8">
            <w:pPr>
              <w:jc w:val="center"/>
              <w:rPr>
                <w:rFonts w:ascii="Times New Roman" w:hAnsi="Times New Roman"/>
              </w:rPr>
            </w:pPr>
            <w:r w:rsidRPr="006B4012">
              <w:rPr>
                <w:rFonts w:ascii="Times New Roman" w:hAnsi="Times New Roman"/>
              </w:rPr>
              <w:t>13,484</w:t>
            </w:r>
          </w:p>
        </w:tc>
        <w:tc>
          <w:tcPr>
            <w:tcW w:w="1126" w:type="dxa"/>
            <w:vAlign w:val="center"/>
          </w:tcPr>
          <w:p w:rsidR="00B503E6" w:rsidRPr="006B4012" w:rsidRDefault="00B503E6" w:rsidP="00B766C8">
            <w:pPr>
              <w:jc w:val="center"/>
              <w:rPr>
                <w:rFonts w:ascii="Times New Roman" w:hAnsi="Times New Roman"/>
              </w:rPr>
            </w:pPr>
            <w:r w:rsidRPr="006B4012">
              <w:rPr>
                <w:rFonts w:ascii="Times New Roman" w:hAnsi="Times New Roman"/>
              </w:rPr>
              <w:t>16,627</w:t>
            </w:r>
          </w:p>
          <w:p w:rsidR="00B503E6" w:rsidRPr="006B4012" w:rsidRDefault="00B503E6" w:rsidP="00B766C8">
            <w:pPr>
              <w:jc w:val="center"/>
              <w:rPr>
                <w:rFonts w:ascii="Times New Roman" w:hAnsi="Times New Roman"/>
              </w:rPr>
            </w:pPr>
            <w:r w:rsidRPr="006B4012">
              <w:rPr>
                <w:rFonts w:ascii="Times New Roman" w:hAnsi="Times New Roman"/>
              </w:rPr>
              <w:t>(1941)</w:t>
            </w:r>
          </w:p>
        </w:tc>
        <w:tc>
          <w:tcPr>
            <w:tcW w:w="1318" w:type="dxa"/>
            <w:vAlign w:val="center"/>
          </w:tcPr>
          <w:p w:rsidR="00B503E6" w:rsidRPr="006B4012" w:rsidRDefault="00B503E6" w:rsidP="00B766C8">
            <w:pPr>
              <w:jc w:val="center"/>
              <w:rPr>
                <w:rFonts w:ascii="Times New Roman" w:hAnsi="Times New Roman"/>
              </w:rPr>
            </w:pPr>
            <w:r w:rsidRPr="006B4012">
              <w:rPr>
                <w:rFonts w:ascii="Times New Roman" w:hAnsi="Times New Roman"/>
              </w:rPr>
              <w:t>0.76%</w:t>
            </w:r>
          </w:p>
        </w:tc>
      </w:tr>
      <w:tr w:rsidR="00B503E6" w:rsidRPr="006B4012" w:rsidTr="00B766C8">
        <w:tc>
          <w:tcPr>
            <w:tcW w:w="1605" w:type="dxa"/>
            <w:vAlign w:val="center"/>
          </w:tcPr>
          <w:p w:rsidR="00B503E6" w:rsidRPr="006B4012" w:rsidRDefault="00B503E6" w:rsidP="00B766C8">
            <w:pPr>
              <w:jc w:val="center"/>
              <w:rPr>
                <w:rFonts w:ascii="Times New Roman" w:hAnsi="Times New Roman"/>
              </w:rPr>
            </w:pPr>
            <w:r w:rsidRPr="006B4012">
              <w:rPr>
                <w:rFonts w:ascii="Times New Roman" w:hAnsi="Times New Roman"/>
              </w:rPr>
              <w:t>Palestine (£P)</w:t>
            </w:r>
          </w:p>
        </w:tc>
        <w:tc>
          <w:tcPr>
            <w:tcW w:w="1104" w:type="dxa"/>
            <w:vAlign w:val="center"/>
          </w:tcPr>
          <w:p w:rsidR="00B503E6" w:rsidRPr="006B4012" w:rsidRDefault="00B503E6" w:rsidP="00B766C8">
            <w:pPr>
              <w:jc w:val="center"/>
              <w:rPr>
                <w:rFonts w:ascii="Times New Roman" w:hAnsi="Times New Roman"/>
              </w:rPr>
            </w:pPr>
            <w:r w:rsidRPr="006B4012">
              <w:rPr>
                <w:rFonts w:ascii="Times New Roman" w:hAnsi="Times New Roman"/>
              </w:rPr>
              <w:t>2,306 (1926/27)</w:t>
            </w:r>
          </w:p>
        </w:tc>
        <w:tc>
          <w:tcPr>
            <w:tcW w:w="1157" w:type="dxa"/>
            <w:vAlign w:val="center"/>
          </w:tcPr>
          <w:p w:rsidR="00B503E6" w:rsidRPr="006B4012" w:rsidRDefault="00B503E6" w:rsidP="00B766C8">
            <w:pPr>
              <w:jc w:val="center"/>
              <w:rPr>
                <w:rFonts w:ascii="Times New Roman" w:hAnsi="Times New Roman"/>
              </w:rPr>
            </w:pPr>
            <w:r w:rsidRPr="006B4012">
              <w:rPr>
                <w:rFonts w:ascii="Times New Roman" w:hAnsi="Times New Roman"/>
              </w:rPr>
              <w:t>2,299</w:t>
            </w:r>
          </w:p>
          <w:p w:rsidR="00B503E6" w:rsidRPr="006B4012" w:rsidRDefault="00B503E6" w:rsidP="00B766C8">
            <w:pPr>
              <w:jc w:val="center"/>
              <w:rPr>
                <w:rFonts w:ascii="Times New Roman" w:hAnsi="Times New Roman"/>
              </w:rPr>
            </w:pPr>
          </w:p>
        </w:tc>
        <w:tc>
          <w:tcPr>
            <w:tcW w:w="1108" w:type="dxa"/>
            <w:vAlign w:val="center"/>
          </w:tcPr>
          <w:p w:rsidR="00B503E6" w:rsidRPr="006B4012" w:rsidRDefault="00B503E6" w:rsidP="00B766C8">
            <w:pPr>
              <w:jc w:val="center"/>
              <w:rPr>
                <w:rFonts w:ascii="Times New Roman" w:hAnsi="Times New Roman"/>
              </w:rPr>
            </w:pPr>
            <w:r w:rsidRPr="006B4012">
              <w:rPr>
                <w:rFonts w:ascii="Times New Roman" w:hAnsi="Times New Roman"/>
              </w:rPr>
              <w:t>2,103</w:t>
            </w:r>
          </w:p>
          <w:p w:rsidR="00B503E6" w:rsidRPr="006B4012" w:rsidRDefault="00B503E6" w:rsidP="00B766C8">
            <w:pPr>
              <w:jc w:val="center"/>
              <w:rPr>
                <w:rFonts w:ascii="Times New Roman" w:hAnsi="Times New Roman"/>
              </w:rPr>
            </w:pPr>
          </w:p>
        </w:tc>
        <w:tc>
          <w:tcPr>
            <w:tcW w:w="1104" w:type="dxa"/>
            <w:vAlign w:val="center"/>
          </w:tcPr>
          <w:p w:rsidR="00B503E6" w:rsidRPr="006B4012" w:rsidRDefault="00B503E6" w:rsidP="00B766C8">
            <w:pPr>
              <w:jc w:val="center"/>
              <w:rPr>
                <w:rFonts w:ascii="Times New Roman" w:hAnsi="Times New Roman"/>
              </w:rPr>
            </w:pPr>
            <w:r w:rsidRPr="006B4012">
              <w:rPr>
                <w:rFonts w:ascii="Times New Roman" w:hAnsi="Times New Roman"/>
              </w:rPr>
              <w:t>4,234</w:t>
            </w:r>
          </w:p>
          <w:p w:rsidR="00B503E6" w:rsidRPr="006B4012" w:rsidRDefault="00B503E6" w:rsidP="00B766C8">
            <w:pPr>
              <w:jc w:val="center"/>
              <w:rPr>
                <w:rFonts w:ascii="Times New Roman" w:hAnsi="Times New Roman"/>
              </w:rPr>
            </w:pPr>
            <w:r w:rsidRPr="006B4012">
              <w:rPr>
                <w:rFonts w:ascii="Times New Roman" w:hAnsi="Times New Roman"/>
              </w:rPr>
              <w:t>(1938/39)</w:t>
            </w:r>
          </w:p>
        </w:tc>
        <w:tc>
          <w:tcPr>
            <w:tcW w:w="1126" w:type="dxa"/>
            <w:vAlign w:val="center"/>
          </w:tcPr>
          <w:p w:rsidR="00B503E6" w:rsidRPr="006B4012" w:rsidRDefault="00B503E6" w:rsidP="00B766C8">
            <w:pPr>
              <w:jc w:val="center"/>
              <w:rPr>
                <w:rFonts w:ascii="Times New Roman" w:hAnsi="Times New Roman"/>
              </w:rPr>
            </w:pPr>
            <w:r w:rsidRPr="006B4012">
              <w:rPr>
                <w:rFonts w:ascii="Times New Roman" w:hAnsi="Times New Roman"/>
              </w:rPr>
              <w:t>6,226 (1941/42)</w:t>
            </w:r>
          </w:p>
        </w:tc>
        <w:tc>
          <w:tcPr>
            <w:tcW w:w="1318" w:type="dxa"/>
            <w:vAlign w:val="center"/>
          </w:tcPr>
          <w:p w:rsidR="00B503E6" w:rsidRPr="006B4012" w:rsidRDefault="00B503E6" w:rsidP="00B766C8">
            <w:pPr>
              <w:jc w:val="center"/>
              <w:rPr>
                <w:rFonts w:ascii="Times New Roman" w:hAnsi="Times New Roman"/>
              </w:rPr>
            </w:pPr>
            <w:r w:rsidRPr="006B4012">
              <w:rPr>
                <w:rFonts w:ascii="Times New Roman" w:hAnsi="Times New Roman"/>
              </w:rPr>
              <w:t>6.85%</w:t>
            </w:r>
          </w:p>
        </w:tc>
      </w:tr>
      <w:tr w:rsidR="00B503E6" w:rsidRPr="006B4012" w:rsidTr="00B766C8">
        <w:tc>
          <w:tcPr>
            <w:tcW w:w="1605" w:type="dxa"/>
            <w:vAlign w:val="center"/>
          </w:tcPr>
          <w:p w:rsidR="00B503E6" w:rsidRPr="006B4012" w:rsidRDefault="00B503E6" w:rsidP="00B766C8">
            <w:pPr>
              <w:jc w:val="center"/>
              <w:rPr>
                <w:rFonts w:ascii="Times New Roman" w:hAnsi="Times New Roman"/>
              </w:rPr>
            </w:pPr>
            <w:r w:rsidRPr="006B4012">
              <w:rPr>
                <w:rFonts w:ascii="Times New Roman" w:hAnsi="Times New Roman"/>
              </w:rPr>
              <w:t>Trans-Jordan (£P)</w:t>
            </w:r>
          </w:p>
        </w:tc>
        <w:tc>
          <w:tcPr>
            <w:tcW w:w="1104" w:type="dxa"/>
            <w:vAlign w:val="center"/>
          </w:tcPr>
          <w:p w:rsidR="00B503E6" w:rsidRPr="006B4012" w:rsidRDefault="00B503E6" w:rsidP="00B766C8">
            <w:pPr>
              <w:jc w:val="center"/>
              <w:rPr>
                <w:rFonts w:ascii="Times New Roman" w:hAnsi="Times New Roman"/>
              </w:rPr>
            </w:pPr>
          </w:p>
        </w:tc>
        <w:tc>
          <w:tcPr>
            <w:tcW w:w="1157" w:type="dxa"/>
            <w:vAlign w:val="center"/>
          </w:tcPr>
          <w:p w:rsidR="00B503E6" w:rsidRPr="006B4012" w:rsidRDefault="00B503E6" w:rsidP="00B766C8">
            <w:pPr>
              <w:jc w:val="center"/>
              <w:rPr>
                <w:rFonts w:ascii="Times New Roman" w:hAnsi="Times New Roman"/>
              </w:rPr>
            </w:pPr>
          </w:p>
        </w:tc>
        <w:tc>
          <w:tcPr>
            <w:tcW w:w="1108" w:type="dxa"/>
            <w:vAlign w:val="center"/>
          </w:tcPr>
          <w:p w:rsidR="00B503E6" w:rsidRPr="006B4012" w:rsidRDefault="00B503E6" w:rsidP="00B766C8">
            <w:pPr>
              <w:jc w:val="center"/>
              <w:rPr>
                <w:rFonts w:ascii="Times New Roman" w:hAnsi="Times New Roman"/>
              </w:rPr>
            </w:pPr>
            <w:r w:rsidRPr="006B4012">
              <w:rPr>
                <w:rFonts w:ascii="Times New Roman" w:hAnsi="Times New Roman"/>
              </w:rPr>
              <w:t>250</w:t>
            </w:r>
          </w:p>
          <w:p w:rsidR="00B503E6" w:rsidRPr="006B4012" w:rsidRDefault="00B503E6" w:rsidP="00B766C8">
            <w:pPr>
              <w:jc w:val="center"/>
              <w:rPr>
                <w:rFonts w:ascii="Times New Roman" w:hAnsi="Times New Roman"/>
              </w:rPr>
            </w:pPr>
            <w:r w:rsidRPr="006B4012">
              <w:rPr>
                <w:rFonts w:ascii="Times New Roman" w:hAnsi="Times New Roman"/>
              </w:rPr>
              <w:t>(1930/31)</w:t>
            </w:r>
          </w:p>
        </w:tc>
        <w:tc>
          <w:tcPr>
            <w:tcW w:w="1104" w:type="dxa"/>
            <w:vAlign w:val="center"/>
          </w:tcPr>
          <w:p w:rsidR="00B503E6" w:rsidRPr="006B4012" w:rsidRDefault="00B503E6" w:rsidP="00B766C8">
            <w:pPr>
              <w:jc w:val="center"/>
              <w:rPr>
                <w:rFonts w:ascii="Times New Roman" w:hAnsi="Times New Roman"/>
              </w:rPr>
            </w:pPr>
            <w:r w:rsidRPr="006B4012">
              <w:rPr>
                <w:rFonts w:ascii="Times New Roman" w:hAnsi="Times New Roman"/>
              </w:rPr>
              <w:t>339</w:t>
            </w:r>
          </w:p>
          <w:p w:rsidR="00B503E6" w:rsidRPr="006B4012" w:rsidRDefault="00B503E6" w:rsidP="00B766C8">
            <w:pPr>
              <w:jc w:val="center"/>
              <w:rPr>
                <w:rFonts w:ascii="Times New Roman" w:hAnsi="Times New Roman"/>
              </w:rPr>
            </w:pPr>
            <w:r w:rsidRPr="006B4012">
              <w:rPr>
                <w:rFonts w:ascii="Times New Roman" w:hAnsi="Times New Roman"/>
              </w:rPr>
              <w:t>(1938/39)</w:t>
            </w:r>
          </w:p>
        </w:tc>
        <w:tc>
          <w:tcPr>
            <w:tcW w:w="1126" w:type="dxa"/>
            <w:vAlign w:val="center"/>
          </w:tcPr>
          <w:p w:rsidR="00B503E6" w:rsidRPr="006B4012" w:rsidRDefault="00B503E6" w:rsidP="00B766C8">
            <w:pPr>
              <w:jc w:val="center"/>
              <w:rPr>
                <w:rFonts w:ascii="Times New Roman" w:hAnsi="Times New Roman"/>
              </w:rPr>
            </w:pPr>
            <w:r w:rsidRPr="006B4012">
              <w:rPr>
                <w:rFonts w:ascii="Times New Roman" w:hAnsi="Times New Roman"/>
              </w:rPr>
              <w:t>433</w:t>
            </w:r>
          </w:p>
          <w:p w:rsidR="00B503E6" w:rsidRPr="006B4012" w:rsidRDefault="00B503E6" w:rsidP="00B766C8">
            <w:pPr>
              <w:jc w:val="center"/>
              <w:rPr>
                <w:rFonts w:ascii="Times New Roman" w:hAnsi="Times New Roman"/>
              </w:rPr>
            </w:pPr>
            <w:r w:rsidRPr="006B4012">
              <w:rPr>
                <w:rFonts w:ascii="Times New Roman" w:hAnsi="Times New Roman"/>
              </w:rPr>
              <w:t>(1941/42)</w:t>
            </w:r>
          </w:p>
        </w:tc>
        <w:tc>
          <w:tcPr>
            <w:tcW w:w="1318" w:type="dxa"/>
            <w:vAlign w:val="center"/>
          </w:tcPr>
          <w:p w:rsidR="00B503E6" w:rsidRPr="006B4012" w:rsidRDefault="00B503E6" w:rsidP="00B766C8">
            <w:pPr>
              <w:jc w:val="center"/>
              <w:rPr>
                <w:rFonts w:ascii="Times New Roman" w:hAnsi="Times New Roman"/>
              </w:rPr>
            </w:pPr>
            <w:r w:rsidRPr="006B4012">
              <w:rPr>
                <w:rFonts w:ascii="Times New Roman" w:hAnsi="Times New Roman"/>
              </w:rPr>
              <w:t>5.13%</w:t>
            </w:r>
          </w:p>
        </w:tc>
      </w:tr>
    </w:tbl>
    <w:p w:rsidR="00B503E6" w:rsidRDefault="00B503E6" w:rsidP="00AD509E">
      <w:pPr>
        <w:rPr>
          <w:rFonts w:ascii="Times New Roman" w:hAnsi="Times New Roman"/>
        </w:rPr>
      </w:pPr>
      <w:r w:rsidRPr="00F76588">
        <w:rPr>
          <w:rFonts w:ascii="Times New Roman" w:hAnsi="Times New Roman"/>
          <w:sz w:val="24"/>
          <w:szCs w:val="24"/>
        </w:rPr>
        <w:t>Data for Lebanon and Syria do not include the budget of common interest</w:t>
      </w:r>
      <w:r>
        <w:rPr>
          <w:rFonts w:ascii="Times New Roman" w:hAnsi="Times New Roman"/>
          <w:sz w:val="24"/>
          <w:szCs w:val="24"/>
        </w:rPr>
        <w:t>, and d</w:t>
      </w:r>
      <w:r w:rsidRPr="00F76588">
        <w:rPr>
          <w:rFonts w:ascii="Times New Roman" w:hAnsi="Times New Roman"/>
          <w:sz w:val="24"/>
          <w:szCs w:val="24"/>
        </w:rPr>
        <w:t xml:space="preserve">ata </w:t>
      </w:r>
      <w:r>
        <w:rPr>
          <w:rFonts w:ascii="Times New Roman" w:hAnsi="Times New Roman"/>
          <w:sz w:val="24"/>
          <w:szCs w:val="24"/>
        </w:rPr>
        <w:t xml:space="preserve">is </w:t>
      </w:r>
      <w:r w:rsidRPr="00F76588">
        <w:rPr>
          <w:rFonts w:ascii="Times New Roman" w:hAnsi="Times New Roman"/>
          <w:sz w:val="24"/>
          <w:szCs w:val="24"/>
        </w:rPr>
        <w:t>from Hakim (1936: 428,429) and Statistical Handb</w:t>
      </w:r>
      <w:r w:rsidRPr="007B20C1">
        <w:rPr>
          <w:rFonts w:ascii="Times New Roman" w:hAnsi="Times New Roman"/>
          <w:sz w:val="24"/>
          <w:szCs w:val="24"/>
        </w:rPr>
        <w:t xml:space="preserve">ook (1944: 111).  The data for Syria include the sanjaq of Alexandretta until 1939. Data </w:t>
      </w:r>
      <w:r>
        <w:rPr>
          <w:rFonts w:ascii="Times New Roman" w:hAnsi="Times New Roman"/>
          <w:sz w:val="24"/>
          <w:szCs w:val="24"/>
        </w:rPr>
        <w:t xml:space="preserve">for Palestine and Trans-Jordan exclude British grant in aid.  Data for Palestine </w:t>
      </w:r>
      <w:r w:rsidRPr="007B20C1">
        <w:rPr>
          <w:rFonts w:ascii="Times New Roman" w:hAnsi="Times New Roman"/>
          <w:sz w:val="24"/>
          <w:szCs w:val="24"/>
        </w:rPr>
        <w:t xml:space="preserve">from </w:t>
      </w:r>
      <w:r>
        <w:rPr>
          <w:rFonts w:ascii="Times New Roman" w:hAnsi="Times New Roman"/>
          <w:sz w:val="24"/>
          <w:szCs w:val="24"/>
        </w:rPr>
        <w:t xml:space="preserve">Annual Report (1927: 7), Annual Report (1929: 140,147), Annual Report (1931: 110, 116), Statistical Handbook (1944: 27) and </w:t>
      </w:r>
      <w:r w:rsidRPr="007B20C1">
        <w:rPr>
          <w:rFonts w:ascii="Times New Roman" w:hAnsi="Times New Roman"/>
          <w:sz w:val="24"/>
          <w:szCs w:val="24"/>
        </w:rPr>
        <w:t xml:space="preserve">Statistical Abstract of Palestine (1944-45: 79). </w:t>
      </w:r>
      <w:r>
        <w:rPr>
          <w:rFonts w:ascii="Times New Roman" w:hAnsi="Times New Roman"/>
          <w:sz w:val="24"/>
          <w:szCs w:val="24"/>
        </w:rPr>
        <w:t xml:space="preserve"> The fiscal year in Palestine initially began in April, from 1928-1932 it followed the calendar year, and then afterward it went back to beginning in April.  </w:t>
      </w:r>
      <w:r w:rsidRPr="007B20C1">
        <w:rPr>
          <w:rFonts w:ascii="Times New Roman" w:hAnsi="Times New Roman"/>
          <w:sz w:val="24"/>
          <w:szCs w:val="24"/>
        </w:rPr>
        <w:t xml:space="preserve">Data for </w:t>
      </w:r>
      <w:r>
        <w:rPr>
          <w:rFonts w:ascii="Times New Roman" w:hAnsi="Times New Roman"/>
          <w:sz w:val="24"/>
          <w:szCs w:val="24"/>
        </w:rPr>
        <w:t>Trans-</w:t>
      </w:r>
      <w:r w:rsidRPr="007B20C1">
        <w:rPr>
          <w:rFonts w:ascii="Times New Roman" w:hAnsi="Times New Roman"/>
          <w:sz w:val="24"/>
          <w:szCs w:val="24"/>
        </w:rPr>
        <w:t>Jordan excludes British aid and is from Statistical Handbook (1944: 124)</w:t>
      </w:r>
      <w:r>
        <w:rPr>
          <w:rFonts w:ascii="Times New Roman" w:hAnsi="Times New Roman"/>
          <w:sz w:val="24"/>
          <w:szCs w:val="24"/>
        </w:rPr>
        <w:t xml:space="preserve"> and K</w:t>
      </w:r>
      <w:r w:rsidRPr="00AD509E">
        <w:rPr>
          <w:rFonts w:ascii="Times New Roman" w:hAnsi="Times New Roman"/>
          <w:sz w:val="24"/>
          <w:szCs w:val="24"/>
        </w:rPr>
        <w:t>onikoff (1946: 95).</w:t>
      </w:r>
    </w:p>
    <w:p w:rsidR="00B503E6" w:rsidRDefault="00B503E6" w:rsidP="00B503E6">
      <w:pPr>
        <w:rPr>
          <w:rFonts w:ascii="Times New Roman" w:hAnsi="Times New Roman"/>
          <w:sz w:val="24"/>
          <w:szCs w:val="24"/>
        </w:rPr>
      </w:pPr>
      <w:r>
        <w:rPr>
          <w:rFonts w:ascii="Times New Roman" w:hAnsi="Times New Roman"/>
          <w:sz w:val="24"/>
          <w:szCs w:val="24"/>
        </w:rPr>
        <w:br w:type="page"/>
      </w:r>
    </w:p>
    <w:p w:rsidR="00B503E6" w:rsidRPr="007363A9" w:rsidRDefault="00B503E6" w:rsidP="00B503E6">
      <w:pPr>
        <w:rPr>
          <w:rFonts w:ascii="Times New Roman" w:hAnsi="Times New Roman"/>
          <w:sz w:val="24"/>
          <w:szCs w:val="24"/>
        </w:rPr>
      </w:pPr>
    </w:p>
    <w:p w:rsidR="00B503E6" w:rsidRPr="007363A9" w:rsidRDefault="00B503E6" w:rsidP="00B503E6">
      <w:pPr>
        <w:jc w:val="center"/>
        <w:rPr>
          <w:rFonts w:ascii="Times New Roman" w:hAnsi="Times New Roman"/>
          <w:sz w:val="24"/>
          <w:szCs w:val="24"/>
        </w:rPr>
      </w:pPr>
      <w:r w:rsidRPr="007363A9">
        <w:rPr>
          <w:rFonts w:ascii="Times New Roman" w:hAnsi="Times New Roman"/>
          <w:sz w:val="24"/>
          <w:szCs w:val="24"/>
        </w:rPr>
        <w:t>Table 2. Exports (Thousands) in the Mandate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882"/>
        <w:gridCol w:w="1122"/>
        <w:gridCol w:w="1122"/>
        <w:gridCol w:w="1122"/>
        <w:gridCol w:w="1210"/>
        <w:gridCol w:w="886"/>
        <w:gridCol w:w="1095"/>
      </w:tblGrid>
      <w:tr w:rsidR="00B503E6" w:rsidRPr="006B4012" w:rsidTr="00B766C8">
        <w:tc>
          <w:tcPr>
            <w:tcW w:w="1065" w:type="dxa"/>
            <w:vAlign w:val="center"/>
          </w:tcPr>
          <w:p w:rsidR="00B503E6" w:rsidRPr="006B4012" w:rsidRDefault="00B503E6" w:rsidP="00B766C8">
            <w:pPr>
              <w:jc w:val="center"/>
              <w:rPr>
                <w:rFonts w:ascii="Times New Roman" w:hAnsi="Times New Roman"/>
                <w:sz w:val="24"/>
                <w:szCs w:val="24"/>
              </w:rPr>
            </w:pPr>
          </w:p>
        </w:tc>
        <w:tc>
          <w:tcPr>
            <w:tcW w:w="886"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1925</w:t>
            </w:r>
          </w:p>
        </w:tc>
        <w:tc>
          <w:tcPr>
            <w:tcW w:w="1047"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1927-29</w:t>
            </w:r>
          </w:p>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(average)</w:t>
            </w:r>
          </w:p>
        </w:tc>
        <w:tc>
          <w:tcPr>
            <w:tcW w:w="1079"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1930-36</w:t>
            </w:r>
          </w:p>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(average)</w:t>
            </w:r>
          </w:p>
        </w:tc>
        <w:tc>
          <w:tcPr>
            <w:tcW w:w="1047"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1937-39</w:t>
            </w:r>
          </w:p>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(average)</w:t>
            </w:r>
          </w:p>
        </w:tc>
        <w:tc>
          <w:tcPr>
            <w:tcW w:w="1266"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1940-42</w:t>
            </w:r>
          </w:p>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(average)</w:t>
            </w:r>
          </w:p>
        </w:tc>
        <w:tc>
          <w:tcPr>
            <w:tcW w:w="948"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Per capita in 1939 (£)</w:t>
            </w:r>
          </w:p>
        </w:tc>
        <w:tc>
          <w:tcPr>
            <w:tcW w:w="1184"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Growth rate 1925-1939</w:t>
            </w:r>
          </w:p>
        </w:tc>
      </w:tr>
      <w:tr w:rsidR="00B503E6" w:rsidRPr="006B4012" w:rsidTr="00B766C8">
        <w:tc>
          <w:tcPr>
            <w:tcW w:w="1065"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Syria and Lebanon (£S)</w:t>
            </w:r>
          </w:p>
        </w:tc>
        <w:tc>
          <w:tcPr>
            <w:tcW w:w="886"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23,000</w:t>
            </w:r>
          </w:p>
        </w:tc>
        <w:tc>
          <w:tcPr>
            <w:tcW w:w="1047"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25,700</w:t>
            </w:r>
          </w:p>
        </w:tc>
        <w:tc>
          <w:tcPr>
            <w:tcW w:w="1079"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12,157</w:t>
            </w:r>
          </w:p>
        </w:tc>
        <w:tc>
          <w:tcPr>
            <w:tcW w:w="1047"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30,333</w:t>
            </w:r>
          </w:p>
        </w:tc>
        <w:tc>
          <w:tcPr>
            <w:tcW w:w="1266"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15,000</w:t>
            </w:r>
          </w:p>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(1940-41)</w:t>
            </w:r>
          </w:p>
        </w:tc>
        <w:tc>
          <w:tcPr>
            <w:tcW w:w="948"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1.13</w:t>
            </w:r>
          </w:p>
        </w:tc>
        <w:tc>
          <w:tcPr>
            <w:tcW w:w="1184"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3.25%</w:t>
            </w:r>
          </w:p>
        </w:tc>
      </w:tr>
      <w:tr w:rsidR="00B503E6" w:rsidRPr="006B4012" w:rsidTr="00B766C8">
        <w:tc>
          <w:tcPr>
            <w:tcW w:w="1065"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Palestine (£P)</w:t>
            </w:r>
          </w:p>
        </w:tc>
        <w:tc>
          <w:tcPr>
            <w:tcW w:w="886"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1,331</w:t>
            </w:r>
          </w:p>
        </w:tc>
        <w:tc>
          <w:tcPr>
            <w:tcW w:w="1047"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1,647</w:t>
            </w:r>
          </w:p>
        </w:tc>
        <w:tc>
          <w:tcPr>
            <w:tcW w:w="1079"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2,786</w:t>
            </w:r>
          </w:p>
        </w:tc>
        <w:tc>
          <w:tcPr>
            <w:tcW w:w="1047"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5,317</w:t>
            </w:r>
          </w:p>
        </w:tc>
        <w:tc>
          <w:tcPr>
            <w:tcW w:w="1266"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5,655</w:t>
            </w:r>
          </w:p>
        </w:tc>
        <w:tc>
          <w:tcPr>
            <w:tcW w:w="948"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3.32</w:t>
            </w:r>
          </w:p>
        </w:tc>
        <w:tc>
          <w:tcPr>
            <w:tcW w:w="1184"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10.10%</w:t>
            </w:r>
          </w:p>
        </w:tc>
      </w:tr>
      <w:tr w:rsidR="00B503E6" w:rsidRPr="006B4012" w:rsidTr="00B766C8">
        <w:tc>
          <w:tcPr>
            <w:tcW w:w="1065"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Trans-Jordan (£P)</w:t>
            </w:r>
          </w:p>
        </w:tc>
        <w:tc>
          <w:tcPr>
            <w:tcW w:w="886" w:type="dxa"/>
            <w:vAlign w:val="center"/>
          </w:tcPr>
          <w:p w:rsidR="00B503E6" w:rsidRPr="006B4012" w:rsidRDefault="00B503E6" w:rsidP="00B766C8">
            <w:pPr>
              <w:jc w:val="center"/>
              <w:rPr>
                <w:rFonts w:ascii="Times New Roman" w:hAnsi="Times New Roman"/>
                <w:sz w:val="24"/>
                <w:szCs w:val="24"/>
              </w:rPr>
            </w:pPr>
          </w:p>
        </w:tc>
        <w:tc>
          <w:tcPr>
            <w:tcW w:w="1047"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160</w:t>
            </w:r>
          </w:p>
        </w:tc>
        <w:tc>
          <w:tcPr>
            <w:tcW w:w="1079"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77</w:t>
            </w:r>
          </w:p>
        </w:tc>
        <w:tc>
          <w:tcPr>
            <w:tcW w:w="1047"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500</w:t>
            </w:r>
          </w:p>
        </w:tc>
        <w:tc>
          <w:tcPr>
            <w:tcW w:w="1266"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690</w:t>
            </w:r>
          </w:p>
        </w:tc>
        <w:tc>
          <w:tcPr>
            <w:tcW w:w="948"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1.72</w:t>
            </w:r>
          </w:p>
        </w:tc>
        <w:tc>
          <w:tcPr>
            <w:tcW w:w="1184" w:type="dxa"/>
            <w:vAlign w:val="center"/>
          </w:tcPr>
          <w:p w:rsidR="00B503E6" w:rsidRPr="006B4012" w:rsidRDefault="00B503E6" w:rsidP="00B766C8">
            <w:pPr>
              <w:jc w:val="center"/>
              <w:rPr>
                <w:rFonts w:ascii="Times New Roman" w:hAnsi="Times New Roman"/>
                <w:sz w:val="24"/>
                <w:szCs w:val="24"/>
              </w:rPr>
            </w:pPr>
            <w:r w:rsidRPr="006B4012">
              <w:rPr>
                <w:rFonts w:ascii="Times New Roman" w:hAnsi="Times New Roman"/>
                <w:sz w:val="24"/>
                <w:szCs w:val="24"/>
              </w:rPr>
              <w:t>13.51%</w:t>
            </w:r>
          </w:p>
        </w:tc>
      </w:tr>
    </w:tbl>
    <w:p w:rsidR="00B503E6" w:rsidRDefault="00B503E6" w:rsidP="00B503E6">
      <w:pPr>
        <w:jc w:val="both"/>
        <w:rPr>
          <w:rFonts w:ascii="Times New Roman" w:hAnsi="Times New Roman"/>
          <w:sz w:val="24"/>
          <w:szCs w:val="24"/>
        </w:rPr>
      </w:pPr>
      <w:r w:rsidRPr="007363A9">
        <w:rPr>
          <w:rFonts w:ascii="Times New Roman" w:hAnsi="Times New Roman"/>
          <w:sz w:val="24"/>
          <w:szCs w:val="24"/>
        </w:rPr>
        <w:t>Data for Syria, Lebanon and Palestine is from League of Nations Yearbook (1934-35: table 107, 1938: table 117, 1939-40: table 98, 1942-44: table 93).  The population estimate used to calculate per capita exports of Syria and Lebanon was 3,600,000, from the League of Nations Statistical Yearbook (1939-40: table 2).  The population data used to calculate Palestine's per capita exports is from McCarthy (1990).  Export data for Trans-Jordan from Annual Report of Palestine and Trans-Jordan (1931, 1937, 1938), Statistical Handbook (1944: 122,123).  The Trans-Jordan population used to calculate its per capita exports was 300,000 based on the Annual Report (1938: 370).</w:t>
      </w:r>
    </w:p>
    <w:p w:rsidR="0003664C" w:rsidRPr="00B503E6" w:rsidRDefault="0003664C">
      <w:pPr>
        <w:rPr>
          <w:rFonts w:asciiTheme="majorBidi" w:hAnsiTheme="majorBidi" w:cstheme="majorBidi"/>
          <w:sz w:val="24"/>
          <w:szCs w:val="24"/>
        </w:rPr>
      </w:pPr>
      <w:r w:rsidRPr="00B503E6">
        <w:rPr>
          <w:rFonts w:asciiTheme="majorBidi" w:hAnsiTheme="majorBidi" w:cstheme="majorBidi"/>
          <w:sz w:val="24"/>
          <w:szCs w:val="24"/>
        </w:rPr>
        <w:br w:type="page"/>
      </w:r>
    </w:p>
    <w:p w:rsidR="00D73FF8" w:rsidRPr="00B503E6" w:rsidRDefault="00D73FF8" w:rsidP="00787634">
      <w:pPr>
        <w:spacing w:line="480" w:lineRule="auto"/>
        <w:contextualSpacing/>
        <w:jc w:val="both"/>
        <w:rPr>
          <w:rFonts w:asciiTheme="majorBidi" w:hAnsiTheme="majorBidi" w:cstheme="majorBidi"/>
          <w:sz w:val="24"/>
          <w:szCs w:val="24"/>
        </w:rPr>
      </w:pPr>
      <w:r w:rsidRPr="00B503E6">
        <w:rPr>
          <w:rFonts w:asciiTheme="majorBidi" w:hAnsiTheme="majorBidi" w:cstheme="majorBidi"/>
          <w:sz w:val="24"/>
          <w:szCs w:val="24"/>
        </w:rPr>
        <w:lastRenderedPageBreak/>
        <w:t>References</w:t>
      </w:r>
    </w:p>
    <w:p w:rsidR="006637F7" w:rsidRPr="00B503E6" w:rsidRDefault="006637F7" w:rsidP="002E73F3">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Abcarius, M. F. </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The </w:t>
      </w:r>
      <w:r w:rsidR="00892DEA" w:rsidRPr="00B503E6">
        <w:rPr>
          <w:rFonts w:asciiTheme="majorBidi" w:hAnsiTheme="majorBidi" w:cstheme="majorBidi"/>
          <w:sz w:val="24"/>
          <w:szCs w:val="24"/>
        </w:rPr>
        <w:t>F</w:t>
      </w:r>
      <w:r w:rsidRPr="00B503E6">
        <w:rPr>
          <w:rFonts w:asciiTheme="majorBidi" w:hAnsiTheme="majorBidi" w:cstheme="majorBidi"/>
          <w:sz w:val="24"/>
          <w:szCs w:val="24"/>
        </w:rPr>
        <w:t xml:space="preserve">iscal </w:t>
      </w:r>
      <w:r w:rsidR="00892DEA" w:rsidRPr="00B503E6">
        <w:rPr>
          <w:rFonts w:asciiTheme="majorBidi" w:hAnsiTheme="majorBidi" w:cstheme="majorBidi"/>
          <w:sz w:val="24"/>
          <w:szCs w:val="24"/>
        </w:rPr>
        <w:t>S</w:t>
      </w:r>
      <w:r w:rsidRPr="00B503E6">
        <w:rPr>
          <w:rFonts w:asciiTheme="majorBidi" w:hAnsiTheme="majorBidi" w:cstheme="majorBidi"/>
          <w:sz w:val="24"/>
          <w:szCs w:val="24"/>
        </w:rPr>
        <w:t>ystem</w:t>
      </w:r>
      <w:r w:rsidR="00BA5AE8" w:rsidRPr="00B503E6">
        <w:rPr>
          <w:rFonts w:asciiTheme="majorBidi" w:hAnsiTheme="majorBidi" w:cstheme="majorBidi"/>
          <w:sz w:val="24"/>
          <w:szCs w:val="24"/>
        </w:rPr>
        <w:t>.</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BA5AE8" w:rsidRPr="00B503E6">
        <w:rPr>
          <w:rFonts w:asciiTheme="majorBidi" w:hAnsiTheme="majorBidi" w:cstheme="majorBidi"/>
          <w:sz w:val="24"/>
          <w:szCs w:val="24"/>
        </w:rPr>
        <w:t>I</w:t>
      </w:r>
      <w:r w:rsidRPr="00B503E6">
        <w:rPr>
          <w:rFonts w:asciiTheme="majorBidi" w:hAnsiTheme="majorBidi" w:cstheme="majorBidi"/>
          <w:sz w:val="24"/>
          <w:szCs w:val="24"/>
        </w:rPr>
        <w:t xml:space="preserve">n </w:t>
      </w:r>
      <w:r w:rsidR="00BA5AE8" w:rsidRPr="00B503E6">
        <w:rPr>
          <w:rFonts w:asciiTheme="majorBidi" w:hAnsiTheme="majorBidi" w:cstheme="majorBidi"/>
          <w:i/>
          <w:iCs/>
          <w:sz w:val="24"/>
          <w:szCs w:val="24"/>
        </w:rPr>
        <w:t>Economic Organization of Palestine</w:t>
      </w:r>
      <w:r w:rsidR="00BA5AE8" w:rsidRPr="00B503E6">
        <w:rPr>
          <w:rFonts w:asciiTheme="majorBidi" w:hAnsiTheme="majorBidi" w:cstheme="majorBidi"/>
          <w:sz w:val="24"/>
          <w:szCs w:val="24"/>
        </w:rPr>
        <w:t xml:space="preserve">, edited by </w:t>
      </w:r>
      <w:r w:rsidR="00736B2F" w:rsidRPr="00B503E6">
        <w:rPr>
          <w:rFonts w:asciiTheme="majorBidi" w:hAnsiTheme="majorBidi" w:cstheme="majorBidi"/>
          <w:sz w:val="24"/>
          <w:szCs w:val="24"/>
        </w:rPr>
        <w:t>S</w:t>
      </w:r>
      <w:r w:rsidR="00BA5AE8" w:rsidRPr="00B503E6">
        <w:rPr>
          <w:rFonts w:asciiTheme="majorBidi" w:hAnsiTheme="majorBidi" w:cstheme="majorBidi"/>
          <w:sz w:val="24"/>
          <w:szCs w:val="24"/>
        </w:rPr>
        <w:t>a</w:t>
      </w:r>
      <w:r w:rsidR="007E1DCE" w:rsidRPr="00B503E6">
        <w:rPr>
          <w:rFonts w:asciiTheme="majorBidi" w:hAnsiTheme="majorBidi" w:cstheme="majorBidi"/>
          <w:sz w:val="24"/>
          <w:szCs w:val="24"/>
        </w:rPr>
        <w:t>'</w:t>
      </w:r>
      <w:r w:rsidR="00BA5AE8" w:rsidRPr="00B503E6">
        <w:rPr>
          <w:rFonts w:asciiTheme="majorBidi" w:hAnsiTheme="majorBidi" w:cstheme="majorBidi"/>
          <w:sz w:val="24"/>
          <w:szCs w:val="24"/>
        </w:rPr>
        <w:t>id</w:t>
      </w:r>
      <w:r w:rsidR="00736B2F" w:rsidRPr="00B503E6">
        <w:rPr>
          <w:rFonts w:asciiTheme="majorBidi" w:hAnsiTheme="majorBidi" w:cstheme="majorBidi"/>
          <w:sz w:val="24"/>
          <w:szCs w:val="24"/>
        </w:rPr>
        <w:t xml:space="preserve"> B. Himadeh</w:t>
      </w:r>
      <w:r w:rsidR="00BA5AE8" w:rsidRPr="00B503E6">
        <w:rPr>
          <w:rFonts w:asciiTheme="majorBidi" w:hAnsiTheme="majorBidi" w:cstheme="majorBidi"/>
          <w:sz w:val="24"/>
          <w:szCs w:val="24"/>
        </w:rPr>
        <w:t>, pp. 505-556.</w:t>
      </w:r>
      <w:r w:rsidRPr="00B503E6">
        <w:rPr>
          <w:rFonts w:asciiTheme="majorBidi" w:hAnsiTheme="majorBidi" w:cstheme="majorBidi"/>
          <w:sz w:val="24"/>
          <w:szCs w:val="24"/>
        </w:rPr>
        <w:t xml:space="preserve"> Beirut: American Press,</w:t>
      </w:r>
      <w:r w:rsidR="00BA5AE8" w:rsidRPr="00B503E6">
        <w:rPr>
          <w:rFonts w:asciiTheme="majorBidi" w:hAnsiTheme="majorBidi" w:cstheme="majorBidi"/>
          <w:sz w:val="24"/>
          <w:szCs w:val="24"/>
        </w:rPr>
        <w:t xml:space="preserve"> 1938.</w:t>
      </w:r>
    </w:p>
    <w:p w:rsidR="00B65E53" w:rsidRPr="00B503E6" w:rsidRDefault="00B65E53" w:rsidP="00BA5AE8">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Acemoglu, Daron</w:t>
      </w:r>
      <w:r w:rsidR="00BA5AE8"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Introduction to Modern Growth</w:t>
      </w:r>
      <w:r w:rsidR="00BA5AE8" w:rsidRPr="00B503E6">
        <w:rPr>
          <w:rFonts w:asciiTheme="majorBidi" w:hAnsiTheme="majorBidi" w:cstheme="majorBidi"/>
          <w:sz w:val="24"/>
          <w:szCs w:val="24"/>
        </w:rPr>
        <w:t>.</w:t>
      </w:r>
      <w:r w:rsidRPr="00B503E6">
        <w:rPr>
          <w:rFonts w:asciiTheme="majorBidi" w:hAnsiTheme="majorBidi" w:cstheme="majorBidi"/>
          <w:sz w:val="24"/>
          <w:szCs w:val="24"/>
        </w:rPr>
        <w:t xml:space="preserve"> Princeton: Princeton University Press, 2009.</w:t>
      </w:r>
    </w:p>
    <w:p w:rsidR="00F757EB" w:rsidRPr="00B503E6" w:rsidRDefault="00F757EB" w:rsidP="00BA5AE8">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Acemoglu, D</w:t>
      </w:r>
      <w:r w:rsidR="00BA5AE8" w:rsidRPr="00B503E6">
        <w:rPr>
          <w:rFonts w:asciiTheme="majorBidi" w:hAnsiTheme="majorBidi" w:cstheme="majorBidi"/>
          <w:sz w:val="24"/>
          <w:szCs w:val="24"/>
        </w:rPr>
        <w:t>aron</w:t>
      </w:r>
      <w:r w:rsidRPr="00B503E6">
        <w:rPr>
          <w:rFonts w:asciiTheme="majorBidi" w:hAnsiTheme="majorBidi" w:cstheme="majorBidi"/>
          <w:sz w:val="24"/>
          <w:szCs w:val="24"/>
        </w:rPr>
        <w:t xml:space="preserve"> and J</w:t>
      </w:r>
      <w:r w:rsidR="00BA5AE8" w:rsidRPr="00B503E6">
        <w:rPr>
          <w:rFonts w:asciiTheme="majorBidi" w:hAnsiTheme="majorBidi" w:cstheme="majorBidi"/>
          <w:sz w:val="24"/>
          <w:szCs w:val="24"/>
        </w:rPr>
        <w:t>ames</w:t>
      </w:r>
      <w:r w:rsidRPr="00B503E6">
        <w:rPr>
          <w:rFonts w:asciiTheme="majorBidi" w:hAnsiTheme="majorBidi" w:cstheme="majorBidi"/>
          <w:sz w:val="24"/>
          <w:szCs w:val="24"/>
        </w:rPr>
        <w:t xml:space="preserve"> A. Robinson</w:t>
      </w:r>
      <w:r w:rsidR="00BA5AE8" w:rsidRPr="00B503E6">
        <w:rPr>
          <w:rFonts w:asciiTheme="majorBidi" w:hAnsiTheme="majorBidi" w:cstheme="majorBidi"/>
          <w:sz w:val="24"/>
          <w:szCs w:val="24"/>
        </w:rPr>
        <w:t>.</w:t>
      </w:r>
      <w:r w:rsidRPr="00B503E6">
        <w:rPr>
          <w:rFonts w:asciiTheme="majorBidi" w:hAnsiTheme="majorBidi" w:cstheme="majorBidi"/>
          <w:i/>
          <w:iCs/>
          <w:sz w:val="24"/>
          <w:szCs w:val="24"/>
        </w:rPr>
        <w:t xml:space="preserve"> Why </w:t>
      </w:r>
      <w:r w:rsidR="00892DEA" w:rsidRPr="00B503E6">
        <w:rPr>
          <w:rFonts w:asciiTheme="majorBidi" w:hAnsiTheme="majorBidi" w:cstheme="majorBidi"/>
          <w:i/>
          <w:iCs/>
          <w:sz w:val="24"/>
          <w:szCs w:val="24"/>
        </w:rPr>
        <w:t>N</w:t>
      </w:r>
      <w:r w:rsidRPr="00B503E6">
        <w:rPr>
          <w:rFonts w:asciiTheme="majorBidi" w:hAnsiTheme="majorBidi" w:cstheme="majorBidi"/>
          <w:i/>
          <w:iCs/>
          <w:sz w:val="24"/>
          <w:szCs w:val="24"/>
        </w:rPr>
        <w:t xml:space="preserve">ations </w:t>
      </w:r>
      <w:r w:rsidR="00892DEA" w:rsidRPr="00B503E6">
        <w:rPr>
          <w:rFonts w:asciiTheme="majorBidi" w:hAnsiTheme="majorBidi" w:cstheme="majorBidi"/>
          <w:i/>
          <w:iCs/>
          <w:sz w:val="24"/>
          <w:szCs w:val="24"/>
        </w:rPr>
        <w:t>F</w:t>
      </w:r>
      <w:r w:rsidRPr="00B503E6">
        <w:rPr>
          <w:rFonts w:asciiTheme="majorBidi" w:hAnsiTheme="majorBidi" w:cstheme="majorBidi"/>
          <w:i/>
          <w:iCs/>
          <w:sz w:val="24"/>
          <w:szCs w:val="24"/>
        </w:rPr>
        <w:t xml:space="preserve">ail: The </w:t>
      </w:r>
      <w:r w:rsidR="00892DEA" w:rsidRPr="00B503E6">
        <w:rPr>
          <w:rFonts w:asciiTheme="majorBidi" w:hAnsiTheme="majorBidi" w:cstheme="majorBidi"/>
          <w:i/>
          <w:iCs/>
          <w:sz w:val="24"/>
          <w:szCs w:val="24"/>
        </w:rPr>
        <w:t>O</w:t>
      </w:r>
      <w:r w:rsidRPr="00B503E6">
        <w:rPr>
          <w:rFonts w:asciiTheme="majorBidi" w:hAnsiTheme="majorBidi" w:cstheme="majorBidi"/>
          <w:i/>
          <w:iCs/>
          <w:sz w:val="24"/>
          <w:szCs w:val="24"/>
        </w:rPr>
        <w:t xml:space="preserve">rigins of </w:t>
      </w:r>
      <w:r w:rsidR="00892DEA" w:rsidRPr="00B503E6">
        <w:rPr>
          <w:rFonts w:asciiTheme="majorBidi" w:hAnsiTheme="majorBidi" w:cstheme="majorBidi"/>
          <w:i/>
          <w:iCs/>
          <w:sz w:val="24"/>
          <w:szCs w:val="24"/>
        </w:rPr>
        <w:t>P</w:t>
      </w:r>
      <w:r w:rsidRPr="00B503E6">
        <w:rPr>
          <w:rFonts w:asciiTheme="majorBidi" w:hAnsiTheme="majorBidi" w:cstheme="majorBidi"/>
          <w:i/>
          <w:iCs/>
          <w:sz w:val="24"/>
          <w:szCs w:val="24"/>
        </w:rPr>
        <w:t xml:space="preserve">ower, </w:t>
      </w:r>
      <w:r w:rsidR="00892DEA" w:rsidRPr="00B503E6">
        <w:rPr>
          <w:rFonts w:asciiTheme="majorBidi" w:hAnsiTheme="majorBidi" w:cstheme="majorBidi"/>
          <w:i/>
          <w:iCs/>
          <w:sz w:val="24"/>
          <w:szCs w:val="24"/>
        </w:rPr>
        <w:t>P</w:t>
      </w:r>
      <w:r w:rsidRPr="00B503E6">
        <w:rPr>
          <w:rFonts w:asciiTheme="majorBidi" w:hAnsiTheme="majorBidi" w:cstheme="majorBidi"/>
          <w:i/>
          <w:iCs/>
          <w:sz w:val="24"/>
          <w:szCs w:val="24"/>
        </w:rPr>
        <w:t xml:space="preserve">rosperity, and </w:t>
      </w:r>
      <w:r w:rsidR="00892DEA" w:rsidRPr="00B503E6">
        <w:rPr>
          <w:rFonts w:asciiTheme="majorBidi" w:hAnsiTheme="majorBidi" w:cstheme="majorBidi"/>
          <w:i/>
          <w:iCs/>
          <w:sz w:val="24"/>
          <w:szCs w:val="24"/>
        </w:rPr>
        <w:t>P</w:t>
      </w:r>
      <w:r w:rsidRPr="00B503E6">
        <w:rPr>
          <w:rFonts w:asciiTheme="majorBidi" w:hAnsiTheme="majorBidi" w:cstheme="majorBidi"/>
          <w:i/>
          <w:iCs/>
          <w:sz w:val="24"/>
          <w:szCs w:val="24"/>
        </w:rPr>
        <w:t>overty</w:t>
      </w:r>
      <w:r w:rsidR="00BA5AE8" w:rsidRPr="00B503E6">
        <w:rPr>
          <w:rFonts w:asciiTheme="majorBidi" w:hAnsiTheme="majorBidi" w:cstheme="majorBidi"/>
          <w:sz w:val="24"/>
          <w:szCs w:val="24"/>
        </w:rPr>
        <w:t>.</w:t>
      </w:r>
      <w:r w:rsidRPr="00B503E6">
        <w:rPr>
          <w:rFonts w:asciiTheme="majorBidi" w:hAnsiTheme="majorBidi" w:cstheme="majorBidi"/>
          <w:sz w:val="24"/>
          <w:szCs w:val="24"/>
        </w:rPr>
        <w:t xml:space="preserve"> New York: Crown Business</w:t>
      </w:r>
      <w:r w:rsidR="00BA5AE8" w:rsidRPr="00B503E6">
        <w:rPr>
          <w:rFonts w:asciiTheme="majorBidi" w:hAnsiTheme="majorBidi" w:cstheme="majorBidi"/>
          <w:sz w:val="24"/>
          <w:szCs w:val="24"/>
        </w:rPr>
        <w:t>, 2012.</w:t>
      </w:r>
    </w:p>
    <w:p w:rsidR="00BB011A" w:rsidRPr="00B503E6" w:rsidRDefault="00BB011A" w:rsidP="00C33665">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Alon, Y</w:t>
      </w:r>
      <w:r w:rsidR="00C33665" w:rsidRPr="00B503E6">
        <w:rPr>
          <w:rFonts w:asciiTheme="majorBidi" w:hAnsiTheme="majorBidi" w:cstheme="majorBidi"/>
          <w:sz w:val="24"/>
          <w:szCs w:val="24"/>
        </w:rPr>
        <w:t>oav</w:t>
      </w:r>
      <w:r w:rsidR="00736B2F"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 xml:space="preserve">The </w:t>
      </w:r>
      <w:r w:rsidR="00892DEA" w:rsidRPr="00B503E6">
        <w:rPr>
          <w:rFonts w:asciiTheme="majorBidi" w:hAnsiTheme="majorBidi" w:cstheme="majorBidi"/>
          <w:i/>
          <w:iCs/>
          <w:sz w:val="24"/>
          <w:szCs w:val="24"/>
        </w:rPr>
        <w:t>M</w:t>
      </w:r>
      <w:r w:rsidRPr="00B503E6">
        <w:rPr>
          <w:rFonts w:asciiTheme="majorBidi" w:hAnsiTheme="majorBidi" w:cstheme="majorBidi"/>
          <w:i/>
          <w:iCs/>
          <w:sz w:val="24"/>
          <w:szCs w:val="24"/>
        </w:rPr>
        <w:t xml:space="preserve">aking of Jordan: Tribes, </w:t>
      </w:r>
      <w:r w:rsidR="00892DEA" w:rsidRPr="00B503E6">
        <w:rPr>
          <w:rFonts w:asciiTheme="majorBidi" w:hAnsiTheme="majorBidi" w:cstheme="majorBidi"/>
          <w:i/>
          <w:iCs/>
          <w:sz w:val="24"/>
          <w:szCs w:val="24"/>
        </w:rPr>
        <w:t>C</w:t>
      </w:r>
      <w:r w:rsidRPr="00B503E6">
        <w:rPr>
          <w:rFonts w:asciiTheme="majorBidi" w:hAnsiTheme="majorBidi" w:cstheme="majorBidi"/>
          <w:i/>
          <w:iCs/>
          <w:sz w:val="24"/>
          <w:szCs w:val="24"/>
        </w:rPr>
        <w:t xml:space="preserve">olonialism and the </w:t>
      </w:r>
      <w:r w:rsidR="00892DEA" w:rsidRPr="00B503E6">
        <w:rPr>
          <w:rFonts w:asciiTheme="majorBidi" w:hAnsiTheme="majorBidi" w:cstheme="majorBidi"/>
          <w:i/>
          <w:iCs/>
          <w:sz w:val="24"/>
          <w:szCs w:val="24"/>
        </w:rPr>
        <w:t>M</w:t>
      </w:r>
      <w:r w:rsidRPr="00B503E6">
        <w:rPr>
          <w:rFonts w:asciiTheme="majorBidi" w:hAnsiTheme="majorBidi" w:cstheme="majorBidi"/>
          <w:i/>
          <w:iCs/>
          <w:sz w:val="24"/>
          <w:szCs w:val="24"/>
        </w:rPr>
        <w:t xml:space="preserve">odern </w:t>
      </w:r>
      <w:r w:rsidR="00892DEA" w:rsidRPr="00B503E6">
        <w:rPr>
          <w:rFonts w:asciiTheme="majorBidi" w:hAnsiTheme="majorBidi" w:cstheme="majorBidi"/>
          <w:i/>
          <w:iCs/>
          <w:sz w:val="24"/>
          <w:szCs w:val="24"/>
        </w:rPr>
        <w:t>S</w:t>
      </w:r>
      <w:r w:rsidRPr="00B503E6">
        <w:rPr>
          <w:rFonts w:asciiTheme="majorBidi" w:hAnsiTheme="majorBidi" w:cstheme="majorBidi"/>
          <w:i/>
          <w:iCs/>
          <w:sz w:val="24"/>
          <w:szCs w:val="24"/>
        </w:rPr>
        <w:t>tate</w:t>
      </w:r>
      <w:r w:rsidR="00C33665" w:rsidRPr="00B503E6">
        <w:rPr>
          <w:rFonts w:asciiTheme="majorBidi" w:hAnsiTheme="majorBidi" w:cstheme="majorBidi"/>
          <w:sz w:val="24"/>
          <w:szCs w:val="24"/>
        </w:rPr>
        <w:t>.</w:t>
      </w:r>
      <w:r w:rsidRPr="00B503E6">
        <w:rPr>
          <w:rFonts w:asciiTheme="majorBidi" w:hAnsiTheme="majorBidi" w:cstheme="majorBidi"/>
          <w:sz w:val="24"/>
          <w:szCs w:val="24"/>
        </w:rPr>
        <w:t xml:space="preserve"> London: I.B Tauris</w:t>
      </w:r>
      <w:r w:rsidR="00C33665" w:rsidRPr="00B503E6">
        <w:rPr>
          <w:rFonts w:asciiTheme="majorBidi" w:hAnsiTheme="majorBidi" w:cstheme="majorBidi"/>
          <w:sz w:val="24"/>
          <w:szCs w:val="24"/>
        </w:rPr>
        <w:t>, 2009.</w:t>
      </w:r>
    </w:p>
    <w:p w:rsidR="00067641" w:rsidRPr="00B503E6" w:rsidRDefault="00310F44" w:rsidP="00E144AF">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Amadouny, V</w:t>
      </w:r>
      <w:r w:rsidR="00C33665" w:rsidRPr="00B503E6">
        <w:rPr>
          <w:rFonts w:asciiTheme="majorBidi" w:hAnsiTheme="majorBidi" w:cstheme="majorBidi"/>
          <w:sz w:val="24"/>
          <w:szCs w:val="24"/>
        </w:rPr>
        <w:t>artan</w:t>
      </w:r>
      <w:r w:rsidRPr="00B503E6">
        <w:rPr>
          <w:rFonts w:asciiTheme="majorBidi" w:hAnsiTheme="majorBidi" w:cstheme="majorBidi"/>
          <w:sz w:val="24"/>
          <w:szCs w:val="24"/>
        </w:rPr>
        <w:t xml:space="preserve"> M. </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Infrastructural </w:t>
      </w:r>
      <w:r w:rsidR="00892DEA" w:rsidRPr="00B503E6">
        <w:rPr>
          <w:rFonts w:asciiTheme="majorBidi" w:hAnsiTheme="majorBidi" w:cstheme="majorBidi"/>
          <w:sz w:val="24"/>
          <w:szCs w:val="24"/>
        </w:rPr>
        <w:t>D</w:t>
      </w:r>
      <w:r w:rsidRPr="00B503E6">
        <w:rPr>
          <w:rFonts w:asciiTheme="majorBidi" w:hAnsiTheme="majorBidi" w:cstheme="majorBidi"/>
          <w:sz w:val="24"/>
          <w:szCs w:val="24"/>
        </w:rPr>
        <w:t xml:space="preserve">evelopment </w:t>
      </w:r>
      <w:r w:rsidR="00892DEA" w:rsidRPr="00B503E6">
        <w:rPr>
          <w:rFonts w:asciiTheme="majorBidi" w:hAnsiTheme="majorBidi" w:cstheme="majorBidi"/>
          <w:sz w:val="24"/>
          <w:szCs w:val="24"/>
        </w:rPr>
        <w:t>u</w:t>
      </w:r>
      <w:r w:rsidRPr="00B503E6">
        <w:rPr>
          <w:rFonts w:asciiTheme="majorBidi" w:hAnsiTheme="majorBidi" w:cstheme="majorBidi"/>
          <w:sz w:val="24"/>
          <w:szCs w:val="24"/>
        </w:rPr>
        <w:t xml:space="preserve">nder the British </w:t>
      </w:r>
      <w:r w:rsidR="00E26C05" w:rsidRPr="00B503E6">
        <w:rPr>
          <w:rFonts w:asciiTheme="majorBidi" w:hAnsiTheme="majorBidi" w:cstheme="majorBidi"/>
          <w:sz w:val="24"/>
          <w:szCs w:val="24"/>
        </w:rPr>
        <w:t>Mandate</w:t>
      </w:r>
      <w:r w:rsidR="00C33665" w:rsidRPr="00B503E6">
        <w:rPr>
          <w:rFonts w:asciiTheme="majorBidi" w:hAnsiTheme="majorBidi" w:cstheme="majorBidi"/>
          <w:sz w:val="24"/>
          <w:szCs w:val="24"/>
        </w:rPr>
        <w:t>.</w:t>
      </w:r>
      <w:r w:rsidR="002E73F3" w:rsidRPr="00B503E6">
        <w:rPr>
          <w:rFonts w:asciiTheme="majorBidi" w:hAnsiTheme="majorBidi" w:cstheme="majorBidi"/>
          <w:sz w:val="24"/>
          <w:szCs w:val="24"/>
        </w:rPr>
        <w:t>”</w:t>
      </w:r>
      <w:r w:rsidR="00C33665" w:rsidRPr="00B503E6">
        <w:rPr>
          <w:rFonts w:asciiTheme="majorBidi" w:hAnsiTheme="majorBidi" w:cstheme="majorBidi"/>
          <w:sz w:val="24"/>
          <w:szCs w:val="24"/>
        </w:rPr>
        <w:t xml:space="preserve"> I</w:t>
      </w:r>
      <w:r w:rsidRPr="00B503E6">
        <w:rPr>
          <w:rFonts w:asciiTheme="majorBidi" w:hAnsiTheme="majorBidi" w:cstheme="majorBidi"/>
          <w:sz w:val="24"/>
          <w:szCs w:val="24"/>
        </w:rPr>
        <w:t>n</w:t>
      </w:r>
      <w:bookmarkStart w:id="2" w:name="OLE_LINK1"/>
      <w:bookmarkStart w:id="3" w:name="OLE_LINK2"/>
      <w:r w:rsidR="001A416B" w:rsidRPr="00B503E6">
        <w:rPr>
          <w:rFonts w:asciiTheme="majorBidi" w:hAnsiTheme="majorBidi" w:cstheme="majorBidi"/>
          <w:sz w:val="24"/>
          <w:szCs w:val="24"/>
        </w:rPr>
        <w:t xml:space="preserve"> </w:t>
      </w:r>
      <w:r w:rsidRPr="00B503E6">
        <w:rPr>
          <w:rFonts w:asciiTheme="majorBidi" w:hAnsiTheme="majorBidi" w:cstheme="majorBidi"/>
          <w:i/>
          <w:iCs/>
          <w:sz w:val="24"/>
          <w:szCs w:val="24"/>
        </w:rPr>
        <w:t xml:space="preserve">Village, </w:t>
      </w:r>
      <w:r w:rsidR="00892DEA" w:rsidRPr="00B503E6">
        <w:rPr>
          <w:rFonts w:asciiTheme="majorBidi" w:hAnsiTheme="majorBidi" w:cstheme="majorBidi"/>
          <w:i/>
          <w:iCs/>
          <w:sz w:val="24"/>
          <w:szCs w:val="24"/>
        </w:rPr>
        <w:t>S</w:t>
      </w:r>
      <w:r w:rsidRPr="00B503E6">
        <w:rPr>
          <w:rFonts w:asciiTheme="majorBidi" w:hAnsiTheme="majorBidi" w:cstheme="majorBidi"/>
          <w:i/>
          <w:iCs/>
          <w:sz w:val="24"/>
          <w:szCs w:val="24"/>
        </w:rPr>
        <w:t xml:space="preserve">teppe and </w:t>
      </w:r>
      <w:r w:rsidR="00892DEA" w:rsidRPr="00B503E6">
        <w:rPr>
          <w:rFonts w:asciiTheme="majorBidi" w:hAnsiTheme="majorBidi" w:cstheme="majorBidi"/>
          <w:i/>
          <w:iCs/>
          <w:sz w:val="24"/>
          <w:szCs w:val="24"/>
        </w:rPr>
        <w:t>S</w:t>
      </w:r>
      <w:r w:rsidRPr="00B503E6">
        <w:rPr>
          <w:rFonts w:asciiTheme="majorBidi" w:hAnsiTheme="majorBidi" w:cstheme="majorBidi"/>
          <w:i/>
          <w:iCs/>
          <w:sz w:val="24"/>
          <w:szCs w:val="24"/>
        </w:rPr>
        <w:t xml:space="preserve">tate: The </w:t>
      </w:r>
      <w:r w:rsidR="00892DEA" w:rsidRPr="00B503E6">
        <w:rPr>
          <w:rFonts w:asciiTheme="majorBidi" w:hAnsiTheme="majorBidi" w:cstheme="majorBidi"/>
          <w:i/>
          <w:iCs/>
          <w:sz w:val="24"/>
          <w:szCs w:val="24"/>
        </w:rPr>
        <w:t>S</w:t>
      </w:r>
      <w:r w:rsidRPr="00B503E6">
        <w:rPr>
          <w:rFonts w:asciiTheme="majorBidi" w:hAnsiTheme="majorBidi" w:cstheme="majorBidi"/>
          <w:i/>
          <w:iCs/>
          <w:sz w:val="24"/>
          <w:szCs w:val="24"/>
        </w:rPr>
        <w:t xml:space="preserve">ocial </w:t>
      </w:r>
      <w:r w:rsidR="00892DEA" w:rsidRPr="00B503E6">
        <w:rPr>
          <w:rFonts w:asciiTheme="majorBidi" w:hAnsiTheme="majorBidi" w:cstheme="majorBidi"/>
          <w:i/>
          <w:iCs/>
          <w:sz w:val="24"/>
          <w:szCs w:val="24"/>
        </w:rPr>
        <w:t>O</w:t>
      </w:r>
      <w:r w:rsidRPr="00B503E6">
        <w:rPr>
          <w:rFonts w:asciiTheme="majorBidi" w:hAnsiTheme="majorBidi" w:cstheme="majorBidi"/>
          <w:i/>
          <w:iCs/>
          <w:sz w:val="24"/>
          <w:szCs w:val="24"/>
        </w:rPr>
        <w:t xml:space="preserve">rigins of </w:t>
      </w:r>
      <w:r w:rsidR="00892DEA" w:rsidRPr="00B503E6">
        <w:rPr>
          <w:rFonts w:asciiTheme="majorBidi" w:hAnsiTheme="majorBidi" w:cstheme="majorBidi"/>
          <w:i/>
          <w:iCs/>
          <w:sz w:val="24"/>
          <w:szCs w:val="24"/>
        </w:rPr>
        <w:t>M</w:t>
      </w:r>
      <w:r w:rsidRPr="00B503E6">
        <w:rPr>
          <w:rFonts w:asciiTheme="majorBidi" w:hAnsiTheme="majorBidi" w:cstheme="majorBidi"/>
          <w:i/>
          <w:iCs/>
          <w:sz w:val="24"/>
          <w:szCs w:val="24"/>
        </w:rPr>
        <w:t>odern Jordan</w:t>
      </w:r>
      <w:r w:rsidRPr="00B503E6">
        <w:rPr>
          <w:rFonts w:asciiTheme="majorBidi" w:hAnsiTheme="majorBidi" w:cstheme="majorBidi"/>
          <w:sz w:val="24"/>
          <w:szCs w:val="24"/>
        </w:rPr>
        <w:t xml:space="preserve">, </w:t>
      </w:r>
      <w:r w:rsidR="00C33665" w:rsidRPr="00B503E6">
        <w:rPr>
          <w:rFonts w:asciiTheme="majorBidi" w:hAnsiTheme="majorBidi" w:cstheme="majorBidi"/>
          <w:sz w:val="24"/>
          <w:szCs w:val="24"/>
        </w:rPr>
        <w:t>edited by E</w:t>
      </w:r>
      <w:r w:rsidR="00E64E60" w:rsidRPr="00B503E6">
        <w:rPr>
          <w:rFonts w:asciiTheme="majorBidi" w:hAnsiTheme="majorBidi" w:cstheme="majorBidi"/>
          <w:sz w:val="24"/>
          <w:szCs w:val="24"/>
        </w:rPr>
        <w:t>ugene</w:t>
      </w:r>
      <w:r w:rsidR="00C33665" w:rsidRPr="00B503E6">
        <w:rPr>
          <w:rFonts w:asciiTheme="majorBidi" w:hAnsiTheme="majorBidi" w:cstheme="majorBidi"/>
          <w:sz w:val="24"/>
          <w:szCs w:val="24"/>
        </w:rPr>
        <w:t xml:space="preserve"> L. Rogan and T</w:t>
      </w:r>
      <w:r w:rsidR="00E64E60" w:rsidRPr="00B503E6">
        <w:rPr>
          <w:rFonts w:asciiTheme="majorBidi" w:hAnsiTheme="majorBidi" w:cstheme="majorBidi"/>
          <w:sz w:val="24"/>
          <w:szCs w:val="24"/>
        </w:rPr>
        <w:t>ariq</w:t>
      </w:r>
      <w:r w:rsidR="00C33665" w:rsidRPr="00B503E6">
        <w:rPr>
          <w:rFonts w:asciiTheme="majorBidi" w:hAnsiTheme="majorBidi" w:cstheme="majorBidi"/>
          <w:sz w:val="24"/>
          <w:szCs w:val="24"/>
        </w:rPr>
        <w:t xml:space="preserve"> Tell, pp. 128-161. </w:t>
      </w:r>
      <w:r w:rsidRPr="00B503E6">
        <w:rPr>
          <w:rFonts w:asciiTheme="majorBidi" w:hAnsiTheme="majorBidi" w:cstheme="majorBidi"/>
          <w:sz w:val="24"/>
          <w:szCs w:val="24"/>
        </w:rPr>
        <w:t xml:space="preserve">London: British Academic </w:t>
      </w:r>
      <w:r w:rsidR="001A416B" w:rsidRPr="00B503E6">
        <w:rPr>
          <w:rFonts w:asciiTheme="majorBidi" w:hAnsiTheme="majorBidi" w:cstheme="majorBidi"/>
          <w:sz w:val="24"/>
          <w:szCs w:val="24"/>
        </w:rPr>
        <w:t>P</w:t>
      </w:r>
      <w:r w:rsidRPr="00B503E6">
        <w:rPr>
          <w:rFonts w:asciiTheme="majorBidi" w:hAnsiTheme="majorBidi" w:cstheme="majorBidi"/>
          <w:sz w:val="24"/>
          <w:szCs w:val="24"/>
        </w:rPr>
        <w:t xml:space="preserve">ress, </w:t>
      </w:r>
      <w:bookmarkEnd w:id="2"/>
      <w:bookmarkEnd w:id="3"/>
      <w:r w:rsidR="00C33665" w:rsidRPr="00B503E6">
        <w:rPr>
          <w:rFonts w:asciiTheme="majorBidi" w:hAnsiTheme="majorBidi" w:cstheme="majorBidi"/>
          <w:sz w:val="24"/>
          <w:szCs w:val="24"/>
        </w:rPr>
        <w:t>1994.</w:t>
      </w:r>
    </w:p>
    <w:p w:rsidR="006A7111" w:rsidRPr="00B503E6" w:rsidRDefault="00067641" w:rsidP="002E73F3">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Amawi, A</w:t>
      </w:r>
      <w:r w:rsidR="00E64E60" w:rsidRPr="00B503E6">
        <w:rPr>
          <w:rFonts w:asciiTheme="majorBidi" w:hAnsiTheme="majorBidi" w:cstheme="majorBidi"/>
          <w:sz w:val="24"/>
          <w:szCs w:val="24"/>
        </w:rPr>
        <w:t>bla</w:t>
      </w:r>
      <w:r w:rsidR="00D722DD" w:rsidRPr="00B503E6">
        <w:rPr>
          <w:rFonts w:asciiTheme="majorBidi" w:hAnsiTheme="majorBidi" w:cstheme="majorBidi"/>
          <w:sz w:val="24"/>
          <w:szCs w:val="24"/>
        </w:rPr>
        <w:t xml:space="preserve"> </w:t>
      </w:r>
      <w:r w:rsidRPr="00B503E6">
        <w:rPr>
          <w:rFonts w:asciiTheme="majorBidi" w:hAnsiTheme="majorBidi" w:cstheme="majorBidi"/>
          <w:sz w:val="24"/>
          <w:szCs w:val="24"/>
        </w:rPr>
        <w:t xml:space="preserve">M. </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The </w:t>
      </w:r>
      <w:r w:rsidR="00892DEA" w:rsidRPr="00B503E6">
        <w:rPr>
          <w:rFonts w:asciiTheme="majorBidi" w:hAnsiTheme="majorBidi" w:cstheme="majorBidi"/>
          <w:sz w:val="24"/>
          <w:szCs w:val="24"/>
        </w:rPr>
        <w:t>C</w:t>
      </w:r>
      <w:r w:rsidRPr="00B503E6">
        <w:rPr>
          <w:rFonts w:asciiTheme="majorBidi" w:hAnsiTheme="majorBidi" w:cstheme="majorBidi"/>
          <w:sz w:val="24"/>
          <w:szCs w:val="24"/>
        </w:rPr>
        <w:t>ons</w:t>
      </w:r>
      <w:r w:rsidR="00ED3B1B" w:rsidRPr="00B503E6">
        <w:rPr>
          <w:rFonts w:asciiTheme="majorBidi" w:hAnsiTheme="majorBidi" w:cstheme="majorBidi"/>
          <w:sz w:val="24"/>
          <w:szCs w:val="24"/>
        </w:rPr>
        <w:t>o</w:t>
      </w:r>
      <w:r w:rsidRPr="00B503E6">
        <w:rPr>
          <w:rFonts w:asciiTheme="majorBidi" w:hAnsiTheme="majorBidi" w:cstheme="majorBidi"/>
          <w:sz w:val="24"/>
          <w:szCs w:val="24"/>
        </w:rPr>
        <w:t>l</w:t>
      </w:r>
      <w:r w:rsidR="00ED3B1B" w:rsidRPr="00B503E6">
        <w:rPr>
          <w:rFonts w:asciiTheme="majorBidi" w:hAnsiTheme="majorBidi" w:cstheme="majorBidi"/>
          <w:sz w:val="24"/>
          <w:szCs w:val="24"/>
        </w:rPr>
        <w:t>i</w:t>
      </w:r>
      <w:r w:rsidRPr="00B503E6">
        <w:rPr>
          <w:rFonts w:asciiTheme="majorBidi" w:hAnsiTheme="majorBidi" w:cstheme="majorBidi"/>
          <w:sz w:val="24"/>
          <w:szCs w:val="24"/>
        </w:rPr>
        <w:t xml:space="preserve">dation of the </w:t>
      </w:r>
      <w:r w:rsidR="00892DEA" w:rsidRPr="00B503E6">
        <w:rPr>
          <w:rFonts w:asciiTheme="majorBidi" w:hAnsiTheme="majorBidi" w:cstheme="majorBidi"/>
          <w:sz w:val="24"/>
          <w:szCs w:val="24"/>
        </w:rPr>
        <w:t>M</w:t>
      </w:r>
      <w:r w:rsidRPr="00B503E6">
        <w:rPr>
          <w:rFonts w:asciiTheme="majorBidi" w:hAnsiTheme="majorBidi" w:cstheme="majorBidi"/>
          <w:sz w:val="24"/>
          <w:szCs w:val="24"/>
        </w:rPr>
        <w:t xml:space="preserve">erchant </w:t>
      </w:r>
      <w:r w:rsidR="00892DEA" w:rsidRPr="00B503E6">
        <w:rPr>
          <w:rFonts w:asciiTheme="majorBidi" w:hAnsiTheme="majorBidi" w:cstheme="majorBidi"/>
          <w:sz w:val="24"/>
          <w:szCs w:val="24"/>
        </w:rPr>
        <w:t>C</w:t>
      </w:r>
      <w:r w:rsidRPr="00B503E6">
        <w:rPr>
          <w:rFonts w:asciiTheme="majorBidi" w:hAnsiTheme="majorBidi" w:cstheme="majorBidi"/>
          <w:sz w:val="24"/>
          <w:szCs w:val="24"/>
        </w:rPr>
        <w:t xml:space="preserve">lass in Transjordan </w:t>
      </w:r>
      <w:r w:rsidR="00D10BF2" w:rsidRPr="00B503E6">
        <w:rPr>
          <w:rFonts w:asciiTheme="majorBidi" w:hAnsiTheme="majorBidi" w:cstheme="majorBidi"/>
          <w:sz w:val="24"/>
          <w:szCs w:val="24"/>
        </w:rPr>
        <w:t>D</w:t>
      </w:r>
      <w:r w:rsidRPr="00B503E6">
        <w:rPr>
          <w:rFonts w:asciiTheme="majorBidi" w:hAnsiTheme="majorBidi" w:cstheme="majorBidi"/>
          <w:sz w:val="24"/>
          <w:szCs w:val="24"/>
        </w:rPr>
        <w:t xml:space="preserve">uring the </w:t>
      </w:r>
      <w:r w:rsidR="00892DEA" w:rsidRPr="00B503E6">
        <w:rPr>
          <w:rFonts w:asciiTheme="majorBidi" w:hAnsiTheme="majorBidi" w:cstheme="majorBidi"/>
          <w:sz w:val="24"/>
          <w:szCs w:val="24"/>
        </w:rPr>
        <w:t>S</w:t>
      </w:r>
      <w:r w:rsidRPr="00B503E6">
        <w:rPr>
          <w:rFonts w:asciiTheme="majorBidi" w:hAnsiTheme="majorBidi" w:cstheme="majorBidi"/>
          <w:sz w:val="24"/>
          <w:szCs w:val="24"/>
        </w:rPr>
        <w:t>econd World War</w:t>
      </w:r>
      <w:r w:rsidR="00E64E60" w:rsidRPr="00B503E6">
        <w:rPr>
          <w:rFonts w:asciiTheme="majorBidi" w:hAnsiTheme="majorBidi" w:cstheme="majorBidi"/>
          <w:sz w:val="24"/>
          <w:szCs w:val="24"/>
        </w:rPr>
        <w:t>.</w:t>
      </w:r>
      <w:r w:rsidR="002E73F3" w:rsidRPr="00B503E6">
        <w:rPr>
          <w:rFonts w:asciiTheme="majorBidi" w:hAnsiTheme="majorBidi" w:cstheme="majorBidi"/>
          <w:sz w:val="24"/>
          <w:szCs w:val="24"/>
        </w:rPr>
        <w:t>”</w:t>
      </w:r>
      <w:r w:rsidR="00D722DD" w:rsidRPr="00B503E6">
        <w:rPr>
          <w:rFonts w:asciiTheme="majorBidi" w:hAnsiTheme="majorBidi" w:cstheme="majorBidi"/>
          <w:sz w:val="24"/>
          <w:szCs w:val="24"/>
        </w:rPr>
        <w:t xml:space="preserve"> </w:t>
      </w:r>
      <w:r w:rsidR="00E64E60" w:rsidRPr="00B503E6">
        <w:rPr>
          <w:rFonts w:asciiTheme="majorBidi" w:hAnsiTheme="majorBidi" w:cstheme="majorBidi"/>
          <w:sz w:val="24"/>
          <w:szCs w:val="24"/>
        </w:rPr>
        <w:t>I</w:t>
      </w:r>
      <w:r w:rsidR="00D722DD" w:rsidRPr="00B503E6">
        <w:rPr>
          <w:rFonts w:asciiTheme="majorBidi" w:hAnsiTheme="majorBidi" w:cstheme="majorBidi"/>
          <w:sz w:val="24"/>
          <w:szCs w:val="24"/>
        </w:rPr>
        <w:t xml:space="preserve">n </w:t>
      </w:r>
      <w:r w:rsidR="00E64E60" w:rsidRPr="00B503E6">
        <w:rPr>
          <w:rFonts w:asciiTheme="majorBidi" w:hAnsiTheme="majorBidi" w:cstheme="majorBidi"/>
          <w:i/>
          <w:iCs/>
          <w:sz w:val="24"/>
          <w:szCs w:val="24"/>
        </w:rPr>
        <w:t>Village, Steppe and State: The Social Origins of Modern Jordan</w:t>
      </w:r>
      <w:r w:rsidR="00E64E60" w:rsidRPr="00B503E6">
        <w:rPr>
          <w:rFonts w:asciiTheme="majorBidi" w:hAnsiTheme="majorBidi" w:cstheme="majorBidi"/>
          <w:sz w:val="24"/>
          <w:szCs w:val="24"/>
        </w:rPr>
        <w:t xml:space="preserve">, edited by </w:t>
      </w:r>
      <w:r w:rsidR="00D722DD" w:rsidRPr="00B503E6">
        <w:rPr>
          <w:rFonts w:asciiTheme="majorBidi" w:hAnsiTheme="majorBidi" w:cstheme="majorBidi"/>
          <w:sz w:val="24"/>
          <w:szCs w:val="24"/>
        </w:rPr>
        <w:t>E</w:t>
      </w:r>
      <w:r w:rsidR="00E64E60" w:rsidRPr="00B503E6">
        <w:rPr>
          <w:rFonts w:asciiTheme="majorBidi" w:hAnsiTheme="majorBidi" w:cstheme="majorBidi"/>
          <w:sz w:val="24"/>
          <w:szCs w:val="24"/>
        </w:rPr>
        <w:t>ugene</w:t>
      </w:r>
      <w:r w:rsidR="00D722DD" w:rsidRPr="00B503E6">
        <w:rPr>
          <w:rFonts w:asciiTheme="majorBidi" w:hAnsiTheme="majorBidi" w:cstheme="majorBidi"/>
          <w:sz w:val="24"/>
          <w:szCs w:val="24"/>
        </w:rPr>
        <w:t xml:space="preserve"> L. Rogan and T</w:t>
      </w:r>
      <w:r w:rsidR="00E64E60" w:rsidRPr="00B503E6">
        <w:rPr>
          <w:rFonts w:asciiTheme="majorBidi" w:hAnsiTheme="majorBidi" w:cstheme="majorBidi"/>
          <w:sz w:val="24"/>
          <w:szCs w:val="24"/>
        </w:rPr>
        <w:t>ariq</w:t>
      </w:r>
      <w:r w:rsidR="00D722DD" w:rsidRPr="00B503E6">
        <w:rPr>
          <w:rFonts w:asciiTheme="majorBidi" w:hAnsiTheme="majorBidi" w:cstheme="majorBidi"/>
          <w:sz w:val="24"/>
          <w:szCs w:val="24"/>
        </w:rPr>
        <w:t xml:space="preserve"> Tell</w:t>
      </w:r>
      <w:r w:rsidR="00E64E60" w:rsidRPr="00B503E6">
        <w:rPr>
          <w:rFonts w:asciiTheme="majorBidi" w:hAnsiTheme="majorBidi" w:cstheme="majorBidi"/>
          <w:sz w:val="24"/>
          <w:szCs w:val="24"/>
        </w:rPr>
        <w:t>, pp. 162-186.</w:t>
      </w:r>
      <w:r w:rsidR="00D722DD" w:rsidRPr="00B503E6">
        <w:rPr>
          <w:rFonts w:asciiTheme="majorBidi" w:hAnsiTheme="majorBidi" w:cstheme="majorBidi"/>
          <w:sz w:val="24"/>
          <w:szCs w:val="24"/>
        </w:rPr>
        <w:t xml:space="preserve"> </w:t>
      </w:r>
      <w:r w:rsidR="00ED3B1B" w:rsidRPr="00B503E6">
        <w:rPr>
          <w:rFonts w:asciiTheme="majorBidi" w:hAnsiTheme="majorBidi" w:cstheme="majorBidi"/>
          <w:sz w:val="24"/>
          <w:szCs w:val="24"/>
        </w:rPr>
        <w:t xml:space="preserve">London: British Academic </w:t>
      </w:r>
      <w:r w:rsidR="00D722DD" w:rsidRPr="00B503E6">
        <w:rPr>
          <w:rFonts w:asciiTheme="majorBidi" w:hAnsiTheme="majorBidi" w:cstheme="majorBidi"/>
          <w:sz w:val="24"/>
          <w:szCs w:val="24"/>
        </w:rPr>
        <w:t>P</w:t>
      </w:r>
      <w:r w:rsidR="00ED3B1B" w:rsidRPr="00B503E6">
        <w:rPr>
          <w:rFonts w:asciiTheme="majorBidi" w:hAnsiTheme="majorBidi" w:cstheme="majorBidi"/>
          <w:sz w:val="24"/>
          <w:szCs w:val="24"/>
        </w:rPr>
        <w:t xml:space="preserve">ress, </w:t>
      </w:r>
      <w:r w:rsidR="00E64E60" w:rsidRPr="00B503E6">
        <w:rPr>
          <w:rFonts w:asciiTheme="majorBidi" w:hAnsiTheme="majorBidi" w:cstheme="majorBidi"/>
          <w:sz w:val="24"/>
          <w:szCs w:val="24"/>
        </w:rPr>
        <w:t>1994</w:t>
      </w:r>
      <w:r w:rsidR="00ED3B1B" w:rsidRPr="00B503E6">
        <w:rPr>
          <w:rFonts w:asciiTheme="majorBidi" w:hAnsiTheme="majorBidi" w:cstheme="majorBidi"/>
          <w:sz w:val="24"/>
          <w:szCs w:val="24"/>
        </w:rPr>
        <w:t>.</w:t>
      </w:r>
    </w:p>
    <w:p w:rsidR="00ED79DF" w:rsidRPr="00B503E6" w:rsidRDefault="00ED79DF" w:rsidP="00855FE2">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An interim report on the Civil Administration </w:t>
      </w:r>
      <w:r w:rsidR="004A0828" w:rsidRPr="00B503E6">
        <w:rPr>
          <w:rFonts w:asciiTheme="majorBidi" w:hAnsiTheme="majorBidi" w:cstheme="majorBidi"/>
          <w:sz w:val="24"/>
          <w:szCs w:val="24"/>
        </w:rPr>
        <w:t>o</w:t>
      </w:r>
      <w:r w:rsidRPr="00B503E6">
        <w:rPr>
          <w:rFonts w:asciiTheme="majorBidi" w:hAnsiTheme="majorBidi" w:cstheme="majorBidi"/>
          <w:sz w:val="24"/>
          <w:szCs w:val="24"/>
        </w:rPr>
        <w:t>f Palestine</w:t>
      </w:r>
      <w:r w:rsidR="00855FE2" w:rsidRPr="00B503E6">
        <w:rPr>
          <w:rFonts w:asciiTheme="majorBidi" w:hAnsiTheme="majorBidi" w:cstheme="majorBidi"/>
          <w:sz w:val="24"/>
          <w:szCs w:val="24"/>
        </w:rPr>
        <w:t>.</w:t>
      </w:r>
      <w:r w:rsidRPr="00B503E6">
        <w:rPr>
          <w:rFonts w:asciiTheme="majorBidi" w:hAnsiTheme="majorBidi" w:cstheme="majorBidi"/>
          <w:sz w:val="24"/>
          <w:szCs w:val="24"/>
        </w:rPr>
        <w:t xml:space="preserve"> London: His </w:t>
      </w:r>
      <w:r w:rsidR="004A0828" w:rsidRPr="00B503E6">
        <w:rPr>
          <w:rFonts w:asciiTheme="majorBidi" w:hAnsiTheme="majorBidi" w:cstheme="majorBidi"/>
          <w:sz w:val="24"/>
          <w:szCs w:val="24"/>
        </w:rPr>
        <w:t>M</w:t>
      </w:r>
      <w:r w:rsidRPr="00B503E6">
        <w:rPr>
          <w:rFonts w:asciiTheme="majorBidi" w:hAnsiTheme="majorBidi" w:cstheme="majorBidi"/>
          <w:sz w:val="24"/>
          <w:szCs w:val="24"/>
        </w:rPr>
        <w:t>ajesty's Stationary Office</w:t>
      </w:r>
      <w:r w:rsidR="00855FE2" w:rsidRPr="00B503E6">
        <w:rPr>
          <w:rFonts w:asciiTheme="majorBidi" w:hAnsiTheme="majorBidi" w:cstheme="majorBidi"/>
          <w:sz w:val="24"/>
          <w:szCs w:val="24"/>
        </w:rPr>
        <w:t>, 1921</w:t>
      </w:r>
      <w:r w:rsidRPr="00B503E6">
        <w:rPr>
          <w:rFonts w:asciiTheme="majorBidi" w:hAnsiTheme="majorBidi" w:cstheme="majorBidi"/>
          <w:sz w:val="24"/>
          <w:szCs w:val="24"/>
        </w:rPr>
        <w:t>.</w:t>
      </w:r>
    </w:p>
    <w:p w:rsidR="00BD2481" w:rsidRPr="00B503E6" w:rsidRDefault="00A2647A" w:rsidP="007B61EC">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Annual Report by His Majesty'</w:t>
      </w:r>
      <w:r w:rsidR="00E407C3" w:rsidRPr="00B503E6">
        <w:rPr>
          <w:rFonts w:asciiTheme="majorBidi" w:hAnsiTheme="majorBidi" w:cstheme="majorBidi"/>
          <w:sz w:val="24"/>
          <w:szCs w:val="24"/>
        </w:rPr>
        <w:t>s</w:t>
      </w:r>
      <w:r w:rsidRPr="00B503E6">
        <w:rPr>
          <w:rFonts w:asciiTheme="majorBidi" w:hAnsiTheme="majorBidi" w:cstheme="majorBidi"/>
          <w:sz w:val="24"/>
          <w:szCs w:val="24"/>
        </w:rPr>
        <w:t xml:space="preserve"> Government in the United Kingdom of Great </w:t>
      </w:r>
      <w:r w:rsidR="00CF382A" w:rsidRPr="00B503E6">
        <w:rPr>
          <w:rFonts w:asciiTheme="majorBidi" w:hAnsiTheme="majorBidi" w:cstheme="majorBidi"/>
          <w:sz w:val="24"/>
          <w:szCs w:val="24"/>
        </w:rPr>
        <w:t>B</w:t>
      </w:r>
      <w:r w:rsidRPr="00B503E6">
        <w:rPr>
          <w:rFonts w:asciiTheme="majorBidi" w:hAnsiTheme="majorBidi" w:cstheme="majorBidi"/>
          <w:sz w:val="24"/>
          <w:szCs w:val="24"/>
        </w:rPr>
        <w:t>rita</w:t>
      </w:r>
      <w:r w:rsidR="00CF382A" w:rsidRPr="00B503E6">
        <w:rPr>
          <w:rFonts w:asciiTheme="majorBidi" w:hAnsiTheme="majorBidi" w:cstheme="majorBidi"/>
          <w:sz w:val="24"/>
          <w:szCs w:val="24"/>
        </w:rPr>
        <w:t>i</w:t>
      </w:r>
      <w:r w:rsidRPr="00B503E6">
        <w:rPr>
          <w:rFonts w:asciiTheme="majorBidi" w:hAnsiTheme="majorBidi" w:cstheme="majorBidi"/>
          <w:sz w:val="24"/>
          <w:szCs w:val="24"/>
        </w:rPr>
        <w:t>n and Northern Ireland to the Council of the league of Nations on the Administration of Palestine and Trans-Jordan</w:t>
      </w:r>
      <w:r w:rsidR="00855FE2" w:rsidRPr="00B503E6">
        <w:rPr>
          <w:rFonts w:asciiTheme="majorBidi" w:hAnsiTheme="majorBidi" w:cstheme="majorBidi"/>
          <w:sz w:val="24"/>
          <w:szCs w:val="24"/>
        </w:rPr>
        <w:t>.</w:t>
      </w:r>
      <w:r w:rsidRPr="00B503E6">
        <w:rPr>
          <w:rFonts w:asciiTheme="majorBidi" w:hAnsiTheme="majorBidi" w:cstheme="majorBidi"/>
          <w:sz w:val="24"/>
          <w:szCs w:val="24"/>
        </w:rPr>
        <w:t xml:space="preserve"> London: His Majesty's Stationary Office</w:t>
      </w:r>
      <w:r w:rsidR="00855FE2" w:rsidRPr="00B503E6">
        <w:rPr>
          <w:rFonts w:asciiTheme="majorBidi" w:hAnsiTheme="majorBidi" w:cstheme="majorBidi"/>
          <w:sz w:val="24"/>
          <w:szCs w:val="24"/>
        </w:rPr>
        <w:t>, Various years 1921-</w:t>
      </w:r>
      <w:r w:rsidR="007B61EC" w:rsidRPr="00B503E6">
        <w:rPr>
          <w:rFonts w:asciiTheme="majorBidi" w:hAnsiTheme="majorBidi" w:cstheme="majorBidi"/>
          <w:sz w:val="24"/>
          <w:szCs w:val="24"/>
        </w:rPr>
        <w:t xml:space="preserve"> 1938</w:t>
      </w:r>
      <w:r w:rsidRPr="00B503E6">
        <w:rPr>
          <w:rFonts w:asciiTheme="majorBidi" w:hAnsiTheme="majorBidi" w:cstheme="majorBidi"/>
          <w:sz w:val="24"/>
          <w:szCs w:val="24"/>
        </w:rPr>
        <w:t>.</w:t>
      </w:r>
    </w:p>
    <w:p w:rsidR="007C0C95" w:rsidRPr="00B503E6" w:rsidRDefault="007C0C95" w:rsidP="00F90ED1">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Arsuzi-Elamir, Dalal. </w:t>
      </w:r>
      <w:r w:rsidR="002E73F3" w:rsidRPr="00B503E6">
        <w:rPr>
          <w:rFonts w:asciiTheme="majorBidi" w:hAnsiTheme="majorBidi" w:cstheme="majorBidi"/>
          <w:sz w:val="24"/>
          <w:szCs w:val="24"/>
        </w:rPr>
        <w:t>“</w:t>
      </w:r>
      <w:r w:rsidRPr="00B503E6">
        <w:rPr>
          <w:rFonts w:asciiTheme="majorBidi" w:hAnsiTheme="majorBidi" w:cstheme="majorBidi"/>
          <w:sz w:val="24"/>
          <w:szCs w:val="24"/>
        </w:rPr>
        <w:t>Zakī al-Arsūzī and Syrian-Arab nationalism in the periphery: The Alexandretta crises of 1936-1939.</w:t>
      </w:r>
      <w:r w:rsidR="002E73F3" w:rsidRPr="00B503E6">
        <w:rPr>
          <w:rFonts w:asciiTheme="majorBidi" w:hAnsiTheme="majorBidi" w:cstheme="majorBidi"/>
          <w:sz w:val="24"/>
          <w:szCs w:val="24"/>
        </w:rPr>
        <w:t>”</w:t>
      </w:r>
      <w:r w:rsidR="00491C00" w:rsidRPr="00B503E6">
        <w:rPr>
          <w:rFonts w:asciiTheme="majorBidi" w:hAnsiTheme="majorBidi" w:cstheme="majorBidi"/>
          <w:sz w:val="24"/>
          <w:szCs w:val="24"/>
        </w:rPr>
        <w:t xml:space="preserve">  In</w:t>
      </w:r>
      <w:r w:rsidR="00491C00" w:rsidRPr="00B503E6">
        <w:rPr>
          <w:rFonts w:asciiTheme="majorBidi" w:hAnsiTheme="majorBidi" w:cstheme="majorBidi"/>
          <w:i/>
          <w:iCs/>
          <w:sz w:val="24"/>
          <w:szCs w:val="24"/>
        </w:rPr>
        <w:t xml:space="preserve"> </w:t>
      </w:r>
      <w:r w:rsidR="00F90ED1" w:rsidRPr="00B503E6">
        <w:rPr>
          <w:rFonts w:asciiTheme="majorBidi" w:hAnsiTheme="majorBidi" w:cstheme="majorBidi"/>
          <w:i/>
          <w:iCs/>
          <w:sz w:val="24"/>
          <w:szCs w:val="24"/>
        </w:rPr>
        <w:t>F</w:t>
      </w:r>
      <w:r w:rsidR="00491C00" w:rsidRPr="00B503E6">
        <w:rPr>
          <w:rFonts w:asciiTheme="majorBidi" w:hAnsiTheme="majorBidi" w:cstheme="majorBidi"/>
          <w:i/>
          <w:iCs/>
          <w:sz w:val="24"/>
          <w:szCs w:val="24"/>
        </w:rPr>
        <w:t xml:space="preserve">rom the Syrian Land to the States </w:t>
      </w:r>
      <w:r w:rsidR="00491C00" w:rsidRPr="00B503E6">
        <w:rPr>
          <w:rFonts w:asciiTheme="majorBidi" w:hAnsiTheme="majorBidi" w:cstheme="majorBidi"/>
          <w:i/>
          <w:iCs/>
          <w:sz w:val="24"/>
          <w:szCs w:val="24"/>
        </w:rPr>
        <w:lastRenderedPageBreak/>
        <w:t>of Syria and Lebanon</w:t>
      </w:r>
      <w:r w:rsidR="00491C00" w:rsidRPr="00B503E6">
        <w:rPr>
          <w:rFonts w:asciiTheme="majorBidi" w:hAnsiTheme="majorBidi" w:cstheme="majorBidi"/>
          <w:sz w:val="24"/>
          <w:szCs w:val="24"/>
        </w:rPr>
        <w:t>, edited by Thomas Philipp and Christoph Schumann, pp. 307-325. Beirut: Orient Institute der DMG, 2004.</w:t>
      </w:r>
      <w:r w:rsidRPr="00B503E6">
        <w:rPr>
          <w:rFonts w:asciiTheme="majorBidi" w:hAnsiTheme="majorBidi" w:cstheme="majorBidi"/>
          <w:sz w:val="24"/>
          <w:szCs w:val="24"/>
        </w:rPr>
        <w:t xml:space="preserve"> </w:t>
      </w:r>
    </w:p>
    <w:p w:rsidR="00FD43D5" w:rsidRPr="00B503E6" w:rsidRDefault="00FD43D5" w:rsidP="002E73F3">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Avitsur, S</w:t>
      </w:r>
      <w:r w:rsidR="00855FE2" w:rsidRPr="00B503E6">
        <w:rPr>
          <w:rFonts w:asciiTheme="majorBidi" w:hAnsiTheme="majorBidi" w:cstheme="majorBidi"/>
          <w:sz w:val="24"/>
          <w:szCs w:val="24"/>
        </w:rPr>
        <w:t>hmuel.</w:t>
      </w:r>
      <w:r w:rsidRPr="00B503E6">
        <w:rPr>
          <w:rFonts w:asciiTheme="majorBidi" w:hAnsiTheme="majorBidi" w:cstheme="majorBidi"/>
          <w:sz w:val="24"/>
          <w:szCs w:val="24"/>
        </w:rPr>
        <w:t xml:space="preserve"> </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The </w:t>
      </w:r>
      <w:r w:rsidR="00892DEA" w:rsidRPr="00B503E6">
        <w:rPr>
          <w:rFonts w:asciiTheme="majorBidi" w:hAnsiTheme="majorBidi" w:cstheme="majorBidi"/>
          <w:sz w:val="24"/>
          <w:szCs w:val="24"/>
        </w:rPr>
        <w:t>I</w:t>
      </w:r>
      <w:r w:rsidRPr="00B503E6">
        <w:rPr>
          <w:rFonts w:asciiTheme="majorBidi" w:hAnsiTheme="majorBidi" w:cstheme="majorBidi"/>
          <w:sz w:val="24"/>
          <w:szCs w:val="24"/>
        </w:rPr>
        <w:t xml:space="preserve">nfluence of </w:t>
      </w:r>
      <w:r w:rsidR="00892DEA" w:rsidRPr="00B503E6">
        <w:rPr>
          <w:rFonts w:asciiTheme="majorBidi" w:hAnsiTheme="majorBidi" w:cstheme="majorBidi"/>
          <w:sz w:val="24"/>
          <w:szCs w:val="24"/>
        </w:rPr>
        <w:t>W</w:t>
      </w:r>
      <w:r w:rsidRPr="00B503E6">
        <w:rPr>
          <w:rFonts w:asciiTheme="majorBidi" w:hAnsiTheme="majorBidi" w:cstheme="majorBidi"/>
          <w:sz w:val="24"/>
          <w:szCs w:val="24"/>
        </w:rPr>
        <w:t xml:space="preserve">estern </w:t>
      </w:r>
      <w:r w:rsidR="00892DEA" w:rsidRPr="00B503E6">
        <w:rPr>
          <w:rFonts w:asciiTheme="majorBidi" w:hAnsiTheme="majorBidi" w:cstheme="majorBidi"/>
          <w:sz w:val="24"/>
          <w:szCs w:val="24"/>
        </w:rPr>
        <w:t>T</w:t>
      </w:r>
      <w:r w:rsidRPr="00B503E6">
        <w:rPr>
          <w:rFonts w:asciiTheme="majorBidi" w:hAnsiTheme="majorBidi" w:cstheme="majorBidi"/>
          <w:sz w:val="24"/>
          <w:szCs w:val="24"/>
        </w:rPr>
        <w:t xml:space="preserve">echnology on the </w:t>
      </w:r>
      <w:r w:rsidR="00892DEA" w:rsidRPr="00B503E6">
        <w:rPr>
          <w:rFonts w:asciiTheme="majorBidi" w:hAnsiTheme="majorBidi" w:cstheme="majorBidi"/>
          <w:sz w:val="24"/>
          <w:szCs w:val="24"/>
        </w:rPr>
        <w:t>E</w:t>
      </w:r>
      <w:r w:rsidRPr="00B503E6">
        <w:rPr>
          <w:rFonts w:asciiTheme="majorBidi" w:hAnsiTheme="majorBidi" w:cstheme="majorBidi"/>
          <w:sz w:val="24"/>
          <w:szCs w:val="24"/>
        </w:rPr>
        <w:t xml:space="preserve">conomy of Palestine </w:t>
      </w:r>
      <w:r w:rsidR="00D10BF2" w:rsidRPr="00B503E6">
        <w:rPr>
          <w:rFonts w:asciiTheme="majorBidi" w:hAnsiTheme="majorBidi" w:cstheme="majorBidi"/>
          <w:sz w:val="24"/>
          <w:szCs w:val="24"/>
        </w:rPr>
        <w:t>D</w:t>
      </w:r>
      <w:r w:rsidRPr="00B503E6">
        <w:rPr>
          <w:rFonts w:asciiTheme="majorBidi" w:hAnsiTheme="majorBidi" w:cstheme="majorBidi"/>
          <w:sz w:val="24"/>
          <w:szCs w:val="24"/>
        </w:rPr>
        <w:t xml:space="preserve">uring the </w:t>
      </w:r>
      <w:r w:rsidR="00892DEA" w:rsidRPr="00B503E6">
        <w:rPr>
          <w:rFonts w:asciiTheme="majorBidi" w:hAnsiTheme="majorBidi" w:cstheme="majorBidi"/>
          <w:sz w:val="24"/>
          <w:szCs w:val="24"/>
        </w:rPr>
        <w:t>N</w:t>
      </w:r>
      <w:r w:rsidRPr="00B503E6">
        <w:rPr>
          <w:rFonts w:asciiTheme="majorBidi" w:hAnsiTheme="majorBidi" w:cstheme="majorBidi"/>
          <w:sz w:val="24"/>
          <w:szCs w:val="24"/>
        </w:rPr>
        <w:t xml:space="preserve">ineteenth </w:t>
      </w:r>
      <w:r w:rsidR="00892DEA" w:rsidRPr="00B503E6">
        <w:rPr>
          <w:rFonts w:asciiTheme="majorBidi" w:hAnsiTheme="majorBidi" w:cstheme="majorBidi"/>
          <w:sz w:val="24"/>
          <w:szCs w:val="24"/>
        </w:rPr>
        <w:t>C</w:t>
      </w:r>
      <w:r w:rsidRPr="00B503E6">
        <w:rPr>
          <w:rFonts w:asciiTheme="majorBidi" w:hAnsiTheme="majorBidi" w:cstheme="majorBidi"/>
          <w:sz w:val="24"/>
          <w:szCs w:val="24"/>
        </w:rPr>
        <w:t>entury</w:t>
      </w:r>
      <w:r w:rsidR="00855FE2" w:rsidRPr="00B503E6">
        <w:rPr>
          <w:rFonts w:asciiTheme="majorBidi" w:hAnsiTheme="majorBidi" w:cstheme="majorBidi"/>
          <w:sz w:val="24"/>
          <w:szCs w:val="24"/>
        </w:rPr>
        <w:t>.</w:t>
      </w:r>
      <w:r w:rsidR="002E73F3" w:rsidRPr="00B503E6">
        <w:rPr>
          <w:rFonts w:asciiTheme="majorBidi" w:hAnsiTheme="majorBidi" w:cstheme="majorBidi"/>
          <w:sz w:val="24"/>
          <w:szCs w:val="24"/>
        </w:rPr>
        <w:t>”</w:t>
      </w:r>
      <w:r w:rsidR="00855FE2" w:rsidRPr="00B503E6">
        <w:rPr>
          <w:rFonts w:asciiTheme="majorBidi" w:hAnsiTheme="majorBidi" w:cstheme="majorBidi"/>
          <w:sz w:val="24"/>
          <w:szCs w:val="24"/>
        </w:rPr>
        <w:t xml:space="preserve"> I</w:t>
      </w:r>
      <w:r w:rsidRPr="00B503E6">
        <w:rPr>
          <w:rFonts w:asciiTheme="majorBidi" w:hAnsiTheme="majorBidi" w:cstheme="majorBidi"/>
          <w:sz w:val="24"/>
          <w:szCs w:val="24"/>
        </w:rPr>
        <w:t xml:space="preserve">n </w:t>
      </w:r>
      <w:r w:rsidRPr="00B503E6">
        <w:rPr>
          <w:rFonts w:asciiTheme="majorBidi" w:hAnsiTheme="majorBidi" w:cstheme="majorBidi"/>
          <w:i/>
          <w:iCs/>
          <w:sz w:val="24"/>
          <w:szCs w:val="24"/>
        </w:rPr>
        <w:t xml:space="preserve">Studies on Palestine </w:t>
      </w:r>
      <w:r w:rsidR="00855FE2" w:rsidRPr="00B503E6">
        <w:rPr>
          <w:rFonts w:asciiTheme="majorBidi" w:hAnsiTheme="majorBidi" w:cstheme="majorBidi"/>
          <w:i/>
          <w:iCs/>
          <w:sz w:val="24"/>
          <w:szCs w:val="24"/>
        </w:rPr>
        <w:t>D</w:t>
      </w:r>
      <w:r w:rsidRPr="00B503E6">
        <w:rPr>
          <w:rFonts w:asciiTheme="majorBidi" w:hAnsiTheme="majorBidi" w:cstheme="majorBidi"/>
          <w:i/>
          <w:iCs/>
          <w:sz w:val="24"/>
          <w:szCs w:val="24"/>
        </w:rPr>
        <w:t>uring the Ottoman Period</w:t>
      </w:r>
      <w:r w:rsidRPr="00B503E6">
        <w:rPr>
          <w:rFonts w:asciiTheme="majorBidi" w:hAnsiTheme="majorBidi" w:cstheme="majorBidi"/>
          <w:sz w:val="24"/>
          <w:szCs w:val="24"/>
        </w:rPr>
        <w:t xml:space="preserve">, </w:t>
      </w:r>
      <w:r w:rsidR="00855FE2" w:rsidRPr="00B503E6">
        <w:rPr>
          <w:rFonts w:asciiTheme="majorBidi" w:hAnsiTheme="majorBidi" w:cstheme="majorBidi"/>
          <w:sz w:val="24"/>
          <w:szCs w:val="24"/>
        </w:rPr>
        <w:t xml:space="preserve">edited by Moshe Maoz, pp. 507-516. </w:t>
      </w:r>
      <w:r w:rsidRPr="00B503E6">
        <w:rPr>
          <w:rFonts w:asciiTheme="majorBidi" w:hAnsiTheme="majorBidi" w:cstheme="majorBidi"/>
          <w:sz w:val="24"/>
          <w:szCs w:val="24"/>
        </w:rPr>
        <w:t>Jerusalem: The Magnes Press,</w:t>
      </w:r>
      <w:r w:rsidR="00855FE2" w:rsidRPr="00B503E6">
        <w:rPr>
          <w:rFonts w:asciiTheme="majorBidi" w:hAnsiTheme="majorBidi" w:cstheme="majorBidi"/>
          <w:sz w:val="24"/>
          <w:szCs w:val="24"/>
        </w:rPr>
        <w:t xml:space="preserve"> 1975.</w:t>
      </w:r>
    </w:p>
    <w:p w:rsidR="00E91F34" w:rsidRPr="00B503E6" w:rsidRDefault="00E91F34" w:rsidP="002E73F3">
      <w:pPr>
        <w:spacing w:line="480" w:lineRule="auto"/>
        <w:ind w:left="284" w:hanging="284"/>
        <w:contextualSpacing/>
        <w:jc w:val="both"/>
        <w:rPr>
          <w:rFonts w:asciiTheme="majorBidi" w:hAnsiTheme="majorBidi" w:cstheme="majorBidi"/>
          <w:sz w:val="24"/>
          <w:szCs w:val="24"/>
        </w:rPr>
      </w:pPr>
      <w:r w:rsidRPr="00B503E6">
        <w:rPr>
          <w:rFonts w:asciiTheme="majorBidi" w:hAnsiTheme="majorBidi" w:cstheme="majorBidi"/>
          <w:sz w:val="24"/>
          <w:szCs w:val="24"/>
        </w:rPr>
        <w:t>Badre, A</w:t>
      </w:r>
      <w:r w:rsidR="007B61EC" w:rsidRPr="00B503E6">
        <w:rPr>
          <w:rFonts w:asciiTheme="majorBidi" w:hAnsiTheme="majorBidi" w:cstheme="majorBidi"/>
          <w:sz w:val="24"/>
          <w:szCs w:val="24"/>
        </w:rPr>
        <w:t>lbert</w:t>
      </w:r>
      <w:r w:rsidRPr="00B503E6">
        <w:rPr>
          <w:rFonts w:asciiTheme="majorBidi" w:hAnsiTheme="majorBidi" w:cstheme="majorBidi"/>
          <w:sz w:val="24"/>
          <w:szCs w:val="24"/>
        </w:rPr>
        <w:t xml:space="preserve"> Y. </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Economic </w:t>
      </w:r>
      <w:r w:rsidR="00892DEA" w:rsidRPr="00B503E6">
        <w:rPr>
          <w:rFonts w:asciiTheme="majorBidi" w:hAnsiTheme="majorBidi" w:cstheme="majorBidi"/>
          <w:sz w:val="24"/>
          <w:szCs w:val="24"/>
        </w:rPr>
        <w:t>D</w:t>
      </w:r>
      <w:r w:rsidRPr="00B503E6">
        <w:rPr>
          <w:rFonts w:asciiTheme="majorBidi" w:hAnsiTheme="majorBidi" w:cstheme="majorBidi"/>
          <w:sz w:val="24"/>
          <w:szCs w:val="24"/>
        </w:rPr>
        <w:t>evelopment of Lebanon</w:t>
      </w:r>
      <w:r w:rsidR="007B61EC" w:rsidRPr="00B503E6">
        <w:rPr>
          <w:rFonts w:asciiTheme="majorBidi" w:hAnsiTheme="majorBidi" w:cstheme="majorBidi"/>
          <w:sz w:val="24"/>
          <w:szCs w:val="24"/>
        </w:rPr>
        <w:t>.</w:t>
      </w:r>
      <w:r w:rsidR="002E73F3" w:rsidRPr="00B503E6">
        <w:rPr>
          <w:rFonts w:asciiTheme="majorBidi" w:hAnsiTheme="majorBidi" w:cstheme="majorBidi"/>
          <w:sz w:val="24"/>
          <w:szCs w:val="24"/>
        </w:rPr>
        <w:t>”</w:t>
      </w:r>
      <w:r w:rsidR="007B61EC" w:rsidRPr="00B503E6">
        <w:rPr>
          <w:rFonts w:asciiTheme="majorBidi" w:hAnsiTheme="majorBidi" w:cstheme="majorBidi"/>
          <w:sz w:val="24"/>
          <w:szCs w:val="24"/>
        </w:rPr>
        <w:t xml:space="preserve"> I</w:t>
      </w:r>
      <w:r w:rsidRPr="00B503E6">
        <w:rPr>
          <w:rFonts w:asciiTheme="majorBidi" w:hAnsiTheme="majorBidi" w:cstheme="majorBidi"/>
          <w:sz w:val="24"/>
          <w:szCs w:val="24"/>
        </w:rPr>
        <w:t xml:space="preserve">n </w:t>
      </w:r>
      <w:r w:rsidRPr="00B503E6">
        <w:rPr>
          <w:rFonts w:asciiTheme="majorBidi" w:hAnsiTheme="majorBidi" w:cstheme="majorBidi"/>
          <w:i/>
          <w:iCs/>
          <w:sz w:val="24"/>
          <w:szCs w:val="24"/>
        </w:rPr>
        <w:t xml:space="preserve">Economic </w:t>
      </w:r>
      <w:r w:rsidR="00892DEA" w:rsidRPr="00B503E6">
        <w:rPr>
          <w:rFonts w:asciiTheme="majorBidi" w:hAnsiTheme="majorBidi" w:cstheme="majorBidi"/>
          <w:i/>
          <w:iCs/>
          <w:sz w:val="24"/>
          <w:szCs w:val="24"/>
        </w:rPr>
        <w:t>D</w:t>
      </w:r>
      <w:r w:rsidRPr="00B503E6">
        <w:rPr>
          <w:rFonts w:asciiTheme="majorBidi" w:hAnsiTheme="majorBidi" w:cstheme="majorBidi"/>
          <w:i/>
          <w:iCs/>
          <w:sz w:val="24"/>
          <w:szCs w:val="24"/>
        </w:rPr>
        <w:t xml:space="preserve">evelopment and </w:t>
      </w:r>
      <w:r w:rsidR="00892DEA" w:rsidRPr="00B503E6">
        <w:rPr>
          <w:rFonts w:asciiTheme="majorBidi" w:hAnsiTheme="majorBidi" w:cstheme="majorBidi"/>
          <w:i/>
          <w:iCs/>
          <w:sz w:val="24"/>
          <w:szCs w:val="24"/>
        </w:rPr>
        <w:t>P</w:t>
      </w:r>
      <w:r w:rsidRPr="00B503E6">
        <w:rPr>
          <w:rFonts w:asciiTheme="majorBidi" w:hAnsiTheme="majorBidi" w:cstheme="majorBidi"/>
          <w:i/>
          <w:iCs/>
          <w:sz w:val="24"/>
          <w:szCs w:val="24"/>
        </w:rPr>
        <w:t xml:space="preserve">opulation </w:t>
      </w:r>
      <w:r w:rsidR="00892DEA" w:rsidRPr="00B503E6">
        <w:rPr>
          <w:rFonts w:asciiTheme="majorBidi" w:hAnsiTheme="majorBidi" w:cstheme="majorBidi"/>
          <w:i/>
          <w:iCs/>
          <w:sz w:val="24"/>
          <w:szCs w:val="24"/>
        </w:rPr>
        <w:t>G</w:t>
      </w:r>
      <w:r w:rsidRPr="00B503E6">
        <w:rPr>
          <w:rFonts w:asciiTheme="majorBidi" w:hAnsiTheme="majorBidi" w:cstheme="majorBidi"/>
          <w:i/>
          <w:iCs/>
          <w:sz w:val="24"/>
          <w:szCs w:val="24"/>
        </w:rPr>
        <w:t>rowth in the Middle East</w:t>
      </w:r>
      <w:r w:rsidRPr="00B503E6">
        <w:rPr>
          <w:rFonts w:asciiTheme="majorBidi" w:hAnsiTheme="majorBidi" w:cstheme="majorBidi"/>
          <w:sz w:val="24"/>
          <w:szCs w:val="24"/>
        </w:rPr>
        <w:t xml:space="preserve">, </w:t>
      </w:r>
      <w:r w:rsidR="007B61EC" w:rsidRPr="00B503E6">
        <w:rPr>
          <w:rFonts w:asciiTheme="majorBidi" w:hAnsiTheme="majorBidi" w:cstheme="majorBidi"/>
          <w:sz w:val="24"/>
          <w:szCs w:val="24"/>
        </w:rPr>
        <w:t xml:space="preserve">edited by Charles A. Cooper and Sidney S. Alexander, pp. 159-207. </w:t>
      </w:r>
      <w:r w:rsidRPr="00B503E6">
        <w:rPr>
          <w:rFonts w:asciiTheme="majorBidi" w:hAnsiTheme="majorBidi" w:cstheme="majorBidi"/>
          <w:sz w:val="24"/>
          <w:szCs w:val="24"/>
        </w:rPr>
        <w:t>New York: American Elsevier Publishing Company</w:t>
      </w:r>
      <w:r w:rsidR="00D722DD" w:rsidRPr="00B503E6">
        <w:rPr>
          <w:rFonts w:asciiTheme="majorBidi" w:hAnsiTheme="majorBidi" w:cstheme="majorBidi"/>
          <w:sz w:val="24"/>
          <w:szCs w:val="24"/>
        </w:rPr>
        <w:t xml:space="preserve">, </w:t>
      </w:r>
      <w:r w:rsidR="007B61EC" w:rsidRPr="00B503E6">
        <w:rPr>
          <w:rFonts w:asciiTheme="majorBidi" w:hAnsiTheme="majorBidi" w:cstheme="majorBidi"/>
          <w:sz w:val="24"/>
          <w:szCs w:val="24"/>
        </w:rPr>
        <w:t>1971.</w:t>
      </w:r>
    </w:p>
    <w:p w:rsidR="00CD71CF" w:rsidRPr="00B503E6" w:rsidRDefault="00CD71CF" w:rsidP="002E73F3">
      <w:pPr>
        <w:spacing w:line="480" w:lineRule="auto"/>
        <w:ind w:left="284" w:hanging="284"/>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Ben-Arieh, </w:t>
      </w:r>
      <w:r w:rsidR="00892DEA" w:rsidRPr="00B503E6">
        <w:rPr>
          <w:rFonts w:asciiTheme="majorBidi" w:hAnsiTheme="majorBidi" w:cstheme="majorBidi"/>
          <w:sz w:val="24"/>
          <w:szCs w:val="24"/>
        </w:rPr>
        <w:t>Y</w:t>
      </w:r>
      <w:r w:rsidR="007B61EC" w:rsidRPr="00B503E6">
        <w:rPr>
          <w:rFonts w:asciiTheme="majorBidi" w:hAnsiTheme="majorBidi" w:cstheme="majorBidi"/>
          <w:sz w:val="24"/>
          <w:szCs w:val="24"/>
        </w:rPr>
        <w:t>ehoshua</w:t>
      </w:r>
      <w:r w:rsidR="00892DEA" w:rsidRPr="00B503E6">
        <w:rPr>
          <w:rFonts w:asciiTheme="majorBidi" w:hAnsiTheme="majorBidi" w:cstheme="majorBidi"/>
          <w:sz w:val="24"/>
          <w:szCs w:val="24"/>
        </w:rPr>
        <w:t xml:space="preserve">. </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The Population of the Large Towns in Palestine </w:t>
      </w:r>
      <w:r w:rsidR="00D10BF2" w:rsidRPr="00B503E6">
        <w:rPr>
          <w:rFonts w:asciiTheme="majorBidi" w:hAnsiTheme="majorBidi" w:cstheme="majorBidi"/>
          <w:sz w:val="24"/>
          <w:szCs w:val="24"/>
        </w:rPr>
        <w:t>D</w:t>
      </w:r>
      <w:r w:rsidRPr="00B503E6">
        <w:rPr>
          <w:rFonts w:asciiTheme="majorBidi" w:hAnsiTheme="majorBidi" w:cstheme="majorBidi"/>
          <w:sz w:val="24"/>
          <w:szCs w:val="24"/>
        </w:rPr>
        <w:t xml:space="preserve">uring the </w:t>
      </w:r>
      <w:r w:rsidR="00D10BF2" w:rsidRPr="00B503E6">
        <w:rPr>
          <w:rFonts w:asciiTheme="majorBidi" w:hAnsiTheme="majorBidi" w:cstheme="majorBidi"/>
          <w:sz w:val="24"/>
          <w:szCs w:val="24"/>
        </w:rPr>
        <w:t>F</w:t>
      </w:r>
      <w:r w:rsidRPr="00B503E6">
        <w:rPr>
          <w:rFonts w:asciiTheme="majorBidi" w:hAnsiTheme="majorBidi" w:cstheme="majorBidi"/>
          <w:sz w:val="24"/>
          <w:szCs w:val="24"/>
        </w:rPr>
        <w:t xml:space="preserve">irst </w:t>
      </w:r>
      <w:r w:rsidR="00D10BF2" w:rsidRPr="00B503E6">
        <w:rPr>
          <w:rFonts w:asciiTheme="majorBidi" w:hAnsiTheme="majorBidi" w:cstheme="majorBidi"/>
          <w:sz w:val="24"/>
          <w:szCs w:val="24"/>
        </w:rPr>
        <w:t>E</w:t>
      </w:r>
      <w:r w:rsidRPr="00B503E6">
        <w:rPr>
          <w:rFonts w:asciiTheme="majorBidi" w:hAnsiTheme="majorBidi" w:cstheme="majorBidi"/>
          <w:sz w:val="24"/>
          <w:szCs w:val="24"/>
        </w:rPr>
        <w:t>ight</w:t>
      </w:r>
      <w:r w:rsidR="00D10BF2" w:rsidRPr="00B503E6">
        <w:rPr>
          <w:rFonts w:asciiTheme="majorBidi" w:hAnsiTheme="majorBidi" w:cstheme="majorBidi"/>
          <w:sz w:val="24"/>
          <w:szCs w:val="24"/>
        </w:rPr>
        <w:t>y</w:t>
      </w:r>
      <w:r w:rsidRPr="00B503E6">
        <w:rPr>
          <w:rFonts w:asciiTheme="majorBidi" w:hAnsiTheme="majorBidi" w:cstheme="majorBidi"/>
          <w:sz w:val="24"/>
          <w:szCs w:val="24"/>
        </w:rPr>
        <w:t xml:space="preserve"> </w:t>
      </w:r>
      <w:r w:rsidR="00D10BF2" w:rsidRPr="00B503E6">
        <w:rPr>
          <w:rFonts w:asciiTheme="majorBidi" w:hAnsiTheme="majorBidi" w:cstheme="majorBidi"/>
          <w:sz w:val="24"/>
          <w:szCs w:val="24"/>
        </w:rPr>
        <w:t>Y</w:t>
      </w:r>
      <w:r w:rsidRPr="00B503E6">
        <w:rPr>
          <w:rFonts w:asciiTheme="majorBidi" w:hAnsiTheme="majorBidi" w:cstheme="majorBidi"/>
          <w:sz w:val="24"/>
          <w:szCs w:val="24"/>
        </w:rPr>
        <w:t xml:space="preserve">ears of the </w:t>
      </w:r>
      <w:r w:rsidR="00D10BF2" w:rsidRPr="00B503E6">
        <w:rPr>
          <w:rFonts w:asciiTheme="majorBidi" w:hAnsiTheme="majorBidi" w:cstheme="majorBidi"/>
          <w:sz w:val="24"/>
          <w:szCs w:val="24"/>
        </w:rPr>
        <w:t>N</w:t>
      </w:r>
      <w:r w:rsidRPr="00B503E6">
        <w:rPr>
          <w:rFonts w:asciiTheme="majorBidi" w:hAnsiTheme="majorBidi" w:cstheme="majorBidi"/>
          <w:sz w:val="24"/>
          <w:szCs w:val="24"/>
        </w:rPr>
        <w:t xml:space="preserve">ineteenth </w:t>
      </w:r>
      <w:r w:rsidR="00D10BF2" w:rsidRPr="00B503E6">
        <w:rPr>
          <w:rFonts w:asciiTheme="majorBidi" w:hAnsiTheme="majorBidi" w:cstheme="majorBidi"/>
          <w:sz w:val="24"/>
          <w:szCs w:val="24"/>
        </w:rPr>
        <w:t>C</w:t>
      </w:r>
      <w:r w:rsidRPr="00B503E6">
        <w:rPr>
          <w:rFonts w:asciiTheme="majorBidi" w:hAnsiTheme="majorBidi" w:cstheme="majorBidi"/>
          <w:sz w:val="24"/>
          <w:szCs w:val="24"/>
        </w:rPr>
        <w:t xml:space="preserve">entury, </w:t>
      </w:r>
      <w:r w:rsidR="00D10BF2" w:rsidRPr="00B503E6">
        <w:rPr>
          <w:rFonts w:asciiTheme="majorBidi" w:hAnsiTheme="majorBidi" w:cstheme="majorBidi"/>
          <w:sz w:val="24"/>
          <w:szCs w:val="24"/>
        </w:rPr>
        <w:t>A</w:t>
      </w:r>
      <w:r w:rsidRPr="00B503E6">
        <w:rPr>
          <w:rFonts w:asciiTheme="majorBidi" w:hAnsiTheme="majorBidi" w:cstheme="majorBidi"/>
          <w:sz w:val="24"/>
          <w:szCs w:val="24"/>
        </w:rPr>
        <w:t xml:space="preserve">ccording to </w:t>
      </w:r>
      <w:r w:rsidR="00D10BF2" w:rsidRPr="00B503E6">
        <w:rPr>
          <w:rFonts w:asciiTheme="majorBidi" w:hAnsiTheme="majorBidi" w:cstheme="majorBidi"/>
          <w:sz w:val="24"/>
          <w:szCs w:val="24"/>
        </w:rPr>
        <w:t>W</w:t>
      </w:r>
      <w:r w:rsidRPr="00B503E6">
        <w:rPr>
          <w:rFonts w:asciiTheme="majorBidi" w:hAnsiTheme="majorBidi" w:cstheme="majorBidi"/>
          <w:sz w:val="24"/>
          <w:szCs w:val="24"/>
        </w:rPr>
        <w:t xml:space="preserve">estern </w:t>
      </w:r>
      <w:r w:rsidR="00D10BF2" w:rsidRPr="00B503E6">
        <w:rPr>
          <w:rFonts w:asciiTheme="majorBidi" w:hAnsiTheme="majorBidi" w:cstheme="majorBidi"/>
          <w:sz w:val="24"/>
          <w:szCs w:val="24"/>
        </w:rPr>
        <w:t>S</w:t>
      </w:r>
      <w:r w:rsidRPr="00B503E6">
        <w:rPr>
          <w:rFonts w:asciiTheme="majorBidi" w:hAnsiTheme="majorBidi" w:cstheme="majorBidi"/>
          <w:sz w:val="24"/>
          <w:szCs w:val="24"/>
        </w:rPr>
        <w:t>ources</w:t>
      </w:r>
      <w:r w:rsidR="007B61EC" w:rsidRPr="00B503E6">
        <w:rPr>
          <w:rFonts w:asciiTheme="majorBidi" w:hAnsiTheme="majorBidi" w:cstheme="majorBidi"/>
          <w:sz w:val="24"/>
          <w:szCs w:val="24"/>
        </w:rPr>
        <w:t>.</w:t>
      </w:r>
      <w:r w:rsidR="002E73F3" w:rsidRPr="00B503E6">
        <w:rPr>
          <w:rFonts w:asciiTheme="majorBidi" w:hAnsiTheme="majorBidi" w:cstheme="majorBidi"/>
          <w:sz w:val="24"/>
          <w:szCs w:val="24"/>
        </w:rPr>
        <w:t>”</w:t>
      </w:r>
      <w:r w:rsidR="007B61EC" w:rsidRPr="00B503E6">
        <w:rPr>
          <w:rFonts w:asciiTheme="majorBidi" w:hAnsiTheme="majorBidi" w:cstheme="majorBidi"/>
          <w:sz w:val="24"/>
          <w:szCs w:val="24"/>
        </w:rPr>
        <w:t xml:space="preserve"> In </w:t>
      </w:r>
      <w:r w:rsidRPr="00B503E6">
        <w:rPr>
          <w:rFonts w:asciiTheme="majorBidi" w:hAnsiTheme="majorBidi" w:cstheme="majorBidi"/>
          <w:i/>
          <w:iCs/>
          <w:sz w:val="24"/>
          <w:szCs w:val="24"/>
        </w:rPr>
        <w:t xml:space="preserve">Studies on Palestine </w:t>
      </w:r>
      <w:r w:rsidR="00D10BF2" w:rsidRPr="00B503E6">
        <w:rPr>
          <w:rFonts w:asciiTheme="majorBidi" w:hAnsiTheme="majorBidi" w:cstheme="majorBidi"/>
          <w:i/>
          <w:iCs/>
          <w:sz w:val="24"/>
          <w:szCs w:val="24"/>
        </w:rPr>
        <w:t>D</w:t>
      </w:r>
      <w:r w:rsidRPr="00B503E6">
        <w:rPr>
          <w:rFonts w:asciiTheme="majorBidi" w:hAnsiTheme="majorBidi" w:cstheme="majorBidi"/>
          <w:i/>
          <w:iCs/>
          <w:sz w:val="24"/>
          <w:szCs w:val="24"/>
        </w:rPr>
        <w:t>uring the Ottoman Period</w:t>
      </w:r>
      <w:r w:rsidRPr="00B503E6">
        <w:rPr>
          <w:rFonts w:asciiTheme="majorBidi" w:hAnsiTheme="majorBidi" w:cstheme="majorBidi"/>
          <w:sz w:val="24"/>
          <w:szCs w:val="24"/>
        </w:rPr>
        <w:t xml:space="preserve">, </w:t>
      </w:r>
      <w:r w:rsidR="007B61EC" w:rsidRPr="00B503E6">
        <w:rPr>
          <w:rFonts w:asciiTheme="majorBidi" w:hAnsiTheme="majorBidi" w:cstheme="majorBidi"/>
          <w:sz w:val="24"/>
          <w:szCs w:val="24"/>
        </w:rPr>
        <w:t>edited by Moshe Maoz, pp.</w:t>
      </w:r>
      <w:r w:rsidR="006A4775" w:rsidRPr="00B503E6">
        <w:rPr>
          <w:rFonts w:asciiTheme="majorBidi" w:hAnsiTheme="majorBidi" w:cstheme="majorBidi"/>
          <w:sz w:val="24"/>
          <w:szCs w:val="24"/>
        </w:rPr>
        <w:t xml:space="preserve"> </w:t>
      </w:r>
      <w:r w:rsidR="007B61EC" w:rsidRPr="00B503E6">
        <w:rPr>
          <w:rFonts w:asciiTheme="majorBidi" w:hAnsiTheme="majorBidi" w:cstheme="majorBidi"/>
          <w:sz w:val="24"/>
          <w:szCs w:val="24"/>
        </w:rPr>
        <w:t xml:space="preserve">49-69.  </w:t>
      </w:r>
      <w:r w:rsidRPr="00B503E6">
        <w:rPr>
          <w:rFonts w:asciiTheme="majorBidi" w:hAnsiTheme="majorBidi" w:cstheme="majorBidi"/>
          <w:sz w:val="24"/>
          <w:szCs w:val="24"/>
        </w:rPr>
        <w:t xml:space="preserve">Jerusalem: The Magnes Press,  </w:t>
      </w:r>
      <w:r w:rsidR="007B61EC" w:rsidRPr="00B503E6">
        <w:rPr>
          <w:rFonts w:asciiTheme="majorBidi" w:hAnsiTheme="majorBidi" w:cstheme="majorBidi"/>
          <w:sz w:val="24"/>
          <w:szCs w:val="24"/>
        </w:rPr>
        <w:t>1975</w:t>
      </w:r>
      <w:r w:rsidRPr="00B503E6">
        <w:rPr>
          <w:rFonts w:asciiTheme="majorBidi" w:hAnsiTheme="majorBidi" w:cstheme="majorBidi"/>
          <w:sz w:val="24"/>
          <w:szCs w:val="24"/>
        </w:rPr>
        <w:t>.</w:t>
      </w:r>
    </w:p>
    <w:p w:rsidR="002716AA" w:rsidRPr="00B503E6" w:rsidRDefault="00BD2481" w:rsidP="007B61EC">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Bonne, A</w:t>
      </w:r>
      <w:r w:rsidR="007B61EC" w:rsidRPr="00B503E6">
        <w:rPr>
          <w:rFonts w:asciiTheme="majorBidi" w:hAnsiTheme="majorBidi" w:cstheme="majorBidi"/>
          <w:sz w:val="24"/>
          <w:szCs w:val="24"/>
        </w:rPr>
        <w:t>lfred.</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 xml:space="preserve">State and </w:t>
      </w:r>
      <w:r w:rsidR="00D10BF2" w:rsidRPr="00B503E6">
        <w:rPr>
          <w:rFonts w:asciiTheme="majorBidi" w:hAnsiTheme="majorBidi" w:cstheme="majorBidi"/>
          <w:i/>
          <w:iCs/>
          <w:sz w:val="24"/>
          <w:szCs w:val="24"/>
        </w:rPr>
        <w:t>E</w:t>
      </w:r>
      <w:r w:rsidRPr="00B503E6">
        <w:rPr>
          <w:rFonts w:asciiTheme="majorBidi" w:hAnsiTheme="majorBidi" w:cstheme="majorBidi"/>
          <w:i/>
          <w:iCs/>
          <w:sz w:val="24"/>
          <w:szCs w:val="24"/>
        </w:rPr>
        <w:t xml:space="preserve">conomics in the Middle East: A </w:t>
      </w:r>
      <w:r w:rsidR="00D10BF2" w:rsidRPr="00B503E6">
        <w:rPr>
          <w:rFonts w:asciiTheme="majorBidi" w:hAnsiTheme="majorBidi" w:cstheme="majorBidi"/>
          <w:i/>
          <w:iCs/>
          <w:sz w:val="24"/>
          <w:szCs w:val="24"/>
        </w:rPr>
        <w:t>S</w:t>
      </w:r>
      <w:r w:rsidRPr="00B503E6">
        <w:rPr>
          <w:rFonts w:asciiTheme="majorBidi" w:hAnsiTheme="majorBidi" w:cstheme="majorBidi"/>
          <w:i/>
          <w:iCs/>
          <w:sz w:val="24"/>
          <w:szCs w:val="24"/>
        </w:rPr>
        <w:t xml:space="preserve">ociety in </w:t>
      </w:r>
      <w:r w:rsidR="00D10BF2" w:rsidRPr="00B503E6">
        <w:rPr>
          <w:rFonts w:asciiTheme="majorBidi" w:hAnsiTheme="majorBidi" w:cstheme="majorBidi"/>
          <w:i/>
          <w:iCs/>
          <w:sz w:val="24"/>
          <w:szCs w:val="24"/>
        </w:rPr>
        <w:t>T</w:t>
      </w:r>
      <w:r w:rsidRPr="00B503E6">
        <w:rPr>
          <w:rFonts w:asciiTheme="majorBidi" w:hAnsiTheme="majorBidi" w:cstheme="majorBidi"/>
          <w:i/>
          <w:iCs/>
          <w:sz w:val="24"/>
          <w:szCs w:val="24"/>
        </w:rPr>
        <w:t>ransition</w:t>
      </w:r>
      <w:r w:rsidR="007B61EC" w:rsidRPr="00B503E6">
        <w:rPr>
          <w:rFonts w:asciiTheme="majorBidi" w:hAnsiTheme="majorBidi" w:cstheme="majorBidi"/>
          <w:sz w:val="24"/>
          <w:szCs w:val="24"/>
        </w:rPr>
        <w:t>.</w:t>
      </w:r>
      <w:r w:rsidRPr="00B503E6">
        <w:rPr>
          <w:rFonts w:asciiTheme="majorBidi" w:hAnsiTheme="majorBidi" w:cstheme="majorBidi"/>
          <w:sz w:val="24"/>
          <w:szCs w:val="24"/>
        </w:rPr>
        <w:t xml:space="preserve"> London: Routledge</w:t>
      </w:r>
      <w:r w:rsidR="00D10BF2" w:rsidRPr="00B503E6">
        <w:rPr>
          <w:rFonts w:asciiTheme="majorBidi" w:hAnsiTheme="majorBidi" w:cstheme="majorBidi"/>
          <w:sz w:val="24"/>
          <w:szCs w:val="24"/>
        </w:rPr>
        <w:t xml:space="preserve"> </w:t>
      </w:r>
      <w:r w:rsidRPr="00B503E6">
        <w:rPr>
          <w:rFonts w:asciiTheme="majorBidi" w:hAnsiTheme="majorBidi" w:cstheme="majorBidi"/>
          <w:sz w:val="24"/>
          <w:szCs w:val="24"/>
        </w:rPr>
        <w:t>&amp; Kegan Paul LTD</w:t>
      </w:r>
      <w:r w:rsidR="007B61EC" w:rsidRPr="00B503E6">
        <w:rPr>
          <w:rFonts w:asciiTheme="majorBidi" w:hAnsiTheme="majorBidi" w:cstheme="majorBidi"/>
          <w:sz w:val="24"/>
          <w:szCs w:val="24"/>
        </w:rPr>
        <w:t>, 1955</w:t>
      </w:r>
      <w:r w:rsidRPr="00B503E6">
        <w:rPr>
          <w:rFonts w:asciiTheme="majorBidi" w:hAnsiTheme="majorBidi" w:cstheme="majorBidi"/>
          <w:sz w:val="24"/>
          <w:szCs w:val="24"/>
        </w:rPr>
        <w:t>.</w:t>
      </w:r>
    </w:p>
    <w:p w:rsidR="001046CB" w:rsidRPr="00B503E6" w:rsidRDefault="002716AA" w:rsidP="002E73F3">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Bunton, M</w:t>
      </w:r>
      <w:r w:rsidR="007B61EC" w:rsidRPr="00B503E6">
        <w:rPr>
          <w:rFonts w:asciiTheme="majorBidi" w:hAnsiTheme="majorBidi" w:cstheme="majorBidi"/>
          <w:sz w:val="24"/>
          <w:szCs w:val="24"/>
        </w:rPr>
        <w:t>artin</w:t>
      </w:r>
      <w:r w:rsidR="00D10BF2"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Demarcating the British </w:t>
      </w:r>
      <w:r w:rsidR="00D10BF2" w:rsidRPr="00B503E6">
        <w:rPr>
          <w:rFonts w:asciiTheme="majorBidi" w:hAnsiTheme="majorBidi" w:cstheme="majorBidi"/>
          <w:sz w:val="24"/>
          <w:szCs w:val="24"/>
        </w:rPr>
        <w:t>C</w:t>
      </w:r>
      <w:r w:rsidRPr="00B503E6">
        <w:rPr>
          <w:rFonts w:asciiTheme="majorBidi" w:hAnsiTheme="majorBidi" w:cstheme="majorBidi"/>
          <w:sz w:val="24"/>
          <w:szCs w:val="24"/>
        </w:rPr>
        <w:t xml:space="preserve">olonial </w:t>
      </w:r>
      <w:r w:rsidR="00D10BF2" w:rsidRPr="00B503E6">
        <w:rPr>
          <w:rFonts w:asciiTheme="majorBidi" w:hAnsiTheme="majorBidi" w:cstheme="majorBidi"/>
          <w:sz w:val="24"/>
          <w:szCs w:val="24"/>
        </w:rPr>
        <w:t>S</w:t>
      </w:r>
      <w:r w:rsidRPr="00B503E6">
        <w:rPr>
          <w:rFonts w:asciiTheme="majorBidi" w:hAnsiTheme="majorBidi" w:cstheme="majorBidi"/>
          <w:sz w:val="24"/>
          <w:szCs w:val="24"/>
        </w:rPr>
        <w:t xml:space="preserve">tate: Land </w:t>
      </w:r>
      <w:r w:rsidR="00D10BF2" w:rsidRPr="00B503E6">
        <w:rPr>
          <w:rFonts w:asciiTheme="majorBidi" w:hAnsiTheme="majorBidi" w:cstheme="majorBidi"/>
          <w:sz w:val="24"/>
          <w:szCs w:val="24"/>
        </w:rPr>
        <w:t>S</w:t>
      </w:r>
      <w:r w:rsidRPr="00B503E6">
        <w:rPr>
          <w:rFonts w:asciiTheme="majorBidi" w:hAnsiTheme="majorBidi" w:cstheme="majorBidi"/>
          <w:sz w:val="24"/>
          <w:szCs w:val="24"/>
        </w:rPr>
        <w:t xml:space="preserve">ettlement in the Palestinian </w:t>
      </w:r>
      <w:r w:rsidRPr="00B503E6">
        <w:rPr>
          <w:rFonts w:asciiTheme="majorBidi" w:hAnsiTheme="majorBidi" w:cstheme="majorBidi"/>
          <w:i/>
          <w:iCs/>
          <w:sz w:val="24"/>
          <w:szCs w:val="24"/>
        </w:rPr>
        <w:t>jiftlik</w:t>
      </w:r>
      <w:r w:rsidRPr="00B503E6">
        <w:rPr>
          <w:rFonts w:asciiTheme="majorBidi" w:hAnsiTheme="majorBidi" w:cstheme="majorBidi"/>
          <w:sz w:val="24"/>
          <w:szCs w:val="24"/>
        </w:rPr>
        <w:t xml:space="preserve"> </w:t>
      </w:r>
      <w:r w:rsidR="00D10BF2" w:rsidRPr="00B503E6">
        <w:rPr>
          <w:rFonts w:asciiTheme="majorBidi" w:hAnsiTheme="majorBidi" w:cstheme="majorBidi"/>
          <w:sz w:val="24"/>
          <w:szCs w:val="24"/>
        </w:rPr>
        <w:t>V</w:t>
      </w:r>
      <w:r w:rsidRPr="00B503E6">
        <w:rPr>
          <w:rFonts w:asciiTheme="majorBidi" w:hAnsiTheme="majorBidi" w:cstheme="majorBidi"/>
          <w:sz w:val="24"/>
          <w:szCs w:val="24"/>
        </w:rPr>
        <w:t>illages of Sajad and Qazaza</w:t>
      </w:r>
      <w:r w:rsidR="007B61EC" w:rsidRPr="00B503E6">
        <w:rPr>
          <w:rFonts w:asciiTheme="majorBidi" w:hAnsiTheme="majorBidi" w:cstheme="majorBidi"/>
          <w:sz w:val="24"/>
          <w:szCs w:val="24"/>
        </w:rPr>
        <w:t>.</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7B61EC" w:rsidRPr="00B503E6">
        <w:rPr>
          <w:rFonts w:asciiTheme="majorBidi" w:hAnsiTheme="majorBidi" w:cstheme="majorBidi"/>
          <w:sz w:val="24"/>
          <w:szCs w:val="24"/>
        </w:rPr>
        <w:t>I</w:t>
      </w:r>
      <w:r w:rsidRPr="00B503E6">
        <w:rPr>
          <w:rFonts w:asciiTheme="majorBidi" w:hAnsiTheme="majorBidi" w:cstheme="majorBidi"/>
          <w:sz w:val="24"/>
          <w:szCs w:val="24"/>
        </w:rPr>
        <w:t xml:space="preserve">n </w:t>
      </w:r>
      <w:r w:rsidRPr="00B503E6">
        <w:rPr>
          <w:rFonts w:asciiTheme="majorBidi" w:hAnsiTheme="majorBidi" w:cstheme="majorBidi"/>
          <w:i/>
          <w:iCs/>
          <w:sz w:val="24"/>
          <w:szCs w:val="24"/>
        </w:rPr>
        <w:t xml:space="preserve">New </w:t>
      </w:r>
      <w:r w:rsidR="007C0C95" w:rsidRPr="00B503E6">
        <w:rPr>
          <w:rFonts w:asciiTheme="majorBidi" w:hAnsiTheme="majorBidi" w:cstheme="majorBidi"/>
          <w:i/>
          <w:iCs/>
          <w:sz w:val="24"/>
          <w:szCs w:val="24"/>
        </w:rPr>
        <w:t>P</w:t>
      </w:r>
      <w:r w:rsidRPr="00B503E6">
        <w:rPr>
          <w:rFonts w:asciiTheme="majorBidi" w:hAnsiTheme="majorBidi" w:cstheme="majorBidi"/>
          <w:i/>
          <w:iCs/>
          <w:sz w:val="24"/>
          <w:szCs w:val="24"/>
        </w:rPr>
        <w:t xml:space="preserve">erspectives on </w:t>
      </w:r>
      <w:r w:rsidR="00D10BF2" w:rsidRPr="00B503E6">
        <w:rPr>
          <w:rFonts w:asciiTheme="majorBidi" w:hAnsiTheme="majorBidi" w:cstheme="majorBidi"/>
          <w:i/>
          <w:iCs/>
          <w:sz w:val="24"/>
          <w:szCs w:val="24"/>
        </w:rPr>
        <w:t>P</w:t>
      </w:r>
      <w:r w:rsidRPr="00B503E6">
        <w:rPr>
          <w:rFonts w:asciiTheme="majorBidi" w:hAnsiTheme="majorBidi" w:cstheme="majorBidi"/>
          <w:i/>
          <w:iCs/>
          <w:sz w:val="24"/>
          <w:szCs w:val="24"/>
        </w:rPr>
        <w:t xml:space="preserve">roperty and </w:t>
      </w:r>
      <w:r w:rsidR="00D10BF2" w:rsidRPr="00B503E6">
        <w:rPr>
          <w:rFonts w:asciiTheme="majorBidi" w:hAnsiTheme="majorBidi" w:cstheme="majorBidi"/>
          <w:i/>
          <w:iCs/>
          <w:sz w:val="24"/>
          <w:szCs w:val="24"/>
        </w:rPr>
        <w:t>L</w:t>
      </w:r>
      <w:r w:rsidRPr="00B503E6">
        <w:rPr>
          <w:rFonts w:asciiTheme="majorBidi" w:hAnsiTheme="majorBidi" w:cstheme="majorBidi"/>
          <w:i/>
          <w:iCs/>
          <w:sz w:val="24"/>
          <w:szCs w:val="24"/>
        </w:rPr>
        <w:t>and in the Middle East</w:t>
      </w:r>
      <w:r w:rsidRPr="00B503E6">
        <w:rPr>
          <w:rFonts w:asciiTheme="majorBidi" w:hAnsiTheme="majorBidi" w:cstheme="majorBidi"/>
          <w:sz w:val="24"/>
          <w:szCs w:val="24"/>
        </w:rPr>
        <w:t xml:space="preserve">, </w:t>
      </w:r>
      <w:r w:rsidR="007B61EC" w:rsidRPr="00B503E6">
        <w:rPr>
          <w:rFonts w:asciiTheme="majorBidi" w:hAnsiTheme="majorBidi" w:cstheme="majorBidi"/>
          <w:sz w:val="24"/>
          <w:szCs w:val="24"/>
        </w:rPr>
        <w:t xml:space="preserve">edited by Roger Owen, pp. 121-158. </w:t>
      </w:r>
      <w:r w:rsidRPr="00B503E6">
        <w:rPr>
          <w:rFonts w:asciiTheme="majorBidi" w:hAnsiTheme="majorBidi" w:cstheme="majorBidi"/>
          <w:sz w:val="24"/>
          <w:szCs w:val="24"/>
        </w:rPr>
        <w:t>Cambridge, Mass.: Harvard University Press</w:t>
      </w:r>
      <w:r w:rsidR="00D10BF2"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7B61EC" w:rsidRPr="00B503E6">
        <w:rPr>
          <w:rFonts w:asciiTheme="majorBidi" w:hAnsiTheme="majorBidi" w:cstheme="majorBidi"/>
          <w:sz w:val="24"/>
          <w:szCs w:val="24"/>
        </w:rPr>
        <w:t>2000.</w:t>
      </w:r>
    </w:p>
    <w:p w:rsidR="00A2647A" w:rsidRPr="00B503E6" w:rsidRDefault="001046CB" w:rsidP="001046CB">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Bunton, Martin. </w:t>
      </w:r>
      <w:r w:rsidRPr="00B503E6">
        <w:rPr>
          <w:rFonts w:asciiTheme="majorBidi" w:hAnsiTheme="majorBidi" w:cstheme="majorBidi"/>
          <w:i/>
          <w:iCs/>
          <w:sz w:val="24"/>
          <w:szCs w:val="24"/>
        </w:rPr>
        <w:t>Colonial land policies in Palestine: 1917-1936</w:t>
      </w:r>
      <w:r w:rsidRPr="00B503E6">
        <w:rPr>
          <w:rFonts w:asciiTheme="majorBidi" w:hAnsiTheme="majorBidi" w:cstheme="majorBidi"/>
          <w:sz w:val="24"/>
          <w:szCs w:val="24"/>
        </w:rPr>
        <w:t>. Oxford: Oxford University Press, 2007.</w:t>
      </w:r>
      <w:r w:rsidR="00A2647A" w:rsidRPr="00B503E6">
        <w:rPr>
          <w:rFonts w:asciiTheme="majorBidi" w:hAnsiTheme="majorBidi" w:cstheme="majorBidi"/>
          <w:sz w:val="24"/>
          <w:szCs w:val="24"/>
        </w:rPr>
        <w:t xml:space="preserve"> </w:t>
      </w:r>
    </w:p>
    <w:p w:rsidR="00F70806" w:rsidRPr="00B503E6" w:rsidRDefault="00F70806" w:rsidP="002E73F3">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Burns, Norman</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The Tariff of Syria: 1919-1932</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 Beirut: American University of Beirut, 1933.  Reprint: New York: AMS Press Inc., 1973. </w:t>
      </w:r>
    </w:p>
    <w:p w:rsidR="00D74602" w:rsidRPr="00B503E6" w:rsidRDefault="00D74602" w:rsidP="002E73F3">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lastRenderedPageBreak/>
        <w:t>Burns, N</w:t>
      </w:r>
      <w:r w:rsidR="00371B70" w:rsidRPr="00B503E6">
        <w:rPr>
          <w:rFonts w:asciiTheme="majorBidi" w:hAnsiTheme="majorBidi" w:cstheme="majorBidi"/>
          <w:sz w:val="24"/>
          <w:szCs w:val="24"/>
        </w:rPr>
        <w:t>orman</w:t>
      </w:r>
      <w:r w:rsidRPr="00B503E6">
        <w:rPr>
          <w:rFonts w:asciiTheme="majorBidi" w:hAnsiTheme="majorBidi" w:cstheme="majorBidi"/>
          <w:sz w:val="24"/>
          <w:szCs w:val="24"/>
        </w:rPr>
        <w:t xml:space="preserve"> and A</w:t>
      </w:r>
      <w:r w:rsidR="00371B70" w:rsidRPr="00B503E6">
        <w:rPr>
          <w:rFonts w:asciiTheme="majorBidi" w:hAnsiTheme="majorBidi" w:cstheme="majorBidi"/>
          <w:sz w:val="24"/>
          <w:szCs w:val="24"/>
        </w:rPr>
        <w:t>llen</w:t>
      </w:r>
      <w:r w:rsidRPr="00B503E6">
        <w:rPr>
          <w:rFonts w:asciiTheme="majorBidi" w:hAnsiTheme="majorBidi" w:cstheme="majorBidi"/>
          <w:sz w:val="24"/>
          <w:szCs w:val="24"/>
        </w:rPr>
        <w:t xml:space="preserve"> D. Edwards</w:t>
      </w:r>
      <w:r w:rsidR="00371B70"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Foreign </w:t>
      </w:r>
      <w:r w:rsidR="00D10BF2" w:rsidRPr="00B503E6">
        <w:rPr>
          <w:rFonts w:asciiTheme="majorBidi" w:hAnsiTheme="majorBidi" w:cstheme="majorBidi"/>
          <w:sz w:val="24"/>
          <w:szCs w:val="24"/>
        </w:rPr>
        <w:t>T</w:t>
      </w:r>
      <w:r w:rsidRPr="00B503E6">
        <w:rPr>
          <w:rFonts w:asciiTheme="majorBidi" w:hAnsiTheme="majorBidi" w:cstheme="majorBidi"/>
          <w:sz w:val="24"/>
          <w:szCs w:val="24"/>
        </w:rPr>
        <w:t>rade</w:t>
      </w:r>
      <w:r w:rsidR="00371B70" w:rsidRPr="00B503E6">
        <w:rPr>
          <w:rFonts w:asciiTheme="majorBidi" w:hAnsiTheme="majorBidi" w:cstheme="majorBidi"/>
          <w:sz w:val="24"/>
          <w:szCs w:val="24"/>
        </w:rPr>
        <w:t>.</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371B70" w:rsidRPr="00B503E6">
        <w:rPr>
          <w:rFonts w:asciiTheme="majorBidi" w:hAnsiTheme="majorBidi" w:cstheme="majorBidi"/>
          <w:sz w:val="24"/>
          <w:szCs w:val="24"/>
        </w:rPr>
        <w:t>I</w:t>
      </w:r>
      <w:r w:rsidRPr="00B503E6">
        <w:rPr>
          <w:rFonts w:asciiTheme="majorBidi" w:hAnsiTheme="majorBidi" w:cstheme="majorBidi"/>
          <w:sz w:val="24"/>
          <w:szCs w:val="24"/>
        </w:rPr>
        <w:t xml:space="preserve">n </w:t>
      </w:r>
      <w:r w:rsidR="00371B70" w:rsidRPr="00B503E6">
        <w:rPr>
          <w:rFonts w:asciiTheme="majorBidi" w:hAnsiTheme="majorBidi" w:cstheme="majorBidi"/>
          <w:i/>
          <w:iCs/>
          <w:sz w:val="24"/>
          <w:szCs w:val="24"/>
        </w:rPr>
        <w:t>Economic Organization of Syria</w:t>
      </w:r>
      <w:r w:rsidR="00371B70" w:rsidRPr="00B503E6">
        <w:rPr>
          <w:rFonts w:asciiTheme="majorBidi" w:hAnsiTheme="majorBidi" w:cstheme="majorBidi"/>
          <w:sz w:val="24"/>
          <w:szCs w:val="24"/>
        </w:rPr>
        <w:t xml:space="preserve">, edited by </w:t>
      </w:r>
      <w:r w:rsidR="00D10BF2" w:rsidRPr="00B503E6">
        <w:rPr>
          <w:rFonts w:asciiTheme="majorBidi" w:hAnsiTheme="majorBidi" w:cstheme="majorBidi"/>
          <w:sz w:val="24"/>
          <w:szCs w:val="24"/>
        </w:rPr>
        <w:t>S</w:t>
      </w:r>
      <w:r w:rsidR="00371B70" w:rsidRPr="00B503E6">
        <w:rPr>
          <w:rFonts w:asciiTheme="majorBidi" w:hAnsiTheme="majorBidi" w:cstheme="majorBidi"/>
          <w:sz w:val="24"/>
          <w:szCs w:val="24"/>
        </w:rPr>
        <w:t>aid</w:t>
      </w:r>
      <w:r w:rsidR="00D10BF2" w:rsidRPr="00B503E6">
        <w:rPr>
          <w:rFonts w:asciiTheme="majorBidi" w:hAnsiTheme="majorBidi" w:cstheme="majorBidi"/>
          <w:sz w:val="24"/>
          <w:szCs w:val="24"/>
        </w:rPr>
        <w:t xml:space="preserve"> B. Himadeh</w:t>
      </w:r>
      <w:r w:rsidR="00371B70" w:rsidRPr="00B503E6">
        <w:rPr>
          <w:rFonts w:asciiTheme="majorBidi" w:hAnsiTheme="majorBidi" w:cstheme="majorBidi"/>
          <w:sz w:val="24"/>
          <w:szCs w:val="24"/>
        </w:rPr>
        <w:t xml:space="preserve">, pp. 227-259. </w:t>
      </w:r>
      <w:r w:rsidRPr="00B503E6">
        <w:rPr>
          <w:rFonts w:asciiTheme="majorBidi" w:hAnsiTheme="majorBidi" w:cstheme="majorBidi"/>
          <w:sz w:val="24"/>
          <w:szCs w:val="24"/>
        </w:rPr>
        <w:t xml:space="preserve">Beirut: The American Press, </w:t>
      </w:r>
      <w:r w:rsidR="00371B70" w:rsidRPr="00B503E6">
        <w:rPr>
          <w:rFonts w:asciiTheme="majorBidi" w:hAnsiTheme="majorBidi" w:cstheme="majorBidi"/>
          <w:sz w:val="24"/>
          <w:szCs w:val="24"/>
        </w:rPr>
        <w:t>1936.</w:t>
      </w:r>
      <w:r w:rsidRPr="00B503E6">
        <w:rPr>
          <w:rFonts w:asciiTheme="majorBidi" w:hAnsiTheme="majorBidi" w:cstheme="majorBidi"/>
          <w:sz w:val="24"/>
          <w:szCs w:val="24"/>
        </w:rPr>
        <w:t xml:space="preserve"> </w:t>
      </w:r>
    </w:p>
    <w:p w:rsidR="001501CB" w:rsidRPr="00B503E6" w:rsidRDefault="001501CB" w:rsidP="002E73F3">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Cleveland, William L. </w:t>
      </w:r>
      <w:r w:rsidRPr="00B503E6">
        <w:rPr>
          <w:rFonts w:asciiTheme="majorBidi" w:hAnsiTheme="majorBidi" w:cstheme="majorBidi"/>
          <w:i/>
          <w:iCs/>
          <w:sz w:val="24"/>
          <w:szCs w:val="24"/>
        </w:rPr>
        <w:t xml:space="preserve">A </w:t>
      </w:r>
      <w:r w:rsidR="002E73F3" w:rsidRPr="00B503E6">
        <w:rPr>
          <w:rFonts w:asciiTheme="majorBidi" w:hAnsiTheme="majorBidi" w:cstheme="majorBidi"/>
          <w:i/>
          <w:iCs/>
          <w:sz w:val="24"/>
          <w:szCs w:val="24"/>
        </w:rPr>
        <w:t>H</w:t>
      </w:r>
      <w:r w:rsidRPr="00B503E6">
        <w:rPr>
          <w:rFonts w:asciiTheme="majorBidi" w:hAnsiTheme="majorBidi" w:cstheme="majorBidi"/>
          <w:i/>
          <w:iCs/>
          <w:sz w:val="24"/>
          <w:szCs w:val="24"/>
        </w:rPr>
        <w:t xml:space="preserve">istory of the </w:t>
      </w:r>
      <w:r w:rsidR="002E73F3" w:rsidRPr="00B503E6">
        <w:rPr>
          <w:rFonts w:asciiTheme="majorBidi" w:hAnsiTheme="majorBidi" w:cstheme="majorBidi"/>
          <w:i/>
          <w:iCs/>
          <w:sz w:val="24"/>
          <w:szCs w:val="24"/>
        </w:rPr>
        <w:t>M</w:t>
      </w:r>
      <w:r w:rsidRPr="00B503E6">
        <w:rPr>
          <w:rFonts w:asciiTheme="majorBidi" w:hAnsiTheme="majorBidi" w:cstheme="majorBidi"/>
          <w:i/>
          <w:iCs/>
          <w:sz w:val="24"/>
          <w:szCs w:val="24"/>
        </w:rPr>
        <w:t>odern Middle East</w:t>
      </w:r>
      <w:r w:rsidR="002E73F3" w:rsidRPr="00B503E6">
        <w:rPr>
          <w:rFonts w:asciiTheme="majorBidi" w:hAnsiTheme="majorBidi" w:cstheme="majorBidi"/>
          <w:i/>
          <w:iCs/>
          <w:sz w:val="24"/>
          <w:szCs w:val="24"/>
        </w:rPr>
        <w:t>,</w:t>
      </w:r>
      <w:r w:rsidRPr="00B503E6">
        <w:rPr>
          <w:rFonts w:asciiTheme="majorBidi" w:hAnsiTheme="majorBidi" w:cstheme="majorBidi"/>
          <w:sz w:val="24"/>
          <w:szCs w:val="24"/>
        </w:rPr>
        <w:t xml:space="preserve"> Third edition. Boulder, Co.: Westview Press, 2004.</w:t>
      </w:r>
    </w:p>
    <w:p w:rsidR="00596788" w:rsidRDefault="00596788" w:rsidP="007C5F32">
      <w:pPr>
        <w:spacing w:line="480" w:lineRule="auto"/>
        <w:ind w:left="567" w:hanging="567"/>
        <w:contextualSpacing/>
        <w:jc w:val="both"/>
        <w:rPr>
          <w:rFonts w:asciiTheme="majorBidi" w:hAnsiTheme="majorBidi" w:cstheme="majorBidi"/>
          <w:sz w:val="24"/>
          <w:szCs w:val="24"/>
        </w:rPr>
      </w:pPr>
      <w:r>
        <w:rPr>
          <w:rFonts w:asciiTheme="majorBidi" w:hAnsiTheme="majorBidi" w:cstheme="majorBidi"/>
          <w:sz w:val="24"/>
          <w:szCs w:val="24"/>
        </w:rPr>
        <w:t>Cooke, Hedley V. Challenge and Response in the Middle East: The Quest for Prosperity, 1919-1951</w:t>
      </w:r>
      <w:r w:rsidR="007C5F32">
        <w:rPr>
          <w:rFonts w:asciiTheme="majorBidi" w:hAnsiTheme="majorBidi" w:cstheme="majorBidi"/>
          <w:sz w:val="24"/>
          <w:szCs w:val="24"/>
        </w:rPr>
        <w:t>.</w:t>
      </w:r>
      <w:r>
        <w:rPr>
          <w:rFonts w:asciiTheme="majorBidi" w:hAnsiTheme="majorBidi" w:cstheme="majorBidi"/>
          <w:sz w:val="24"/>
          <w:szCs w:val="24"/>
        </w:rPr>
        <w:t xml:space="preserve"> New York: Harpers &amp; Brothers, 1952. </w:t>
      </w:r>
    </w:p>
    <w:p w:rsidR="000356CE" w:rsidRPr="00B503E6" w:rsidRDefault="000356CE" w:rsidP="002E73F3">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Doukhan, M</w:t>
      </w:r>
      <w:r w:rsidR="00371B70" w:rsidRPr="00B503E6">
        <w:rPr>
          <w:rFonts w:asciiTheme="majorBidi" w:hAnsiTheme="majorBidi" w:cstheme="majorBidi"/>
          <w:sz w:val="24"/>
          <w:szCs w:val="24"/>
        </w:rPr>
        <w:t>oses</w:t>
      </w:r>
      <w:r w:rsidRPr="00B503E6">
        <w:rPr>
          <w:rFonts w:asciiTheme="majorBidi" w:hAnsiTheme="majorBidi" w:cstheme="majorBidi"/>
          <w:sz w:val="24"/>
          <w:szCs w:val="24"/>
        </w:rPr>
        <w:t xml:space="preserve"> J. </w:t>
      </w:r>
      <w:r w:rsidR="002E73F3" w:rsidRPr="00B503E6">
        <w:rPr>
          <w:rFonts w:asciiTheme="majorBidi" w:hAnsiTheme="majorBidi" w:cstheme="majorBidi"/>
          <w:sz w:val="24"/>
          <w:szCs w:val="24"/>
        </w:rPr>
        <w:t>“</w:t>
      </w:r>
      <w:r w:rsidRPr="00B503E6">
        <w:rPr>
          <w:rFonts w:asciiTheme="majorBidi" w:hAnsiTheme="majorBidi" w:cstheme="majorBidi"/>
          <w:sz w:val="24"/>
          <w:szCs w:val="24"/>
        </w:rPr>
        <w:t>Land Tenure</w:t>
      </w:r>
      <w:r w:rsidR="00371B70" w:rsidRPr="00B503E6">
        <w:rPr>
          <w:rFonts w:asciiTheme="majorBidi" w:hAnsiTheme="majorBidi" w:cstheme="majorBidi"/>
          <w:sz w:val="24"/>
          <w:szCs w:val="24"/>
        </w:rPr>
        <w:t>.</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371B70" w:rsidRPr="00B503E6">
        <w:rPr>
          <w:rFonts w:asciiTheme="majorBidi" w:hAnsiTheme="majorBidi" w:cstheme="majorBidi"/>
          <w:sz w:val="24"/>
          <w:szCs w:val="24"/>
        </w:rPr>
        <w:t>I</w:t>
      </w:r>
      <w:r w:rsidRPr="00B503E6">
        <w:rPr>
          <w:rFonts w:asciiTheme="majorBidi" w:hAnsiTheme="majorBidi" w:cstheme="majorBidi"/>
          <w:sz w:val="24"/>
          <w:szCs w:val="24"/>
        </w:rPr>
        <w:t xml:space="preserve">n </w:t>
      </w:r>
      <w:r w:rsidRPr="00B503E6">
        <w:rPr>
          <w:rFonts w:asciiTheme="majorBidi" w:hAnsiTheme="majorBidi" w:cstheme="majorBidi"/>
          <w:i/>
          <w:iCs/>
          <w:sz w:val="24"/>
          <w:szCs w:val="24"/>
        </w:rPr>
        <w:t>Economic Organization of Palestine</w:t>
      </w:r>
      <w:r w:rsidRPr="00B503E6">
        <w:rPr>
          <w:rFonts w:asciiTheme="majorBidi" w:hAnsiTheme="majorBidi" w:cstheme="majorBidi"/>
          <w:sz w:val="24"/>
          <w:szCs w:val="24"/>
        </w:rPr>
        <w:t xml:space="preserve">, </w:t>
      </w:r>
      <w:r w:rsidR="00371B70" w:rsidRPr="00B503E6">
        <w:rPr>
          <w:rFonts w:asciiTheme="majorBidi" w:hAnsiTheme="majorBidi" w:cstheme="majorBidi"/>
          <w:sz w:val="24"/>
          <w:szCs w:val="24"/>
        </w:rPr>
        <w:t xml:space="preserve">edited by Said B. Himadeh, pp. 73-107. </w:t>
      </w:r>
      <w:r w:rsidRPr="00B503E6">
        <w:rPr>
          <w:rFonts w:asciiTheme="majorBidi" w:hAnsiTheme="majorBidi" w:cstheme="majorBidi"/>
          <w:sz w:val="24"/>
          <w:szCs w:val="24"/>
        </w:rPr>
        <w:t xml:space="preserve">Beirut: American Press, </w:t>
      </w:r>
      <w:r w:rsidR="00371B70" w:rsidRPr="00B503E6">
        <w:rPr>
          <w:rFonts w:asciiTheme="majorBidi" w:hAnsiTheme="majorBidi" w:cstheme="majorBidi"/>
          <w:sz w:val="24"/>
          <w:szCs w:val="24"/>
        </w:rPr>
        <w:t>1938</w:t>
      </w:r>
      <w:r w:rsidRPr="00B503E6">
        <w:rPr>
          <w:rFonts w:asciiTheme="majorBidi" w:hAnsiTheme="majorBidi" w:cstheme="majorBidi"/>
          <w:sz w:val="24"/>
          <w:szCs w:val="24"/>
        </w:rPr>
        <w:t>.</w:t>
      </w:r>
    </w:p>
    <w:p w:rsidR="007A6CB6" w:rsidRPr="00B503E6" w:rsidRDefault="007A6CB6" w:rsidP="00371B70">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Eichengreen, Barry. </w:t>
      </w:r>
      <w:r w:rsidRPr="00B503E6">
        <w:rPr>
          <w:rFonts w:asciiTheme="majorBidi" w:hAnsiTheme="majorBidi" w:cstheme="majorBidi"/>
          <w:i/>
          <w:iCs/>
          <w:sz w:val="24"/>
          <w:szCs w:val="24"/>
        </w:rPr>
        <w:t>Golden Fetters: The gold standard and the Great Depression, 1919-1939</w:t>
      </w:r>
      <w:r w:rsidRPr="00B503E6">
        <w:rPr>
          <w:rFonts w:asciiTheme="majorBidi" w:hAnsiTheme="majorBidi" w:cstheme="majorBidi"/>
          <w:sz w:val="24"/>
          <w:szCs w:val="24"/>
        </w:rPr>
        <w:t xml:space="preserve">.  New York: Oxford University Press, 1995. </w:t>
      </w:r>
    </w:p>
    <w:p w:rsidR="00DE708D" w:rsidRPr="00B503E6" w:rsidRDefault="00DE708D" w:rsidP="002E73F3">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El-Eini, R</w:t>
      </w:r>
      <w:r w:rsidR="00371B70" w:rsidRPr="00B503E6">
        <w:rPr>
          <w:rFonts w:asciiTheme="majorBidi" w:hAnsiTheme="majorBidi" w:cstheme="majorBidi"/>
          <w:sz w:val="24"/>
          <w:szCs w:val="24"/>
        </w:rPr>
        <w:t>oza</w:t>
      </w:r>
      <w:r w:rsidR="00D10BF2" w:rsidRPr="00B503E6">
        <w:rPr>
          <w:rFonts w:asciiTheme="majorBidi" w:hAnsiTheme="majorBidi" w:cstheme="majorBidi"/>
          <w:sz w:val="24"/>
          <w:szCs w:val="24"/>
        </w:rPr>
        <w:t xml:space="preserve">. </w:t>
      </w:r>
      <w:r w:rsidRPr="00B503E6">
        <w:rPr>
          <w:rFonts w:asciiTheme="majorBidi" w:hAnsiTheme="majorBidi" w:cstheme="majorBidi"/>
          <w:sz w:val="24"/>
          <w:szCs w:val="24"/>
        </w:rPr>
        <w:t>I.</w:t>
      </w:r>
      <w:r w:rsidR="00D10BF2" w:rsidRPr="00B503E6">
        <w:rPr>
          <w:rFonts w:asciiTheme="majorBidi" w:hAnsiTheme="majorBidi" w:cstheme="majorBidi"/>
          <w:sz w:val="24"/>
          <w:szCs w:val="24"/>
        </w:rPr>
        <w:t xml:space="preserve"> </w:t>
      </w:r>
      <w:r w:rsidRPr="00B503E6">
        <w:rPr>
          <w:rFonts w:asciiTheme="majorBidi" w:hAnsiTheme="majorBidi" w:cstheme="majorBidi"/>
          <w:sz w:val="24"/>
          <w:szCs w:val="24"/>
        </w:rPr>
        <w:t xml:space="preserve">M. </w:t>
      </w:r>
      <w:r w:rsidR="002E73F3" w:rsidRPr="00B503E6">
        <w:rPr>
          <w:rFonts w:asciiTheme="majorBidi" w:hAnsiTheme="majorBidi" w:cstheme="majorBidi"/>
          <w:sz w:val="24"/>
          <w:szCs w:val="24"/>
        </w:rPr>
        <w:t>“</w:t>
      </w:r>
      <w:r w:rsidR="00371B70" w:rsidRPr="00B503E6">
        <w:rPr>
          <w:rFonts w:asciiTheme="majorBidi" w:hAnsiTheme="majorBidi" w:cstheme="majorBidi"/>
          <w:sz w:val="24"/>
          <w:szCs w:val="24"/>
        </w:rPr>
        <w:t>T</w:t>
      </w:r>
      <w:r w:rsidRPr="00B503E6">
        <w:rPr>
          <w:rFonts w:asciiTheme="majorBidi" w:hAnsiTheme="majorBidi" w:cstheme="majorBidi"/>
          <w:sz w:val="24"/>
          <w:szCs w:val="24"/>
        </w:rPr>
        <w:t xml:space="preserve">he Implementation of British </w:t>
      </w:r>
      <w:r w:rsidR="00FA1739" w:rsidRPr="00B503E6">
        <w:rPr>
          <w:rFonts w:asciiTheme="majorBidi" w:hAnsiTheme="majorBidi" w:cstheme="majorBidi"/>
          <w:sz w:val="24"/>
          <w:szCs w:val="24"/>
        </w:rPr>
        <w:t>A</w:t>
      </w:r>
      <w:r w:rsidRPr="00B503E6">
        <w:rPr>
          <w:rFonts w:asciiTheme="majorBidi" w:hAnsiTheme="majorBidi" w:cstheme="majorBidi"/>
          <w:sz w:val="24"/>
          <w:szCs w:val="24"/>
        </w:rPr>
        <w:t xml:space="preserve">gricultural </w:t>
      </w:r>
      <w:r w:rsidR="00FA1739" w:rsidRPr="00B503E6">
        <w:rPr>
          <w:rFonts w:asciiTheme="majorBidi" w:hAnsiTheme="majorBidi" w:cstheme="majorBidi"/>
          <w:sz w:val="24"/>
          <w:szCs w:val="24"/>
        </w:rPr>
        <w:t>P</w:t>
      </w:r>
      <w:r w:rsidRPr="00B503E6">
        <w:rPr>
          <w:rFonts w:asciiTheme="majorBidi" w:hAnsiTheme="majorBidi" w:cstheme="majorBidi"/>
          <w:sz w:val="24"/>
          <w:szCs w:val="24"/>
        </w:rPr>
        <w:t>olicy in Palestine in the 1930s</w:t>
      </w:r>
      <w:r w:rsidR="00371B70" w:rsidRPr="00B503E6">
        <w:rPr>
          <w:rFonts w:asciiTheme="majorBidi" w:hAnsiTheme="majorBidi" w:cstheme="majorBidi"/>
          <w:sz w:val="24"/>
          <w:szCs w:val="24"/>
        </w:rPr>
        <w:t>.</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Middle Eastern Studies</w:t>
      </w:r>
      <w:r w:rsidRPr="00B503E6">
        <w:rPr>
          <w:rFonts w:asciiTheme="majorBidi" w:hAnsiTheme="majorBidi" w:cstheme="majorBidi"/>
          <w:sz w:val="24"/>
          <w:szCs w:val="24"/>
        </w:rPr>
        <w:t xml:space="preserve"> 32</w:t>
      </w:r>
      <w:r w:rsidR="00371B70" w:rsidRPr="00B503E6">
        <w:rPr>
          <w:rFonts w:asciiTheme="majorBidi" w:hAnsiTheme="majorBidi" w:cstheme="majorBidi"/>
          <w:sz w:val="24"/>
          <w:szCs w:val="24"/>
        </w:rPr>
        <w:t xml:space="preserve">, </w:t>
      </w:r>
      <w:r w:rsidRPr="00B503E6">
        <w:rPr>
          <w:rFonts w:asciiTheme="majorBidi" w:hAnsiTheme="majorBidi" w:cstheme="majorBidi"/>
          <w:sz w:val="24"/>
          <w:szCs w:val="24"/>
        </w:rPr>
        <w:t>4</w:t>
      </w:r>
      <w:r w:rsidR="00371B70" w:rsidRPr="00B503E6">
        <w:rPr>
          <w:rFonts w:asciiTheme="majorBidi" w:hAnsiTheme="majorBidi" w:cstheme="majorBidi"/>
          <w:sz w:val="24"/>
          <w:szCs w:val="24"/>
        </w:rPr>
        <w:t xml:space="preserve"> (1996)</w:t>
      </w:r>
      <w:r w:rsidR="00D10BF2" w:rsidRPr="00B503E6">
        <w:rPr>
          <w:rFonts w:asciiTheme="majorBidi" w:hAnsiTheme="majorBidi" w:cstheme="majorBidi"/>
          <w:sz w:val="24"/>
          <w:szCs w:val="24"/>
        </w:rPr>
        <w:t xml:space="preserve">: </w:t>
      </w:r>
      <w:r w:rsidRPr="00B503E6">
        <w:rPr>
          <w:rFonts w:asciiTheme="majorBidi" w:hAnsiTheme="majorBidi" w:cstheme="majorBidi"/>
          <w:sz w:val="24"/>
          <w:szCs w:val="24"/>
        </w:rPr>
        <w:t>211-250.</w:t>
      </w:r>
    </w:p>
    <w:p w:rsidR="00DE708D" w:rsidRPr="00B503E6" w:rsidRDefault="00DE708D" w:rsidP="00371B70">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El-Eini, R</w:t>
      </w:r>
      <w:r w:rsidR="00371B70" w:rsidRPr="00B503E6">
        <w:rPr>
          <w:rFonts w:asciiTheme="majorBidi" w:hAnsiTheme="majorBidi" w:cstheme="majorBidi"/>
          <w:sz w:val="24"/>
          <w:szCs w:val="24"/>
        </w:rPr>
        <w:t>oza</w:t>
      </w:r>
      <w:r w:rsidR="00D10BF2" w:rsidRPr="00B503E6">
        <w:rPr>
          <w:rFonts w:asciiTheme="majorBidi" w:hAnsiTheme="majorBidi" w:cstheme="majorBidi"/>
          <w:sz w:val="24"/>
          <w:szCs w:val="24"/>
        </w:rPr>
        <w:t xml:space="preserve"> </w:t>
      </w:r>
      <w:r w:rsidRPr="00B503E6">
        <w:rPr>
          <w:rFonts w:asciiTheme="majorBidi" w:hAnsiTheme="majorBidi" w:cstheme="majorBidi"/>
          <w:sz w:val="24"/>
          <w:szCs w:val="24"/>
        </w:rPr>
        <w:t>I.</w:t>
      </w:r>
      <w:r w:rsidR="00D10BF2" w:rsidRPr="00B503E6">
        <w:rPr>
          <w:rFonts w:asciiTheme="majorBidi" w:hAnsiTheme="majorBidi" w:cstheme="majorBidi"/>
          <w:sz w:val="24"/>
          <w:szCs w:val="24"/>
        </w:rPr>
        <w:t xml:space="preserve"> </w:t>
      </w:r>
      <w:r w:rsidRPr="00B503E6">
        <w:rPr>
          <w:rFonts w:asciiTheme="majorBidi" w:hAnsiTheme="majorBidi" w:cstheme="majorBidi"/>
          <w:sz w:val="24"/>
          <w:szCs w:val="24"/>
        </w:rPr>
        <w:t xml:space="preserve">M. </w:t>
      </w:r>
      <w:r w:rsidR="00E26C05" w:rsidRPr="00B503E6">
        <w:rPr>
          <w:rFonts w:asciiTheme="majorBidi" w:hAnsiTheme="majorBidi" w:cstheme="majorBidi"/>
          <w:i/>
          <w:iCs/>
          <w:sz w:val="24"/>
          <w:szCs w:val="24"/>
        </w:rPr>
        <w:t>Mandate</w:t>
      </w:r>
      <w:r w:rsidRPr="00B503E6">
        <w:rPr>
          <w:rFonts w:asciiTheme="majorBidi" w:hAnsiTheme="majorBidi" w:cstheme="majorBidi"/>
          <w:i/>
          <w:iCs/>
          <w:sz w:val="24"/>
          <w:szCs w:val="24"/>
        </w:rPr>
        <w:t xml:space="preserve">d Landscape: British </w:t>
      </w:r>
      <w:r w:rsidR="00FA1739" w:rsidRPr="00B503E6">
        <w:rPr>
          <w:rFonts w:asciiTheme="majorBidi" w:hAnsiTheme="majorBidi" w:cstheme="majorBidi"/>
          <w:i/>
          <w:iCs/>
          <w:sz w:val="24"/>
          <w:szCs w:val="24"/>
        </w:rPr>
        <w:t>I</w:t>
      </w:r>
      <w:r w:rsidRPr="00B503E6">
        <w:rPr>
          <w:rFonts w:asciiTheme="majorBidi" w:hAnsiTheme="majorBidi" w:cstheme="majorBidi"/>
          <w:i/>
          <w:iCs/>
          <w:sz w:val="24"/>
          <w:szCs w:val="24"/>
        </w:rPr>
        <w:t xml:space="preserve">mperial </w:t>
      </w:r>
      <w:r w:rsidR="00FA1739" w:rsidRPr="00B503E6">
        <w:rPr>
          <w:rFonts w:asciiTheme="majorBidi" w:hAnsiTheme="majorBidi" w:cstheme="majorBidi"/>
          <w:i/>
          <w:iCs/>
          <w:sz w:val="24"/>
          <w:szCs w:val="24"/>
        </w:rPr>
        <w:t>R</w:t>
      </w:r>
      <w:r w:rsidRPr="00B503E6">
        <w:rPr>
          <w:rFonts w:asciiTheme="majorBidi" w:hAnsiTheme="majorBidi" w:cstheme="majorBidi"/>
          <w:i/>
          <w:iCs/>
          <w:sz w:val="24"/>
          <w:szCs w:val="24"/>
        </w:rPr>
        <w:t>ule in Palestine 1929-1948</w:t>
      </w:r>
      <w:r w:rsidR="00371B70" w:rsidRPr="00B503E6">
        <w:rPr>
          <w:rFonts w:asciiTheme="majorBidi" w:hAnsiTheme="majorBidi" w:cstheme="majorBidi"/>
          <w:sz w:val="24"/>
          <w:szCs w:val="24"/>
        </w:rPr>
        <w:t>.</w:t>
      </w:r>
      <w:r w:rsidRPr="00B503E6">
        <w:rPr>
          <w:rFonts w:asciiTheme="majorBidi" w:hAnsiTheme="majorBidi" w:cstheme="majorBidi"/>
          <w:sz w:val="24"/>
          <w:szCs w:val="24"/>
        </w:rPr>
        <w:t xml:space="preserve"> London: Routledge</w:t>
      </w:r>
      <w:r w:rsidR="00371B70" w:rsidRPr="00B503E6">
        <w:rPr>
          <w:rFonts w:asciiTheme="majorBidi" w:hAnsiTheme="majorBidi" w:cstheme="majorBidi"/>
          <w:sz w:val="24"/>
          <w:szCs w:val="24"/>
        </w:rPr>
        <w:t>, 2006</w:t>
      </w:r>
      <w:r w:rsidRPr="00B503E6">
        <w:rPr>
          <w:rFonts w:asciiTheme="majorBidi" w:hAnsiTheme="majorBidi" w:cstheme="majorBidi"/>
          <w:sz w:val="24"/>
          <w:szCs w:val="24"/>
        </w:rPr>
        <w:t xml:space="preserve">.   </w:t>
      </w:r>
    </w:p>
    <w:p w:rsidR="00413E12" w:rsidRPr="00B503E6" w:rsidRDefault="00413E12" w:rsidP="00371B70">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Faris, Basim A. </w:t>
      </w:r>
      <w:r w:rsidRPr="00B503E6">
        <w:rPr>
          <w:rFonts w:asciiTheme="majorBidi" w:hAnsiTheme="majorBidi" w:cstheme="majorBidi"/>
          <w:i/>
          <w:iCs/>
          <w:sz w:val="24"/>
          <w:szCs w:val="24"/>
        </w:rPr>
        <w:t>Electric Power in Syria and Palestine</w:t>
      </w:r>
      <w:r w:rsidR="00371B70" w:rsidRPr="00B503E6">
        <w:rPr>
          <w:rFonts w:asciiTheme="majorBidi" w:hAnsiTheme="majorBidi" w:cstheme="majorBidi"/>
          <w:sz w:val="24"/>
          <w:szCs w:val="24"/>
        </w:rPr>
        <w:t>.</w:t>
      </w:r>
      <w:r w:rsidRPr="00B503E6">
        <w:rPr>
          <w:rFonts w:asciiTheme="majorBidi" w:hAnsiTheme="majorBidi" w:cstheme="majorBidi"/>
          <w:sz w:val="24"/>
          <w:szCs w:val="24"/>
        </w:rPr>
        <w:t xml:space="preserve"> Beirut: The American Press, 1936.</w:t>
      </w:r>
    </w:p>
    <w:p w:rsidR="00B96554" w:rsidRPr="00B503E6" w:rsidRDefault="000518D9" w:rsidP="00371B70">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Fieldhouse, D</w:t>
      </w:r>
      <w:r w:rsidR="00A97407" w:rsidRPr="00B503E6">
        <w:rPr>
          <w:rFonts w:asciiTheme="majorBidi" w:hAnsiTheme="majorBidi" w:cstheme="majorBidi"/>
          <w:sz w:val="24"/>
          <w:szCs w:val="24"/>
        </w:rPr>
        <w:t>avid</w:t>
      </w:r>
      <w:r w:rsidR="00371B70"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 xml:space="preserve">Western </w:t>
      </w:r>
      <w:r w:rsidR="00FA1739" w:rsidRPr="00B503E6">
        <w:rPr>
          <w:rFonts w:asciiTheme="majorBidi" w:hAnsiTheme="majorBidi" w:cstheme="majorBidi"/>
          <w:i/>
          <w:iCs/>
          <w:sz w:val="24"/>
          <w:szCs w:val="24"/>
        </w:rPr>
        <w:t>I</w:t>
      </w:r>
      <w:r w:rsidRPr="00B503E6">
        <w:rPr>
          <w:rFonts w:asciiTheme="majorBidi" w:hAnsiTheme="majorBidi" w:cstheme="majorBidi"/>
          <w:i/>
          <w:iCs/>
          <w:sz w:val="24"/>
          <w:szCs w:val="24"/>
        </w:rPr>
        <w:t>mperialism in the Middle East 1914-1958</w:t>
      </w:r>
      <w:r w:rsidRPr="00B503E6">
        <w:rPr>
          <w:rFonts w:asciiTheme="majorBidi" w:hAnsiTheme="majorBidi" w:cstheme="majorBidi"/>
          <w:sz w:val="24"/>
          <w:szCs w:val="24"/>
        </w:rPr>
        <w:t>, Oxford: Oxford University Press</w:t>
      </w:r>
      <w:r w:rsidR="00371B70" w:rsidRPr="00B503E6">
        <w:rPr>
          <w:rFonts w:asciiTheme="majorBidi" w:hAnsiTheme="majorBidi" w:cstheme="majorBidi"/>
          <w:sz w:val="24"/>
          <w:szCs w:val="24"/>
        </w:rPr>
        <w:t>, 2006</w:t>
      </w:r>
      <w:r w:rsidRPr="00B503E6">
        <w:rPr>
          <w:rFonts w:asciiTheme="majorBidi" w:hAnsiTheme="majorBidi" w:cstheme="majorBidi"/>
          <w:sz w:val="24"/>
          <w:szCs w:val="24"/>
        </w:rPr>
        <w:t>.</w:t>
      </w:r>
    </w:p>
    <w:p w:rsidR="000518D9" w:rsidRPr="00B503E6" w:rsidRDefault="00B96554" w:rsidP="00B96554">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Firro, Kais M. </w:t>
      </w:r>
      <w:r w:rsidRPr="00B503E6">
        <w:rPr>
          <w:rFonts w:asciiTheme="majorBidi" w:hAnsiTheme="majorBidi" w:cstheme="majorBidi"/>
          <w:i/>
          <w:iCs/>
          <w:sz w:val="24"/>
          <w:szCs w:val="24"/>
        </w:rPr>
        <w:t>Inventing Lebanon: Nationalism and the State under the Mandate</w:t>
      </w:r>
      <w:r w:rsidRPr="00B503E6">
        <w:rPr>
          <w:rFonts w:asciiTheme="majorBidi" w:hAnsiTheme="majorBidi" w:cstheme="majorBidi"/>
          <w:sz w:val="24"/>
          <w:szCs w:val="24"/>
        </w:rPr>
        <w:t xml:space="preserve">. London: I.B. Tauris, 2003. </w:t>
      </w:r>
      <w:r w:rsidR="000518D9" w:rsidRPr="00B503E6">
        <w:rPr>
          <w:rFonts w:asciiTheme="majorBidi" w:hAnsiTheme="majorBidi" w:cstheme="majorBidi"/>
          <w:sz w:val="24"/>
          <w:szCs w:val="24"/>
        </w:rPr>
        <w:t xml:space="preserve"> </w:t>
      </w:r>
    </w:p>
    <w:p w:rsidR="00A54D0D" w:rsidRPr="00B503E6" w:rsidRDefault="00A54D0D" w:rsidP="002E73F3">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Fischbach, M</w:t>
      </w:r>
      <w:r w:rsidR="00371B70" w:rsidRPr="00B503E6">
        <w:rPr>
          <w:rFonts w:asciiTheme="majorBidi" w:hAnsiTheme="majorBidi" w:cstheme="majorBidi"/>
          <w:sz w:val="24"/>
          <w:szCs w:val="24"/>
        </w:rPr>
        <w:t>ichael</w:t>
      </w:r>
      <w:r w:rsidR="00D10BF2"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British </w:t>
      </w:r>
      <w:r w:rsidR="00FA1739" w:rsidRPr="00B503E6">
        <w:rPr>
          <w:rFonts w:asciiTheme="majorBidi" w:hAnsiTheme="majorBidi" w:cstheme="majorBidi"/>
          <w:sz w:val="24"/>
          <w:szCs w:val="24"/>
        </w:rPr>
        <w:t>L</w:t>
      </w:r>
      <w:r w:rsidRPr="00B503E6">
        <w:rPr>
          <w:rFonts w:asciiTheme="majorBidi" w:hAnsiTheme="majorBidi" w:cstheme="majorBidi"/>
          <w:sz w:val="24"/>
          <w:szCs w:val="24"/>
        </w:rPr>
        <w:t xml:space="preserve">and </w:t>
      </w:r>
      <w:r w:rsidR="00FA1739" w:rsidRPr="00B503E6">
        <w:rPr>
          <w:rFonts w:asciiTheme="majorBidi" w:hAnsiTheme="majorBidi" w:cstheme="majorBidi"/>
          <w:sz w:val="24"/>
          <w:szCs w:val="24"/>
        </w:rPr>
        <w:t>P</w:t>
      </w:r>
      <w:r w:rsidRPr="00B503E6">
        <w:rPr>
          <w:rFonts w:asciiTheme="majorBidi" w:hAnsiTheme="majorBidi" w:cstheme="majorBidi"/>
          <w:sz w:val="24"/>
          <w:szCs w:val="24"/>
        </w:rPr>
        <w:t>olicy in Transjordan</w:t>
      </w:r>
      <w:r w:rsidR="00371B70" w:rsidRPr="00B503E6">
        <w:rPr>
          <w:rFonts w:asciiTheme="majorBidi" w:hAnsiTheme="majorBidi" w:cstheme="majorBidi"/>
          <w:sz w:val="24"/>
          <w:szCs w:val="24"/>
        </w:rPr>
        <w:t>.</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371B70" w:rsidRPr="00B503E6">
        <w:rPr>
          <w:rFonts w:asciiTheme="majorBidi" w:hAnsiTheme="majorBidi" w:cstheme="majorBidi"/>
          <w:sz w:val="24"/>
          <w:szCs w:val="24"/>
        </w:rPr>
        <w:t>I</w:t>
      </w:r>
      <w:r w:rsidRPr="00B503E6">
        <w:rPr>
          <w:rFonts w:asciiTheme="majorBidi" w:hAnsiTheme="majorBidi" w:cstheme="majorBidi"/>
          <w:sz w:val="24"/>
          <w:szCs w:val="24"/>
        </w:rPr>
        <w:t xml:space="preserve">n </w:t>
      </w:r>
      <w:r w:rsidRPr="00B503E6">
        <w:rPr>
          <w:rFonts w:asciiTheme="majorBidi" w:hAnsiTheme="majorBidi" w:cstheme="majorBidi"/>
          <w:i/>
          <w:iCs/>
          <w:sz w:val="24"/>
          <w:szCs w:val="24"/>
        </w:rPr>
        <w:t xml:space="preserve">Village, </w:t>
      </w:r>
      <w:r w:rsidR="00FA1739" w:rsidRPr="00B503E6">
        <w:rPr>
          <w:rFonts w:asciiTheme="majorBidi" w:hAnsiTheme="majorBidi" w:cstheme="majorBidi"/>
          <w:i/>
          <w:iCs/>
          <w:sz w:val="24"/>
          <w:szCs w:val="24"/>
        </w:rPr>
        <w:t>S</w:t>
      </w:r>
      <w:r w:rsidRPr="00B503E6">
        <w:rPr>
          <w:rFonts w:asciiTheme="majorBidi" w:hAnsiTheme="majorBidi" w:cstheme="majorBidi"/>
          <w:i/>
          <w:iCs/>
          <w:sz w:val="24"/>
          <w:szCs w:val="24"/>
        </w:rPr>
        <w:t xml:space="preserve">teppe and </w:t>
      </w:r>
      <w:r w:rsidR="00FA1739" w:rsidRPr="00B503E6">
        <w:rPr>
          <w:rFonts w:asciiTheme="majorBidi" w:hAnsiTheme="majorBidi" w:cstheme="majorBidi"/>
          <w:i/>
          <w:iCs/>
          <w:sz w:val="24"/>
          <w:szCs w:val="24"/>
        </w:rPr>
        <w:t>S</w:t>
      </w:r>
      <w:r w:rsidRPr="00B503E6">
        <w:rPr>
          <w:rFonts w:asciiTheme="majorBidi" w:hAnsiTheme="majorBidi" w:cstheme="majorBidi"/>
          <w:i/>
          <w:iCs/>
          <w:sz w:val="24"/>
          <w:szCs w:val="24"/>
        </w:rPr>
        <w:t xml:space="preserve">tate: The </w:t>
      </w:r>
      <w:r w:rsidR="00FA1739" w:rsidRPr="00B503E6">
        <w:rPr>
          <w:rFonts w:asciiTheme="majorBidi" w:hAnsiTheme="majorBidi" w:cstheme="majorBidi"/>
          <w:i/>
          <w:iCs/>
          <w:sz w:val="24"/>
          <w:szCs w:val="24"/>
        </w:rPr>
        <w:t>S</w:t>
      </w:r>
      <w:r w:rsidRPr="00B503E6">
        <w:rPr>
          <w:rFonts w:asciiTheme="majorBidi" w:hAnsiTheme="majorBidi" w:cstheme="majorBidi"/>
          <w:i/>
          <w:iCs/>
          <w:sz w:val="24"/>
          <w:szCs w:val="24"/>
        </w:rPr>
        <w:t xml:space="preserve">ocial </w:t>
      </w:r>
      <w:r w:rsidR="00FA1739" w:rsidRPr="00B503E6">
        <w:rPr>
          <w:rFonts w:asciiTheme="majorBidi" w:hAnsiTheme="majorBidi" w:cstheme="majorBidi"/>
          <w:i/>
          <w:iCs/>
          <w:sz w:val="24"/>
          <w:szCs w:val="24"/>
        </w:rPr>
        <w:t>O</w:t>
      </w:r>
      <w:r w:rsidRPr="00B503E6">
        <w:rPr>
          <w:rFonts w:asciiTheme="majorBidi" w:hAnsiTheme="majorBidi" w:cstheme="majorBidi"/>
          <w:i/>
          <w:iCs/>
          <w:sz w:val="24"/>
          <w:szCs w:val="24"/>
        </w:rPr>
        <w:t xml:space="preserve">rigins of </w:t>
      </w:r>
      <w:r w:rsidR="00FA1739" w:rsidRPr="00B503E6">
        <w:rPr>
          <w:rFonts w:asciiTheme="majorBidi" w:hAnsiTheme="majorBidi" w:cstheme="majorBidi"/>
          <w:i/>
          <w:iCs/>
          <w:sz w:val="24"/>
          <w:szCs w:val="24"/>
        </w:rPr>
        <w:t>M</w:t>
      </w:r>
      <w:r w:rsidRPr="00B503E6">
        <w:rPr>
          <w:rFonts w:asciiTheme="majorBidi" w:hAnsiTheme="majorBidi" w:cstheme="majorBidi"/>
          <w:i/>
          <w:iCs/>
          <w:sz w:val="24"/>
          <w:szCs w:val="24"/>
        </w:rPr>
        <w:t>odern Jordan</w:t>
      </w:r>
      <w:r w:rsidRPr="00B503E6">
        <w:rPr>
          <w:rFonts w:asciiTheme="majorBidi" w:hAnsiTheme="majorBidi" w:cstheme="majorBidi"/>
          <w:sz w:val="24"/>
          <w:szCs w:val="24"/>
        </w:rPr>
        <w:t xml:space="preserve">, </w:t>
      </w:r>
      <w:r w:rsidR="00371B70" w:rsidRPr="00B503E6">
        <w:rPr>
          <w:rFonts w:asciiTheme="majorBidi" w:hAnsiTheme="majorBidi" w:cstheme="majorBidi"/>
          <w:sz w:val="24"/>
          <w:szCs w:val="24"/>
        </w:rPr>
        <w:t xml:space="preserve">edited by Eugene L. Rogan and Tariq Tell, pp. 80-107. </w:t>
      </w:r>
      <w:r w:rsidRPr="00B503E6">
        <w:rPr>
          <w:rFonts w:asciiTheme="majorBidi" w:hAnsiTheme="majorBidi" w:cstheme="majorBidi"/>
          <w:sz w:val="24"/>
          <w:szCs w:val="24"/>
        </w:rPr>
        <w:t xml:space="preserve">London: British Academic </w:t>
      </w:r>
      <w:r w:rsidR="00D10BF2" w:rsidRPr="00B503E6">
        <w:rPr>
          <w:rFonts w:asciiTheme="majorBidi" w:hAnsiTheme="majorBidi" w:cstheme="majorBidi"/>
          <w:sz w:val="24"/>
          <w:szCs w:val="24"/>
        </w:rPr>
        <w:t>P</w:t>
      </w:r>
      <w:r w:rsidRPr="00B503E6">
        <w:rPr>
          <w:rFonts w:asciiTheme="majorBidi" w:hAnsiTheme="majorBidi" w:cstheme="majorBidi"/>
          <w:sz w:val="24"/>
          <w:szCs w:val="24"/>
        </w:rPr>
        <w:t xml:space="preserve">ress, </w:t>
      </w:r>
      <w:r w:rsidR="00371B70" w:rsidRPr="00B503E6">
        <w:rPr>
          <w:rFonts w:asciiTheme="majorBidi" w:hAnsiTheme="majorBidi" w:cstheme="majorBidi"/>
          <w:sz w:val="24"/>
          <w:szCs w:val="24"/>
        </w:rPr>
        <w:t>1994</w:t>
      </w:r>
      <w:r w:rsidRPr="00B503E6">
        <w:rPr>
          <w:rFonts w:asciiTheme="majorBidi" w:hAnsiTheme="majorBidi" w:cstheme="majorBidi"/>
          <w:sz w:val="24"/>
          <w:szCs w:val="24"/>
        </w:rPr>
        <w:t xml:space="preserve">. </w:t>
      </w:r>
    </w:p>
    <w:p w:rsidR="007C0797" w:rsidRPr="00B503E6" w:rsidRDefault="007C0797" w:rsidP="002E73F3">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Fischbach, Michael</w:t>
      </w:r>
      <w:r w:rsidR="002E73F3" w:rsidRPr="00B503E6">
        <w:rPr>
          <w:rFonts w:asciiTheme="majorBidi" w:hAnsiTheme="majorBidi" w:cstheme="majorBidi"/>
          <w:sz w:val="24"/>
          <w:szCs w:val="24"/>
        </w:rPr>
        <w:t xml:space="preserve">. </w:t>
      </w:r>
      <w:r w:rsidRPr="00B503E6">
        <w:rPr>
          <w:rFonts w:asciiTheme="majorBidi" w:hAnsiTheme="majorBidi" w:cstheme="majorBidi"/>
          <w:i/>
          <w:iCs/>
          <w:sz w:val="24"/>
          <w:szCs w:val="24"/>
        </w:rPr>
        <w:t>State, Society and Land in Jordan</w:t>
      </w:r>
      <w:r w:rsidRPr="00B503E6">
        <w:rPr>
          <w:rFonts w:asciiTheme="majorBidi" w:hAnsiTheme="majorBidi" w:cstheme="majorBidi"/>
          <w:sz w:val="24"/>
          <w:szCs w:val="24"/>
        </w:rPr>
        <w:t xml:space="preserve">. </w:t>
      </w:r>
      <w:r w:rsidR="00D26C21" w:rsidRPr="00B503E6">
        <w:rPr>
          <w:rFonts w:asciiTheme="majorBidi" w:hAnsiTheme="majorBidi" w:cstheme="majorBidi"/>
          <w:sz w:val="24"/>
          <w:szCs w:val="24"/>
        </w:rPr>
        <w:t>Leiden: Brill, 2000.</w:t>
      </w:r>
    </w:p>
    <w:p w:rsidR="005E34A7" w:rsidRPr="00B503E6" w:rsidRDefault="005E34A7" w:rsidP="002E73F3">
      <w:pPr>
        <w:spacing w:line="480" w:lineRule="auto"/>
        <w:ind w:left="567" w:hanging="567"/>
        <w:contextualSpacing/>
        <w:jc w:val="both"/>
        <w:rPr>
          <w:rFonts w:asciiTheme="majorBidi" w:hAnsiTheme="majorBidi" w:cstheme="majorBidi"/>
          <w:b/>
          <w:bCs/>
          <w:sz w:val="24"/>
          <w:szCs w:val="24"/>
        </w:rPr>
      </w:pPr>
      <w:r w:rsidRPr="00B503E6">
        <w:rPr>
          <w:rFonts w:asciiTheme="majorBidi" w:hAnsiTheme="majorBidi" w:cstheme="majorBidi"/>
          <w:sz w:val="24"/>
          <w:szCs w:val="24"/>
        </w:rPr>
        <w:lastRenderedPageBreak/>
        <w:t>Fischbach, M</w:t>
      </w:r>
      <w:r w:rsidR="00371B70" w:rsidRPr="00B503E6">
        <w:rPr>
          <w:rFonts w:asciiTheme="majorBidi" w:hAnsiTheme="majorBidi" w:cstheme="majorBidi"/>
          <w:sz w:val="24"/>
          <w:szCs w:val="24"/>
        </w:rPr>
        <w:t xml:space="preserve">ichael. </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The British </w:t>
      </w:r>
      <w:r w:rsidR="00FA1739" w:rsidRPr="00B503E6">
        <w:rPr>
          <w:rFonts w:asciiTheme="majorBidi" w:hAnsiTheme="majorBidi" w:cstheme="majorBidi"/>
          <w:sz w:val="24"/>
          <w:szCs w:val="24"/>
        </w:rPr>
        <w:t>L</w:t>
      </w:r>
      <w:r w:rsidRPr="00B503E6">
        <w:rPr>
          <w:rFonts w:asciiTheme="majorBidi" w:hAnsiTheme="majorBidi" w:cstheme="majorBidi"/>
          <w:sz w:val="24"/>
          <w:szCs w:val="24"/>
        </w:rPr>
        <w:t xml:space="preserve">and </w:t>
      </w:r>
      <w:r w:rsidR="00FA1739" w:rsidRPr="00B503E6">
        <w:rPr>
          <w:rFonts w:asciiTheme="majorBidi" w:hAnsiTheme="majorBidi" w:cstheme="majorBidi"/>
          <w:sz w:val="24"/>
          <w:szCs w:val="24"/>
        </w:rPr>
        <w:t>P</w:t>
      </w:r>
      <w:r w:rsidRPr="00B503E6">
        <w:rPr>
          <w:rFonts w:asciiTheme="majorBidi" w:hAnsiTheme="majorBidi" w:cstheme="majorBidi"/>
          <w:sz w:val="24"/>
          <w:szCs w:val="24"/>
        </w:rPr>
        <w:t xml:space="preserve">rogram, </w:t>
      </w:r>
      <w:r w:rsidR="00FA1739" w:rsidRPr="00B503E6">
        <w:rPr>
          <w:rFonts w:asciiTheme="majorBidi" w:hAnsiTheme="majorBidi" w:cstheme="majorBidi"/>
          <w:sz w:val="24"/>
          <w:szCs w:val="24"/>
        </w:rPr>
        <w:t>S</w:t>
      </w:r>
      <w:r w:rsidRPr="00B503E6">
        <w:rPr>
          <w:rFonts w:asciiTheme="majorBidi" w:hAnsiTheme="majorBidi" w:cstheme="majorBidi"/>
          <w:sz w:val="24"/>
          <w:szCs w:val="24"/>
        </w:rPr>
        <w:t>tate-</w:t>
      </w:r>
      <w:r w:rsidR="00FA1739" w:rsidRPr="00B503E6">
        <w:rPr>
          <w:rFonts w:asciiTheme="majorBidi" w:hAnsiTheme="majorBidi" w:cstheme="majorBidi"/>
          <w:sz w:val="24"/>
          <w:szCs w:val="24"/>
        </w:rPr>
        <w:t>S</w:t>
      </w:r>
      <w:r w:rsidRPr="00B503E6">
        <w:rPr>
          <w:rFonts w:asciiTheme="majorBidi" w:hAnsiTheme="majorBidi" w:cstheme="majorBidi"/>
          <w:sz w:val="24"/>
          <w:szCs w:val="24"/>
        </w:rPr>
        <w:t xml:space="preserve">ocietal </w:t>
      </w:r>
      <w:r w:rsidR="00FA1739" w:rsidRPr="00B503E6">
        <w:rPr>
          <w:rFonts w:asciiTheme="majorBidi" w:hAnsiTheme="majorBidi" w:cstheme="majorBidi"/>
          <w:sz w:val="24"/>
          <w:szCs w:val="24"/>
        </w:rPr>
        <w:t>C</w:t>
      </w:r>
      <w:r w:rsidRPr="00B503E6">
        <w:rPr>
          <w:rFonts w:asciiTheme="majorBidi" w:hAnsiTheme="majorBidi" w:cstheme="majorBidi"/>
          <w:sz w:val="24"/>
          <w:szCs w:val="24"/>
        </w:rPr>
        <w:t xml:space="preserve">ooperation, and </w:t>
      </w:r>
      <w:r w:rsidR="00FA1739" w:rsidRPr="00B503E6">
        <w:rPr>
          <w:rFonts w:asciiTheme="majorBidi" w:hAnsiTheme="majorBidi" w:cstheme="majorBidi"/>
          <w:sz w:val="24"/>
          <w:szCs w:val="24"/>
        </w:rPr>
        <w:t>P</w:t>
      </w:r>
      <w:r w:rsidRPr="00B503E6">
        <w:rPr>
          <w:rFonts w:asciiTheme="majorBidi" w:hAnsiTheme="majorBidi" w:cstheme="majorBidi"/>
          <w:sz w:val="24"/>
          <w:szCs w:val="24"/>
        </w:rPr>
        <w:t xml:space="preserve">opular </w:t>
      </w:r>
      <w:r w:rsidR="00371B70" w:rsidRPr="00B503E6">
        <w:rPr>
          <w:rFonts w:asciiTheme="majorBidi" w:hAnsiTheme="majorBidi" w:cstheme="majorBidi"/>
          <w:sz w:val="24"/>
          <w:szCs w:val="24"/>
        </w:rPr>
        <w:t>I</w:t>
      </w:r>
      <w:r w:rsidRPr="00B503E6">
        <w:rPr>
          <w:rFonts w:asciiTheme="majorBidi" w:hAnsiTheme="majorBidi" w:cstheme="majorBidi"/>
          <w:sz w:val="24"/>
          <w:szCs w:val="24"/>
        </w:rPr>
        <w:t>magination in Transjordan</w:t>
      </w:r>
      <w:r w:rsidR="00371B70" w:rsidRPr="00B503E6">
        <w:rPr>
          <w:rFonts w:asciiTheme="majorBidi" w:hAnsiTheme="majorBidi" w:cstheme="majorBidi"/>
          <w:sz w:val="24"/>
          <w:szCs w:val="24"/>
        </w:rPr>
        <w:t>.</w:t>
      </w:r>
      <w:r w:rsidR="002E73F3"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371B70" w:rsidRPr="00B503E6">
        <w:rPr>
          <w:rFonts w:asciiTheme="majorBidi" w:hAnsiTheme="majorBidi" w:cstheme="majorBidi"/>
          <w:sz w:val="24"/>
          <w:szCs w:val="24"/>
        </w:rPr>
        <w:t>I</w:t>
      </w:r>
      <w:r w:rsidRPr="00B503E6">
        <w:rPr>
          <w:rFonts w:asciiTheme="majorBidi" w:hAnsiTheme="majorBidi" w:cstheme="majorBidi"/>
          <w:sz w:val="24"/>
          <w:szCs w:val="24"/>
        </w:rPr>
        <w:t xml:space="preserve">n </w:t>
      </w:r>
      <w:r w:rsidRPr="00B503E6">
        <w:rPr>
          <w:rFonts w:asciiTheme="majorBidi" w:hAnsiTheme="majorBidi" w:cstheme="majorBidi"/>
          <w:i/>
          <w:iCs/>
          <w:sz w:val="24"/>
          <w:szCs w:val="24"/>
        </w:rPr>
        <w:t xml:space="preserve">The British and French </w:t>
      </w:r>
      <w:r w:rsidR="00E26C05" w:rsidRPr="00B503E6">
        <w:rPr>
          <w:rFonts w:asciiTheme="majorBidi" w:hAnsiTheme="majorBidi" w:cstheme="majorBidi"/>
          <w:i/>
          <w:iCs/>
          <w:sz w:val="24"/>
          <w:szCs w:val="24"/>
        </w:rPr>
        <w:t>Mandate</w:t>
      </w:r>
      <w:r w:rsidRPr="00B503E6">
        <w:rPr>
          <w:rFonts w:asciiTheme="majorBidi" w:hAnsiTheme="majorBidi" w:cstheme="majorBidi"/>
          <w:i/>
          <w:iCs/>
          <w:sz w:val="24"/>
          <w:szCs w:val="24"/>
        </w:rPr>
        <w:t xml:space="preserve">s in </w:t>
      </w:r>
      <w:r w:rsidR="00FA1739" w:rsidRPr="00B503E6">
        <w:rPr>
          <w:rFonts w:asciiTheme="majorBidi" w:hAnsiTheme="majorBidi" w:cstheme="majorBidi"/>
          <w:i/>
          <w:iCs/>
          <w:sz w:val="24"/>
          <w:szCs w:val="24"/>
        </w:rPr>
        <w:t>C</w:t>
      </w:r>
      <w:r w:rsidRPr="00B503E6">
        <w:rPr>
          <w:rFonts w:asciiTheme="majorBidi" w:hAnsiTheme="majorBidi" w:cstheme="majorBidi"/>
          <w:i/>
          <w:iCs/>
          <w:sz w:val="24"/>
          <w:szCs w:val="24"/>
        </w:rPr>
        <w:t xml:space="preserve">omparative </w:t>
      </w:r>
      <w:r w:rsidR="00FA1739" w:rsidRPr="00B503E6">
        <w:rPr>
          <w:rFonts w:asciiTheme="majorBidi" w:hAnsiTheme="majorBidi" w:cstheme="majorBidi"/>
          <w:i/>
          <w:iCs/>
          <w:sz w:val="24"/>
          <w:szCs w:val="24"/>
        </w:rPr>
        <w:t>P</w:t>
      </w:r>
      <w:r w:rsidRPr="00B503E6">
        <w:rPr>
          <w:rFonts w:asciiTheme="majorBidi" w:hAnsiTheme="majorBidi" w:cstheme="majorBidi"/>
          <w:i/>
          <w:iCs/>
          <w:sz w:val="24"/>
          <w:szCs w:val="24"/>
        </w:rPr>
        <w:t>erspectives</w:t>
      </w:r>
      <w:r w:rsidRPr="00B503E6">
        <w:rPr>
          <w:rFonts w:asciiTheme="majorBidi" w:hAnsiTheme="majorBidi" w:cstheme="majorBidi"/>
          <w:sz w:val="24"/>
          <w:szCs w:val="24"/>
        </w:rPr>
        <w:t xml:space="preserve">, </w:t>
      </w:r>
      <w:r w:rsidR="00371B70" w:rsidRPr="00B503E6">
        <w:rPr>
          <w:rFonts w:asciiTheme="majorBidi" w:hAnsiTheme="majorBidi" w:cstheme="majorBidi"/>
          <w:sz w:val="24"/>
          <w:szCs w:val="24"/>
        </w:rPr>
        <w:t>edited by Nadine Méouchy and Peter Sl</w:t>
      </w:r>
      <w:r w:rsidR="0070352E" w:rsidRPr="00B503E6">
        <w:rPr>
          <w:rFonts w:asciiTheme="majorBidi" w:hAnsiTheme="majorBidi" w:cstheme="majorBidi"/>
          <w:sz w:val="24"/>
          <w:szCs w:val="24"/>
        </w:rPr>
        <w:t>u</w:t>
      </w:r>
      <w:r w:rsidR="00371B70" w:rsidRPr="00B503E6">
        <w:rPr>
          <w:rFonts w:asciiTheme="majorBidi" w:hAnsiTheme="majorBidi" w:cstheme="majorBidi"/>
          <w:sz w:val="24"/>
          <w:szCs w:val="24"/>
        </w:rPr>
        <w:t xml:space="preserve">glett, pp. 477-495, </w:t>
      </w:r>
      <w:r w:rsidRPr="00B503E6">
        <w:rPr>
          <w:rFonts w:asciiTheme="majorBidi" w:hAnsiTheme="majorBidi" w:cstheme="majorBidi"/>
          <w:sz w:val="24"/>
          <w:szCs w:val="24"/>
        </w:rPr>
        <w:t xml:space="preserve">Leiden: Brill, </w:t>
      </w:r>
      <w:r w:rsidR="00371B70" w:rsidRPr="00B503E6">
        <w:rPr>
          <w:rFonts w:asciiTheme="majorBidi" w:hAnsiTheme="majorBidi" w:cstheme="majorBidi"/>
          <w:sz w:val="24"/>
          <w:szCs w:val="24"/>
        </w:rPr>
        <w:t>2004</w:t>
      </w:r>
      <w:r w:rsidRPr="00B503E6">
        <w:rPr>
          <w:rFonts w:asciiTheme="majorBidi" w:hAnsiTheme="majorBidi" w:cstheme="majorBidi"/>
          <w:sz w:val="24"/>
          <w:szCs w:val="24"/>
        </w:rPr>
        <w:t>.</w:t>
      </w:r>
    </w:p>
    <w:p w:rsidR="00132C71" w:rsidRPr="00B503E6" w:rsidRDefault="00132C71" w:rsidP="00227991">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Gerber, Haim</w:t>
      </w:r>
      <w:r w:rsidR="00227991"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The Social Origins of the Modern Middle East</w:t>
      </w:r>
      <w:r w:rsidRPr="00B503E6">
        <w:rPr>
          <w:rFonts w:asciiTheme="majorBidi" w:hAnsiTheme="majorBidi" w:cstheme="majorBidi"/>
          <w:sz w:val="24"/>
          <w:szCs w:val="24"/>
        </w:rPr>
        <w:t xml:space="preserve">, </w:t>
      </w:r>
      <w:r w:rsidR="003A45E6" w:rsidRPr="00B503E6">
        <w:rPr>
          <w:rFonts w:asciiTheme="majorBidi" w:hAnsiTheme="majorBidi" w:cstheme="majorBidi"/>
          <w:sz w:val="24"/>
          <w:szCs w:val="24"/>
        </w:rPr>
        <w:t>Boulder, Colorado: Lynne Rienner Publishers, 1987.</w:t>
      </w:r>
    </w:p>
    <w:p w:rsidR="00F91C92" w:rsidRPr="00B503E6" w:rsidRDefault="00F91C92" w:rsidP="00A42D55">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Hakim, G</w:t>
      </w:r>
      <w:r w:rsidR="00371B70" w:rsidRPr="00B503E6">
        <w:rPr>
          <w:rFonts w:asciiTheme="majorBidi" w:hAnsiTheme="majorBidi" w:cstheme="majorBidi"/>
          <w:sz w:val="24"/>
          <w:szCs w:val="24"/>
        </w:rPr>
        <w:t>eorge</w:t>
      </w:r>
      <w:r w:rsidR="00D10BF2"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A42D55" w:rsidRPr="00B503E6">
        <w:rPr>
          <w:rFonts w:asciiTheme="majorBidi" w:hAnsiTheme="majorBidi" w:cstheme="majorBidi"/>
          <w:sz w:val="24"/>
          <w:szCs w:val="24"/>
        </w:rPr>
        <w:t>“</w:t>
      </w:r>
      <w:r w:rsidRPr="00B503E6">
        <w:rPr>
          <w:rFonts w:asciiTheme="majorBidi" w:hAnsiTheme="majorBidi" w:cstheme="majorBidi"/>
          <w:sz w:val="24"/>
          <w:szCs w:val="24"/>
        </w:rPr>
        <w:t xml:space="preserve">The </w:t>
      </w:r>
      <w:r w:rsidR="00FA1739" w:rsidRPr="00B503E6">
        <w:rPr>
          <w:rFonts w:asciiTheme="majorBidi" w:hAnsiTheme="majorBidi" w:cstheme="majorBidi"/>
          <w:sz w:val="24"/>
          <w:szCs w:val="24"/>
        </w:rPr>
        <w:t>F</w:t>
      </w:r>
      <w:r w:rsidRPr="00B503E6">
        <w:rPr>
          <w:rFonts w:asciiTheme="majorBidi" w:hAnsiTheme="majorBidi" w:cstheme="majorBidi"/>
          <w:sz w:val="24"/>
          <w:szCs w:val="24"/>
        </w:rPr>
        <w:t xml:space="preserve">iscal </w:t>
      </w:r>
      <w:r w:rsidR="00FA1739" w:rsidRPr="00B503E6">
        <w:rPr>
          <w:rFonts w:asciiTheme="majorBidi" w:hAnsiTheme="majorBidi" w:cstheme="majorBidi"/>
          <w:sz w:val="24"/>
          <w:szCs w:val="24"/>
        </w:rPr>
        <w:t>S</w:t>
      </w:r>
      <w:r w:rsidRPr="00B503E6">
        <w:rPr>
          <w:rFonts w:asciiTheme="majorBidi" w:hAnsiTheme="majorBidi" w:cstheme="majorBidi"/>
          <w:sz w:val="24"/>
          <w:szCs w:val="24"/>
        </w:rPr>
        <w:t>ystem</w:t>
      </w:r>
      <w:r w:rsidR="00A42D55" w:rsidRPr="00B503E6">
        <w:rPr>
          <w:rFonts w:asciiTheme="majorBidi" w:hAnsiTheme="majorBidi" w:cstheme="majorBidi"/>
          <w:sz w:val="24"/>
          <w:szCs w:val="24"/>
        </w:rPr>
        <w:t>”</w:t>
      </w:r>
      <w:r w:rsidR="00F724B6" w:rsidRPr="00B503E6">
        <w:rPr>
          <w:rFonts w:asciiTheme="majorBidi" w:hAnsiTheme="majorBidi" w:cstheme="majorBidi"/>
          <w:sz w:val="24"/>
          <w:szCs w:val="24"/>
        </w:rPr>
        <w:t xml:space="preserve"> and </w:t>
      </w:r>
      <w:r w:rsidR="00A42D55" w:rsidRPr="00B503E6">
        <w:rPr>
          <w:rFonts w:asciiTheme="majorBidi" w:hAnsiTheme="majorBidi" w:cstheme="majorBidi"/>
          <w:sz w:val="24"/>
          <w:szCs w:val="24"/>
        </w:rPr>
        <w:t>“</w:t>
      </w:r>
      <w:r w:rsidR="00FA1739" w:rsidRPr="00B503E6">
        <w:rPr>
          <w:rFonts w:asciiTheme="majorBidi" w:hAnsiTheme="majorBidi" w:cstheme="majorBidi"/>
          <w:sz w:val="24"/>
          <w:szCs w:val="24"/>
        </w:rPr>
        <w:t>I</w:t>
      </w:r>
      <w:r w:rsidR="00F724B6" w:rsidRPr="00B503E6">
        <w:rPr>
          <w:rFonts w:asciiTheme="majorBidi" w:hAnsiTheme="majorBidi" w:cstheme="majorBidi"/>
          <w:sz w:val="24"/>
          <w:szCs w:val="24"/>
        </w:rPr>
        <w:t>ndustry</w:t>
      </w:r>
      <w:r w:rsidR="00371B70" w:rsidRPr="00B503E6">
        <w:rPr>
          <w:rFonts w:asciiTheme="majorBidi" w:hAnsiTheme="majorBidi" w:cstheme="majorBidi"/>
          <w:sz w:val="24"/>
          <w:szCs w:val="24"/>
        </w:rPr>
        <w:t>.</w:t>
      </w:r>
      <w:r w:rsidR="00A42D55"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371B70" w:rsidRPr="00B503E6">
        <w:rPr>
          <w:rFonts w:asciiTheme="majorBidi" w:hAnsiTheme="majorBidi" w:cstheme="majorBidi"/>
          <w:sz w:val="24"/>
          <w:szCs w:val="24"/>
        </w:rPr>
        <w:t>I</w:t>
      </w:r>
      <w:r w:rsidRPr="00B503E6">
        <w:rPr>
          <w:rFonts w:asciiTheme="majorBidi" w:hAnsiTheme="majorBidi" w:cstheme="majorBidi"/>
          <w:sz w:val="24"/>
          <w:szCs w:val="24"/>
        </w:rPr>
        <w:t xml:space="preserve">n </w:t>
      </w:r>
      <w:r w:rsidRPr="00B503E6">
        <w:rPr>
          <w:rFonts w:asciiTheme="majorBidi" w:hAnsiTheme="majorBidi" w:cstheme="majorBidi"/>
          <w:i/>
          <w:iCs/>
          <w:sz w:val="24"/>
          <w:szCs w:val="24"/>
        </w:rPr>
        <w:t xml:space="preserve">Economic </w:t>
      </w:r>
      <w:r w:rsidR="00FA1739" w:rsidRPr="00B503E6">
        <w:rPr>
          <w:rFonts w:asciiTheme="majorBidi" w:hAnsiTheme="majorBidi" w:cstheme="majorBidi"/>
          <w:i/>
          <w:iCs/>
          <w:sz w:val="24"/>
          <w:szCs w:val="24"/>
        </w:rPr>
        <w:t>O</w:t>
      </w:r>
      <w:r w:rsidRPr="00B503E6">
        <w:rPr>
          <w:rFonts w:asciiTheme="majorBidi" w:hAnsiTheme="majorBidi" w:cstheme="majorBidi"/>
          <w:i/>
          <w:iCs/>
          <w:sz w:val="24"/>
          <w:szCs w:val="24"/>
        </w:rPr>
        <w:t>rganization of Syria</w:t>
      </w:r>
      <w:r w:rsidR="00D10BF2"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371B70" w:rsidRPr="00B503E6">
        <w:rPr>
          <w:rFonts w:asciiTheme="majorBidi" w:hAnsiTheme="majorBidi" w:cstheme="majorBidi"/>
          <w:sz w:val="24"/>
          <w:szCs w:val="24"/>
        </w:rPr>
        <w:t>edited by Said B. Himadeh, pp. 119-173</w:t>
      </w:r>
      <w:r w:rsidR="002251DC" w:rsidRPr="00B503E6">
        <w:rPr>
          <w:rFonts w:asciiTheme="majorBidi" w:hAnsiTheme="majorBidi" w:cstheme="majorBidi"/>
          <w:sz w:val="24"/>
          <w:szCs w:val="24"/>
        </w:rPr>
        <w:t xml:space="preserve"> and 332-402. </w:t>
      </w:r>
      <w:r w:rsidRPr="00B503E6">
        <w:rPr>
          <w:rFonts w:asciiTheme="majorBidi" w:hAnsiTheme="majorBidi" w:cstheme="majorBidi"/>
          <w:sz w:val="24"/>
          <w:szCs w:val="24"/>
        </w:rPr>
        <w:t xml:space="preserve">Beirut: The American Press, </w:t>
      </w:r>
      <w:r w:rsidR="00371B70" w:rsidRPr="00B503E6">
        <w:rPr>
          <w:rFonts w:asciiTheme="majorBidi" w:hAnsiTheme="majorBidi" w:cstheme="majorBidi"/>
          <w:sz w:val="24"/>
          <w:szCs w:val="24"/>
        </w:rPr>
        <w:t>1936</w:t>
      </w:r>
      <w:r w:rsidRPr="00B503E6">
        <w:rPr>
          <w:rFonts w:asciiTheme="majorBidi" w:hAnsiTheme="majorBidi" w:cstheme="majorBidi"/>
          <w:sz w:val="24"/>
          <w:szCs w:val="24"/>
        </w:rPr>
        <w:t xml:space="preserve">. </w:t>
      </w:r>
    </w:p>
    <w:p w:rsidR="000C09E9" w:rsidRPr="00B503E6" w:rsidRDefault="000C09E9" w:rsidP="00A42D55">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Hanna, A</w:t>
      </w:r>
      <w:r w:rsidR="00147D27" w:rsidRPr="00B503E6">
        <w:rPr>
          <w:rFonts w:asciiTheme="majorBidi" w:hAnsiTheme="majorBidi" w:cstheme="majorBidi"/>
          <w:sz w:val="24"/>
          <w:szCs w:val="24"/>
        </w:rPr>
        <w:t>bdallah</w:t>
      </w:r>
      <w:r w:rsidR="00D10BF2"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A42D55" w:rsidRPr="00B503E6">
        <w:rPr>
          <w:rFonts w:asciiTheme="majorBidi" w:hAnsiTheme="majorBidi" w:cstheme="majorBidi"/>
          <w:sz w:val="24"/>
          <w:szCs w:val="24"/>
        </w:rPr>
        <w:t>“</w:t>
      </w:r>
      <w:r w:rsidRPr="00B503E6">
        <w:rPr>
          <w:rFonts w:asciiTheme="majorBidi" w:hAnsiTheme="majorBidi" w:cstheme="majorBidi"/>
          <w:sz w:val="24"/>
          <w:szCs w:val="24"/>
        </w:rPr>
        <w:t xml:space="preserve">The </w:t>
      </w:r>
      <w:r w:rsidR="00FA1739" w:rsidRPr="00B503E6">
        <w:rPr>
          <w:rFonts w:asciiTheme="majorBidi" w:hAnsiTheme="majorBidi" w:cstheme="majorBidi"/>
          <w:sz w:val="24"/>
          <w:szCs w:val="24"/>
        </w:rPr>
        <w:t>A</w:t>
      </w:r>
      <w:r w:rsidRPr="00B503E6">
        <w:rPr>
          <w:rFonts w:asciiTheme="majorBidi" w:hAnsiTheme="majorBidi" w:cstheme="majorBidi"/>
          <w:sz w:val="24"/>
          <w:szCs w:val="24"/>
        </w:rPr>
        <w:t xml:space="preserve">ttitude of the French </w:t>
      </w:r>
      <w:r w:rsidR="00FA1739" w:rsidRPr="00B503E6">
        <w:rPr>
          <w:rFonts w:asciiTheme="majorBidi" w:hAnsiTheme="majorBidi" w:cstheme="majorBidi"/>
          <w:sz w:val="24"/>
          <w:szCs w:val="24"/>
        </w:rPr>
        <w:t>M</w:t>
      </w:r>
      <w:r w:rsidRPr="00B503E6">
        <w:rPr>
          <w:rFonts w:asciiTheme="majorBidi" w:hAnsiTheme="majorBidi" w:cstheme="majorBidi"/>
          <w:sz w:val="24"/>
          <w:szCs w:val="24"/>
        </w:rPr>
        <w:t xml:space="preserve">andatory </w:t>
      </w:r>
      <w:r w:rsidR="00FA1739" w:rsidRPr="00B503E6">
        <w:rPr>
          <w:rFonts w:asciiTheme="majorBidi" w:hAnsiTheme="majorBidi" w:cstheme="majorBidi"/>
          <w:sz w:val="24"/>
          <w:szCs w:val="24"/>
        </w:rPr>
        <w:t>A</w:t>
      </w:r>
      <w:r w:rsidRPr="00B503E6">
        <w:rPr>
          <w:rFonts w:asciiTheme="majorBidi" w:hAnsiTheme="majorBidi" w:cstheme="majorBidi"/>
          <w:sz w:val="24"/>
          <w:szCs w:val="24"/>
        </w:rPr>
        <w:t xml:space="preserve">uthorities </w:t>
      </w:r>
      <w:r w:rsidR="00FA1739" w:rsidRPr="00B503E6">
        <w:rPr>
          <w:rFonts w:asciiTheme="majorBidi" w:hAnsiTheme="majorBidi" w:cstheme="majorBidi"/>
          <w:sz w:val="24"/>
          <w:szCs w:val="24"/>
        </w:rPr>
        <w:t>T</w:t>
      </w:r>
      <w:r w:rsidR="00F96332" w:rsidRPr="00B503E6">
        <w:rPr>
          <w:rFonts w:asciiTheme="majorBidi" w:hAnsiTheme="majorBidi" w:cstheme="majorBidi"/>
          <w:sz w:val="24"/>
          <w:szCs w:val="24"/>
        </w:rPr>
        <w:t xml:space="preserve">owards </w:t>
      </w:r>
      <w:r w:rsidR="00FA1739" w:rsidRPr="00B503E6">
        <w:rPr>
          <w:rFonts w:asciiTheme="majorBidi" w:hAnsiTheme="majorBidi" w:cstheme="majorBidi"/>
          <w:sz w:val="24"/>
          <w:szCs w:val="24"/>
        </w:rPr>
        <w:t>L</w:t>
      </w:r>
      <w:r w:rsidR="00F96332" w:rsidRPr="00B503E6">
        <w:rPr>
          <w:rFonts w:asciiTheme="majorBidi" w:hAnsiTheme="majorBidi" w:cstheme="majorBidi"/>
          <w:sz w:val="24"/>
          <w:szCs w:val="24"/>
        </w:rPr>
        <w:t xml:space="preserve">and </w:t>
      </w:r>
      <w:r w:rsidR="00FA1739" w:rsidRPr="00B503E6">
        <w:rPr>
          <w:rFonts w:asciiTheme="majorBidi" w:hAnsiTheme="majorBidi" w:cstheme="majorBidi"/>
          <w:sz w:val="24"/>
          <w:szCs w:val="24"/>
        </w:rPr>
        <w:t>O</w:t>
      </w:r>
      <w:r w:rsidR="00F96332" w:rsidRPr="00B503E6">
        <w:rPr>
          <w:rFonts w:asciiTheme="majorBidi" w:hAnsiTheme="majorBidi" w:cstheme="majorBidi"/>
          <w:sz w:val="24"/>
          <w:szCs w:val="24"/>
        </w:rPr>
        <w:t>wnership in Syria</w:t>
      </w:r>
      <w:r w:rsidR="00147D27" w:rsidRPr="00B503E6">
        <w:rPr>
          <w:rFonts w:asciiTheme="majorBidi" w:hAnsiTheme="majorBidi" w:cstheme="majorBidi"/>
          <w:sz w:val="24"/>
          <w:szCs w:val="24"/>
        </w:rPr>
        <w:t>.</w:t>
      </w:r>
      <w:r w:rsidR="00A42D55" w:rsidRPr="00B503E6">
        <w:rPr>
          <w:rFonts w:asciiTheme="majorBidi" w:hAnsiTheme="majorBidi" w:cstheme="majorBidi"/>
          <w:sz w:val="24"/>
          <w:szCs w:val="24"/>
        </w:rPr>
        <w:t>”</w:t>
      </w:r>
      <w:r w:rsidR="00F96332" w:rsidRPr="00B503E6">
        <w:rPr>
          <w:rFonts w:asciiTheme="majorBidi" w:hAnsiTheme="majorBidi" w:cstheme="majorBidi"/>
          <w:sz w:val="24"/>
          <w:szCs w:val="24"/>
        </w:rPr>
        <w:t xml:space="preserve"> </w:t>
      </w:r>
      <w:r w:rsidR="00147D27" w:rsidRPr="00B503E6">
        <w:rPr>
          <w:rFonts w:asciiTheme="majorBidi" w:hAnsiTheme="majorBidi" w:cstheme="majorBidi"/>
          <w:sz w:val="24"/>
          <w:szCs w:val="24"/>
        </w:rPr>
        <w:t>I</w:t>
      </w:r>
      <w:r w:rsidR="00F96332" w:rsidRPr="00B503E6">
        <w:rPr>
          <w:rFonts w:asciiTheme="majorBidi" w:hAnsiTheme="majorBidi" w:cstheme="majorBidi"/>
          <w:sz w:val="24"/>
          <w:szCs w:val="24"/>
        </w:rPr>
        <w:t xml:space="preserve">n </w:t>
      </w:r>
      <w:r w:rsidR="00F96332" w:rsidRPr="00B503E6">
        <w:rPr>
          <w:rFonts w:asciiTheme="majorBidi" w:hAnsiTheme="majorBidi" w:cstheme="majorBidi"/>
          <w:i/>
          <w:iCs/>
          <w:sz w:val="24"/>
          <w:szCs w:val="24"/>
        </w:rPr>
        <w:t xml:space="preserve">The British and French </w:t>
      </w:r>
      <w:r w:rsidR="00E26C05" w:rsidRPr="00B503E6">
        <w:rPr>
          <w:rFonts w:asciiTheme="majorBidi" w:hAnsiTheme="majorBidi" w:cstheme="majorBidi"/>
          <w:i/>
          <w:iCs/>
          <w:sz w:val="24"/>
          <w:szCs w:val="24"/>
        </w:rPr>
        <w:t>Mandate</w:t>
      </w:r>
      <w:r w:rsidR="00F96332" w:rsidRPr="00B503E6">
        <w:rPr>
          <w:rFonts w:asciiTheme="majorBidi" w:hAnsiTheme="majorBidi" w:cstheme="majorBidi"/>
          <w:i/>
          <w:iCs/>
          <w:sz w:val="24"/>
          <w:szCs w:val="24"/>
        </w:rPr>
        <w:t xml:space="preserve">s in </w:t>
      </w:r>
      <w:r w:rsidR="00FA1739" w:rsidRPr="00B503E6">
        <w:rPr>
          <w:rFonts w:asciiTheme="majorBidi" w:hAnsiTheme="majorBidi" w:cstheme="majorBidi"/>
          <w:i/>
          <w:iCs/>
          <w:sz w:val="24"/>
          <w:szCs w:val="24"/>
        </w:rPr>
        <w:t>C</w:t>
      </w:r>
      <w:r w:rsidR="00F96332" w:rsidRPr="00B503E6">
        <w:rPr>
          <w:rFonts w:asciiTheme="majorBidi" w:hAnsiTheme="majorBidi" w:cstheme="majorBidi"/>
          <w:i/>
          <w:iCs/>
          <w:sz w:val="24"/>
          <w:szCs w:val="24"/>
        </w:rPr>
        <w:t xml:space="preserve">omparative </w:t>
      </w:r>
      <w:r w:rsidR="00FA1739" w:rsidRPr="00B503E6">
        <w:rPr>
          <w:rFonts w:asciiTheme="majorBidi" w:hAnsiTheme="majorBidi" w:cstheme="majorBidi"/>
          <w:i/>
          <w:iCs/>
          <w:sz w:val="24"/>
          <w:szCs w:val="24"/>
        </w:rPr>
        <w:t>P</w:t>
      </w:r>
      <w:r w:rsidR="00F96332" w:rsidRPr="00B503E6">
        <w:rPr>
          <w:rFonts w:asciiTheme="majorBidi" w:hAnsiTheme="majorBidi" w:cstheme="majorBidi"/>
          <w:i/>
          <w:iCs/>
          <w:sz w:val="24"/>
          <w:szCs w:val="24"/>
        </w:rPr>
        <w:t>erspectives</w:t>
      </w:r>
      <w:r w:rsidR="00F96332" w:rsidRPr="00B503E6">
        <w:rPr>
          <w:rFonts w:asciiTheme="majorBidi" w:hAnsiTheme="majorBidi" w:cstheme="majorBidi"/>
          <w:sz w:val="24"/>
          <w:szCs w:val="24"/>
        </w:rPr>
        <w:t xml:space="preserve">, </w:t>
      </w:r>
      <w:r w:rsidR="00147D27" w:rsidRPr="00B503E6">
        <w:rPr>
          <w:rFonts w:asciiTheme="majorBidi" w:hAnsiTheme="majorBidi" w:cstheme="majorBidi"/>
          <w:sz w:val="24"/>
          <w:szCs w:val="24"/>
        </w:rPr>
        <w:t>edited by Nadine Méouchy and Peter Sl</w:t>
      </w:r>
      <w:r w:rsidR="0070352E" w:rsidRPr="00B503E6">
        <w:rPr>
          <w:rFonts w:asciiTheme="majorBidi" w:hAnsiTheme="majorBidi" w:cstheme="majorBidi"/>
          <w:sz w:val="24"/>
          <w:szCs w:val="24"/>
        </w:rPr>
        <w:t>u</w:t>
      </w:r>
      <w:r w:rsidR="00147D27" w:rsidRPr="00B503E6">
        <w:rPr>
          <w:rFonts w:asciiTheme="majorBidi" w:hAnsiTheme="majorBidi" w:cstheme="majorBidi"/>
          <w:sz w:val="24"/>
          <w:szCs w:val="24"/>
        </w:rPr>
        <w:t>glett, pp. 457-475.</w:t>
      </w:r>
      <w:r w:rsidR="00147D27" w:rsidRPr="00B503E6">
        <w:rPr>
          <w:rFonts w:asciiTheme="majorBidi" w:hAnsiTheme="majorBidi" w:cstheme="majorBidi"/>
          <w:i/>
          <w:iCs/>
          <w:sz w:val="24"/>
          <w:szCs w:val="24"/>
        </w:rPr>
        <w:t xml:space="preserve"> </w:t>
      </w:r>
      <w:r w:rsidR="00F96332" w:rsidRPr="00B503E6">
        <w:rPr>
          <w:rFonts w:asciiTheme="majorBidi" w:hAnsiTheme="majorBidi" w:cstheme="majorBidi"/>
          <w:sz w:val="24"/>
          <w:szCs w:val="24"/>
        </w:rPr>
        <w:t xml:space="preserve">Leiden: Brill, </w:t>
      </w:r>
      <w:r w:rsidR="00147D27" w:rsidRPr="00B503E6">
        <w:rPr>
          <w:rFonts w:asciiTheme="majorBidi" w:hAnsiTheme="majorBidi" w:cstheme="majorBidi"/>
          <w:sz w:val="24"/>
          <w:szCs w:val="24"/>
        </w:rPr>
        <w:t>2004</w:t>
      </w:r>
      <w:r w:rsidR="00F96332" w:rsidRPr="00B503E6">
        <w:rPr>
          <w:rFonts w:asciiTheme="majorBidi" w:hAnsiTheme="majorBidi" w:cstheme="majorBidi"/>
          <w:sz w:val="24"/>
          <w:szCs w:val="24"/>
        </w:rPr>
        <w:t>.</w:t>
      </w:r>
    </w:p>
    <w:p w:rsidR="00D10B51" w:rsidRPr="00B503E6" w:rsidRDefault="00147D27" w:rsidP="00147D27">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Hershlag, Zvi </w:t>
      </w:r>
      <w:r w:rsidR="00D10B51" w:rsidRPr="00B503E6">
        <w:rPr>
          <w:rFonts w:asciiTheme="majorBidi" w:hAnsiTheme="majorBidi" w:cstheme="majorBidi"/>
          <w:sz w:val="24"/>
          <w:szCs w:val="24"/>
        </w:rPr>
        <w:t>Y</w:t>
      </w:r>
      <w:r w:rsidRPr="00B503E6">
        <w:rPr>
          <w:rFonts w:asciiTheme="majorBidi" w:hAnsiTheme="majorBidi" w:cstheme="majorBidi"/>
          <w:sz w:val="24"/>
          <w:szCs w:val="24"/>
        </w:rPr>
        <w:t>ehuda.</w:t>
      </w:r>
      <w:r w:rsidR="00D10B51" w:rsidRPr="00B503E6">
        <w:rPr>
          <w:rFonts w:asciiTheme="majorBidi" w:hAnsiTheme="majorBidi" w:cstheme="majorBidi"/>
          <w:sz w:val="24"/>
          <w:szCs w:val="24"/>
        </w:rPr>
        <w:t xml:space="preserve"> </w:t>
      </w:r>
      <w:r w:rsidR="00D10B51" w:rsidRPr="00B503E6">
        <w:rPr>
          <w:rFonts w:asciiTheme="majorBidi" w:hAnsiTheme="majorBidi" w:cstheme="majorBidi"/>
          <w:i/>
          <w:iCs/>
          <w:sz w:val="24"/>
          <w:szCs w:val="24"/>
        </w:rPr>
        <w:t xml:space="preserve">Introduction to the </w:t>
      </w:r>
      <w:r w:rsidR="00FA1739" w:rsidRPr="00B503E6">
        <w:rPr>
          <w:rFonts w:asciiTheme="majorBidi" w:hAnsiTheme="majorBidi" w:cstheme="majorBidi"/>
          <w:i/>
          <w:iCs/>
          <w:sz w:val="24"/>
          <w:szCs w:val="24"/>
        </w:rPr>
        <w:t>M</w:t>
      </w:r>
      <w:r w:rsidR="00D10B51" w:rsidRPr="00B503E6">
        <w:rPr>
          <w:rFonts w:asciiTheme="majorBidi" w:hAnsiTheme="majorBidi" w:cstheme="majorBidi"/>
          <w:i/>
          <w:iCs/>
          <w:sz w:val="24"/>
          <w:szCs w:val="24"/>
        </w:rPr>
        <w:t xml:space="preserve">odern </w:t>
      </w:r>
      <w:r w:rsidR="00FA1739" w:rsidRPr="00B503E6">
        <w:rPr>
          <w:rFonts w:asciiTheme="majorBidi" w:hAnsiTheme="majorBidi" w:cstheme="majorBidi"/>
          <w:i/>
          <w:iCs/>
          <w:sz w:val="24"/>
          <w:szCs w:val="24"/>
        </w:rPr>
        <w:t>E</w:t>
      </w:r>
      <w:r w:rsidR="00D10B51" w:rsidRPr="00B503E6">
        <w:rPr>
          <w:rFonts w:asciiTheme="majorBidi" w:hAnsiTheme="majorBidi" w:cstheme="majorBidi"/>
          <w:i/>
          <w:iCs/>
          <w:sz w:val="24"/>
          <w:szCs w:val="24"/>
        </w:rPr>
        <w:t xml:space="preserve">conomic </w:t>
      </w:r>
      <w:r w:rsidR="00FA1739" w:rsidRPr="00B503E6">
        <w:rPr>
          <w:rFonts w:asciiTheme="majorBidi" w:hAnsiTheme="majorBidi" w:cstheme="majorBidi"/>
          <w:i/>
          <w:iCs/>
          <w:sz w:val="24"/>
          <w:szCs w:val="24"/>
        </w:rPr>
        <w:t>H</w:t>
      </w:r>
      <w:r w:rsidR="00D10B51" w:rsidRPr="00B503E6">
        <w:rPr>
          <w:rFonts w:asciiTheme="majorBidi" w:hAnsiTheme="majorBidi" w:cstheme="majorBidi"/>
          <w:i/>
          <w:iCs/>
          <w:sz w:val="24"/>
          <w:szCs w:val="24"/>
        </w:rPr>
        <w:t>istory of the Middle East</w:t>
      </w:r>
      <w:r w:rsidRPr="00B503E6">
        <w:rPr>
          <w:rFonts w:asciiTheme="majorBidi" w:hAnsiTheme="majorBidi" w:cstheme="majorBidi"/>
          <w:sz w:val="24"/>
          <w:szCs w:val="24"/>
        </w:rPr>
        <w:t>.</w:t>
      </w:r>
      <w:r w:rsidR="00D10B51" w:rsidRPr="00B503E6">
        <w:rPr>
          <w:rFonts w:asciiTheme="majorBidi" w:hAnsiTheme="majorBidi" w:cstheme="majorBidi"/>
          <w:sz w:val="24"/>
          <w:szCs w:val="24"/>
        </w:rPr>
        <w:t xml:space="preserve"> Leiden: Brill</w:t>
      </w:r>
      <w:r w:rsidRPr="00B503E6">
        <w:rPr>
          <w:rFonts w:asciiTheme="majorBidi" w:hAnsiTheme="majorBidi" w:cstheme="majorBidi"/>
          <w:sz w:val="24"/>
          <w:szCs w:val="24"/>
        </w:rPr>
        <w:t>, 1980</w:t>
      </w:r>
      <w:r w:rsidR="00D10B51" w:rsidRPr="00B503E6">
        <w:rPr>
          <w:rFonts w:asciiTheme="majorBidi" w:hAnsiTheme="majorBidi" w:cstheme="majorBidi"/>
          <w:sz w:val="24"/>
          <w:szCs w:val="24"/>
        </w:rPr>
        <w:t xml:space="preserve">. </w:t>
      </w:r>
    </w:p>
    <w:p w:rsidR="00627F9E" w:rsidRPr="00B503E6" w:rsidRDefault="00627F9E" w:rsidP="00627F9E">
      <w:pPr>
        <w:spacing w:line="480" w:lineRule="auto"/>
        <w:ind w:left="540" w:hanging="540"/>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Himadeh, Sa'id B. </w:t>
      </w:r>
      <w:r w:rsidRPr="00B503E6">
        <w:rPr>
          <w:rFonts w:asciiTheme="majorBidi" w:hAnsiTheme="majorBidi" w:cstheme="majorBidi"/>
          <w:i/>
          <w:iCs/>
          <w:sz w:val="24"/>
          <w:szCs w:val="24"/>
        </w:rPr>
        <w:t>Economic Organization of Syria</w:t>
      </w:r>
      <w:r w:rsidRPr="00B503E6">
        <w:rPr>
          <w:rFonts w:asciiTheme="majorBidi" w:hAnsiTheme="majorBidi" w:cstheme="majorBidi"/>
          <w:sz w:val="24"/>
          <w:szCs w:val="24"/>
        </w:rPr>
        <w:t>. Beirut: The American Press, 1936.</w:t>
      </w:r>
    </w:p>
    <w:p w:rsidR="00BC309E" w:rsidRPr="00B503E6" w:rsidRDefault="00BC309E" w:rsidP="00147D27">
      <w:pPr>
        <w:spacing w:line="480" w:lineRule="auto"/>
        <w:ind w:left="540" w:hanging="540"/>
        <w:contextualSpacing/>
        <w:jc w:val="both"/>
        <w:rPr>
          <w:rFonts w:asciiTheme="majorBidi" w:hAnsiTheme="majorBidi" w:cstheme="majorBidi"/>
          <w:sz w:val="24"/>
          <w:szCs w:val="24"/>
        </w:rPr>
      </w:pPr>
      <w:r w:rsidRPr="00B503E6">
        <w:rPr>
          <w:rFonts w:asciiTheme="majorBidi" w:hAnsiTheme="majorBidi" w:cstheme="majorBidi"/>
          <w:sz w:val="24"/>
          <w:szCs w:val="24"/>
        </w:rPr>
        <w:t>Himadeh, S</w:t>
      </w:r>
      <w:r w:rsidR="00147D27" w:rsidRPr="00B503E6">
        <w:rPr>
          <w:rFonts w:asciiTheme="majorBidi" w:hAnsiTheme="majorBidi" w:cstheme="majorBidi"/>
          <w:sz w:val="24"/>
          <w:szCs w:val="24"/>
        </w:rPr>
        <w:t>a'id</w:t>
      </w:r>
      <w:r w:rsidRPr="00B503E6">
        <w:rPr>
          <w:rFonts w:asciiTheme="majorBidi" w:hAnsiTheme="majorBidi" w:cstheme="majorBidi"/>
          <w:sz w:val="24"/>
          <w:szCs w:val="24"/>
        </w:rPr>
        <w:t xml:space="preserve"> B. </w:t>
      </w:r>
      <w:r w:rsidRPr="00B503E6">
        <w:rPr>
          <w:rFonts w:asciiTheme="majorBidi" w:hAnsiTheme="majorBidi" w:cstheme="majorBidi"/>
          <w:i/>
          <w:iCs/>
          <w:sz w:val="24"/>
          <w:szCs w:val="24"/>
        </w:rPr>
        <w:t xml:space="preserve">Economic </w:t>
      </w:r>
      <w:r w:rsidR="00FA1739" w:rsidRPr="00B503E6">
        <w:rPr>
          <w:rFonts w:asciiTheme="majorBidi" w:hAnsiTheme="majorBidi" w:cstheme="majorBidi"/>
          <w:i/>
          <w:iCs/>
          <w:sz w:val="24"/>
          <w:szCs w:val="24"/>
        </w:rPr>
        <w:t>O</w:t>
      </w:r>
      <w:r w:rsidRPr="00B503E6">
        <w:rPr>
          <w:rFonts w:asciiTheme="majorBidi" w:hAnsiTheme="majorBidi" w:cstheme="majorBidi"/>
          <w:i/>
          <w:iCs/>
          <w:sz w:val="24"/>
          <w:szCs w:val="24"/>
        </w:rPr>
        <w:t>rganization of Palestine</w:t>
      </w:r>
      <w:r w:rsidR="00147D27" w:rsidRPr="00B503E6">
        <w:rPr>
          <w:rFonts w:asciiTheme="majorBidi" w:hAnsiTheme="majorBidi" w:cstheme="majorBidi"/>
          <w:sz w:val="24"/>
          <w:szCs w:val="24"/>
        </w:rPr>
        <w:t>.</w:t>
      </w:r>
      <w:r w:rsidRPr="00B503E6">
        <w:rPr>
          <w:rFonts w:asciiTheme="majorBidi" w:hAnsiTheme="majorBidi" w:cstheme="majorBidi"/>
          <w:sz w:val="24"/>
          <w:szCs w:val="24"/>
        </w:rPr>
        <w:t xml:space="preserve"> Beirut: The American Press</w:t>
      </w:r>
      <w:r w:rsidR="00147D27" w:rsidRPr="00B503E6">
        <w:rPr>
          <w:rFonts w:asciiTheme="majorBidi" w:hAnsiTheme="majorBidi" w:cstheme="majorBidi"/>
          <w:sz w:val="24"/>
          <w:szCs w:val="24"/>
        </w:rPr>
        <w:t>, 1938</w:t>
      </w:r>
      <w:r w:rsidRPr="00B503E6">
        <w:rPr>
          <w:rFonts w:asciiTheme="majorBidi" w:hAnsiTheme="majorBidi" w:cstheme="majorBidi"/>
          <w:sz w:val="24"/>
          <w:szCs w:val="24"/>
        </w:rPr>
        <w:t xml:space="preserve">. </w:t>
      </w:r>
    </w:p>
    <w:p w:rsidR="004B2B44" w:rsidRPr="00B503E6" w:rsidRDefault="004B2B44" w:rsidP="003C5015">
      <w:pPr>
        <w:spacing w:line="480" w:lineRule="auto"/>
        <w:ind w:left="540" w:hanging="540"/>
        <w:contextualSpacing/>
        <w:jc w:val="both"/>
        <w:rPr>
          <w:rFonts w:asciiTheme="majorBidi" w:hAnsiTheme="majorBidi" w:cstheme="majorBidi"/>
          <w:sz w:val="24"/>
          <w:szCs w:val="24"/>
        </w:rPr>
      </w:pPr>
      <w:proofErr w:type="spellStart"/>
      <w:r w:rsidRPr="00B503E6">
        <w:rPr>
          <w:rFonts w:asciiTheme="majorBidi" w:hAnsiTheme="majorBidi" w:cstheme="majorBidi"/>
          <w:sz w:val="24"/>
          <w:szCs w:val="24"/>
        </w:rPr>
        <w:t>Honoré</w:t>
      </w:r>
      <w:proofErr w:type="spellEnd"/>
      <w:r w:rsidRPr="00B503E6">
        <w:rPr>
          <w:rFonts w:asciiTheme="majorBidi" w:hAnsiTheme="majorBidi" w:cstheme="majorBidi"/>
          <w:sz w:val="24"/>
          <w:szCs w:val="24"/>
        </w:rPr>
        <w:t xml:space="preserve">, A. M. </w:t>
      </w:r>
      <w:r w:rsidR="003C5015" w:rsidRPr="00B503E6">
        <w:rPr>
          <w:rFonts w:asciiTheme="majorBidi" w:hAnsiTheme="majorBidi" w:cstheme="majorBidi"/>
          <w:sz w:val="24"/>
          <w:szCs w:val="24"/>
        </w:rPr>
        <w:t>“</w:t>
      </w:r>
      <w:r w:rsidRPr="00B503E6">
        <w:rPr>
          <w:rFonts w:asciiTheme="majorBidi" w:hAnsiTheme="majorBidi" w:cstheme="majorBidi"/>
          <w:sz w:val="24"/>
          <w:szCs w:val="24"/>
        </w:rPr>
        <w:t>Ownership.</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 In </w:t>
      </w:r>
      <w:r w:rsidRPr="00B503E6">
        <w:rPr>
          <w:rFonts w:asciiTheme="majorBidi" w:hAnsiTheme="majorBidi" w:cstheme="majorBidi"/>
          <w:i/>
          <w:iCs/>
          <w:sz w:val="24"/>
          <w:szCs w:val="24"/>
        </w:rPr>
        <w:t>Oxford Essays in Jurisprudence</w:t>
      </w:r>
      <w:r w:rsidRPr="00B503E6">
        <w:rPr>
          <w:rFonts w:asciiTheme="majorBidi" w:hAnsiTheme="majorBidi" w:cstheme="majorBidi"/>
          <w:sz w:val="24"/>
          <w:szCs w:val="24"/>
        </w:rPr>
        <w:t xml:space="preserve">, edited by A. G. Guest, </w:t>
      </w:r>
      <w:r w:rsidR="00DE4868" w:rsidRPr="00B503E6">
        <w:rPr>
          <w:rFonts w:asciiTheme="majorBidi" w:hAnsiTheme="majorBidi" w:cstheme="majorBidi"/>
          <w:sz w:val="24"/>
          <w:szCs w:val="24"/>
        </w:rPr>
        <w:t xml:space="preserve">pp. </w:t>
      </w:r>
      <w:r w:rsidRPr="00B503E6">
        <w:rPr>
          <w:rFonts w:asciiTheme="majorBidi" w:hAnsiTheme="majorBidi" w:cstheme="majorBidi"/>
          <w:sz w:val="24"/>
          <w:szCs w:val="24"/>
        </w:rPr>
        <w:t>107-147. Oxford: Oxford University Press, 1961.</w:t>
      </w:r>
    </w:p>
    <w:p w:rsidR="000653B0" w:rsidRPr="00B503E6" w:rsidRDefault="000653B0" w:rsidP="00147D27">
      <w:pPr>
        <w:spacing w:line="480" w:lineRule="auto"/>
        <w:ind w:left="540" w:hanging="540"/>
        <w:contextualSpacing/>
        <w:jc w:val="both"/>
        <w:rPr>
          <w:rFonts w:asciiTheme="majorBidi" w:hAnsiTheme="majorBidi" w:cstheme="majorBidi"/>
          <w:sz w:val="24"/>
          <w:szCs w:val="24"/>
        </w:rPr>
      </w:pPr>
      <w:r w:rsidRPr="00B503E6">
        <w:rPr>
          <w:rFonts w:asciiTheme="majorBidi" w:hAnsiTheme="majorBidi" w:cstheme="majorBidi"/>
          <w:sz w:val="24"/>
          <w:szCs w:val="24"/>
        </w:rPr>
        <w:t>Hope-Simpson, J</w:t>
      </w:r>
      <w:r w:rsidR="00147D27" w:rsidRPr="00B503E6">
        <w:rPr>
          <w:rFonts w:asciiTheme="majorBidi" w:hAnsiTheme="majorBidi" w:cstheme="majorBidi"/>
          <w:sz w:val="24"/>
          <w:szCs w:val="24"/>
        </w:rPr>
        <w:t>ohn.</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Palestine: Report on Immigration, Land Settlement and Development</w:t>
      </w:r>
      <w:r w:rsidR="00147D27" w:rsidRPr="00B503E6">
        <w:rPr>
          <w:rFonts w:asciiTheme="majorBidi" w:hAnsiTheme="majorBidi" w:cstheme="majorBidi"/>
          <w:sz w:val="24"/>
          <w:szCs w:val="24"/>
        </w:rPr>
        <w:t>.</w:t>
      </w:r>
      <w:r w:rsidRPr="00B503E6">
        <w:rPr>
          <w:rFonts w:asciiTheme="majorBidi" w:hAnsiTheme="majorBidi" w:cstheme="majorBidi"/>
          <w:sz w:val="24"/>
          <w:szCs w:val="24"/>
        </w:rPr>
        <w:t xml:space="preserve"> London: His Majesty’s Stationary Office</w:t>
      </w:r>
      <w:r w:rsidR="00147D27" w:rsidRPr="00B503E6">
        <w:rPr>
          <w:rFonts w:asciiTheme="majorBidi" w:hAnsiTheme="majorBidi" w:cstheme="majorBidi"/>
          <w:sz w:val="24"/>
          <w:szCs w:val="24"/>
        </w:rPr>
        <w:t>, 1930</w:t>
      </w:r>
      <w:r w:rsidRPr="00B503E6">
        <w:rPr>
          <w:rFonts w:asciiTheme="majorBidi" w:hAnsiTheme="majorBidi" w:cstheme="majorBidi"/>
          <w:sz w:val="24"/>
          <w:szCs w:val="24"/>
        </w:rPr>
        <w:t xml:space="preserve">.  </w:t>
      </w:r>
    </w:p>
    <w:p w:rsidR="00C01526" w:rsidRPr="00B503E6" w:rsidRDefault="00C01526" w:rsidP="003C5015">
      <w:pPr>
        <w:spacing w:line="480" w:lineRule="auto"/>
        <w:ind w:left="540" w:hanging="540"/>
        <w:contextualSpacing/>
        <w:jc w:val="both"/>
        <w:rPr>
          <w:rFonts w:asciiTheme="majorBidi" w:hAnsiTheme="majorBidi" w:cstheme="majorBidi"/>
          <w:sz w:val="24"/>
          <w:szCs w:val="24"/>
        </w:rPr>
      </w:pPr>
      <w:r w:rsidRPr="00B503E6">
        <w:rPr>
          <w:rFonts w:asciiTheme="majorBidi" w:hAnsiTheme="majorBidi" w:cstheme="majorBidi"/>
          <w:sz w:val="24"/>
          <w:szCs w:val="24"/>
        </w:rPr>
        <w:t>Hourani, Albert</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Syria and Lebanon: A Political Essay</w:t>
      </w:r>
      <w:r w:rsidR="003C5015" w:rsidRPr="00B503E6">
        <w:rPr>
          <w:rFonts w:asciiTheme="majorBidi" w:hAnsiTheme="majorBidi" w:cstheme="majorBidi"/>
          <w:sz w:val="24"/>
          <w:szCs w:val="24"/>
        </w:rPr>
        <w:t>.</w:t>
      </w:r>
      <w:r w:rsidR="00D77A38" w:rsidRPr="00B503E6">
        <w:rPr>
          <w:rFonts w:asciiTheme="majorBidi" w:hAnsiTheme="majorBidi" w:cstheme="majorBidi"/>
          <w:sz w:val="24"/>
          <w:szCs w:val="24"/>
        </w:rPr>
        <w:t xml:space="preserve"> Beirut: Librairie Du Liban, 1968.</w:t>
      </w:r>
    </w:p>
    <w:p w:rsidR="0040146B" w:rsidRPr="00B503E6" w:rsidRDefault="0040146B" w:rsidP="003C5015">
      <w:pPr>
        <w:spacing w:line="480" w:lineRule="auto"/>
        <w:ind w:left="540" w:hanging="540"/>
        <w:contextualSpacing/>
        <w:jc w:val="both"/>
        <w:rPr>
          <w:rFonts w:asciiTheme="majorBidi" w:hAnsiTheme="majorBidi" w:cstheme="majorBidi"/>
          <w:sz w:val="24"/>
          <w:szCs w:val="24"/>
        </w:rPr>
      </w:pPr>
      <w:r w:rsidRPr="00B503E6">
        <w:rPr>
          <w:rFonts w:asciiTheme="majorBidi" w:hAnsiTheme="majorBidi" w:cstheme="majorBidi"/>
          <w:sz w:val="24"/>
          <w:szCs w:val="24"/>
        </w:rPr>
        <w:lastRenderedPageBreak/>
        <w:t>Inalcik, H</w:t>
      </w:r>
      <w:r w:rsidR="00147D27" w:rsidRPr="00B503E6">
        <w:rPr>
          <w:rFonts w:asciiTheme="majorBidi" w:hAnsiTheme="majorBidi" w:cstheme="majorBidi"/>
          <w:sz w:val="24"/>
          <w:szCs w:val="24"/>
        </w:rPr>
        <w:t>alil</w:t>
      </w:r>
      <w:r w:rsidRPr="00B503E6">
        <w:rPr>
          <w:rFonts w:asciiTheme="majorBidi" w:hAnsiTheme="majorBidi" w:cstheme="majorBidi"/>
          <w:sz w:val="24"/>
          <w:szCs w:val="24"/>
        </w:rPr>
        <w:t xml:space="preserve">. </w:t>
      </w:r>
      <w:r w:rsidR="003C5015" w:rsidRPr="00B503E6">
        <w:rPr>
          <w:rFonts w:asciiTheme="majorBidi" w:hAnsiTheme="majorBidi" w:cstheme="majorBidi"/>
          <w:sz w:val="24"/>
          <w:szCs w:val="24"/>
        </w:rPr>
        <w:t>“</w:t>
      </w:r>
      <w:r w:rsidRPr="00B503E6">
        <w:rPr>
          <w:rFonts w:asciiTheme="majorBidi" w:hAnsiTheme="majorBidi" w:cstheme="majorBidi"/>
          <w:sz w:val="24"/>
          <w:szCs w:val="24"/>
        </w:rPr>
        <w:t>The Ottoman State: Economy and Society, 1300-1600</w:t>
      </w:r>
      <w:r w:rsidR="00147D27" w:rsidRPr="00B503E6">
        <w:rPr>
          <w:rFonts w:asciiTheme="majorBidi" w:hAnsiTheme="majorBidi" w:cstheme="majorBidi"/>
          <w:sz w:val="24"/>
          <w:szCs w:val="24"/>
        </w:rPr>
        <w:t>.</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147D27" w:rsidRPr="00B503E6">
        <w:rPr>
          <w:rFonts w:asciiTheme="majorBidi" w:hAnsiTheme="majorBidi" w:cstheme="majorBidi"/>
          <w:sz w:val="24"/>
          <w:szCs w:val="24"/>
        </w:rPr>
        <w:t>I</w:t>
      </w:r>
      <w:r w:rsidRPr="00B503E6">
        <w:rPr>
          <w:rFonts w:asciiTheme="majorBidi" w:hAnsiTheme="majorBidi" w:cstheme="majorBidi"/>
          <w:sz w:val="24"/>
          <w:szCs w:val="24"/>
        </w:rPr>
        <w:t>n</w:t>
      </w:r>
      <w:r w:rsidR="00FA1739" w:rsidRPr="00B503E6">
        <w:rPr>
          <w:rFonts w:asciiTheme="majorBidi" w:hAnsiTheme="majorBidi" w:cstheme="majorBidi"/>
          <w:sz w:val="24"/>
          <w:szCs w:val="24"/>
        </w:rPr>
        <w:t xml:space="preserve"> </w:t>
      </w:r>
      <w:r w:rsidRPr="00B503E6">
        <w:rPr>
          <w:rFonts w:asciiTheme="majorBidi" w:hAnsiTheme="majorBidi" w:cstheme="majorBidi"/>
          <w:i/>
          <w:iCs/>
          <w:sz w:val="24"/>
          <w:szCs w:val="24"/>
        </w:rPr>
        <w:t>An Economic and Social History of the Ottoman Empire</w:t>
      </w:r>
      <w:r w:rsidRPr="00B503E6">
        <w:rPr>
          <w:rFonts w:asciiTheme="majorBidi" w:hAnsiTheme="majorBidi" w:cstheme="majorBidi"/>
          <w:sz w:val="24"/>
          <w:szCs w:val="24"/>
        </w:rPr>
        <w:t xml:space="preserve">, Vol. 1, </w:t>
      </w:r>
      <w:r w:rsidR="00147D27" w:rsidRPr="00B503E6">
        <w:rPr>
          <w:rFonts w:asciiTheme="majorBidi" w:hAnsiTheme="majorBidi" w:cstheme="majorBidi"/>
          <w:sz w:val="24"/>
          <w:szCs w:val="24"/>
        </w:rPr>
        <w:t xml:space="preserve">edited by Halil Inalcik, pp. 9-409. </w:t>
      </w:r>
      <w:r w:rsidRPr="00B503E6">
        <w:rPr>
          <w:rFonts w:asciiTheme="majorBidi" w:hAnsiTheme="majorBidi" w:cstheme="majorBidi"/>
          <w:sz w:val="24"/>
          <w:szCs w:val="24"/>
        </w:rPr>
        <w:t>Cambridge: Cambridge University Press</w:t>
      </w:r>
      <w:r w:rsidR="00FA1739" w:rsidRPr="00B503E6">
        <w:rPr>
          <w:rFonts w:asciiTheme="majorBidi" w:hAnsiTheme="majorBidi" w:cstheme="majorBidi"/>
          <w:sz w:val="24"/>
          <w:szCs w:val="24"/>
        </w:rPr>
        <w:t xml:space="preserve">, </w:t>
      </w:r>
      <w:r w:rsidR="00147D27" w:rsidRPr="00B503E6">
        <w:rPr>
          <w:rFonts w:asciiTheme="majorBidi" w:hAnsiTheme="majorBidi" w:cstheme="majorBidi"/>
          <w:sz w:val="24"/>
          <w:szCs w:val="24"/>
        </w:rPr>
        <w:t>1994</w:t>
      </w:r>
      <w:r w:rsidRPr="00B503E6">
        <w:rPr>
          <w:rFonts w:asciiTheme="majorBidi" w:hAnsiTheme="majorBidi" w:cstheme="majorBidi"/>
          <w:sz w:val="24"/>
          <w:szCs w:val="24"/>
        </w:rPr>
        <w:t>.</w:t>
      </w:r>
    </w:p>
    <w:p w:rsidR="00AF2BD4" w:rsidRPr="00B503E6" w:rsidRDefault="002D6C4B" w:rsidP="00F90ED1">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Issawi, C</w:t>
      </w:r>
      <w:r w:rsidR="00147D27" w:rsidRPr="00B503E6">
        <w:rPr>
          <w:rFonts w:asciiTheme="majorBidi" w:hAnsiTheme="majorBidi" w:cstheme="majorBidi"/>
          <w:sz w:val="24"/>
          <w:szCs w:val="24"/>
        </w:rPr>
        <w:t>harles.</w:t>
      </w:r>
      <w:r w:rsidRPr="00B503E6">
        <w:rPr>
          <w:rFonts w:asciiTheme="majorBidi" w:hAnsiTheme="majorBidi" w:cstheme="majorBidi"/>
          <w:sz w:val="24"/>
          <w:szCs w:val="24"/>
        </w:rPr>
        <w:t xml:space="preserve"> </w:t>
      </w:r>
      <w:r w:rsidR="003C5015" w:rsidRPr="00B503E6">
        <w:rPr>
          <w:rFonts w:asciiTheme="majorBidi" w:hAnsiTheme="majorBidi" w:cstheme="majorBidi"/>
          <w:sz w:val="24"/>
          <w:szCs w:val="24"/>
        </w:rPr>
        <w:t>“</w:t>
      </w:r>
      <w:r w:rsidR="00AF2BD4" w:rsidRPr="00B503E6">
        <w:rPr>
          <w:rFonts w:asciiTheme="majorBidi" w:hAnsiTheme="majorBidi" w:cstheme="majorBidi"/>
          <w:sz w:val="24"/>
          <w:szCs w:val="24"/>
        </w:rPr>
        <w:t xml:space="preserve">Economic </w:t>
      </w:r>
      <w:r w:rsidR="00670D4B" w:rsidRPr="00B503E6">
        <w:rPr>
          <w:rFonts w:asciiTheme="majorBidi" w:hAnsiTheme="majorBidi" w:cstheme="majorBidi"/>
          <w:sz w:val="24"/>
          <w:szCs w:val="24"/>
        </w:rPr>
        <w:t>D</w:t>
      </w:r>
      <w:r w:rsidR="00AF2BD4" w:rsidRPr="00B503E6">
        <w:rPr>
          <w:rFonts w:asciiTheme="majorBidi" w:hAnsiTheme="majorBidi" w:cstheme="majorBidi"/>
          <w:sz w:val="24"/>
          <w:szCs w:val="24"/>
        </w:rPr>
        <w:t xml:space="preserve">evelopment and </w:t>
      </w:r>
      <w:r w:rsidR="00670D4B" w:rsidRPr="00B503E6">
        <w:rPr>
          <w:rFonts w:asciiTheme="majorBidi" w:hAnsiTheme="majorBidi" w:cstheme="majorBidi"/>
          <w:sz w:val="24"/>
          <w:szCs w:val="24"/>
        </w:rPr>
        <w:t>L</w:t>
      </w:r>
      <w:r w:rsidR="00AF2BD4" w:rsidRPr="00B503E6">
        <w:rPr>
          <w:rFonts w:asciiTheme="majorBidi" w:hAnsiTheme="majorBidi" w:cstheme="majorBidi"/>
          <w:sz w:val="24"/>
          <w:szCs w:val="24"/>
        </w:rPr>
        <w:t>iberalism in Lebanon</w:t>
      </w:r>
      <w:r w:rsidR="00147D27" w:rsidRPr="00B503E6">
        <w:rPr>
          <w:rFonts w:asciiTheme="majorBidi" w:hAnsiTheme="majorBidi" w:cstheme="majorBidi"/>
          <w:sz w:val="24"/>
          <w:szCs w:val="24"/>
        </w:rPr>
        <w:t>.</w:t>
      </w:r>
      <w:r w:rsidR="003C5015" w:rsidRPr="00B503E6">
        <w:rPr>
          <w:rFonts w:asciiTheme="majorBidi" w:hAnsiTheme="majorBidi" w:cstheme="majorBidi"/>
          <w:sz w:val="24"/>
          <w:szCs w:val="24"/>
        </w:rPr>
        <w:t>”</w:t>
      </w:r>
      <w:r w:rsidR="00AF2BD4" w:rsidRPr="00B503E6">
        <w:rPr>
          <w:rFonts w:asciiTheme="majorBidi" w:hAnsiTheme="majorBidi" w:cstheme="majorBidi"/>
          <w:sz w:val="24"/>
          <w:szCs w:val="24"/>
        </w:rPr>
        <w:t xml:space="preserve"> </w:t>
      </w:r>
      <w:r w:rsidR="00AF2BD4" w:rsidRPr="00B503E6">
        <w:rPr>
          <w:rFonts w:asciiTheme="majorBidi" w:hAnsiTheme="majorBidi" w:cstheme="majorBidi"/>
          <w:i/>
          <w:iCs/>
          <w:sz w:val="24"/>
          <w:szCs w:val="24"/>
        </w:rPr>
        <w:t>The Middle East Journal</w:t>
      </w:r>
      <w:r w:rsidR="00AF2BD4" w:rsidRPr="00B503E6">
        <w:rPr>
          <w:rFonts w:asciiTheme="majorBidi" w:hAnsiTheme="majorBidi" w:cstheme="majorBidi"/>
          <w:sz w:val="24"/>
          <w:szCs w:val="24"/>
        </w:rPr>
        <w:t xml:space="preserve"> 18</w:t>
      </w:r>
      <w:r w:rsidR="00147D27" w:rsidRPr="00B503E6">
        <w:rPr>
          <w:rFonts w:asciiTheme="majorBidi" w:hAnsiTheme="majorBidi" w:cstheme="majorBidi"/>
          <w:sz w:val="24"/>
          <w:szCs w:val="24"/>
        </w:rPr>
        <w:t xml:space="preserve">, </w:t>
      </w:r>
      <w:r w:rsidR="00670D4B" w:rsidRPr="00B503E6">
        <w:rPr>
          <w:rFonts w:asciiTheme="majorBidi" w:hAnsiTheme="majorBidi" w:cstheme="majorBidi"/>
          <w:sz w:val="24"/>
          <w:szCs w:val="24"/>
        </w:rPr>
        <w:t>3</w:t>
      </w:r>
      <w:r w:rsidR="00147D27" w:rsidRPr="00B503E6">
        <w:rPr>
          <w:rFonts w:asciiTheme="majorBidi" w:hAnsiTheme="majorBidi" w:cstheme="majorBidi"/>
          <w:sz w:val="24"/>
          <w:szCs w:val="24"/>
        </w:rPr>
        <w:t xml:space="preserve"> (1964</w:t>
      </w:r>
      <w:r w:rsidR="00670D4B" w:rsidRPr="00B503E6">
        <w:rPr>
          <w:rFonts w:asciiTheme="majorBidi" w:hAnsiTheme="majorBidi" w:cstheme="majorBidi"/>
          <w:sz w:val="24"/>
          <w:szCs w:val="24"/>
        </w:rPr>
        <w:t>):</w:t>
      </w:r>
      <w:r w:rsidR="00AF2BD4" w:rsidRPr="00B503E6">
        <w:rPr>
          <w:rFonts w:asciiTheme="majorBidi" w:hAnsiTheme="majorBidi" w:cstheme="majorBidi"/>
          <w:sz w:val="24"/>
          <w:szCs w:val="24"/>
        </w:rPr>
        <w:t xml:space="preserve"> 279-292.</w:t>
      </w:r>
    </w:p>
    <w:p w:rsidR="00F724B6" w:rsidRPr="00B503E6" w:rsidRDefault="00F724B6" w:rsidP="00147D27">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Issawi, C</w:t>
      </w:r>
      <w:r w:rsidR="00147D27" w:rsidRPr="00B503E6">
        <w:rPr>
          <w:rFonts w:asciiTheme="majorBidi" w:hAnsiTheme="majorBidi" w:cstheme="majorBidi"/>
          <w:sz w:val="24"/>
          <w:szCs w:val="24"/>
        </w:rPr>
        <w:t>harles</w:t>
      </w:r>
      <w:r w:rsidR="00670D4B"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 xml:space="preserve">The Economic History of the Middle East 1800-1914: A </w:t>
      </w:r>
      <w:r w:rsidR="00670D4B" w:rsidRPr="00B503E6">
        <w:rPr>
          <w:rFonts w:asciiTheme="majorBidi" w:hAnsiTheme="majorBidi" w:cstheme="majorBidi"/>
          <w:i/>
          <w:iCs/>
          <w:sz w:val="24"/>
          <w:szCs w:val="24"/>
        </w:rPr>
        <w:t>B</w:t>
      </w:r>
      <w:r w:rsidRPr="00B503E6">
        <w:rPr>
          <w:rFonts w:asciiTheme="majorBidi" w:hAnsiTheme="majorBidi" w:cstheme="majorBidi"/>
          <w:i/>
          <w:iCs/>
          <w:sz w:val="24"/>
          <w:szCs w:val="24"/>
        </w:rPr>
        <w:t xml:space="preserve">ook of </w:t>
      </w:r>
      <w:r w:rsidR="00670D4B" w:rsidRPr="00B503E6">
        <w:rPr>
          <w:rFonts w:asciiTheme="majorBidi" w:hAnsiTheme="majorBidi" w:cstheme="majorBidi"/>
          <w:i/>
          <w:iCs/>
          <w:sz w:val="24"/>
          <w:szCs w:val="24"/>
        </w:rPr>
        <w:t>R</w:t>
      </w:r>
      <w:r w:rsidRPr="00B503E6">
        <w:rPr>
          <w:rFonts w:asciiTheme="majorBidi" w:hAnsiTheme="majorBidi" w:cstheme="majorBidi"/>
          <w:i/>
          <w:iCs/>
          <w:sz w:val="24"/>
          <w:szCs w:val="24"/>
        </w:rPr>
        <w:t>eadings</w:t>
      </w:r>
      <w:r w:rsidR="00147D27" w:rsidRPr="00B503E6">
        <w:rPr>
          <w:rFonts w:asciiTheme="majorBidi" w:hAnsiTheme="majorBidi" w:cstheme="majorBidi"/>
          <w:sz w:val="24"/>
          <w:szCs w:val="24"/>
        </w:rPr>
        <w:t>.</w:t>
      </w:r>
      <w:r w:rsidRPr="00B503E6">
        <w:rPr>
          <w:rFonts w:asciiTheme="majorBidi" w:hAnsiTheme="majorBidi" w:cstheme="majorBidi"/>
          <w:sz w:val="24"/>
          <w:szCs w:val="24"/>
        </w:rPr>
        <w:t xml:space="preserve"> Chicago: The University of Chicago Press</w:t>
      </w:r>
      <w:r w:rsidR="00147D27" w:rsidRPr="00B503E6">
        <w:rPr>
          <w:rFonts w:asciiTheme="majorBidi" w:hAnsiTheme="majorBidi" w:cstheme="majorBidi"/>
          <w:sz w:val="24"/>
          <w:szCs w:val="24"/>
        </w:rPr>
        <w:t>, 1966</w:t>
      </w:r>
      <w:r w:rsidRPr="00B503E6">
        <w:rPr>
          <w:rFonts w:asciiTheme="majorBidi" w:hAnsiTheme="majorBidi" w:cstheme="majorBidi"/>
          <w:sz w:val="24"/>
          <w:szCs w:val="24"/>
        </w:rPr>
        <w:t>.</w:t>
      </w:r>
    </w:p>
    <w:p w:rsidR="002D6C4B" w:rsidRPr="00B503E6" w:rsidRDefault="00AF2BD4" w:rsidP="00147D27">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Issawi, C</w:t>
      </w:r>
      <w:r w:rsidR="00147D27" w:rsidRPr="00B503E6">
        <w:rPr>
          <w:rFonts w:asciiTheme="majorBidi" w:hAnsiTheme="majorBidi" w:cstheme="majorBidi"/>
          <w:sz w:val="24"/>
          <w:szCs w:val="24"/>
        </w:rPr>
        <w:t>harles</w:t>
      </w:r>
      <w:r w:rsidR="00670D4B"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2D6C4B" w:rsidRPr="00B503E6">
        <w:rPr>
          <w:rFonts w:asciiTheme="majorBidi" w:hAnsiTheme="majorBidi" w:cstheme="majorBidi"/>
          <w:i/>
          <w:iCs/>
          <w:sz w:val="24"/>
          <w:szCs w:val="24"/>
        </w:rPr>
        <w:t xml:space="preserve">The Fertile Crescent 1800-1914: A </w:t>
      </w:r>
      <w:r w:rsidR="00670D4B" w:rsidRPr="00B503E6">
        <w:rPr>
          <w:rFonts w:asciiTheme="majorBidi" w:hAnsiTheme="majorBidi" w:cstheme="majorBidi"/>
          <w:i/>
          <w:iCs/>
          <w:sz w:val="24"/>
          <w:szCs w:val="24"/>
        </w:rPr>
        <w:t>D</w:t>
      </w:r>
      <w:r w:rsidR="002D6C4B" w:rsidRPr="00B503E6">
        <w:rPr>
          <w:rFonts w:asciiTheme="majorBidi" w:hAnsiTheme="majorBidi" w:cstheme="majorBidi"/>
          <w:i/>
          <w:iCs/>
          <w:sz w:val="24"/>
          <w:szCs w:val="24"/>
        </w:rPr>
        <w:t xml:space="preserve">ocumentary </w:t>
      </w:r>
      <w:r w:rsidR="00670D4B" w:rsidRPr="00B503E6">
        <w:rPr>
          <w:rFonts w:asciiTheme="majorBidi" w:hAnsiTheme="majorBidi" w:cstheme="majorBidi"/>
          <w:i/>
          <w:iCs/>
          <w:sz w:val="24"/>
          <w:szCs w:val="24"/>
        </w:rPr>
        <w:t>E</w:t>
      </w:r>
      <w:r w:rsidR="002D6C4B" w:rsidRPr="00B503E6">
        <w:rPr>
          <w:rFonts w:asciiTheme="majorBidi" w:hAnsiTheme="majorBidi" w:cstheme="majorBidi"/>
          <w:i/>
          <w:iCs/>
          <w:sz w:val="24"/>
          <w:szCs w:val="24"/>
        </w:rPr>
        <w:t xml:space="preserve">conomic </w:t>
      </w:r>
      <w:r w:rsidR="00670D4B" w:rsidRPr="00B503E6">
        <w:rPr>
          <w:rFonts w:asciiTheme="majorBidi" w:hAnsiTheme="majorBidi" w:cstheme="majorBidi"/>
          <w:i/>
          <w:iCs/>
          <w:sz w:val="24"/>
          <w:szCs w:val="24"/>
        </w:rPr>
        <w:t>S</w:t>
      </w:r>
      <w:r w:rsidR="002D6C4B" w:rsidRPr="00B503E6">
        <w:rPr>
          <w:rFonts w:asciiTheme="majorBidi" w:hAnsiTheme="majorBidi" w:cstheme="majorBidi"/>
          <w:i/>
          <w:iCs/>
          <w:sz w:val="24"/>
          <w:szCs w:val="24"/>
        </w:rPr>
        <w:t>urvey</w:t>
      </w:r>
      <w:r w:rsidR="002D6C4B" w:rsidRPr="00B503E6">
        <w:rPr>
          <w:rFonts w:asciiTheme="majorBidi" w:hAnsiTheme="majorBidi" w:cstheme="majorBidi"/>
          <w:sz w:val="24"/>
          <w:szCs w:val="24"/>
        </w:rPr>
        <w:t>, New York: Oxford University Press</w:t>
      </w:r>
      <w:r w:rsidR="00147D27" w:rsidRPr="00B503E6">
        <w:rPr>
          <w:rFonts w:asciiTheme="majorBidi" w:hAnsiTheme="majorBidi" w:cstheme="majorBidi"/>
          <w:sz w:val="24"/>
          <w:szCs w:val="24"/>
        </w:rPr>
        <w:t>, 1988</w:t>
      </w:r>
      <w:r w:rsidR="002D6C4B" w:rsidRPr="00B503E6">
        <w:rPr>
          <w:rFonts w:asciiTheme="majorBidi" w:hAnsiTheme="majorBidi" w:cstheme="majorBidi"/>
          <w:sz w:val="24"/>
          <w:szCs w:val="24"/>
        </w:rPr>
        <w:t>.</w:t>
      </w:r>
    </w:p>
    <w:p w:rsidR="00297FE8" w:rsidRPr="00B503E6" w:rsidRDefault="00297FE8" w:rsidP="00BC317B">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Khoury, P</w:t>
      </w:r>
      <w:r w:rsidR="0005587E" w:rsidRPr="00B503E6">
        <w:rPr>
          <w:rFonts w:asciiTheme="majorBidi" w:hAnsiTheme="majorBidi" w:cstheme="majorBidi"/>
          <w:sz w:val="24"/>
          <w:szCs w:val="24"/>
        </w:rPr>
        <w:t>hilip</w:t>
      </w:r>
      <w:r w:rsidRPr="00B503E6">
        <w:rPr>
          <w:rFonts w:asciiTheme="majorBidi" w:hAnsiTheme="majorBidi" w:cstheme="majorBidi"/>
          <w:sz w:val="24"/>
          <w:szCs w:val="24"/>
        </w:rPr>
        <w:t xml:space="preserve"> S. </w:t>
      </w:r>
      <w:r w:rsidRPr="00B503E6">
        <w:rPr>
          <w:rFonts w:asciiTheme="majorBidi" w:hAnsiTheme="majorBidi" w:cstheme="majorBidi"/>
          <w:i/>
          <w:iCs/>
          <w:sz w:val="24"/>
          <w:szCs w:val="24"/>
        </w:rPr>
        <w:t xml:space="preserve">Syria and the French </w:t>
      </w:r>
      <w:r w:rsidR="00E26C05" w:rsidRPr="00B503E6">
        <w:rPr>
          <w:rFonts w:asciiTheme="majorBidi" w:hAnsiTheme="majorBidi" w:cstheme="majorBidi"/>
          <w:i/>
          <w:iCs/>
          <w:sz w:val="24"/>
          <w:szCs w:val="24"/>
        </w:rPr>
        <w:t>Mandate</w:t>
      </w:r>
      <w:r w:rsidRPr="00B503E6">
        <w:rPr>
          <w:rFonts w:asciiTheme="majorBidi" w:hAnsiTheme="majorBidi" w:cstheme="majorBidi"/>
          <w:i/>
          <w:iCs/>
          <w:sz w:val="24"/>
          <w:szCs w:val="24"/>
        </w:rPr>
        <w:t>: Politics of Arab Nationalism, 1920-1945</w:t>
      </w:r>
      <w:r w:rsidR="0005587E" w:rsidRPr="00B503E6">
        <w:rPr>
          <w:rFonts w:asciiTheme="majorBidi" w:hAnsiTheme="majorBidi" w:cstheme="majorBidi"/>
          <w:sz w:val="24"/>
          <w:szCs w:val="24"/>
        </w:rPr>
        <w:t>.</w:t>
      </w:r>
      <w:r w:rsidR="00FC3C5E" w:rsidRPr="00B503E6">
        <w:rPr>
          <w:rFonts w:asciiTheme="majorBidi" w:hAnsiTheme="majorBidi" w:cstheme="majorBidi"/>
          <w:sz w:val="24"/>
          <w:szCs w:val="24"/>
        </w:rPr>
        <w:t xml:space="preserve"> Princeton: Princeton University Press</w:t>
      </w:r>
      <w:r w:rsidR="0005587E" w:rsidRPr="00B503E6">
        <w:rPr>
          <w:rFonts w:asciiTheme="majorBidi" w:hAnsiTheme="majorBidi" w:cstheme="majorBidi"/>
          <w:sz w:val="24"/>
          <w:szCs w:val="24"/>
        </w:rPr>
        <w:t>, 1987</w:t>
      </w:r>
      <w:r w:rsidR="00FC3C5E" w:rsidRPr="00B503E6">
        <w:rPr>
          <w:rFonts w:asciiTheme="majorBidi" w:hAnsiTheme="majorBidi" w:cstheme="majorBidi"/>
          <w:sz w:val="24"/>
          <w:szCs w:val="24"/>
        </w:rPr>
        <w:t>.</w:t>
      </w:r>
    </w:p>
    <w:p w:rsidR="001C22F1" w:rsidRPr="00B503E6" w:rsidRDefault="001C22F1" w:rsidP="003C5015">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Khuri, A</w:t>
      </w:r>
      <w:r w:rsidR="0005587E" w:rsidRPr="00B503E6">
        <w:rPr>
          <w:rFonts w:asciiTheme="majorBidi" w:hAnsiTheme="majorBidi" w:cstheme="majorBidi"/>
          <w:sz w:val="24"/>
          <w:szCs w:val="24"/>
        </w:rPr>
        <w:t>lbert</w:t>
      </w:r>
      <w:r w:rsidR="00670D4B" w:rsidRPr="00B503E6">
        <w:rPr>
          <w:rFonts w:asciiTheme="majorBidi" w:hAnsiTheme="majorBidi" w:cstheme="majorBidi"/>
          <w:sz w:val="24"/>
          <w:szCs w:val="24"/>
        </w:rPr>
        <w:t xml:space="preserve">. </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Land </w:t>
      </w:r>
      <w:r w:rsidR="00670D4B" w:rsidRPr="00B503E6">
        <w:rPr>
          <w:rFonts w:asciiTheme="majorBidi" w:hAnsiTheme="majorBidi" w:cstheme="majorBidi"/>
          <w:sz w:val="24"/>
          <w:szCs w:val="24"/>
        </w:rPr>
        <w:t>T</w:t>
      </w:r>
      <w:r w:rsidRPr="00B503E6">
        <w:rPr>
          <w:rFonts w:asciiTheme="majorBidi" w:hAnsiTheme="majorBidi" w:cstheme="majorBidi"/>
          <w:sz w:val="24"/>
          <w:szCs w:val="24"/>
        </w:rPr>
        <w:t>enure</w:t>
      </w:r>
      <w:r w:rsidR="00F46CAD" w:rsidRPr="00B503E6">
        <w:rPr>
          <w:rFonts w:asciiTheme="majorBidi" w:hAnsiTheme="majorBidi" w:cstheme="majorBidi"/>
          <w:sz w:val="24"/>
          <w:szCs w:val="24"/>
        </w:rPr>
        <w:t xml:space="preserve"> and Agriculture</w:t>
      </w:r>
      <w:r w:rsidR="0005587E" w:rsidRPr="00B503E6">
        <w:rPr>
          <w:rFonts w:asciiTheme="majorBidi" w:hAnsiTheme="majorBidi" w:cstheme="majorBidi"/>
          <w:sz w:val="24"/>
          <w:szCs w:val="24"/>
        </w:rPr>
        <w:t>.</w:t>
      </w:r>
      <w:r w:rsidR="003C5015" w:rsidRPr="00B503E6">
        <w:rPr>
          <w:rFonts w:asciiTheme="majorBidi" w:hAnsiTheme="majorBidi" w:cstheme="majorBidi"/>
          <w:sz w:val="24"/>
          <w:szCs w:val="24"/>
        </w:rPr>
        <w:t>”</w:t>
      </w:r>
      <w:r w:rsidR="0005587E" w:rsidRPr="00B503E6">
        <w:rPr>
          <w:rFonts w:asciiTheme="majorBidi" w:hAnsiTheme="majorBidi" w:cstheme="majorBidi"/>
          <w:sz w:val="24"/>
          <w:szCs w:val="24"/>
        </w:rPr>
        <w:t xml:space="preserve"> I</w:t>
      </w:r>
      <w:r w:rsidRPr="00B503E6">
        <w:rPr>
          <w:rFonts w:asciiTheme="majorBidi" w:hAnsiTheme="majorBidi" w:cstheme="majorBidi"/>
          <w:sz w:val="24"/>
          <w:szCs w:val="24"/>
        </w:rPr>
        <w:t xml:space="preserve">n </w:t>
      </w:r>
      <w:r w:rsidRPr="00B503E6">
        <w:rPr>
          <w:rFonts w:asciiTheme="majorBidi" w:hAnsiTheme="majorBidi" w:cstheme="majorBidi"/>
          <w:i/>
          <w:iCs/>
          <w:sz w:val="24"/>
          <w:szCs w:val="24"/>
        </w:rPr>
        <w:t>Economic organization of Syria</w:t>
      </w:r>
      <w:r w:rsidR="00670D4B" w:rsidRPr="00B503E6">
        <w:rPr>
          <w:rFonts w:asciiTheme="majorBidi" w:hAnsiTheme="majorBidi" w:cstheme="majorBidi"/>
          <w:sz w:val="24"/>
          <w:szCs w:val="24"/>
        </w:rPr>
        <w:t>,</w:t>
      </w:r>
      <w:r w:rsidR="0005587E" w:rsidRPr="00B503E6">
        <w:rPr>
          <w:rFonts w:asciiTheme="majorBidi" w:hAnsiTheme="majorBidi" w:cstheme="majorBidi"/>
          <w:sz w:val="24"/>
          <w:szCs w:val="24"/>
        </w:rPr>
        <w:t xml:space="preserve"> edited by Sa'id B. Himadeh, pp. 51-115. </w:t>
      </w:r>
      <w:r w:rsidRPr="00B503E6">
        <w:rPr>
          <w:rFonts w:asciiTheme="majorBidi" w:hAnsiTheme="majorBidi" w:cstheme="majorBidi"/>
          <w:sz w:val="24"/>
          <w:szCs w:val="24"/>
        </w:rPr>
        <w:t xml:space="preserve">Beirut: The American Press, </w:t>
      </w:r>
      <w:r w:rsidR="0005587E" w:rsidRPr="00B503E6">
        <w:rPr>
          <w:rFonts w:asciiTheme="majorBidi" w:hAnsiTheme="majorBidi" w:cstheme="majorBidi"/>
          <w:sz w:val="24"/>
          <w:szCs w:val="24"/>
        </w:rPr>
        <w:t>1936</w:t>
      </w:r>
      <w:r w:rsidRPr="00B503E6">
        <w:rPr>
          <w:rFonts w:asciiTheme="majorBidi" w:hAnsiTheme="majorBidi" w:cstheme="majorBidi"/>
          <w:sz w:val="24"/>
          <w:szCs w:val="24"/>
        </w:rPr>
        <w:t>.</w:t>
      </w:r>
    </w:p>
    <w:p w:rsidR="009D500B" w:rsidRPr="00B503E6" w:rsidRDefault="009D500B" w:rsidP="0005587E">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Konikoff, A</w:t>
      </w:r>
      <w:r w:rsidR="0005587E" w:rsidRPr="00B503E6">
        <w:rPr>
          <w:rFonts w:asciiTheme="majorBidi" w:hAnsiTheme="majorBidi" w:cstheme="majorBidi"/>
          <w:sz w:val="24"/>
          <w:szCs w:val="24"/>
        </w:rPr>
        <w:t>dolf.</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 xml:space="preserve">Transjordan: An </w:t>
      </w:r>
      <w:r w:rsidR="00670D4B" w:rsidRPr="00B503E6">
        <w:rPr>
          <w:rFonts w:asciiTheme="majorBidi" w:hAnsiTheme="majorBidi" w:cstheme="majorBidi"/>
          <w:i/>
          <w:iCs/>
          <w:sz w:val="24"/>
          <w:szCs w:val="24"/>
        </w:rPr>
        <w:t>E</w:t>
      </w:r>
      <w:r w:rsidRPr="00B503E6">
        <w:rPr>
          <w:rFonts w:asciiTheme="majorBidi" w:hAnsiTheme="majorBidi" w:cstheme="majorBidi"/>
          <w:i/>
          <w:iCs/>
          <w:sz w:val="24"/>
          <w:szCs w:val="24"/>
        </w:rPr>
        <w:t xml:space="preserve">conomic </w:t>
      </w:r>
      <w:r w:rsidR="00670D4B" w:rsidRPr="00B503E6">
        <w:rPr>
          <w:rFonts w:asciiTheme="majorBidi" w:hAnsiTheme="majorBidi" w:cstheme="majorBidi"/>
          <w:i/>
          <w:iCs/>
          <w:sz w:val="24"/>
          <w:szCs w:val="24"/>
        </w:rPr>
        <w:t>S</w:t>
      </w:r>
      <w:r w:rsidRPr="00B503E6">
        <w:rPr>
          <w:rFonts w:asciiTheme="majorBidi" w:hAnsiTheme="majorBidi" w:cstheme="majorBidi"/>
          <w:i/>
          <w:iCs/>
          <w:sz w:val="24"/>
          <w:szCs w:val="24"/>
        </w:rPr>
        <w:t>urvey</w:t>
      </w:r>
      <w:r w:rsidR="0005587E" w:rsidRPr="00B503E6">
        <w:rPr>
          <w:rFonts w:asciiTheme="majorBidi" w:hAnsiTheme="majorBidi" w:cstheme="majorBidi"/>
          <w:sz w:val="24"/>
          <w:szCs w:val="24"/>
        </w:rPr>
        <w:t>.</w:t>
      </w:r>
      <w:r w:rsidRPr="00B503E6">
        <w:rPr>
          <w:rFonts w:asciiTheme="majorBidi" w:hAnsiTheme="majorBidi" w:cstheme="majorBidi"/>
          <w:sz w:val="24"/>
          <w:szCs w:val="24"/>
        </w:rPr>
        <w:t xml:space="preserve"> Jerusalem: Economic Research Institute of the Jewish Agency for Palestine</w:t>
      </w:r>
      <w:r w:rsidR="0005587E" w:rsidRPr="00B503E6">
        <w:rPr>
          <w:rFonts w:asciiTheme="majorBidi" w:hAnsiTheme="majorBidi" w:cstheme="majorBidi"/>
          <w:sz w:val="24"/>
          <w:szCs w:val="24"/>
        </w:rPr>
        <w:t>, 1946</w:t>
      </w:r>
      <w:r w:rsidRPr="00B503E6">
        <w:rPr>
          <w:rFonts w:asciiTheme="majorBidi" w:hAnsiTheme="majorBidi" w:cstheme="majorBidi"/>
          <w:sz w:val="24"/>
          <w:szCs w:val="24"/>
        </w:rPr>
        <w:t xml:space="preserve">. </w:t>
      </w:r>
    </w:p>
    <w:p w:rsidR="009B0376" w:rsidRPr="00B503E6" w:rsidRDefault="009B0376" w:rsidP="003C5015">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LaPorta, Rafael</w:t>
      </w:r>
      <w:r w:rsidR="006A4775" w:rsidRPr="00B503E6">
        <w:rPr>
          <w:rFonts w:asciiTheme="majorBidi" w:hAnsiTheme="majorBidi" w:cstheme="majorBidi"/>
          <w:sz w:val="24"/>
          <w:szCs w:val="24"/>
        </w:rPr>
        <w:t xml:space="preserve">, </w:t>
      </w:r>
      <w:r w:rsidRPr="00B503E6">
        <w:rPr>
          <w:rFonts w:asciiTheme="majorBidi" w:hAnsiTheme="majorBidi" w:cstheme="majorBidi"/>
          <w:sz w:val="24"/>
          <w:szCs w:val="24"/>
        </w:rPr>
        <w:t>Florencio Lopez</w:t>
      </w:r>
      <w:r w:rsidR="0070352E" w:rsidRPr="00B503E6">
        <w:rPr>
          <w:rFonts w:asciiTheme="majorBidi" w:hAnsiTheme="majorBidi" w:cstheme="majorBidi"/>
          <w:sz w:val="24"/>
          <w:szCs w:val="24"/>
        </w:rPr>
        <w:t xml:space="preserve"> </w:t>
      </w:r>
      <w:r w:rsidRPr="00B503E6">
        <w:rPr>
          <w:rFonts w:asciiTheme="majorBidi" w:hAnsiTheme="majorBidi" w:cstheme="majorBidi"/>
          <w:sz w:val="24"/>
          <w:szCs w:val="24"/>
        </w:rPr>
        <w:t>de</w:t>
      </w:r>
      <w:r w:rsidR="0070352E" w:rsidRPr="00B503E6">
        <w:rPr>
          <w:rFonts w:asciiTheme="majorBidi" w:hAnsiTheme="majorBidi" w:cstheme="majorBidi"/>
          <w:sz w:val="24"/>
          <w:szCs w:val="24"/>
        </w:rPr>
        <w:t xml:space="preserve"> </w:t>
      </w:r>
      <w:r w:rsidRPr="00B503E6">
        <w:rPr>
          <w:rFonts w:asciiTheme="majorBidi" w:hAnsiTheme="majorBidi" w:cstheme="majorBidi"/>
          <w:sz w:val="24"/>
          <w:szCs w:val="24"/>
        </w:rPr>
        <w:t>Silanes, and Andrei Shleifer</w:t>
      </w:r>
      <w:r w:rsidR="006A4775" w:rsidRPr="00B503E6">
        <w:rPr>
          <w:rFonts w:asciiTheme="majorBidi" w:hAnsiTheme="majorBidi" w:cstheme="majorBidi"/>
          <w:sz w:val="24"/>
          <w:szCs w:val="24"/>
        </w:rPr>
        <w:t xml:space="preserve">. </w:t>
      </w:r>
      <w:r w:rsidR="003C5015" w:rsidRPr="00B503E6">
        <w:rPr>
          <w:rFonts w:asciiTheme="majorBidi" w:hAnsiTheme="majorBidi" w:cstheme="majorBidi"/>
          <w:sz w:val="24"/>
          <w:szCs w:val="24"/>
        </w:rPr>
        <w:t>“</w:t>
      </w:r>
      <w:r w:rsidR="006A4775" w:rsidRPr="00B503E6">
        <w:rPr>
          <w:rFonts w:asciiTheme="majorBidi" w:hAnsiTheme="majorBidi" w:cstheme="majorBidi"/>
          <w:sz w:val="24"/>
          <w:szCs w:val="24"/>
        </w:rPr>
        <w:t>The Economic Consequences of Legal Origins.</w:t>
      </w:r>
      <w:r w:rsidR="003C5015" w:rsidRPr="00B503E6">
        <w:rPr>
          <w:rFonts w:asciiTheme="majorBidi" w:hAnsiTheme="majorBidi" w:cstheme="majorBidi"/>
          <w:sz w:val="24"/>
          <w:szCs w:val="24"/>
        </w:rPr>
        <w:t>”</w:t>
      </w:r>
      <w:r w:rsidR="006A4775" w:rsidRPr="00B503E6">
        <w:rPr>
          <w:rFonts w:asciiTheme="majorBidi" w:hAnsiTheme="majorBidi" w:cstheme="majorBidi"/>
          <w:sz w:val="24"/>
          <w:szCs w:val="24"/>
        </w:rPr>
        <w:t xml:space="preserve"> </w:t>
      </w:r>
      <w:r w:rsidR="006A4775" w:rsidRPr="00B503E6">
        <w:rPr>
          <w:rFonts w:asciiTheme="majorBidi" w:hAnsiTheme="majorBidi" w:cstheme="majorBidi"/>
          <w:i/>
          <w:iCs/>
          <w:sz w:val="24"/>
          <w:szCs w:val="24"/>
        </w:rPr>
        <w:t>Journal of Economic Literature</w:t>
      </w:r>
      <w:r w:rsidR="006A4775" w:rsidRPr="00B503E6">
        <w:rPr>
          <w:rFonts w:asciiTheme="majorBidi" w:hAnsiTheme="majorBidi" w:cstheme="majorBidi"/>
          <w:sz w:val="24"/>
          <w:szCs w:val="24"/>
        </w:rPr>
        <w:t>, 46, 2 (2008): 285-332.</w:t>
      </w:r>
    </w:p>
    <w:p w:rsidR="000A02B8" w:rsidRPr="00B503E6" w:rsidRDefault="000A02B8" w:rsidP="003C5015">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Lewis, N</w:t>
      </w:r>
      <w:r w:rsidR="0005587E" w:rsidRPr="00B503E6">
        <w:rPr>
          <w:rFonts w:asciiTheme="majorBidi" w:hAnsiTheme="majorBidi" w:cstheme="majorBidi"/>
          <w:sz w:val="24"/>
          <w:szCs w:val="24"/>
        </w:rPr>
        <w:t>orman</w:t>
      </w:r>
      <w:r w:rsidR="00670D4B"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The </w:t>
      </w:r>
      <w:r w:rsidR="00670D4B" w:rsidRPr="00B503E6">
        <w:rPr>
          <w:rFonts w:asciiTheme="majorBidi" w:hAnsiTheme="majorBidi" w:cstheme="majorBidi"/>
          <w:sz w:val="24"/>
          <w:szCs w:val="24"/>
        </w:rPr>
        <w:t>F</w:t>
      </w:r>
      <w:r w:rsidRPr="00B503E6">
        <w:rPr>
          <w:rFonts w:asciiTheme="majorBidi" w:hAnsiTheme="majorBidi" w:cstheme="majorBidi"/>
          <w:sz w:val="24"/>
          <w:szCs w:val="24"/>
        </w:rPr>
        <w:t xml:space="preserve">rontier of </w:t>
      </w:r>
      <w:r w:rsidR="00670D4B" w:rsidRPr="00B503E6">
        <w:rPr>
          <w:rFonts w:asciiTheme="majorBidi" w:hAnsiTheme="majorBidi" w:cstheme="majorBidi"/>
          <w:sz w:val="24"/>
          <w:szCs w:val="24"/>
        </w:rPr>
        <w:t>S</w:t>
      </w:r>
      <w:r w:rsidRPr="00B503E6">
        <w:rPr>
          <w:rFonts w:asciiTheme="majorBidi" w:hAnsiTheme="majorBidi" w:cstheme="majorBidi"/>
          <w:sz w:val="24"/>
          <w:szCs w:val="24"/>
        </w:rPr>
        <w:t>ettlement in Syria, 1800-1950</w:t>
      </w:r>
      <w:r w:rsidR="0005587E" w:rsidRPr="00B503E6">
        <w:rPr>
          <w:rFonts w:asciiTheme="majorBidi" w:hAnsiTheme="majorBidi" w:cstheme="majorBidi"/>
          <w:sz w:val="24"/>
          <w:szCs w:val="24"/>
        </w:rPr>
        <w:t>.</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International Affairs</w:t>
      </w:r>
      <w:r w:rsidRPr="00B503E6">
        <w:rPr>
          <w:rFonts w:asciiTheme="majorBidi" w:hAnsiTheme="majorBidi" w:cstheme="majorBidi"/>
          <w:sz w:val="24"/>
          <w:szCs w:val="24"/>
        </w:rPr>
        <w:t xml:space="preserve"> 31</w:t>
      </w:r>
      <w:r w:rsidR="0005587E" w:rsidRPr="00B503E6">
        <w:rPr>
          <w:rFonts w:asciiTheme="majorBidi" w:hAnsiTheme="majorBidi" w:cstheme="majorBidi"/>
          <w:sz w:val="24"/>
          <w:szCs w:val="24"/>
        </w:rPr>
        <w:t xml:space="preserve">, </w:t>
      </w:r>
      <w:r w:rsidR="00670D4B" w:rsidRPr="00B503E6">
        <w:rPr>
          <w:rFonts w:asciiTheme="majorBidi" w:hAnsiTheme="majorBidi" w:cstheme="majorBidi"/>
          <w:sz w:val="24"/>
          <w:szCs w:val="24"/>
        </w:rPr>
        <w:t>1</w:t>
      </w:r>
      <w:r w:rsidR="0005587E" w:rsidRPr="00B503E6">
        <w:rPr>
          <w:rFonts w:asciiTheme="majorBidi" w:hAnsiTheme="majorBidi" w:cstheme="majorBidi"/>
          <w:sz w:val="24"/>
          <w:szCs w:val="24"/>
        </w:rPr>
        <w:t xml:space="preserve"> (1955)</w:t>
      </w:r>
      <w:r w:rsidR="00670D4B" w:rsidRPr="00B503E6">
        <w:rPr>
          <w:rFonts w:asciiTheme="majorBidi" w:hAnsiTheme="majorBidi" w:cstheme="majorBidi"/>
          <w:sz w:val="24"/>
          <w:szCs w:val="24"/>
        </w:rPr>
        <w:t xml:space="preserve">: </w:t>
      </w:r>
      <w:r w:rsidRPr="00B503E6">
        <w:rPr>
          <w:rFonts w:asciiTheme="majorBidi" w:hAnsiTheme="majorBidi" w:cstheme="majorBidi"/>
          <w:sz w:val="24"/>
          <w:szCs w:val="24"/>
        </w:rPr>
        <w:t>48-60.</w:t>
      </w:r>
    </w:p>
    <w:p w:rsidR="00882083" w:rsidRPr="00B503E6" w:rsidRDefault="00810316" w:rsidP="0005587E">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Longrigg, S</w:t>
      </w:r>
      <w:r w:rsidR="0005587E" w:rsidRPr="00B503E6">
        <w:rPr>
          <w:rFonts w:asciiTheme="majorBidi" w:hAnsiTheme="majorBidi" w:cstheme="majorBidi"/>
          <w:sz w:val="24"/>
          <w:szCs w:val="24"/>
        </w:rPr>
        <w:t>tephen</w:t>
      </w:r>
      <w:r w:rsidR="00670D4B" w:rsidRPr="00B503E6">
        <w:rPr>
          <w:rFonts w:asciiTheme="majorBidi" w:hAnsiTheme="majorBidi" w:cstheme="majorBidi"/>
          <w:sz w:val="24"/>
          <w:szCs w:val="24"/>
        </w:rPr>
        <w:t xml:space="preserve"> </w:t>
      </w:r>
      <w:r w:rsidRPr="00B503E6">
        <w:rPr>
          <w:rFonts w:asciiTheme="majorBidi" w:hAnsiTheme="majorBidi" w:cstheme="majorBidi"/>
          <w:sz w:val="24"/>
          <w:szCs w:val="24"/>
        </w:rPr>
        <w:t>H</w:t>
      </w:r>
      <w:r w:rsidR="00670D4B"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 xml:space="preserve">Syria and Lebanon </w:t>
      </w:r>
      <w:r w:rsidR="0005587E" w:rsidRPr="00B503E6">
        <w:rPr>
          <w:rFonts w:asciiTheme="majorBidi" w:hAnsiTheme="majorBidi" w:cstheme="majorBidi"/>
          <w:i/>
          <w:iCs/>
          <w:sz w:val="24"/>
          <w:szCs w:val="24"/>
        </w:rPr>
        <w:t>u</w:t>
      </w:r>
      <w:r w:rsidRPr="00B503E6">
        <w:rPr>
          <w:rFonts w:asciiTheme="majorBidi" w:hAnsiTheme="majorBidi" w:cstheme="majorBidi"/>
          <w:i/>
          <w:iCs/>
          <w:sz w:val="24"/>
          <w:szCs w:val="24"/>
        </w:rPr>
        <w:t xml:space="preserve">nder French </w:t>
      </w:r>
      <w:r w:rsidR="00E26C05" w:rsidRPr="00B503E6">
        <w:rPr>
          <w:rFonts w:asciiTheme="majorBidi" w:hAnsiTheme="majorBidi" w:cstheme="majorBidi"/>
          <w:i/>
          <w:iCs/>
          <w:sz w:val="24"/>
          <w:szCs w:val="24"/>
        </w:rPr>
        <w:t>Mandate</w:t>
      </w:r>
      <w:r w:rsidR="0005587E" w:rsidRPr="00B503E6">
        <w:rPr>
          <w:rFonts w:asciiTheme="majorBidi" w:hAnsiTheme="majorBidi" w:cstheme="majorBidi"/>
          <w:sz w:val="24"/>
          <w:szCs w:val="24"/>
        </w:rPr>
        <w:t>.</w:t>
      </w:r>
      <w:r w:rsidRPr="00B503E6">
        <w:rPr>
          <w:rFonts w:asciiTheme="majorBidi" w:hAnsiTheme="majorBidi" w:cstheme="majorBidi"/>
          <w:sz w:val="24"/>
          <w:szCs w:val="24"/>
        </w:rPr>
        <w:t xml:space="preserve"> New York: Octagon Books</w:t>
      </w:r>
      <w:r w:rsidR="0005587E" w:rsidRPr="00B503E6">
        <w:rPr>
          <w:rFonts w:asciiTheme="majorBidi" w:hAnsiTheme="majorBidi" w:cstheme="majorBidi"/>
          <w:sz w:val="24"/>
          <w:szCs w:val="24"/>
        </w:rPr>
        <w:t>, 1972</w:t>
      </w:r>
      <w:r w:rsidRPr="00B503E6">
        <w:rPr>
          <w:rFonts w:asciiTheme="majorBidi" w:hAnsiTheme="majorBidi" w:cstheme="majorBidi"/>
          <w:sz w:val="24"/>
          <w:szCs w:val="24"/>
        </w:rPr>
        <w:t>.</w:t>
      </w:r>
    </w:p>
    <w:p w:rsidR="001B5CB2" w:rsidRPr="00B503E6" w:rsidRDefault="001B5CB2" w:rsidP="003C5015">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Makdisi, S</w:t>
      </w:r>
      <w:r w:rsidR="0005587E" w:rsidRPr="00B503E6">
        <w:rPr>
          <w:rFonts w:asciiTheme="majorBidi" w:hAnsiTheme="majorBidi" w:cstheme="majorBidi"/>
          <w:sz w:val="24"/>
          <w:szCs w:val="24"/>
        </w:rPr>
        <w:t>amir</w:t>
      </w:r>
      <w:r w:rsidRPr="00B503E6">
        <w:rPr>
          <w:rFonts w:asciiTheme="majorBidi" w:hAnsiTheme="majorBidi" w:cstheme="majorBidi"/>
          <w:sz w:val="24"/>
          <w:szCs w:val="24"/>
        </w:rPr>
        <w:t xml:space="preserve"> A. </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Syria: Rate of </w:t>
      </w:r>
      <w:r w:rsidR="0093677C" w:rsidRPr="00B503E6">
        <w:rPr>
          <w:rFonts w:asciiTheme="majorBidi" w:hAnsiTheme="majorBidi" w:cstheme="majorBidi"/>
          <w:sz w:val="24"/>
          <w:szCs w:val="24"/>
        </w:rPr>
        <w:t>E</w:t>
      </w:r>
      <w:r w:rsidRPr="00B503E6">
        <w:rPr>
          <w:rFonts w:asciiTheme="majorBidi" w:hAnsiTheme="majorBidi" w:cstheme="majorBidi"/>
          <w:sz w:val="24"/>
          <w:szCs w:val="24"/>
        </w:rPr>
        <w:t xml:space="preserve">conomic </w:t>
      </w:r>
      <w:r w:rsidR="0093677C" w:rsidRPr="00B503E6">
        <w:rPr>
          <w:rFonts w:asciiTheme="majorBidi" w:hAnsiTheme="majorBidi" w:cstheme="majorBidi"/>
          <w:sz w:val="24"/>
          <w:szCs w:val="24"/>
        </w:rPr>
        <w:t>G</w:t>
      </w:r>
      <w:r w:rsidRPr="00B503E6">
        <w:rPr>
          <w:rFonts w:asciiTheme="majorBidi" w:hAnsiTheme="majorBidi" w:cstheme="majorBidi"/>
          <w:sz w:val="24"/>
          <w:szCs w:val="24"/>
        </w:rPr>
        <w:t xml:space="preserve">rowth and </w:t>
      </w:r>
      <w:r w:rsidR="0093677C" w:rsidRPr="00B503E6">
        <w:rPr>
          <w:rFonts w:asciiTheme="majorBidi" w:hAnsiTheme="majorBidi" w:cstheme="majorBidi"/>
          <w:sz w:val="24"/>
          <w:szCs w:val="24"/>
        </w:rPr>
        <w:t>F</w:t>
      </w:r>
      <w:r w:rsidRPr="00B503E6">
        <w:rPr>
          <w:rFonts w:asciiTheme="majorBidi" w:hAnsiTheme="majorBidi" w:cstheme="majorBidi"/>
          <w:sz w:val="24"/>
          <w:szCs w:val="24"/>
        </w:rPr>
        <w:t xml:space="preserve">ixed </w:t>
      </w:r>
      <w:r w:rsidR="0093677C" w:rsidRPr="00B503E6">
        <w:rPr>
          <w:rFonts w:asciiTheme="majorBidi" w:hAnsiTheme="majorBidi" w:cstheme="majorBidi"/>
          <w:sz w:val="24"/>
          <w:szCs w:val="24"/>
        </w:rPr>
        <w:t>C</w:t>
      </w:r>
      <w:r w:rsidRPr="00B503E6">
        <w:rPr>
          <w:rFonts w:asciiTheme="majorBidi" w:hAnsiTheme="majorBidi" w:cstheme="majorBidi"/>
          <w:sz w:val="24"/>
          <w:szCs w:val="24"/>
        </w:rPr>
        <w:t xml:space="preserve">apital </w:t>
      </w:r>
      <w:r w:rsidR="0093677C" w:rsidRPr="00B503E6">
        <w:rPr>
          <w:rFonts w:asciiTheme="majorBidi" w:hAnsiTheme="majorBidi" w:cstheme="majorBidi"/>
          <w:sz w:val="24"/>
          <w:szCs w:val="24"/>
        </w:rPr>
        <w:t>F</w:t>
      </w:r>
      <w:r w:rsidRPr="00B503E6">
        <w:rPr>
          <w:rFonts w:asciiTheme="majorBidi" w:hAnsiTheme="majorBidi" w:cstheme="majorBidi"/>
          <w:sz w:val="24"/>
          <w:szCs w:val="24"/>
        </w:rPr>
        <w:t>ormati</w:t>
      </w:r>
      <w:r w:rsidR="004646D2" w:rsidRPr="00B503E6">
        <w:rPr>
          <w:rFonts w:asciiTheme="majorBidi" w:hAnsiTheme="majorBidi" w:cstheme="majorBidi"/>
          <w:sz w:val="24"/>
          <w:szCs w:val="24"/>
        </w:rPr>
        <w:t>o</w:t>
      </w:r>
      <w:r w:rsidRPr="00B503E6">
        <w:rPr>
          <w:rFonts w:asciiTheme="majorBidi" w:hAnsiTheme="majorBidi" w:cstheme="majorBidi"/>
          <w:sz w:val="24"/>
          <w:szCs w:val="24"/>
        </w:rPr>
        <w:t>n, 1936-1968</w:t>
      </w:r>
      <w:r w:rsidR="0005587E" w:rsidRPr="00B503E6">
        <w:rPr>
          <w:rFonts w:asciiTheme="majorBidi" w:hAnsiTheme="majorBidi" w:cstheme="majorBidi"/>
          <w:sz w:val="24"/>
          <w:szCs w:val="24"/>
        </w:rPr>
        <w:t>.</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 xml:space="preserve">The Middle </w:t>
      </w:r>
      <w:r w:rsidR="00050621" w:rsidRPr="00B503E6">
        <w:rPr>
          <w:rFonts w:asciiTheme="majorBidi" w:hAnsiTheme="majorBidi" w:cstheme="majorBidi"/>
          <w:i/>
          <w:iCs/>
          <w:sz w:val="24"/>
          <w:szCs w:val="24"/>
        </w:rPr>
        <w:t>E</w:t>
      </w:r>
      <w:r w:rsidRPr="00B503E6">
        <w:rPr>
          <w:rFonts w:asciiTheme="majorBidi" w:hAnsiTheme="majorBidi" w:cstheme="majorBidi"/>
          <w:i/>
          <w:iCs/>
          <w:sz w:val="24"/>
          <w:szCs w:val="24"/>
        </w:rPr>
        <w:t>ast Journal</w:t>
      </w:r>
      <w:r w:rsidRPr="00B503E6">
        <w:rPr>
          <w:rFonts w:asciiTheme="majorBidi" w:hAnsiTheme="majorBidi" w:cstheme="majorBidi"/>
          <w:sz w:val="24"/>
          <w:szCs w:val="24"/>
        </w:rPr>
        <w:t xml:space="preserve"> </w:t>
      </w:r>
      <w:r w:rsidR="0093677C" w:rsidRPr="00B503E6">
        <w:rPr>
          <w:rFonts w:asciiTheme="majorBidi" w:hAnsiTheme="majorBidi" w:cstheme="majorBidi"/>
          <w:sz w:val="24"/>
          <w:szCs w:val="24"/>
        </w:rPr>
        <w:t>25</w:t>
      </w:r>
      <w:r w:rsidR="0005587E" w:rsidRPr="00B503E6">
        <w:rPr>
          <w:rFonts w:asciiTheme="majorBidi" w:hAnsiTheme="majorBidi" w:cstheme="majorBidi"/>
          <w:sz w:val="24"/>
          <w:szCs w:val="24"/>
        </w:rPr>
        <w:t xml:space="preserve">, </w:t>
      </w:r>
      <w:r w:rsidR="0093677C" w:rsidRPr="00B503E6">
        <w:rPr>
          <w:rFonts w:asciiTheme="majorBidi" w:hAnsiTheme="majorBidi" w:cstheme="majorBidi"/>
          <w:sz w:val="24"/>
          <w:szCs w:val="24"/>
        </w:rPr>
        <w:t>2</w:t>
      </w:r>
      <w:r w:rsidR="0005587E" w:rsidRPr="00B503E6">
        <w:rPr>
          <w:rFonts w:asciiTheme="majorBidi" w:hAnsiTheme="majorBidi" w:cstheme="majorBidi"/>
          <w:sz w:val="24"/>
          <w:szCs w:val="24"/>
        </w:rPr>
        <w:t xml:space="preserve"> (1971</w:t>
      </w:r>
      <w:r w:rsidR="0093677C" w:rsidRPr="00B503E6">
        <w:rPr>
          <w:rFonts w:asciiTheme="majorBidi" w:hAnsiTheme="majorBidi" w:cstheme="majorBidi"/>
          <w:sz w:val="24"/>
          <w:szCs w:val="24"/>
        </w:rPr>
        <w:t xml:space="preserve">): </w:t>
      </w:r>
      <w:r w:rsidR="00050621" w:rsidRPr="00B503E6">
        <w:rPr>
          <w:rFonts w:asciiTheme="majorBidi" w:hAnsiTheme="majorBidi" w:cstheme="majorBidi"/>
          <w:sz w:val="24"/>
          <w:szCs w:val="24"/>
        </w:rPr>
        <w:t>157-179.</w:t>
      </w:r>
    </w:p>
    <w:p w:rsidR="00FF4C92" w:rsidRPr="00B503E6" w:rsidRDefault="00FF4C92" w:rsidP="0005587E">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lastRenderedPageBreak/>
        <w:t>Mazur, M</w:t>
      </w:r>
      <w:r w:rsidR="0005587E" w:rsidRPr="00B503E6">
        <w:rPr>
          <w:rFonts w:asciiTheme="majorBidi" w:hAnsiTheme="majorBidi" w:cstheme="majorBidi"/>
          <w:sz w:val="24"/>
          <w:szCs w:val="24"/>
        </w:rPr>
        <w:t>ichael</w:t>
      </w:r>
      <w:r w:rsidRPr="00B503E6">
        <w:rPr>
          <w:rFonts w:asciiTheme="majorBidi" w:hAnsiTheme="majorBidi" w:cstheme="majorBidi"/>
          <w:sz w:val="24"/>
          <w:szCs w:val="24"/>
        </w:rPr>
        <w:t xml:space="preserve"> P</w:t>
      </w:r>
      <w:r w:rsidR="0093677C"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 xml:space="preserve">Economic </w:t>
      </w:r>
      <w:r w:rsidR="0093677C" w:rsidRPr="00B503E6">
        <w:rPr>
          <w:rFonts w:asciiTheme="majorBidi" w:hAnsiTheme="majorBidi" w:cstheme="majorBidi"/>
          <w:i/>
          <w:iCs/>
          <w:sz w:val="24"/>
          <w:szCs w:val="24"/>
        </w:rPr>
        <w:t>G</w:t>
      </w:r>
      <w:r w:rsidRPr="00B503E6">
        <w:rPr>
          <w:rFonts w:asciiTheme="majorBidi" w:hAnsiTheme="majorBidi" w:cstheme="majorBidi"/>
          <w:i/>
          <w:iCs/>
          <w:sz w:val="24"/>
          <w:szCs w:val="24"/>
        </w:rPr>
        <w:t xml:space="preserve">rowth and </w:t>
      </w:r>
      <w:r w:rsidR="0093677C" w:rsidRPr="00B503E6">
        <w:rPr>
          <w:rFonts w:asciiTheme="majorBidi" w:hAnsiTheme="majorBidi" w:cstheme="majorBidi"/>
          <w:i/>
          <w:iCs/>
          <w:sz w:val="24"/>
          <w:szCs w:val="24"/>
        </w:rPr>
        <w:t>D</w:t>
      </w:r>
      <w:r w:rsidRPr="00B503E6">
        <w:rPr>
          <w:rFonts w:asciiTheme="majorBidi" w:hAnsiTheme="majorBidi" w:cstheme="majorBidi"/>
          <w:i/>
          <w:iCs/>
          <w:sz w:val="24"/>
          <w:szCs w:val="24"/>
        </w:rPr>
        <w:t>evelopment in Jordan</w:t>
      </w:r>
      <w:r w:rsidR="0005587E" w:rsidRPr="00B503E6">
        <w:rPr>
          <w:rFonts w:asciiTheme="majorBidi" w:hAnsiTheme="majorBidi" w:cstheme="majorBidi"/>
          <w:sz w:val="24"/>
          <w:szCs w:val="24"/>
        </w:rPr>
        <w:t>.</w:t>
      </w:r>
      <w:r w:rsidRPr="00B503E6">
        <w:rPr>
          <w:rFonts w:asciiTheme="majorBidi" w:hAnsiTheme="majorBidi" w:cstheme="majorBidi"/>
          <w:sz w:val="24"/>
          <w:szCs w:val="24"/>
        </w:rPr>
        <w:t xml:space="preserve"> Boulder, Colorado: Westview Press</w:t>
      </w:r>
      <w:r w:rsidR="0005587E" w:rsidRPr="00B503E6">
        <w:rPr>
          <w:rFonts w:asciiTheme="majorBidi" w:hAnsiTheme="majorBidi" w:cstheme="majorBidi"/>
          <w:sz w:val="24"/>
          <w:szCs w:val="24"/>
        </w:rPr>
        <w:t>, 1979</w:t>
      </w:r>
      <w:r w:rsidRPr="00B503E6">
        <w:rPr>
          <w:rFonts w:asciiTheme="majorBidi" w:hAnsiTheme="majorBidi" w:cstheme="majorBidi"/>
          <w:sz w:val="24"/>
          <w:szCs w:val="24"/>
        </w:rPr>
        <w:t xml:space="preserve">. </w:t>
      </w:r>
    </w:p>
    <w:p w:rsidR="004D4272" w:rsidRPr="00B503E6" w:rsidRDefault="004D4272" w:rsidP="0005587E">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McCarthy, J</w:t>
      </w:r>
      <w:r w:rsidR="0005587E" w:rsidRPr="00B503E6">
        <w:rPr>
          <w:rFonts w:asciiTheme="majorBidi" w:hAnsiTheme="majorBidi" w:cstheme="majorBidi"/>
          <w:sz w:val="24"/>
          <w:szCs w:val="24"/>
        </w:rPr>
        <w:t>ustin</w:t>
      </w:r>
      <w:r w:rsidR="0093677C"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 xml:space="preserve">The population of Palestine: Population </w:t>
      </w:r>
      <w:r w:rsidR="0093677C" w:rsidRPr="00B503E6">
        <w:rPr>
          <w:rFonts w:asciiTheme="majorBidi" w:hAnsiTheme="majorBidi" w:cstheme="majorBidi"/>
          <w:i/>
          <w:iCs/>
          <w:sz w:val="24"/>
          <w:szCs w:val="24"/>
        </w:rPr>
        <w:t>H</w:t>
      </w:r>
      <w:r w:rsidRPr="00B503E6">
        <w:rPr>
          <w:rFonts w:asciiTheme="majorBidi" w:hAnsiTheme="majorBidi" w:cstheme="majorBidi"/>
          <w:i/>
          <w:iCs/>
          <w:sz w:val="24"/>
          <w:szCs w:val="24"/>
        </w:rPr>
        <w:t xml:space="preserve">istory and </w:t>
      </w:r>
      <w:r w:rsidR="0093677C" w:rsidRPr="00B503E6">
        <w:rPr>
          <w:rFonts w:asciiTheme="majorBidi" w:hAnsiTheme="majorBidi" w:cstheme="majorBidi"/>
          <w:i/>
          <w:iCs/>
          <w:sz w:val="24"/>
          <w:szCs w:val="24"/>
        </w:rPr>
        <w:t>S</w:t>
      </w:r>
      <w:r w:rsidRPr="00B503E6">
        <w:rPr>
          <w:rFonts w:asciiTheme="majorBidi" w:hAnsiTheme="majorBidi" w:cstheme="majorBidi"/>
          <w:i/>
          <w:iCs/>
          <w:sz w:val="24"/>
          <w:szCs w:val="24"/>
        </w:rPr>
        <w:t xml:space="preserve">tatistics of the </w:t>
      </w:r>
      <w:r w:rsidR="0093677C" w:rsidRPr="00B503E6">
        <w:rPr>
          <w:rFonts w:asciiTheme="majorBidi" w:hAnsiTheme="majorBidi" w:cstheme="majorBidi"/>
          <w:i/>
          <w:iCs/>
          <w:sz w:val="24"/>
          <w:szCs w:val="24"/>
        </w:rPr>
        <w:t>L</w:t>
      </w:r>
      <w:r w:rsidRPr="00B503E6">
        <w:rPr>
          <w:rFonts w:asciiTheme="majorBidi" w:hAnsiTheme="majorBidi" w:cstheme="majorBidi"/>
          <w:i/>
          <w:iCs/>
          <w:sz w:val="24"/>
          <w:szCs w:val="24"/>
        </w:rPr>
        <w:t xml:space="preserve">ate Ottoman </w:t>
      </w:r>
      <w:r w:rsidR="0093677C" w:rsidRPr="00B503E6">
        <w:rPr>
          <w:rFonts w:asciiTheme="majorBidi" w:hAnsiTheme="majorBidi" w:cstheme="majorBidi"/>
          <w:i/>
          <w:iCs/>
          <w:sz w:val="24"/>
          <w:szCs w:val="24"/>
        </w:rPr>
        <w:t>P</w:t>
      </w:r>
      <w:r w:rsidRPr="00B503E6">
        <w:rPr>
          <w:rFonts w:asciiTheme="majorBidi" w:hAnsiTheme="majorBidi" w:cstheme="majorBidi"/>
          <w:i/>
          <w:iCs/>
          <w:sz w:val="24"/>
          <w:szCs w:val="24"/>
        </w:rPr>
        <w:t xml:space="preserve">eriod and the </w:t>
      </w:r>
      <w:r w:rsidR="00E26C05" w:rsidRPr="00B503E6">
        <w:rPr>
          <w:rFonts w:asciiTheme="majorBidi" w:hAnsiTheme="majorBidi" w:cstheme="majorBidi"/>
          <w:i/>
          <w:iCs/>
          <w:sz w:val="24"/>
          <w:szCs w:val="24"/>
        </w:rPr>
        <w:t>Mandate</w:t>
      </w:r>
      <w:r w:rsidR="0005587E" w:rsidRPr="00B503E6">
        <w:rPr>
          <w:rFonts w:asciiTheme="majorBidi" w:hAnsiTheme="majorBidi" w:cstheme="majorBidi"/>
          <w:sz w:val="24"/>
          <w:szCs w:val="24"/>
        </w:rPr>
        <w:t>.</w:t>
      </w:r>
      <w:r w:rsidRPr="00B503E6">
        <w:rPr>
          <w:rFonts w:asciiTheme="majorBidi" w:hAnsiTheme="majorBidi" w:cstheme="majorBidi"/>
          <w:sz w:val="24"/>
          <w:szCs w:val="24"/>
        </w:rPr>
        <w:t xml:space="preserve"> New York: Columbia University Press</w:t>
      </w:r>
      <w:r w:rsidR="0005587E" w:rsidRPr="00B503E6">
        <w:rPr>
          <w:rFonts w:asciiTheme="majorBidi" w:hAnsiTheme="majorBidi" w:cstheme="majorBidi"/>
          <w:sz w:val="24"/>
          <w:szCs w:val="24"/>
        </w:rPr>
        <w:t>, 1990</w:t>
      </w:r>
      <w:r w:rsidRPr="00B503E6">
        <w:rPr>
          <w:rFonts w:asciiTheme="majorBidi" w:hAnsiTheme="majorBidi" w:cstheme="majorBidi"/>
          <w:sz w:val="24"/>
          <w:szCs w:val="24"/>
        </w:rPr>
        <w:t>.</w:t>
      </w:r>
    </w:p>
    <w:p w:rsidR="00DC5E9C" w:rsidRPr="00B503E6" w:rsidRDefault="00DC5E9C" w:rsidP="00DC5E9C">
      <w:pPr>
        <w:spacing w:line="480" w:lineRule="auto"/>
        <w:ind w:left="284" w:hanging="284"/>
        <w:jc w:val="both"/>
        <w:rPr>
          <w:rFonts w:asciiTheme="majorBidi" w:hAnsiTheme="majorBidi" w:cstheme="majorBidi"/>
          <w:sz w:val="24"/>
          <w:szCs w:val="24"/>
        </w:rPr>
      </w:pPr>
      <w:bookmarkStart w:id="4" w:name="OLE_LINK5"/>
      <w:bookmarkStart w:id="5" w:name="OLE_LINK6"/>
      <w:r w:rsidRPr="00B503E6">
        <w:rPr>
          <w:rFonts w:asciiTheme="majorBidi" w:hAnsiTheme="majorBidi" w:cstheme="majorBidi"/>
          <w:sz w:val="24"/>
          <w:szCs w:val="24"/>
        </w:rPr>
        <w:t>McEvedy, Colin and Richard Jones</w:t>
      </w:r>
      <w:bookmarkEnd w:id="4"/>
      <w:bookmarkEnd w:id="5"/>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Atlas of the World: Population History</w:t>
      </w:r>
      <w:r w:rsidRPr="00B503E6">
        <w:rPr>
          <w:rFonts w:asciiTheme="majorBidi" w:hAnsiTheme="majorBidi" w:cstheme="majorBidi"/>
          <w:sz w:val="24"/>
          <w:szCs w:val="24"/>
        </w:rPr>
        <w:t xml:space="preserve">. New York: Penguin Books, 1978. </w:t>
      </w:r>
    </w:p>
    <w:p w:rsidR="00006920" w:rsidRPr="00B503E6" w:rsidRDefault="00006920" w:rsidP="0005587E">
      <w:pPr>
        <w:spacing w:line="480" w:lineRule="auto"/>
        <w:ind w:left="284" w:hanging="284"/>
        <w:jc w:val="both"/>
        <w:rPr>
          <w:rFonts w:asciiTheme="majorBidi" w:hAnsiTheme="majorBidi" w:cstheme="majorBidi"/>
          <w:sz w:val="24"/>
          <w:szCs w:val="24"/>
        </w:rPr>
      </w:pPr>
      <w:r w:rsidRPr="00B503E6">
        <w:rPr>
          <w:rFonts w:asciiTheme="majorBidi" w:hAnsiTheme="majorBidi" w:cstheme="majorBidi"/>
          <w:sz w:val="24"/>
          <w:szCs w:val="24"/>
        </w:rPr>
        <w:t>Metzer, J</w:t>
      </w:r>
      <w:r w:rsidR="0005587E" w:rsidRPr="00B503E6">
        <w:rPr>
          <w:rFonts w:asciiTheme="majorBidi" w:hAnsiTheme="majorBidi" w:cstheme="majorBidi"/>
          <w:sz w:val="24"/>
          <w:szCs w:val="24"/>
        </w:rPr>
        <w:t>acob.</w:t>
      </w:r>
      <w:r w:rsidR="00191054" w:rsidRPr="00B503E6">
        <w:rPr>
          <w:rFonts w:asciiTheme="majorBidi" w:hAnsiTheme="majorBidi" w:cstheme="majorBidi"/>
          <w:sz w:val="24"/>
          <w:szCs w:val="24"/>
        </w:rPr>
        <w:t xml:space="preserve"> </w:t>
      </w:r>
      <w:r w:rsidRPr="00B503E6">
        <w:rPr>
          <w:rFonts w:asciiTheme="majorBidi" w:hAnsiTheme="majorBidi" w:cstheme="majorBidi"/>
          <w:i/>
          <w:iCs/>
          <w:sz w:val="24"/>
          <w:szCs w:val="24"/>
        </w:rPr>
        <w:t>The Divided Economy of Mandatory Palestine</w:t>
      </w:r>
      <w:r w:rsidR="0005587E" w:rsidRPr="00B503E6">
        <w:rPr>
          <w:rFonts w:asciiTheme="majorBidi" w:hAnsiTheme="majorBidi" w:cstheme="majorBidi"/>
          <w:sz w:val="24"/>
          <w:szCs w:val="24"/>
        </w:rPr>
        <w:t>.</w:t>
      </w:r>
      <w:r w:rsidRPr="00B503E6">
        <w:rPr>
          <w:rFonts w:asciiTheme="majorBidi" w:hAnsiTheme="majorBidi" w:cstheme="majorBidi"/>
          <w:sz w:val="24"/>
          <w:szCs w:val="24"/>
        </w:rPr>
        <w:t xml:space="preserve"> Cambridge: Cambridge University Press</w:t>
      </w:r>
      <w:r w:rsidR="0005587E" w:rsidRPr="00B503E6">
        <w:rPr>
          <w:rFonts w:asciiTheme="majorBidi" w:hAnsiTheme="majorBidi" w:cstheme="majorBidi"/>
          <w:sz w:val="24"/>
          <w:szCs w:val="24"/>
        </w:rPr>
        <w:t>, 1998</w:t>
      </w:r>
      <w:r w:rsidRPr="00B503E6">
        <w:rPr>
          <w:rFonts w:asciiTheme="majorBidi" w:hAnsiTheme="majorBidi" w:cstheme="majorBidi"/>
          <w:sz w:val="24"/>
          <w:szCs w:val="24"/>
        </w:rPr>
        <w:t>.</w:t>
      </w:r>
    </w:p>
    <w:p w:rsidR="00325618" w:rsidRPr="00B503E6" w:rsidRDefault="00B1518B" w:rsidP="0005587E">
      <w:pPr>
        <w:spacing w:line="480" w:lineRule="auto"/>
        <w:ind w:left="567" w:hanging="567"/>
        <w:contextualSpacing/>
        <w:rPr>
          <w:rFonts w:asciiTheme="majorBidi" w:hAnsiTheme="majorBidi" w:cstheme="majorBidi"/>
          <w:sz w:val="24"/>
          <w:szCs w:val="24"/>
        </w:rPr>
      </w:pPr>
      <w:r w:rsidRPr="00B503E6">
        <w:rPr>
          <w:rFonts w:asciiTheme="majorBidi" w:hAnsiTheme="majorBidi" w:cstheme="majorBidi"/>
          <w:sz w:val="24"/>
          <w:szCs w:val="24"/>
        </w:rPr>
        <w:t>Owen, R</w:t>
      </w:r>
      <w:r w:rsidR="0005587E" w:rsidRPr="00B503E6">
        <w:rPr>
          <w:rFonts w:asciiTheme="majorBidi" w:hAnsiTheme="majorBidi" w:cstheme="majorBidi"/>
          <w:sz w:val="24"/>
          <w:szCs w:val="24"/>
        </w:rPr>
        <w:t>oger</w:t>
      </w:r>
      <w:r w:rsidRPr="00B503E6">
        <w:rPr>
          <w:rFonts w:asciiTheme="majorBidi" w:hAnsiTheme="majorBidi" w:cstheme="majorBidi"/>
          <w:sz w:val="24"/>
          <w:szCs w:val="24"/>
        </w:rPr>
        <w:t xml:space="preserve"> and Ş</w:t>
      </w:r>
      <w:r w:rsidR="0005587E" w:rsidRPr="00B503E6">
        <w:rPr>
          <w:rFonts w:asciiTheme="majorBidi" w:hAnsiTheme="majorBidi" w:cstheme="majorBidi"/>
          <w:sz w:val="24"/>
          <w:szCs w:val="24"/>
        </w:rPr>
        <w:t>evket</w:t>
      </w:r>
      <w:r w:rsidRPr="00B503E6">
        <w:rPr>
          <w:rFonts w:asciiTheme="majorBidi" w:hAnsiTheme="majorBidi" w:cstheme="majorBidi"/>
          <w:sz w:val="24"/>
          <w:szCs w:val="24"/>
        </w:rPr>
        <w:t xml:space="preserve"> Pamuk</w:t>
      </w:r>
      <w:r w:rsidR="0005587E"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 xml:space="preserve">A </w:t>
      </w:r>
      <w:r w:rsidR="00E72D2E" w:rsidRPr="00B503E6">
        <w:rPr>
          <w:rFonts w:asciiTheme="majorBidi" w:hAnsiTheme="majorBidi" w:cstheme="majorBidi"/>
          <w:i/>
          <w:iCs/>
          <w:sz w:val="24"/>
          <w:szCs w:val="24"/>
        </w:rPr>
        <w:t>H</w:t>
      </w:r>
      <w:r w:rsidRPr="00B503E6">
        <w:rPr>
          <w:rFonts w:asciiTheme="majorBidi" w:hAnsiTheme="majorBidi" w:cstheme="majorBidi"/>
          <w:i/>
          <w:iCs/>
          <w:sz w:val="24"/>
          <w:szCs w:val="24"/>
        </w:rPr>
        <w:t>istory of the Middle East Economies in the Twentieth century</w:t>
      </w:r>
      <w:r w:rsidR="0005587E" w:rsidRPr="00B503E6">
        <w:rPr>
          <w:rFonts w:asciiTheme="majorBidi" w:hAnsiTheme="majorBidi" w:cstheme="majorBidi"/>
          <w:sz w:val="24"/>
          <w:szCs w:val="24"/>
        </w:rPr>
        <w:t>.</w:t>
      </w:r>
      <w:r w:rsidRPr="00B503E6">
        <w:rPr>
          <w:rFonts w:asciiTheme="majorBidi" w:hAnsiTheme="majorBidi" w:cstheme="majorBidi"/>
          <w:sz w:val="24"/>
          <w:szCs w:val="24"/>
        </w:rPr>
        <w:t xml:space="preserve"> Cambridge: Harvard University Press</w:t>
      </w:r>
      <w:r w:rsidR="0005587E" w:rsidRPr="00B503E6">
        <w:rPr>
          <w:rFonts w:asciiTheme="majorBidi" w:hAnsiTheme="majorBidi" w:cstheme="majorBidi"/>
          <w:sz w:val="24"/>
          <w:szCs w:val="24"/>
        </w:rPr>
        <w:t>, 1999</w:t>
      </w:r>
      <w:r w:rsidRPr="00B503E6">
        <w:rPr>
          <w:rFonts w:asciiTheme="majorBidi" w:hAnsiTheme="majorBidi" w:cstheme="majorBidi"/>
          <w:sz w:val="24"/>
          <w:szCs w:val="24"/>
        </w:rPr>
        <w:t>.</w:t>
      </w:r>
      <w:r w:rsidR="00325618" w:rsidRPr="00B503E6">
        <w:rPr>
          <w:rFonts w:asciiTheme="majorBidi" w:hAnsiTheme="majorBidi" w:cstheme="majorBidi"/>
          <w:sz w:val="24"/>
          <w:szCs w:val="24"/>
        </w:rPr>
        <w:t xml:space="preserve"> </w:t>
      </w:r>
    </w:p>
    <w:p w:rsidR="00E94B47" w:rsidRPr="00B503E6" w:rsidRDefault="008C0CCD" w:rsidP="00EE7F27">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i/>
          <w:iCs/>
          <w:sz w:val="24"/>
          <w:szCs w:val="24"/>
        </w:rPr>
        <w:t>Palestine Royal Commission Report</w:t>
      </w:r>
      <w:r w:rsidRPr="00B503E6">
        <w:rPr>
          <w:rFonts w:asciiTheme="majorBidi" w:hAnsiTheme="majorBidi" w:cstheme="majorBidi"/>
          <w:sz w:val="24"/>
          <w:szCs w:val="24"/>
        </w:rPr>
        <w:t xml:space="preserve"> (Peel Report)</w:t>
      </w:r>
      <w:r w:rsidR="00EE7F27" w:rsidRPr="00B503E6">
        <w:rPr>
          <w:rFonts w:asciiTheme="majorBidi" w:hAnsiTheme="majorBidi" w:cstheme="majorBidi"/>
          <w:sz w:val="24"/>
          <w:szCs w:val="24"/>
        </w:rPr>
        <w:t>.</w:t>
      </w:r>
      <w:r w:rsidRPr="00B503E6">
        <w:rPr>
          <w:rFonts w:asciiTheme="majorBidi" w:hAnsiTheme="majorBidi" w:cstheme="majorBidi"/>
          <w:sz w:val="24"/>
          <w:szCs w:val="24"/>
        </w:rPr>
        <w:t xml:space="preserve"> London: His Majesty's Stationary Office</w:t>
      </w:r>
      <w:r w:rsidR="0005587E" w:rsidRPr="00B503E6">
        <w:rPr>
          <w:rFonts w:asciiTheme="majorBidi" w:hAnsiTheme="majorBidi" w:cstheme="majorBidi"/>
          <w:sz w:val="24"/>
          <w:szCs w:val="24"/>
        </w:rPr>
        <w:t>, 1937</w:t>
      </w:r>
      <w:r w:rsidRPr="00B503E6">
        <w:rPr>
          <w:rFonts w:asciiTheme="majorBidi" w:hAnsiTheme="majorBidi" w:cstheme="majorBidi"/>
          <w:sz w:val="24"/>
          <w:szCs w:val="24"/>
        </w:rPr>
        <w:t>.</w:t>
      </w:r>
    </w:p>
    <w:p w:rsidR="000D1446" w:rsidRPr="00B503E6" w:rsidRDefault="00E94B47" w:rsidP="00EE7F27">
      <w:pPr>
        <w:spacing w:line="480" w:lineRule="auto"/>
        <w:ind w:left="567" w:hanging="567"/>
        <w:contextualSpacing/>
        <w:rPr>
          <w:rFonts w:asciiTheme="majorBidi" w:hAnsiTheme="majorBidi" w:cstheme="majorBidi"/>
          <w:sz w:val="24"/>
          <w:szCs w:val="24"/>
        </w:rPr>
      </w:pPr>
      <w:r w:rsidRPr="00B503E6">
        <w:rPr>
          <w:rFonts w:asciiTheme="majorBidi" w:hAnsiTheme="majorBidi" w:cstheme="majorBidi"/>
          <w:i/>
          <w:iCs/>
          <w:sz w:val="24"/>
          <w:szCs w:val="24"/>
        </w:rPr>
        <w:t xml:space="preserve">Palestine: Termination of the </w:t>
      </w:r>
      <w:r w:rsidR="00E26C05" w:rsidRPr="00B503E6">
        <w:rPr>
          <w:rFonts w:asciiTheme="majorBidi" w:hAnsiTheme="majorBidi" w:cstheme="majorBidi"/>
          <w:i/>
          <w:iCs/>
          <w:sz w:val="24"/>
          <w:szCs w:val="24"/>
        </w:rPr>
        <w:t>Mandate</w:t>
      </w:r>
      <w:r w:rsidRPr="00B503E6">
        <w:rPr>
          <w:rFonts w:asciiTheme="majorBidi" w:hAnsiTheme="majorBidi" w:cstheme="majorBidi"/>
          <w:i/>
          <w:iCs/>
          <w:sz w:val="24"/>
          <w:szCs w:val="24"/>
        </w:rPr>
        <w:t xml:space="preserve"> 15</w:t>
      </w:r>
      <w:r w:rsidRPr="00B503E6">
        <w:rPr>
          <w:rFonts w:asciiTheme="majorBidi" w:hAnsiTheme="majorBidi" w:cstheme="majorBidi"/>
          <w:i/>
          <w:iCs/>
          <w:sz w:val="24"/>
          <w:szCs w:val="24"/>
          <w:vertAlign w:val="superscript"/>
        </w:rPr>
        <w:t>th</w:t>
      </w:r>
      <w:r w:rsidRPr="00B503E6">
        <w:rPr>
          <w:rFonts w:asciiTheme="majorBidi" w:hAnsiTheme="majorBidi" w:cstheme="majorBidi"/>
          <w:i/>
          <w:iCs/>
          <w:sz w:val="24"/>
          <w:szCs w:val="24"/>
        </w:rPr>
        <w:t xml:space="preserve"> May, 1948, Statement prepared for public information by the Colonial Office and the Foreign Office</w:t>
      </w:r>
      <w:r w:rsidR="00EE7F27" w:rsidRPr="00B503E6">
        <w:rPr>
          <w:rFonts w:asciiTheme="majorBidi" w:hAnsiTheme="majorBidi" w:cstheme="majorBidi"/>
          <w:sz w:val="24"/>
          <w:szCs w:val="24"/>
        </w:rPr>
        <w:t>.</w:t>
      </w:r>
      <w:r w:rsidRPr="00B503E6">
        <w:rPr>
          <w:rFonts w:asciiTheme="majorBidi" w:hAnsiTheme="majorBidi" w:cstheme="majorBidi"/>
          <w:sz w:val="24"/>
          <w:szCs w:val="24"/>
        </w:rPr>
        <w:t xml:space="preserve"> London: His Majesty's Stationary Office</w:t>
      </w:r>
      <w:r w:rsidR="0005587E" w:rsidRPr="00B503E6">
        <w:rPr>
          <w:rFonts w:asciiTheme="majorBidi" w:hAnsiTheme="majorBidi" w:cstheme="majorBidi"/>
          <w:sz w:val="24"/>
          <w:szCs w:val="24"/>
        </w:rPr>
        <w:t>, 1948</w:t>
      </w:r>
      <w:r w:rsidRPr="00B503E6">
        <w:rPr>
          <w:rFonts w:asciiTheme="majorBidi" w:hAnsiTheme="majorBidi" w:cstheme="majorBidi"/>
          <w:sz w:val="24"/>
          <w:szCs w:val="24"/>
        </w:rPr>
        <w:t>.</w:t>
      </w:r>
      <w:r w:rsidR="008C0CCD" w:rsidRPr="00B503E6">
        <w:rPr>
          <w:rFonts w:asciiTheme="majorBidi" w:hAnsiTheme="majorBidi" w:cstheme="majorBidi"/>
          <w:sz w:val="24"/>
          <w:szCs w:val="24"/>
        </w:rPr>
        <w:t xml:space="preserve"> </w:t>
      </w:r>
      <w:r w:rsidR="000D1446" w:rsidRPr="00B503E6">
        <w:rPr>
          <w:rFonts w:asciiTheme="majorBidi" w:hAnsiTheme="majorBidi" w:cstheme="majorBidi"/>
          <w:sz w:val="24"/>
          <w:szCs w:val="24"/>
        </w:rPr>
        <w:t xml:space="preserve"> </w:t>
      </w:r>
    </w:p>
    <w:p w:rsidR="00C67917" w:rsidRPr="00B503E6" w:rsidRDefault="00C67917" w:rsidP="003C5015">
      <w:pPr>
        <w:spacing w:line="480" w:lineRule="auto"/>
        <w:ind w:left="567" w:hanging="567"/>
        <w:contextualSpacing/>
        <w:rPr>
          <w:rFonts w:asciiTheme="majorBidi" w:hAnsiTheme="majorBidi" w:cstheme="majorBidi"/>
          <w:sz w:val="24"/>
          <w:szCs w:val="24"/>
        </w:rPr>
      </w:pPr>
      <w:r w:rsidRPr="00B503E6">
        <w:rPr>
          <w:rFonts w:asciiTheme="majorBidi" w:hAnsiTheme="majorBidi" w:cstheme="majorBidi"/>
          <w:sz w:val="24"/>
          <w:szCs w:val="24"/>
        </w:rPr>
        <w:t>Patai, R</w:t>
      </w:r>
      <w:r w:rsidR="00EE7F27" w:rsidRPr="00B503E6">
        <w:rPr>
          <w:rFonts w:asciiTheme="majorBidi" w:hAnsiTheme="majorBidi" w:cstheme="majorBidi"/>
          <w:sz w:val="24"/>
          <w:szCs w:val="24"/>
        </w:rPr>
        <w:t>aphael</w:t>
      </w:r>
      <w:r w:rsidR="00E72D2E"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Musha'a </w:t>
      </w:r>
      <w:r w:rsidR="00E72D2E" w:rsidRPr="00B503E6">
        <w:rPr>
          <w:rFonts w:asciiTheme="majorBidi" w:hAnsiTheme="majorBidi" w:cstheme="majorBidi"/>
          <w:sz w:val="24"/>
          <w:szCs w:val="24"/>
        </w:rPr>
        <w:t>T</w:t>
      </w:r>
      <w:r w:rsidRPr="00B503E6">
        <w:rPr>
          <w:rFonts w:asciiTheme="majorBidi" w:hAnsiTheme="majorBidi" w:cstheme="majorBidi"/>
          <w:sz w:val="24"/>
          <w:szCs w:val="24"/>
        </w:rPr>
        <w:t xml:space="preserve">enure and </w:t>
      </w:r>
      <w:r w:rsidR="00E72D2E" w:rsidRPr="00B503E6">
        <w:rPr>
          <w:rFonts w:asciiTheme="majorBidi" w:hAnsiTheme="majorBidi" w:cstheme="majorBidi"/>
          <w:sz w:val="24"/>
          <w:szCs w:val="24"/>
        </w:rPr>
        <w:t>C</w:t>
      </w:r>
      <w:r w:rsidRPr="00B503E6">
        <w:rPr>
          <w:rFonts w:asciiTheme="majorBidi" w:hAnsiTheme="majorBidi" w:cstheme="majorBidi"/>
          <w:sz w:val="24"/>
          <w:szCs w:val="24"/>
        </w:rPr>
        <w:t>o-operation in Palestine</w:t>
      </w:r>
      <w:r w:rsidR="00EE7F27" w:rsidRPr="00B503E6">
        <w:rPr>
          <w:rFonts w:asciiTheme="majorBidi" w:hAnsiTheme="majorBidi" w:cstheme="majorBidi"/>
          <w:sz w:val="24"/>
          <w:szCs w:val="24"/>
        </w:rPr>
        <w:t>.</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American Anthropologist</w:t>
      </w:r>
      <w:r w:rsidRPr="00B503E6">
        <w:rPr>
          <w:rFonts w:asciiTheme="majorBidi" w:hAnsiTheme="majorBidi" w:cstheme="majorBidi"/>
          <w:sz w:val="24"/>
          <w:szCs w:val="24"/>
        </w:rPr>
        <w:t xml:space="preserve"> 51</w:t>
      </w:r>
      <w:r w:rsidR="00EE7F27" w:rsidRPr="00B503E6">
        <w:rPr>
          <w:rFonts w:asciiTheme="majorBidi" w:hAnsiTheme="majorBidi" w:cstheme="majorBidi"/>
          <w:sz w:val="24"/>
          <w:szCs w:val="24"/>
        </w:rPr>
        <w:t xml:space="preserve">, </w:t>
      </w:r>
      <w:r w:rsidRPr="00B503E6">
        <w:rPr>
          <w:rFonts w:asciiTheme="majorBidi" w:hAnsiTheme="majorBidi" w:cstheme="majorBidi"/>
          <w:sz w:val="24"/>
          <w:szCs w:val="24"/>
        </w:rPr>
        <w:t>3</w:t>
      </w:r>
      <w:r w:rsidR="00EE7F27" w:rsidRPr="00B503E6">
        <w:rPr>
          <w:rFonts w:asciiTheme="majorBidi" w:hAnsiTheme="majorBidi" w:cstheme="majorBidi"/>
          <w:sz w:val="24"/>
          <w:szCs w:val="24"/>
        </w:rPr>
        <w:t xml:space="preserve"> (1949)</w:t>
      </w:r>
      <w:r w:rsidR="00E72D2E" w:rsidRPr="00B503E6">
        <w:rPr>
          <w:rFonts w:asciiTheme="majorBidi" w:hAnsiTheme="majorBidi" w:cstheme="majorBidi"/>
          <w:sz w:val="24"/>
          <w:szCs w:val="24"/>
        </w:rPr>
        <w:t xml:space="preserve">: </w:t>
      </w:r>
      <w:r w:rsidRPr="00B503E6">
        <w:rPr>
          <w:rFonts w:asciiTheme="majorBidi" w:hAnsiTheme="majorBidi" w:cstheme="majorBidi"/>
          <w:sz w:val="24"/>
          <w:szCs w:val="24"/>
        </w:rPr>
        <w:t>436-445.</w:t>
      </w:r>
    </w:p>
    <w:p w:rsidR="00D076E4" w:rsidRPr="00B503E6" w:rsidRDefault="00D076E4" w:rsidP="003C5015">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Peter, F</w:t>
      </w:r>
      <w:r w:rsidR="00EE7F27" w:rsidRPr="00B503E6">
        <w:rPr>
          <w:rFonts w:asciiTheme="majorBidi" w:hAnsiTheme="majorBidi" w:cstheme="majorBidi"/>
          <w:sz w:val="24"/>
          <w:szCs w:val="24"/>
        </w:rPr>
        <w:t>rank</w:t>
      </w:r>
      <w:r w:rsidR="00E72D2E" w:rsidRPr="00B503E6">
        <w:rPr>
          <w:rFonts w:asciiTheme="majorBidi" w:hAnsiTheme="majorBidi" w:cstheme="majorBidi"/>
          <w:sz w:val="24"/>
          <w:szCs w:val="24"/>
        </w:rPr>
        <w:t xml:space="preserve">. </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Dismemberment of </w:t>
      </w:r>
      <w:r w:rsidR="00E72D2E" w:rsidRPr="00B503E6">
        <w:rPr>
          <w:rFonts w:asciiTheme="majorBidi" w:hAnsiTheme="majorBidi" w:cstheme="majorBidi"/>
          <w:sz w:val="24"/>
          <w:szCs w:val="24"/>
        </w:rPr>
        <w:t>E</w:t>
      </w:r>
      <w:r w:rsidRPr="00B503E6">
        <w:rPr>
          <w:rFonts w:asciiTheme="majorBidi" w:hAnsiTheme="majorBidi" w:cstheme="majorBidi"/>
          <w:sz w:val="24"/>
          <w:szCs w:val="24"/>
        </w:rPr>
        <w:t xml:space="preserve">mpire and </w:t>
      </w:r>
      <w:r w:rsidR="00E72D2E" w:rsidRPr="00B503E6">
        <w:rPr>
          <w:rFonts w:asciiTheme="majorBidi" w:hAnsiTheme="majorBidi" w:cstheme="majorBidi"/>
          <w:sz w:val="24"/>
          <w:szCs w:val="24"/>
        </w:rPr>
        <w:t>R</w:t>
      </w:r>
      <w:r w:rsidRPr="00B503E6">
        <w:rPr>
          <w:rFonts w:asciiTheme="majorBidi" w:hAnsiTheme="majorBidi" w:cstheme="majorBidi"/>
          <w:sz w:val="24"/>
          <w:szCs w:val="24"/>
        </w:rPr>
        <w:t xml:space="preserve">econstitution of </w:t>
      </w:r>
      <w:r w:rsidR="00E72D2E" w:rsidRPr="00B503E6">
        <w:rPr>
          <w:rFonts w:asciiTheme="majorBidi" w:hAnsiTheme="majorBidi" w:cstheme="majorBidi"/>
          <w:sz w:val="24"/>
          <w:szCs w:val="24"/>
        </w:rPr>
        <w:t>R</w:t>
      </w:r>
      <w:r w:rsidRPr="00B503E6">
        <w:rPr>
          <w:rFonts w:asciiTheme="majorBidi" w:hAnsiTheme="majorBidi" w:cstheme="majorBidi"/>
          <w:sz w:val="24"/>
          <w:szCs w:val="24"/>
        </w:rPr>
        <w:t xml:space="preserve">egional </w:t>
      </w:r>
      <w:r w:rsidR="00E72D2E" w:rsidRPr="00B503E6">
        <w:rPr>
          <w:rFonts w:asciiTheme="majorBidi" w:hAnsiTheme="majorBidi" w:cstheme="majorBidi"/>
          <w:sz w:val="24"/>
          <w:szCs w:val="24"/>
        </w:rPr>
        <w:t>S</w:t>
      </w:r>
      <w:r w:rsidRPr="00B503E6">
        <w:rPr>
          <w:rFonts w:asciiTheme="majorBidi" w:hAnsiTheme="majorBidi" w:cstheme="majorBidi"/>
          <w:sz w:val="24"/>
          <w:szCs w:val="24"/>
        </w:rPr>
        <w:t xml:space="preserve">pace: </w:t>
      </w:r>
      <w:r w:rsidR="00E72D2E" w:rsidRPr="00B503E6">
        <w:rPr>
          <w:rFonts w:asciiTheme="majorBidi" w:hAnsiTheme="majorBidi" w:cstheme="majorBidi"/>
          <w:sz w:val="24"/>
          <w:szCs w:val="24"/>
        </w:rPr>
        <w:t>T</w:t>
      </w:r>
      <w:r w:rsidRPr="00B503E6">
        <w:rPr>
          <w:rFonts w:asciiTheme="majorBidi" w:hAnsiTheme="majorBidi" w:cstheme="majorBidi"/>
          <w:sz w:val="24"/>
          <w:szCs w:val="24"/>
        </w:rPr>
        <w:t xml:space="preserve">he </w:t>
      </w:r>
      <w:r w:rsidR="00E72D2E" w:rsidRPr="00B503E6">
        <w:rPr>
          <w:rFonts w:asciiTheme="majorBidi" w:hAnsiTheme="majorBidi" w:cstheme="majorBidi"/>
          <w:sz w:val="24"/>
          <w:szCs w:val="24"/>
        </w:rPr>
        <w:t>E</w:t>
      </w:r>
      <w:r w:rsidRPr="00B503E6">
        <w:rPr>
          <w:rFonts w:asciiTheme="majorBidi" w:hAnsiTheme="majorBidi" w:cstheme="majorBidi"/>
          <w:sz w:val="24"/>
          <w:szCs w:val="24"/>
        </w:rPr>
        <w:t>mergence of '</w:t>
      </w:r>
      <w:r w:rsidR="00E72D2E" w:rsidRPr="00B503E6">
        <w:rPr>
          <w:rFonts w:asciiTheme="majorBidi" w:hAnsiTheme="majorBidi" w:cstheme="majorBidi"/>
          <w:sz w:val="24"/>
          <w:szCs w:val="24"/>
        </w:rPr>
        <w:t>N</w:t>
      </w:r>
      <w:r w:rsidRPr="00B503E6">
        <w:rPr>
          <w:rFonts w:asciiTheme="majorBidi" w:hAnsiTheme="majorBidi" w:cstheme="majorBidi"/>
          <w:sz w:val="24"/>
          <w:szCs w:val="24"/>
        </w:rPr>
        <w:t xml:space="preserve">ational' </w:t>
      </w:r>
      <w:r w:rsidR="00E72D2E" w:rsidRPr="00B503E6">
        <w:rPr>
          <w:rFonts w:asciiTheme="majorBidi" w:hAnsiTheme="majorBidi" w:cstheme="majorBidi"/>
          <w:sz w:val="24"/>
          <w:szCs w:val="24"/>
        </w:rPr>
        <w:t>I</w:t>
      </w:r>
      <w:r w:rsidRPr="00B503E6">
        <w:rPr>
          <w:rFonts w:asciiTheme="majorBidi" w:hAnsiTheme="majorBidi" w:cstheme="majorBidi"/>
          <w:sz w:val="24"/>
          <w:szCs w:val="24"/>
        </w:rPr>
        <w:t>ndustries in Damascus between 1918 and 1946</w:t>
      </w:r>
      <w:r w:rsidR="00EE7F27" w:rsidRPr="00B503E6">
        <w:rPr>
          <w:rFonts w:asciiTheme="majorBidi" w:hAnsiTheme="majorBidi" w:cstheme="majorBidi"/>
          <w:sz w:val="24"/>
          <w:szCs w:val="24"/>
        </w:rPr>
        <w:t>.</w:t>
      </w:r>
      <w:r w:rsidR="003C5015" w:rsidRPr="00B503E6">
        <w:rPr>
          <w:rFonts w:asciiTheme="majorBidi" w:hAnsiTheme="majorBidi" w:cstheme="majorBidi"/>
          <w:sz w:val="24"/>
          <w:szCs w:val="24"/>
        </w:rPr>
        <w:t>”</w:t>
      </w:r>
      <w:r w:rsidR="00EE7F27" w:rsidRPr="00B503E6">
        <w:rPr>
          <w:rFonts w:asciiTheme="majorBidi" w:hAnsiTheme="majorBidi" w:cstheme="majorBidi"/>
          <w:sz w:val="24"/>
          <w:szCs w:val="24"/>
        </w:rPr>
        <w:t xml:space="preserve"> I</w:t>
      </w:r>
      <w:r w:rsidRPr="00B503E6">
        <w:rPr>
          <w:rFonts w:asciiTheme="majorBidi" w:hAnsiTheme="majorBidi" w:cstheme="majorBidi"/>
          <w:sz w:val="24"/>
          <w:szCs w:val="24"/>
        </w:rPr>
        <w:t>n</w:t>
      </w:r>
      <w:r w:rsidR="004963FA" w:rsidRPr="00B503E6">
        <w:rPr>
          <w:rFonts w:asciiTheme="majorBidi" w:hAnsiTheme="majorBidi" w:cstheme="majorBidi"/>
          <w:sz w:val="24"/>
          <w:szCs w:val="24"/>
        </w:rPr>
        <w:t xml:space="preserve"> </w:t>
      </w:r>
      <w:r w:rsidRPr="00B503E6">
        <w:rPr>
          <w:rFonts w:asciiTheme="majorBidi" w:hAnsiTheme="majorBidi" w:cstheme="majorBidi"/>
          <w:i/>
          <w:iCs/>
          <w:sz w:val="24"/>
          <w:szCs w:val="24"/>
        </w:rPr>
        <w:t xml:space="preserve">The British and French </w:t>
      </w:r>
      <w:r w:rsidR="00E26C05" w:rsidRPr="00B503E6">
        <w:rPr>
          <w:rFonts w:asciiTheme="majorBidi" w:hAnsiTheme="majorBidi" w:cstheme="majorBidi"/>
          <w:i/>
          <w:iCs/>
          <w:sz w:val="24"/>
          <w:szCs w:val="24"/>
        </w:rPr>
        <w:t>Mandate</w:t>
      </w:r>
      <w:r w:rsidRPr="00B503E6">
        <w:rPr>
          <w:rFonts w:asciiTheme="majorBidi" w:hAnsiTheme="majorBidi" w:cstheme="majorBidi"/>
          <w:i/>
          <w:iCs/>
          <w:sz w:val="24"/>
          <w:szCs w:val="24"/>
        </w:rPr>
        <w:t xml:space="preserve">s in </w:t>
      </w:r>
      <w:r w:rsidR="00E72D2E" w:rsidRPr="00B503E6">
        <w:rPr>
          <w:rFonts w:asciiTheme="majorBidi" w:hAnsiTheme="majorBidi" w:cstheme="majorBidi"/>
          <w:i/>
          <w:iCs/>
          <w:sz w:val="24"/>
          <w:szCs w:val="24"/>
        </w:rPr>
        <w:t>C</w:t>
      </w:r>
      <w:r w:rsidRPr="00B503E6">
        <w:rPr>
          <w:rFonts w:asciiTheme="majorBidi" w:hAnsiTheme="majorBidi" w:cstheme="majorBidi"/>
          <w:i/>
          <w:iCs/>
          <w:sz w:val="24"/>
          <w:szCs w:val="24"/>
        </w:rPr>
        <w:t xml:space="preserve">omparative </w:t>
      </w:r>
      <w:r w:rsidR="00E72D2E" w:rsidRPr="00B503E6">
        <w:rPr>
          <w:rFonts w:asciiTheme="majorBidi" w:hAnsiTheme="majorBidi" w:cstheme="majorBidi"/>
          <w:i/>
          <w:iCs/>
          <w:sz w:val="24"/>
          <w:szCs w:val="24"/>
        </w:rPr>
        <w:t>P</w:t>
      </w:r>
      <w:r w:rsidRPr="00B503E6">
        <w:rPr>
          <w:rFonts w:asciiTheme="majorBidi" w:hAnsiTheme="majorBidi" w:cstheme="majorBidi"/>
          <w:i/>
          <w:iCs/>
          <w:sz w:val="24"/>
          <w:szCs w:val="24"/>
        </w:rPr>
        <w:t>erspectives</w:t>
      </w:r>
      <w:r w:rsidRPr="00B503E6">
        <w:rPr>
          <w:rFonts w:asciiTheme="majorBidi" w:hAnsiTheme="majorBidi" w:cstheme="majorBidi"/>
          <w:sz w:val="24"/>
          <w:szCs w:val="24"/>
        </w:rPr>
        <w:t xml:space="preserve">, </w:t>
      </w:r>
      <w:r w:rsidR="00EE7F27" w:rsidRPr="00B503E6">
        <w:rPr>
          <w:rFonts w:asciiTheme="majorBidi" w:hAnsiTheme="majorBidi" w:cstheme="majorBidi"/>
          <w:sz w:val="24"/>
          <w:szCs w:val="24"/>
        </w:rPr>
        <w:t>edited by Nadine Méouchy and Peter Sl</w:t>
      </w:r>
      <w:r w:rsidR="00BA0CB9" w:rsidRPr="00B503E6">
        <w:rPr>
          <w:rFonts w:asciiTheme="majorBidi" w:hAnsiTheme="majorBidi" w:cstheme="majorBidi"/>
          <w:sz w:val="24"/>
          <w:szCs w:val="24"/>
        </w:rPr>
        <w:t>u</w:t>
      </w:r>
      <w:r w:rsidR="00EE7F27" w:rsidRPr="00B503E6">
        <w:rPr>
          <w:rFonts w:asciiTheme="majorBidi" w:hAnsiTheme="majorBidi" w:cstheme="majorBidi"/>
          <w:sz w:val="24"/>
          <w:szCs w:val="24"/>
        </w:rPr>
        <w:t xml:space="preserve">glett, pp. 415-446. </w:t>
      </w:r>
      <w:r w:rsidRPr="00B503E6">
        <w:rPr>
          <w:rFonts w:asciiTheme="majorBidi" w:hAnsiTheme="majorBidi" w:cstheme="majorBidi"/>
          <w:sz w:val="24"/>
          <w:szCs w:val="24"/>
        </w:rPr>
        <w:t xml:space="preserve">Leiden: Brill, </w:t>
      </w:r>
      <w:r w:rsidR="00EE7F27" w:rsidRPr="00B503E6">
        <w:rPr>
          <w:rFonts w:asciiTheme="majorBidi" w:hAnsiTheme="majorBidi" w:cstheme="majorBidi"/>
          <w:sz w:val="24"/>
          <w:szCs w:val="24"/>
        </w:rPr>
        <w:t>2004.</w:t>
      </w:r>
    </w:p>
    <w:p w:rsidR="00923E14" w:rsidRPr="00B503E6" w:rsidRDefault="00923E14" w:rsidP="00EE7F27">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Petran, T</w:t>
      </w:r>
      <w:r w:rsidR="00EE7F27" w:rsidRPr="00B503E6">
        <w:rPr>
          <w:rFonts w:asciiTheme="majorBidi" w:hAnsiTheme="majorBidi" w:cstheme="majorBidi"/>
          <w:sz w:val="24"/>
          <w:szCs w:val="24"/>
        </w:rPr>
        <w:t>abitha</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Syria</w:t>
      </w:r>
      <w:r w:rsidR="00EE7F27" w:rsidRPr="00B503E6">
        <w:rPr>
          <w:rFonts w:asciiTheme="majorBidi" w:hAnsiTheme="majorBidi" w:cstheme="majorBidi"/>
          <w:sz w:val="24"/>
          <w:szCs w:val="24"/>
        </w:rPr>
        <w:t>.</w:t>
      </w:r>
      <w:r w:rsidRPr="00B503E6">
        <w:rPr>
          <w:rFonts w:asciiTheme="majorBidi" w:hAnsiTheme="majorBidi" w:cstheme="majorBidi"/>
          <w:sz w:val="24"/>
          <w:szCs w:val="24"/>
        </w:rPr>
        <w:t xml:space="preserve"> London: Ernest Benn Limited</w:t>
      </w:r>
      <w:r w:rsidR="00EE7F27" w:rsidRPr="00B503E6">
        <w:rPr>
          <w:rFonts w:asciiTheme="majorBidi" w:hAnsiTheme="majorBidi" w:cstheme="majorBidi"/>
          <w:sz w:val="24"/>
          <w:szCs w:val="24"/>
        </w:rPr>
        <w:t>, 1972</w:t>
      </w:r>
      <w:r w:rsidRPr="00B503E6">
        <w:rPr>
          <w:rFonts w:asciiTheme="majorBidi" w:hAnsiTheme="majorBidi" w:cstheme="majorBidi"/>
          <w:sz w:val="24"/>
          <w:szCs w:val="24"/>
        </w:rPr>
        <w:t>.</w:t>
      </w:r>
    </w:p>
    <w:p w:rsidR="00491C00" w:rsidRPr="00B503E6" w:rsidRDefault="00EF48D1" w:rsidP="003C5015">
      <w:pPr>
        <w:spacing w:line="480" w:lineRule="auto"/>
        <w:ind w:left="540" w:hanging="540"/>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Provence, Michael. </w:t>
      </w:r>
      <w:r w:rsidRPr="00B503E6">
        <w:rPr>
          <w:rFonts w:asciiTheme="majorBidi" w:hAnsiTheme="majorBidi" w:cstheme="majorBidi"/>
          <w:i/>
          <w:iCs/>
          <w:sz w:val="24"/>
          <w:szCs w:val="24"/>
        </w:rPr>
        <w:t>The Great Syrian Revolt and the Rise of Arab Nationalism</w:t>
      </w:r>
      <w:r w:rsidRPr="00B503E6">
        <w:rPr>
          <w:rFonts w:asciiTheme="majorBidi" w:hAnsiTheme="majorBidi" w:cstheme="majorBidi"/>
          <w:sz w:val="24"/>
          <w:szCs w:val="24"/>
        </w:rPr>
        <w:t>. Austin: The University of Texas Press, 2005.</w:t>
      </w:r>
    </w:p>
    <w:p w:rsidR="00EF48D1" w:rsidRPr="00B503E6" w:rsidRDefault="00491C00" w:rsidP="00491C00">
      <w:pPr>
        <w:spacing w:line="480" w:lineRule="auto"/>
        <w:ind w:left="540" w:hanging="540"/>
        <w:contextualSpacing/>
        <w:jc w:val="both"/>
        <w:rPr>
          <w:rFonts w:asciiTheme="majorBidi" w:hAnsiTheme="majorBidi" w:cstheme="majorBidi"/>
          <w:sz w:val="24"/>
          <w:szCs w:val="24"/>
        </w:rPr>
      </w:pPr>
      <w:r w:rsidRPr="00B503E6">
        <w:rPr>
          <w:rFonts w:asciiTheme="majorBidi" w:hAnsiTheme="majorBidi" w:cstheme="majorBidi"/>
          <w:sz w:val="24"/>
          <w:szCs w:val="24"/>
        </w:rPr>
        <w:lastRenderedPageBreak/>
        <w:t xml:space="preserve">Quataert, Donald. </w:t>
      </w:r>
      <w:r w:rsidR="003C5015" w:rsidRPr="00B503E6">
        <w:rPr>
          <w:rFonts w:asciiTheme="majorBidi" w:hAnsiTheme="majorBidi" w:cstheme="majorBidi"/>
          <w:sz w:val="24"/>
          <w:szCs w:val="24"/>
        </w:rPr>
        <w:t>“</w:t>
      </w:r>
      <w:r w:rsidRPr="00B503E6">
        <w:rPr>
          <w:rFonts w:asciiTheme="majorBidi" w:hAnsiTheme="majorBidi" w:cstheme="majorBidi"/>
          <w:sz w:val="24"/>
          <w:szCs w:val="24"/>
        </w:rPr>
        <w:t>The Age of Reforms: 1812-1914.</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 In </w:t>
      </w:r>
      <w:r w:rsidRPr="00B503E6">
        <w:rPr>
          <w:rFonts w:asciiTheme="majorBidi" w:hAnsiTheme="majorBidi" w:cstheme="majorBidi"/>
          <w:i/>
          <w:iCs/>
          <w:sz w:val="24"/>
          <w:szCs w:val="24"/>
        </w:rPr>
        <w:t>An Economic and Social History of the Ottoman Empire</w:t>
      </w:r>
      <w:r w:rsidRPr="00B503E6">
        <w:rPr>
          <w:rFonts w:asciiTheme="majorBidi" w:hAnsiTheme="majorBidi" w:cstheme="majorBidi"/>
          <w:sz w:val="24"/>
          <w:szCs w:val="24"/>
        </w:rPr>
        <w:t xml:space="preserve">, Vol. 2. Edited by H. Inalcik, pp.759-943. Cambridge, UK: Cambridge University Press.  </w:t>
      </w:r>
      <w:r w:rsidR="00EF48D1" w:rsidRPr="00B503E6">
        <w:rPr>
          <w:rFonts w:asciiTheme="majorBidi" w:hAnsiTheme="majorBidi" w:cstheme="majorBidi"/>
          <w:sz w:val="24"/>
          <w:szCs w:val="24"/>
        </w:rPr>
        <w:t xml:space="preserve"> </w:t>
      </w:r>
    </w:p>
    <w:p w:rsidR="001B6083" w:rsidRPr="00B503E6" w:rsidRDefault="001B6083" w:rsidP="00EE7F27">
      <w:pPr>
        <w:spacing w:line="480" w:lineRule="auto"/>
        <w:ind w:left="540" w:hanging="540"/>
        <w:contextualSpacing/>
        <w:jc w:val="both"/>
        <w:rPr>
          <w:rFonts w:asciiTheme="majorBidi" w:hAnsiTheme="majorBidi" w:cstheme="majorBidi"/>
          <w:sz w:val="24"/>
          <w:szCs w:val="24"/>
        </w:rPr>
      </w:pPr>
      <w:r w:rsidRPr="00B503E6">
        <w:rPr>
          <w:rFonts w:asciiTheme="majorBidi" w:hAnsiTheme="majorBidi" w:cstheme="majorBidi"/>
          <w:sz w:val="24"/>
          <w:szCs w:val="24"/>
        </w:rPr>
        <w:t>Ruppin, A</w:t>
      </w:r>
      <w:r w:rsidR="00EE7F27" w:rsidRPr="00B503E6">
        <w:rPr>
          <w:rFonts w:asciiTheme="majorBidi" w:hAnsiTheme="majorBidi" w:cstheme="majorBidi"/>
          <w:sz w:val="24"/>
          <w:szCs w:val="24"/>
        </w:rPr>
        <w:t>rthur</w:t>
      </w:r>
      <w:r w:rsidR="004963FA"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 xml:space="preserve">Syria: An </w:t>
      </w:r>
      <w:r w:rsidR="004963FA" w:rsidRPr="00B503E6">
        <w:rPr>
          <w:rFonts w:asciiTheme="majorBidi" w:hAnsiTheme="majorBidi" w:cstheme="majorBidi"/>
          <w:i/>
          <w:iCs/>
          <w:sz w:val="24"/>
          <w:szCs w:val="24"/>
        </w:rPr>
        <w:t>E</w:t>
      </w:r>
      <w:r w:rsidRPr="00B503E6">
        <w:rPr>
          <w:rFonts w:asciiTheme="majorBidi" w:hAnsiTheme="majorBidi" w:cstheme="majorBidi"/>
          <w:i/>
          <w:iCs/>
          <w:sz w:val="24"/>
          <w:szCs w:val="24"/>
        </w:rPr>
        <w:t xml:space="preserve">conomic </w:t>
      </w:r>
      <w:r w:rsidR="004963FA" w:rsidRPr="00B503E6">
        <w:rPr>
          <w:rFonts w:asciiTheme="majorBidi" w:hAnsiTheme="majorBidi" w:cstheme="majorBidi"/>
          <w:i/>
          <w:iCs/>
          <w:sz w:val="24"/>
          <w:szCs w:val="24"/>
        </w:rPr>
        <w:t>S</w:t>
      </w:r>
      <w:r w:rsidRPr="00B503E6">
        <w:rPr>
          <w:rFonts w:asciiTheme="majorBidi" w:hAnsiTheme="majorBidi" w:cstheme="majorBidi"/>
          <w:i/>
          <w:iCs/>
          <w:sz w:val="24"/>
          <w:szCs w:val="24"/>
        </w:rPr>
        <w:t>urvey</w:t>
      </w:r>
      <w:r w:rsidR="00EE7F27" w:rsidRPr="00B503E6">
        <w:rPr>
          <w:rFonts w:asciiTheme="majorBidi" w:hAnsiTheme="majorBidi" w:cstheme="majorBidi"/>
          <w:sz w:val="24"/>
          <w:szCs w:val="24"/>
        </w:rPr>
        <w:t>.</w:t>
      </w:r>
      <w:r w:rsidRPr="00B503E6">
        <w:rPr>
          <w:rFonts w:asciiTheme="majorBidi" w:hAnsiTheme="majorBidi" w:cstheme="majorBidi"/>
          <w:sz w:val="24"/>
          <w:szCs w:val="24"/>
        </w:rPr>
        <w:t xml:space="preserve"> New York: The Provisional Zionist Committee</w:t>
      </w:r>
      <w:r w:rsidR="00EE7F27" w:rsidRPr="00B503E6">
        <w:rPr>
          <w:rFonts w:asciiTheme="majorBidi" w:hAnsiTheme="majorBidi" w:cstheme="majorBidi"/>
          <w:sz w:val="24"/>
          <w:szCs w:val="24"/>
        </w:rPr>
        <w:t>, 1918</w:t>
      </w:r>
      <w:r w:rsidRPr="00B503E6">
        <w:rPr>
          <w:rFonts w:asciiTheme="majorBidi" w:hAnsiTheme="majorBidi" w:cstheme="majorBidi"/>
          <w:sz w:val="24"/>
          <w:szCs w:val="24"/>
        </w:rPr>
        <w:t xml:space="preserve">. </w:t>
      </w:r>
    </w:p>
    <w:p w:rsidR="00A665B5" w:rsidRPr="00B503E6" w:rsidRDefault="00DC40D8" w:rsidP="003C5015">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Saba, P</w:t>
      </w:r>
      <w:r w:rsidR="00135ED9" w:rsidRPr="00B503E6">
        <w:rPr>
          <w:rFonts w:asciiTheme="majorBidi" w:hAnsiTheme="majorBidi" w:cstheme="majorBidi"/>
          <w:sz w:val="24"/>
          <w:szCs w:val="24"/>
        </w:rPr>
        <w:t>aul.</w:t>
      </w:r>
      <w:r w:rsidRPr="00B503E6">
        <w:rPr>
          <w:rFonts w:asciiTheme="majorBidi" w:hAnsiTheme="majorBidi" w:cstheme="majorBidi"/>
          <w:sz w:val="24"/>
          <w:szCs w:val="24"/>
        </w:rPr>
        <w:t xml:space="preserve"> </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The </w:t>
      </w:r>
      <w:r w:rsidR="004963FA" w:rsidRPr="00B503E6">
        <w:rPr>
          <w:rFonts w:asciiTheme="majorBidi" w:hAnsiTheme="majorBidi" w:cstheme="majorBidi"/>
          <w:sz w:val="24"/>
          <w:szCs w:val="24"/>
        </w:rPr>
        <w:t>C</w:t>
      </w:r>
      <w:r w:rsidRPr="00B503E6">
        <w:rPr>
          <w:rFonts w:asciiTheme="majorBidi" w:hAnsiTheme="majorBidi" w:cstheme="majorBidi"/>
          <w:sz w:val="24"/>
          <w:szCs w:val="24"/>
        </w:rPr>
        <w:t xml:space="preserve">reation of the Lebanese </w:t>
      </w:r>
      <w:r w:rsidR="004963FA" w:rsidRPr="00B503E6">
        <w:rPr>
          <w:rFonts w:asciiTheme="majorBidi" w:hAnsiTheme="majorBidi" w:cstheme="majorBidi"/>
          <w:sz w:val="24"/>
          <w:szCs w:val="24"/>
        </w:rPr>
        <w:t>E</w:t>
      </w:r>
      <w:r w:rsidRPr="00B503E6">
        <w:rPr>
          <w:rFonts w:asciiTheme="majorBidi" w:hAnsiTheme="majorBidi" w:cstheme="majorBidi"/>
          <w:sz w:val="24"/>
          <w:szCs w:val="24"/>
        </w:rPr>
        <w:t xml:space="preserve">conomy – </w:t>
      </w:r>
      <w:r w:rsidR="004963FA" w:rsidRPr="00B503E6">
        <w:rPr>
          <w:rFonts w:asciiTheme="majorBidi" w:hAnsiTheme="majorBidi" w:cstheme="majorBidi"/>
          <w:sz w:val="24"/>
          <w:szCs w:val="24"/>
        </w:rPr>
        <w:t>E</w:t>
      </w:r>
      <w:r w:rsidRPr="00B503E6">
        <w:rPr>
          <w:rFonts w:asciiTheme="majorBidi" w:hAnsiTheme="majorBidi" w:cstheme="majorBidi"/>
          <w:sz w:val="24"/>
          <w:szCs w:val="24"/>
        </w:rPr>
        <w:t xml:space="preserve">conomic </w:t>
      </w:r>
      <w:r w:rsidR="004963FA" w:rsidRPr="00B503E6">
        <w:rPr>
          <w:rFonts w:asciiTheme="majorBidi" w:hAnsiTheme="majorBidi" w:cstheme="majorBidi"/>
          <w:sz w:val="24"/>
          <w:szCs w:val="24"/>
        </w:rPr>
        <w:t>G</w:t>
      </w:r>
      <w:r w:rsidRPr="00B503E6">
        <w:rPr>
          <w:rFonts w:asciiTheme="majorBidi" w:hAnsiTheme="majorBidi" w:cstheme="majorBidi"/>
          <w:sz w:val="24"/>
          <w:szCs w:val="24"/>
        </w:rPr>
        <w:t xml:space="preserve">rowth in the </w:t>
      </w:r>
      <w:r w:rsidR="004963FA" w:rsidRPr="00B503E6">
        <w:rPr>
          <w:rFonts w:asciiTheme="majorBidi" w:hAnsiTheme="majorBidi" w:cstheme="majorBidi"/>
          <w:sz w:val="24"/>
          <w:szCs w:val="24"/>
        </w:rPr>
        <w:t>N</w:t>
      </w:r>
      <w:r w:rsidRPr="00B503E6">
        <w:rPr>
          <w:rFonts w:asciiTheme="majorBidi" w:hAnsiTheme="majorBidi" w:cstheme="majorBidi"/>
          <w:sz w:val="24"/>
          <w:szCs w:val="24"/>
        </w:rPr>
        <w:t xml:space="preserve">ineteenth and </w:t>
      </w:r>
      <w:r w:rsidR="004963FA" w:rsidRPr="00B503E6">
        <w:rPr>
          <w:rFonts w:asciiTheme="majorBidi" w:hAnsiTheme="majorBidi" w:cstheme="majorBidi"/>
          <w:sz w:val="24"/>
          <w:szCs w:val="24"/>
        </w:rPr>
        <w:t>E</w:t>
      </w:r>
      <w:r w:rsidRPr="00B503E6">
        <w:rPr>
          <w:rFonts w:asciiTheme="majorBidi" w:hAnsiTheme="majorBidi" w:cstheme="majorBidi"/>
          <w:sz w:val="24"/>
          <w:szCs w:val="24"/>
        </w:rPr>
        <w:t xml:space="preserve">arly </w:t>
      </w:r>
      <w:r w:rsidR="004963FA" w:rsidRPr="00B503E6">
        <w:rPr>
          <w:rFonts w:asciiTheme="majorBidi" w:hAnsiTheme="majorBidi" w:cstheme="majorBidi"/>
          <w:sz w:val="24"/>
          <w:szCs w:val="24"/>
        </w:rPr>
        <w:t>T</w:t>
      </w:r>
      <w:r w:rsidRPr="00B503E6">
        <w:rPr>
          <w:rFonts w:asciiTheme="majorBidi" w:hAnsiTheme="majorBidi" w:cstheme="majorBidi"/>
          <w:sz w:val="24"/>
          <w:szCs w:val="24"/>
        </w:rPr>
        <w:t xml:space="preserve">wentieth </w:t>
      </w:r>
      <w:proofErr w:type="spellStart"/>
      <w:r w:rsidR="004963FA" w:rsidRPr="00B503E6">
        <w:rPr>
          <w:rFonts w:asciiTheme="majorBidi" w:hAnsiTheme="majorBidi" w:cstheme="majorBidi"/>
          <w:sz w:val="24"/>
          <w:szCs w:val="24"/>
        </w:rPr>
        <w:t>C</w:t>
      </w:r>
      <w:r w:rsidRPr="00B503E6">
        <w:rPr>
          <w:rFonts w:asciiTheme="majorBidi" w:hAnsiTheme="majorBidi" w:cstheme="majorBidi"/>
          <w:sz w:val="24"/>
          <w:szCs w:val="24"/>
        </w:rPr>
        <w:t>enturies</w:t>
      </w:r>
      <w:proofErr w:type="spellEnd"/>
      <w:r w:rsidR="00135ED9" w:rsidRPr="00B503E6">
        <w:rPr>
          <w:rFonts w:asciiTheme="majorBidi" w:hAnsiTheme="majorBidi" w:cstheme="majorBidi"/>
          <w:sz w:val="24"/>
          <w:szCs w:val="24"/>
        </w:rPr>
        <w:t>.</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135ED9" w:rsidRPr="00B503E6">
        <w:rPr>
          <w:rFonts w:asciiTheme="majorBidi" w:hAnsiTheme="majorBidi" w:cstheme="majorBidi"/>
          <w:sz w:val="24"/>
          <w:szCs w:val="24"/>
        </w:rPr>
        <w:t>I</w:t>
      </w:r>
      <w:r w:rsidRPr="00B503E6">
        <w:rPr>
          <w:rFonts w:asciiTheme="majorBidi" w:hAnsiTheme="majorBidi" w:cstheme="majorBidi"/>
          <w:sz w:val="24"/>
          <w:szCs w:val="24"/>
        </w:rPr>
        <w:t xml:space="preserve">n </w:t>
      </w:r>
      <w:r w:rsidRPr="00B503E6">
        <w:rPr>
          <w:rFonts w:asciiTheme="majorBidi" w:hAnsiTheme="majorBidi" w:cstheme="majorBidi"/>
          <w:i/>
          <w:iCs/>
          <w:sz w:val="24"/>
          <w:szCs w:val="24"/>
        </w:rPr>
        <w:t xml:space="preserve">Essays on the </w:t>
      </w:r>
      <w:r w:rsidR="004963FA" w:rsidRPr="00B503E6">
        <w:rPr>
          <w:rFonts w:asciiTheme="majorBidi" w:hAnsiTheme="majorBidi" w:cstheme="majorBidi"/>
          <w:i/>
          <w:iCs/>
          <w:sz w:val="24"/>
          <w:szCs w:val="24"/>
        </w:rPr>
        <w:t>C</w:t>
      </w:r>
      <w:r w:rsidRPr="00B503E6">
        <w:rPr>
          <w:rFonts w:asciiTheme="majorBidi" w:hAnsiTheme="majorBidi" w:cstheme="majorBidi"/>
          <w:i/>
          <w:iCs/>
          <w:sz w:val="24"/>
          <w:szCs w:val="24"/>
        </w:rPr>
        <w:t>risis in Lebanon</w:t>
      </w:r>
      <w:r w:rsidRPr="00B503E6">
        <w:rPr>
          <w:rFonts w:asciiTheme="majorBidi" w:hAnsiTheme="majorBidi" w:cstheme="majorBidi"/>
          <w:sz w:val="24"/>
          <w:szCs w:val="24"/>
        </w:rPr>
        <w:t>,</w:t>
      </w:r>
      <w:r w:rsidR="00135ED9" w:rsidRPr="00B503E6">
        <w:rPr>
          <w:rFonts w:asciiTheme="majorBidi" w:hAnsiTheme="majorBidi" w:cstheme="majorBidi"/>
          <w:sz w:val="24"/>
          <w:szCs w:val="24"/>
        </w:rPr>
        <w:t xml:space="preserve"> edited by Roger Owen, </w:t>
      </w:r>
      <w:r w:rsidR="00B34DB3" w:rsidRPr="00B503E6">
        <w:rPr>
          <w:rFonts w:asciiTheme="majorBidi" w:hAnsiTheme="majorBidi" w:cstheme="majorBidi"/>
          <w:sz w:val="24"/>
          <w:szCs w:val="24"/>
        </w:rPr>
        <w:t xml:space="preserve">pp. 1-22. </w:t>
      </w:r>
      <w:r w:rsidRPr="00B503E6">
        <w:rPr>
          <w:rFonts w:asciiTheme="majorBidi" w:hAnsiTheme="majorBidi" w:cstheme="majorBidi"/>
          <w:sz w:val="24"/>
          <w:szCs w:val="24"/>
        </w:rPr>
        <w:t>London: Ithaca Press</w:t>
      </w:r>
      <w:r w:rsidR="00135ED9" w:rsidRPr="00B503E6">
        <w:rPr>
          <w:rFonts w:asciiTheme="majorBidi" w:hAnsiTheme="majorBidi" w:cstheme="majorBidi"/>
          <w:sz w:val="24"/>
          <w:szCs w:val="24"/>
        </w:rPr>
        <w:t>, 1976</w:t>
      </w:r>
      <w:r w:rsidRPr="00B503E6">
        <w:rPr>
          <w:rFonts w:asciiTheme="majorBidi" w:hAnsiTheme="majorBidi" w:cstheme="majorBidi"/>
          <w:sz w:val="24"/>
          <w:szCs w:val="24"/>
        </w:rPr>
        <w:t xml:space="preserve">. </w:t>
      </w:r>
    </w:p>
    <w:p w:rsidR="00CD6293" w:rsidRPr="00B503E6" w:rsidRDefault="00CD6293" w:rsidP="00B34DB3">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Sacher, H</w:t>
      </w:r>
      <w:r w:rsidR="00B34DB3" w:rsidRPr="00B503E6">
        <w:rPr>
          <w:rFonts w:asciiTheme="majorBidi" w:hAnsiTheme="majorBidi" w:cstheme="majorBidi"/>
          <w:sz w:val="24"/>
          <w:szCs w:val="24"/>
        </w:rPr>
        <w:t>oward</w:t>
      </w:r>
      <w:r w:rsidR="004963FA" w:rsidRPr="00B503E6">
        <w:rPr>
          <w:rFonts w:asciiTheme="majorBidi" w:hAnsiTheme="majorBidi" w:cstheme="majorBidi"/>
          <w:sz w:val="24"/>
          <w:szCs w:val="24"/>
        </w:rPr>
        <w:t xml:space="preserve"> </w:t>
      </w:r>
      <w:r w:rsidRPr="00B503E6">
        <w:rPr>
          <w:rFonts w:asciiTheme="majorBidi" w:hAnsiTheme="majorBidi" w:cstheme="majorBidi"/>
          <w:sz w:val="24"/>
          <w:szCs w:val="24"/>
        </w:rPr>
        <w:t xml:space="preserve">M. </w:t>
      </w:r>
      <w:r w:rsidRPr="00B503E6">
        <w:rPr>
          <w:rFonts w:asciiTheme="majorBidi" w:hAnsiTheme="majorBidi" w:cstheme="majorBidi"/>
          <w:i/>
          <w:iCs/>
          <w:sz w:val="24"/>
          <w:szCs w:val="24"/>
        </w:rPr>
        <w:t xml:space="preserve">A </w:t>
      </w:r>
      <w:r w:rsidR="004963FA" w:rsidRPr="00B503E6">
        <w:rPr>
          <w:rFonts w:asciiTheme="majorBidi" w:hAnsiTheme="majorBidi" w:cstheme="majorBidi"/>
          <w:i/>
          <w:iCs/>
          <w:sz w:val="24"/>
          <w:szCs w:val="24"/>
        </w:rPr>
        <w:t>H</w:t>
      </w:r>
      <w:r w:rsidRPr="00B503E6">
        <w:rPr>
          <w:rFonts w:asciiTheme="majorBidi" w:hAnsiTheme="majorBidi" w:cstheme="majorBidi"/>
          <w:i/>
          <w:iCs/>
          <w:sz w:val="24"/>
          <w:szCs w:val="24"/>
        </w:rPr>
        <w:t xml:space="preserve">istory of Israel: From the </w:t>
      </w:r>
      <w:r w:rsidR="004963FA" w:rsidRPr="00B503E6">
        <w:rPr>
          <w:rFonts w:asciiTheme="majorBidi" w:hAnsiTheme="majorBidi" w:cstheme="majorBidi"/>
          <w:i/>
          <w:iCs/>
          <w:sz w:val="24"/>
          <w:szCs w:val="24"/>
        </w:rPr>
        <w:t>R</w:t>
      </w:r>
      <w:r w:rsidRPr="00B503E6">
        <w:rPr>
          <w:rFonts w:asciiTheme="majorBidi" w:hAnsiTheme="majorBidi" w:cstheme="majorBidi"/>
          <w:i/>
          <w:iCs/>
          <w:sz w:val="24"/>
          <w:szCs w:val="24"/>
        </w:rPr>
        <w:t xml:space="preserve">ise of Zionism to </w:t>
      </w:r>
      <w:r w:rsidR="004963FA" w:rsidRPr="00B503E6">
        <w:rPr>
          <w:rFonts w:asciiTheme="majorBidi" w:hAnsiTheme="majorBidi" w:cstheme="majorBidi"/>
          <w:i/>
          <w:iCs/>
          <w:sz w:val="24"/>
          <w:szCs w:val="24"/>
        </w:rPr>
        <w:t>O</w:t>
      </w:r>
      <w:r w:rsidRPr="00B503E6">
        <w:rPr>
          <w:rFonts w:asciiTheme="majorBidi" w:hAnsiTheme="majorBidi" w:cstheme="majorBidi"/>
          <w:i/>
          <w:iCs/>
          <w:sz w:val="24"/>
          <w:szCs w:val="24"/>
        </w:rPr>
        <w:t xml:space="preserve">ur </w:t>
      </w:r>
      <w:r w:rsidR="004963FA" w:rsidRPr="00B503E6">
        <w:rPr>
          <w:rFonts w:asciiTheme="majorBidi" w:hAnsiTheme="majorBidi" w:cstheme="majorBidi"/>
          <w:i/>
          <w:iCs/>
          <w:sz w:val="24"/>
          <w:szCs w:val="24"/>
        </w:rPr>
        <w:t>T</w:t>
      </w:r>
      <w:r w:rsidRPr="00B503E6">
        <w:rPr>
          <w:rFonts w:asciiTheme="majorBidi" w:hAnsiTheme="majorBidi" w:cstheme="majorBidi"/>
          <w:i/>
          <w:iCs/>
          <w:sz w:val="24"/>
          <w:szCs w:val="24"/>
        </w:rPr>
        <w:t>ime</w:t>
      </w:r>
      <w:r w:rsidR="00B34DB3" w:rsidRPr="00B503E6">
        <w:rPr>
          <w:rFonts w:asciiTheme="majorBidi" w:hAnsiTheme="majorBidi" w:cstheme="majorBidi"/>
          <w:i/>
          <w:iCs/>
          <w:sz w:val="24"/>
          <w:szCs w:val="24"/>
        </w:rPr>
        <w:t>.</w:t>
      </w:r>
      <w:r w:rsidRPr="00B503E6">
        <w:rPr>
          <w:rFonts w:asciiTheme="majorBidi" w:hAnsiTheme="majorBidi" w:cstheme="majorBidi"/>
          <w:sz w:val="24"/>
          <w:szCs w:val="24"/>
        </w:rPr>
        <w:t xml:space="preserve"> New York: Alfred A. Knoff</w:t>
      </w:r>
      <w:r w:rsidR="00B34DB3" w:rsidRPr="00B503E6">
        <w:rPr>
          <w:rFonts w:asciiTheme="majorBidi" w:hAnsiTheme="majorBidi" w:cstheme="majorBidi"/>
          <w:sz w:val="24"/>
          <w:szCs w:val="24"/>
        </w:rPr>
        <w:t>, 1976</w:t>
      </w:r>
      <w:r w:rsidRPr="00B503E6">
        <w:rPr>
          <w:rFonts w:asciiTheme="majorBidi" w:hAnsiTheme="majorBidi" w:cstheme="majorBidi"/>
          <w:sz w:val="24"/>
          <w:szCs w:val="24"/>
        </w:rPr>
        <w:t xml:space="preserve">.  </w:t>
      </w:r>
    </w:p>
    <w:p w:rsidR="00256D8B" w:rsidRPr="00B503E6" w:rsidRDefault="00256D8B" w:rsidP="003C5015">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Sawwaf H</w:t>
      </w:r>
      <w:r w:rsidR="00B34DB3" w:rsidRPr="00B503E6">
        <w:rPr>
          <w:rFonts w:asciiTheme="majorBidi" w:hAnsiTheme="majorBidi" w:cstheme="majorBidi"/>
          <w:sz w:val="24"/>
          <w:szCs w:val="24"/>
        </w:rPr>
        <w:t>usni</w:t>
      </w:r>
      <w:r w:rsidR="004963FA"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3C5015" w:rsidRPr="00B503E6">
        <w:rPr>
          <w:rFonts w:asciiTheme="majorBidi" w:hAnsiTheme="majorBidi" w:cstheme="majorBidi"/>
          <w:sz w:val="24"/>
          <w:szCs w:val="24"/>
        </w:rPr>
        <w:t>“</w:t>
      </w:r>
      <w:r w:rsidRPr="00B503E6">
        <w:rPr>
          <w:rFonts w:asciiTheme="majorBidi" w:hAnsiTheme="majorBidi" w:cstheme="majorBidi"/>
          <w:sz w:val="24"/>
          <w:szCs w:val="24"/>
        </w:rPr>
        <w:t>Transportation and Communication</w:t>
      </w:r>
      <w:r w:rsidR="00D427BA" w:rsidRPr="00B503E6">
        <w:rPr>
          <w:rFonts w:asciiTheme="majorBidi" w:hAnsiTheme="majorBidi" w:cstheme="majorBidi"/>
          <w:sz w:val="24"/>
          <w:szCs w:val="24"/>
        </w:rPr>
        <w:t>.</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D427BA" w:rsidRPr="00B503E6">
        <w:rPr>
          <w:rFonts w:asciiTheme="majorBidi" w:hAnsiTheme="majorBidi" w:cstheme="majorBidi"/>
          <w:sz w:val="24"/>
          <w:szCs w:val="24"/>
        </w:rPr>
        <w:t>I</w:t>
      </w:r>
      <w:r w:rsidRPr="00B503E6">
        <w:rPr>
          <w:rFonts w:asciiTheme="majorBidi" w:hAnsiTheme="majorBidi" w:cstheme="majorBidi"/>
          <w:sz w:val="24"/>
          <w:szCs w:val="24"/>
        </w:rPr>
        <w:t xml:space="preserve">n </w:t>
      </w:r>
      <w:r w:rsidRPr="00B503E6">
        <w:rPr>
          <w:rFonts w:asciiTheme="majorBidi" w:hAnsiTheme="majorBidi" w:cstheme="majorBidi"/>
          <w:i/>
          <w:iCs/>
          <w:sz w:val="24"/>
          <w:szCs w:val="24"/>
        </w:rPr>
        <w:t>Economic Organization of Palestine</w:t>
      </w:r>
      <w:r w:rsidRPr="00B503E6">
        <w:rPr>
          <w:rFonts w:asciiTheme="majorBidi" w:hAnsiTheme="majorBidi" w:cstheme="majorBidi"/>
          <w:sz w:val="24"/>
          <w:szCs w:val="24"/>
        </w:rPr>
        <w:t xml:space="preserve">, </w:t>
      </w:r>
      <w:r w:rsidR="00D427BA" w:rsidRPr="00B503E6">
        <w:rPr>
          <w:rFonts w:asciiTheme="majorBidi" w:hAnsiTheme="majorBidi" w:cstheme="majorBidi"/>
          <w:sz w:val="24"/>
          <w:szCs w:val="24"/>
        </w:rPr>
        <w:t xml:space="preserve">edited by Sa'id B. Himadeh, pp. 301-342. </w:t>
      </w:r>
      <w:r w:rsidRPr="00B503E6">
        <w:rPr>
          <w:rFonts w:asciiTheme="majorBidi" w:hAnsiTheme="majorBidi" w:cstheme="majorBidi"/>
          <w:sz w:val="24"/>
          <w:szCs w:val="24"/>
        </w:rPr>
        <w:t xml:space="preserve">Beirut: American Press, </w:t>
      </w:r>
      <w:r w:rsidR="00D427BA" w:rsidRPr="00B503E6">
        <w:rPr>
          <w:rFonts w:asciiTheme="majorBidi" w:hAnsiTheme="majorBidi" w:cstheme="majorBidi"/>
          <w:sz w:val="24"/>
          <w:szCs w:val="24"/>
        </w:rPr>
        <w:t>1938</w:t>
      </w:r>
      <w:r w:rsidRPr="00B503E6">
        <w:rPr>
          <w:rFonts w:asciiTheme="majorBidi" w:hAnsiTheme="majorBidi" w:cstheme="majorBidi"/>
          <w:sz w:val="24"/>
          <w:szCs w:val="24"/>
        </w:rPr>
        <w:t xml:space="preserve">. </w:t>
      </w:r>
    </w:p>
    <w:p w:rsidR="00FF4BE5" w:rsidRPr="00B503E6" w:rsidRDefault="007C297C" w:rsidP="003C5015">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Schad, Geoffrey. </w:t>
      </w:r>
      <w:r w:rsidR="003C5015" w:rsidRPr="00B503E6">
        <w:rPr>
          <w:rFonts w:asciiTheme="majorBidi" w:hAnsiTheme="majorBidi" w:cstheme="majorBidi"/>
          <w:sz w:val="24"/>
          <w:szCs w:val="24"/>
        </w:rPr>
        <w:t>“</w:t>
      </w:r>
      <w:r w:rsidRPr="00B503E6">
        <w:rPr>
          <w:rFonts w:asciiTheme="majorBidi" w:hAnsiTheme="majorBidi" w:cstheme="majorBidi"/>
          <w:sz w:val="24"/>
          <w:szCs w:val="24"/>
        </w:rPr>
        <w:t>Toward an analysis of class formation in Syria: Aleppo’s textile industrialists and workers during the mandate.</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 In France, Syrie et Liban 1918-1946: Les ambiguïtés et les dynamiques de la relation mandataire, edited by Nadine Méouchy, pp. 291-312, Damascus: Presses de l’Ifpo, Institut français d'études arabes de Damas, 2002.</w:t>
      </w:r>
    </w:p>
    <w:p w:rsidR="008C70AE" w:rsidRPr="00B503E6" w:rsidRDefault="008C70AE" w:rsidP="003C5015">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Schaebler, B</w:t>
      </w:r>
      <w:r w:rsidR="00D427BA" w:rsidRPr="00B503E6">
        <w:rPr>
          <w:rFonts w:asciiTheme="majorBidi" w:hAnsiTheme="majorBidi" w:cstheme="majorBidi"/>
          <w:sz w:val="24"/>
          <w:szCs w:val="24"/>
        </w:rPr>
        <w:t xml:space="preserve">irgit. </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Practicing </w:t>
      </w:r>
      <w:r w:rsidR="004963FA" w:rsidRPr="00B503E6">
        <w:rPr>
          <w:rFonts w:asciiTheme="majorBidi" w:hAnsiTheme="majorBidi" w:cstheme="majorBidi"/>
          <w:sz w:val="24"/>
          <w:szCs w:val="24"/>
        </w:rPr>
        <w:t>M</w:t>
      </w:r>
      <w:r w:rsidRPr="00B503E6">
        <w:rPr>
          <w:rFonts w:asciiTheme="majorBidi" w:hAnsiTheme="majorBidi" w:cstheme="majorBidi"/>
          <w:sz w:val="24"/>
          <w:szCs w:val="24"/>
        </w:rPr>
        <w:t xml:space="preserve">usha`: Common </w:t>
      </w:r>
      <w:r w:rsidR="004963FA" w:rsidRPr="00B503E6">
        <w:rPr>
          <w:rFonts w:asciiTheme="majorBidi" w:hAnsiTheme="majorBidi" w:cstheme="majorBidi"/>
          <w:sz w:val="24"/>
          <w:szCs w:val="24"/>
        </w:rPr>
        <w:t>L</w:t>
      </w:r>
      <w:r w:rsidRPr="00B503E6">
        <w:rPr>
          <w:rFonts w:asciiTheme="majorBidi" w:hAnsiTheme="majorBidi" w:cstheme="majorBidi"/>
          <w:sz w:val="24"/>
          <w:szCs w:val="24"/>
        </w:rPr>
        <w:t xml:space="preserve">ands and the </w:t>
      </w:r>
      <w:r w:rsidR="004963FA" w:rsidRPr="00B503E6">
        <w:rPr>
          <w:rFonts w:asciiTheme="majorBidi" w:hAnsiTheme="majorBidi" w:cstheme="majorBidi"/>
          <w:sz w:val="24"/>
          <w:szCs w:val="24"/>
        </w:rPr>
        <w:t>C</w:t>
      </w:r>
      <w:r w:rsidRPr="00B503E6">
        <w:rPr>
          <w:rFonts w:asciiTheme="majorBidi" w:hAnsiTheme="majorBidi" w:cstheme="majorBidi"/>
          <w:sz w:val="24"/>
          <w:szCs w:val="24"/>
        </w:rPr>
        <w:t xml:space="preserve">ommon </w:t>
      </w:r>
      <w:r w:rsidR="004963FA" w:rsidRPr="00B503E6">
        <w:rPr>
          <w:rFonts w:asciiTheme="majorBidi" w:hAnsiTheme="majorBidi" w:cstheme="majorBidi"/>
          <w:sz w:val="24"/>
          <w:szCs w:val="24"/>
        </w:rPr>
        <w:t>G</w:t>
      </w:r>
      <w:r w:rsidRPr="00B503E6">
        <w:rPr>
          <w:rFonts w:asciiTheme="majorBidi" w:hAnsiTheme="majorBidi" w:cstheme="majorBidi"/>
          <w:sz w:val="24"/>
          <w:szCs w:val="24"/>
        </w:rPr>
        <w:t xml:space="preserve">ood in </w:t>
      </w:r>
      <w:r w:rsidR="004963FA" w:rsidRPr="00B503E6">
        <w:rPr>
          <w:rFonts w:asciiTheme="majorBidi" w:hAnsiTheme="majorBidi" w:cstheme="majorBidi"/>
          <w:sz w:val="24"/>
          <w:szCs w:val="24"/>
        </w:rPr>
        <w:t>S</w:t>
      </w:r>
      <w:r w:rsidRPr="00B503E6">
        <w:rPr>
          <w:rFonts w:asciiTheme="majorBidi" w:hAnsiTheme="majorBidi" w:cstheme="majorBidi"/>
          <w:sz w:val="24"/>
          <w:szCs w:val="24"/>
        </w:rPr>
        <w:t xml:space="preserve">outhern Syria </w:t>
      </w:r>
      <w:r w:rsidR="00FF4BE5" w:rsidRPr="00B503E6">
        <w:rPr>
          <w:rFonts w:asciiTheme="majorBidi" w:hAnsiTheme="majorBidi" w:cstheme="majorBidi"/>
          <w:sz w:val="24"/>
          <w:szCs w:val="24"/>
        </w:rPr>
        <w:t>u</w:t>
      </w:r>
      <w:r w:rsidRPr="00B503E6">
        <w:rPr>
          <w:rFonts w:asciiTheme="majorBidi" w:hAnsiTheme="majorBidi" w:cstheme="majorBidi"/>
          <w:sz w:val="24"/>
          <w:szCs w:val="24"/>
        </w:rPr>
        <w:t>nder the Ottomans and the French</w:t>
      </w:r>
      <w:r w:rsidR="00D427BA" w:rsidRPr="00B503E6">
        <w:rPr>
          <w:rFonts w:asciiTheme="majorBidi" w:hAnsiTheme="majorBidi" w:cstheme="majorBidi"/>
          <w:sz w:val="24"/>
          <w:szCs w:val="24"/>
        </w:rPr>
        <w:t>.</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D427BA" w:rsidRPr="00B503E6">
        <w:rPr>
          <w:rFonts w:asciiTheme="majorBidi" w:hAnsiTheme="majorBidi" w:cstheme="majorBidi"/>
          <w:sz w:val="24"/>
          <w:szCs w:val="24"/>
        </w:rPr>
        <w:t>I</w:t>
      </w:r>
      <w:r w:rsidRPr="00B503E6">
        <w:rPr>
          <w:rFonts w:asciiTheme="majorBidi" w:hAnsiTheme="majorBidi" w:cstheme="majorBidi"/>
          <w:sz w:val="24"/>
          <w:szCs w:val="24"/>
        </w:rPr>
        <w:t xml:space="preserve">n </w:t>
      </w:r>
      <w:r w:rsidR="002716AA" w:rsidRPr="00B503E6">
        <w:rPr>
          <w:rFonts w:asciiTheme="majorBidi" w:hAnsiTheme="majorBidi" w:cstheme="majorBidi"/>
          <w:i/>
          <w:iCs/>
          <w:sz w:val="24"/>
          <w:szCs w:val="24"/>
        </w:rPr>
        <w:t>N</w:t>
      </w:r>
      <w:r w:rsidRPr="00B503E6">
        <w:rPr>
          <w:rFonts w:asciiTheme="majorBidi" w:hAnsiTheme="majorBidi" w:cstheme="majorBidi"/>
          <w:i/>
          <w:iCs/>
          <w:sz w:val="24"/>
          <w:szCs w:val="24"/>
        </w:rPr>
        <w:t xml:space="preserve">ew </w:t>
      </w:r>
      <w:r w:rsidR="005E7038" w:rsidRPr="00B503E6">
        <w:rPr>
          <w:rFonts w:asciiTheme="majorBidi" w:hAnsiTheme="majorBidi" w:cstheme="majorBidi"/>
          <w:i/>
          <w:iCs/>
          <w:sz w:val="24"/>
          <w:szCs w:val="24"/>
        </w:rPr>
        <w:t>P</w:t>
      </w:r>
      <w:r w:rsidRPr="00B503E6">
        <w:rPr>
          <w:rFonts w:asciiTheme="majorBidi" w:hAnsiTheme="majorBidi" w:cstheme="majorBidi"/>
          <w:i/>
          <w:iCs/>
          <w:sz w:val="24"/>
          <w:szCs w:val="24"/>
        </w:rPr>
        <w:t>erspectives on</w:t>
      </w:r>
      <w:r w:rsidR="001C22F1" w:rsidRPr="00B503E6">
        <w:rPr>
          <w:rFonts w:asciiTheme="majorBidi" w:hAnsiTheme="majorBidi" w:cstheme="majorBidi"/>
          <w:i/>
          <w:iCs/>
          <w:sz w:val="24"/>
          <w:szCs w:val="24"/>
        </w:rPr>
        <w:t xml:space="preserve"> </w:t>
      </w:r>
      <w:r w:rsidR="005E7038" w:rsidRPr="00B503E6">
        <w:rPr>
          <w:rFonts w:asciiTheme="majorBidi" w:hAnsiTheme="majorBidi" w:cstheme="majorBidi"/>
          <w:i/>
          <w:iCs/>
          <w:sz w:val="24"/>
          <w:szCs w:val="24"/>
        </w:rPr>
        <w:t>P</w:t>
      </w:r>
      <w:r w:rsidRPr="00B503E6">
        <w:rPr>
          <w:rFonts w:asciiTheme="majorBidi" w:hAnsiTheme="majorBidi" w:cstheme="majorBidi"/>
          <w:i/>
          <w:iCs/>
          <w:sz w:val="24"/>
          <w:szCs w:val="24"/>
        </w:rPr>
        <w:t>rop</w:t>
      </w:r>
      <w:r w:rsidR="001C22F1" w:rsidRPr="00B503E6">
        <w:rPr>
          <w:rFonts w:asciiTheme="majorBidi" w:hAnsiTheme="majorBidi" w:cstheme="majorBidi"/>
          <w:i/>
          <w:iCs/>
          <w:sz w:val="24"/>
          <w:szCs w:val="24"/>
        </w:rPr>
        <w:t>e</w:t>
      </w:r>
      <w:r w:rsidRPr="00B503E6">
        <w:rPr>
          <w:rFonts w:asciiTheme="majorBidi" w:hAnsiTheme="majorBidi" w:cstheme="majorBidi"/>
          <w:i/>
          <w:iCs/>
          <w:sz w:val="24"/>
          <w:szCs w:val="24"/>
        </w:rPr>
        <w:t>rty a</w:t>
      </w:r>
      <w:r w:rsidR="001C22F1" w:rsidRPr="00B503E6">
        <w:rPr>
          <w:rFonts w:asciiTheme="majorBidi" w:hAnsiTheme="majorBidi" w:cstheme="majorBidi"/>
          <w:i/>
          <w:iCs/>
          <w:sz w:val="24"/>
          <w:szCs w:val="24"/>
        </w:rPr>
        <w:t>n</w:t>
      </w:r>
      <w:r w:rsidRPr="00B503E6">
        <w:rPr>
          <w:rFonts w:asciiTheme="majorBidi" w:hAnsiTheme="majorBidi" w:cstheme="majorBidi"/>
          <w:i/>
          <w:iCs/>
          <w:sz w:val="24"/>
          <w:szCs w:val="24"/>
        </w:rPr>
        <w:t xml:space="preserve">d </w:t>
      </w:r>
      <w:r w:rsidR="005E7038" w:rsidRPr="00B503E6">
        <w:rPr>
          <w:rFonts w:asciiTheme="majorBidi" w:hAnsiTheme="majorBidi" w:cstheme="majorBidi"/>
          <w:i/>
          <w:iCs/>
          <w:sz w:val="24"/>
          <w:szCs w:val="24"/>
        </w:rPr>
        <w:t>L</w:t>
      </w:r>
      <w:r w:rsidRPr="00B503E6">
        <w:rPr>
          <w:rFonts w:asciiTheme="majorBidi" w:hAnsiTheme="majorBidi" w:cstheme="majorBidi"/>
          <w:i/>
          <w:iCs/>
          <w:sz w:val="24"/>
          <w:szCs w:val="24"/>
        </w:rPr>
        <w:t xml:space="preserve">and in the </w:t>
      </w:r>
      <w:r w:rsidR="001C22F1" w:rsidRPr="00B503E6">
        <w:rPr>
          <w:rFonts w:asciiTheme="majorBidi" w:hAnsiTheme="majorBidi" w:cstheme="majorBidi"/>
          <w:i/>
          <w:iCs/>
          <w:sz w:val="24"/>
          <w:szCs w:val="24"/>
        </w:rPr>
        <w:t>M</w:t>
      </w:r>
      <w:r w:rsidRPr="00B503E6">
        <w:rPr>
          <w:rFonts w:asciiTheme="majorBidi" w:hAnsiTheme="majorBidi" w:cstheme="majorBidi"/>
          <w:i/>
          <w:iCs/>
          <w:sz w:val="24"/>
          <w:szCs w:val="24"/>
        </w:rPr>
        <w:t xml:space="preserve">iddle </w:t>
      </w:r>
      <w:r w:rsidR="001C22F1" w:rsidRPr="00B503E6">
        <w:rPr>
          <w:rFonts w:asciiTheme="majorBidi" w:hAnsiTheme="majorBidi" w:cstheme="majorBidi"/>
          <w:i/>
          <w:iCs/>
          <w:sz w:val="24"/>
          <w:szCs w:val="24"/>
        </w:rPr>
        <w:t>E</w:t>
      </w:r>
      <w:r w:rsidRPr="00B503E6">
        <w:rPr>
          <w:rFonts w:asciiTheme="majorBidi" w:hAnsiTheme="majorBidi" w:cstheme="majorBidi"/>
          <w:i/>
          <w:iCs/>
          <w:sz w:val="24"/>
          <w:szCs w:val="24"/>
        </w:rPr>
        <w:t>ast</w:t>
      </w:r>
      <w:r w:rsidRPr="00B503E6">
        <w:rPr>
          <w:rFonts w:asciiTheme="majorBidi" w:hAnsiTheme="majorBidi" w:cstheme="majorBidi"/>
          <w:sz w:val="24"/>
          <w:szCs w:val="24"/>
        </w:rPr>
        <w:t xml:space="preserve">, </w:t>
      </w:r>
      <w:r w:rsidR="00D427BA" w:rsidRPr="00B503E6">
        <w:rPr>
          <w:rFonts w:asciiTheme="majorBidi" w:hAnsiTheme="majorBidi" w:cstheme="majorBidi"/>
          <w:sz w:val="24"/>
          <w:szCs w:val="24"/>
        </w:rPr>
        <w:t xml:space="preserve">edited by Roger Owen, pp. 241-307.   </w:t>
      </w:r>
      <w:r w:rsidRPr="00B503E6">
        <w:rPr>
          <w:rFonts w:asciiTheme="majorBidi" w:hAnsiTheme="majorBidi" w:cstheme="majorBidi"/>
          <w:sz w:val="24"/>
          <w:szCs w:val="24"/>
        </w:rPr>
        <w:t>Cambridge, Mass.: Harvard University Press</w:t>
      </w:r>
      <w:r w:rsidR="004963FA" w:rsidRPr="00B503E6">
        <w:rPr>
          <w:rFonts w:asciiTheme="majorBidi" w:hAnsiTheme="majorBidi" w:cstheme="majorBidi"/>
          <w:sz w:val="24"/>
          <w:szCs w:val="24"/>
        </w:rPr>
        <w:t>,</w:t>
      </w:r>
      <w:r w:rsidR="00D427BA" w:rsidRPr="00B503E6">
        <w:rPr>
          <w:rFonts w:asciiTheme="majorBidi" w:hAnsiTheme="majorBidi" w:cstheme="majorBidi"/>
          <w:sz w:val="24"/>
          <w:szCs w:val="24"/>
        </w:rPr>
        <w:t xml:space="preserve"> 2000</w:t>
      </w:r>
      <w:r w:rsidRPr="00B503E6">
        <w:rPr>
          <w:rFonts w:asciiTheme="majorBidi" w:hAnsiTheme="majorBidi" w:cstheme="majorBidi"/>
          <w:sz w:val="24"/>
          <w:szCs w:val="24"/>
        </w:rPr>
        <w:t>.</w:t>
      </w:r>
    </w:p>
    <w:p w:rsidR="00191054" w:rsidRPr="00B503E6" w:rsidRDefault="00191054" w:rsidP="003C5015">
      <w:pPr>
        <w:spacing w:line="480" w:lineRule="auto"/>
        <w:ind w:left="284" w:hanging="284"/>
        <w:contextualSpacing/>
        <w:jc w:val="both"/>
        <w:rPr>
          <w:rFonts w:asciiTheme="majorBidi" w:hAnsiTheme="majorBidi" w:cstheme="majorBidi"/>
          <w:sz w:val="24"/>
          <w:szCs w:val="24"/>
        </w:rPr>
      </w:pPr>
      <w:r w:rsidRPr="00B503E6">
        <w:rPr>
          <w:rFonts w:asciiTheme="majorBidi" w:hAnsiTheme="majorBidi" w:cstheme="majorBidi"/>
          <w:sz w:val="24"/>
          <w:szCs w:val="24"/>
        </w:rPr>
        <w:t>Schein, A</w:t>
      </w:r>
      <w:r w:rsidR="00D427BA" w:rsidRPr="00B503E6">
        <w:rPr>
          <w:rFonts w:asciiTheme="majorBidi" w:hAnsiTheme="majorBidi" w:cstheme="majorBidi"/>
          <w:sz w:val="24"/>
          <w:szCs w:val="24"/>
        </w:rPr>
        <w:t>ndrew</w:t>
      </w:r>
      <w:r w:rsidR="004963FA"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3C5015" w:rsidRPr="00B503E6">
        <w:rPr>
          <w:rFonts w:asciiTheme="majorBidi" w:hAnsiTheme="majorBidi" w:cstheme="majorBidi"/>
          <w:sz w:val="24"/>
          <w:szCs w:val="24"/>
        </w:rPr>
        <w:t>“</w:t>
      </w:r>
      <w:r w:rsidRPr="00B503E6">
        <w:rPr>
          <w:rFonts w:asciiTheme="majorBidi" w:hAnsiTheme="majorBidi" w:cstheme="majorBidi"/>
          <w:sz w:val="24"/>
          <w:szCs w:val="24"/>
        </w:rPr>
        <w:t>An International Comparison of Economic Growth in Palestine/ Israel, 1922-98</w:t>
      </w:r>
      <w:r w:rsidR="00D427BA" w:rsidRPr="00B503E6">
        <w:rPr>
          <w:rFonts w:asciiTheme="majorBidi" w:hAnsiTheme="majorBidi" w:cstheme="majorBidi"/>
          <w:sz w:val="24"/>
          <w:szCs w:val="24"/>
        </w:rPr>
        <w:t>.</w:t>
      </w:r>
      <w:r w:rsidR="003C5015"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Middle Eastern Studies</w:t>
      </w:r>
      <w:r w:rsidRPr="00B503E6">
        <w:rPr>
          <w:rFonts w:asciiTheme="majorBidi" w:hAnsiTheme="majorBidi" w:cstheme="majorBidi"/>
          <w:sz w:val="24"/>
          <w:szCs w:val="24"/>
        </w:rPr>
        <w:t xml:space="preserve"> 43</w:t>
      </w:r>
      <w:r w:rsidR="00D427BA" w:rsidRPr="00B503E6">
        <w:rPr>
          <w:rFonts w:asciiTheme="majorBidi" w:hAnsiTheme="majorBidi" w:cstheme="majorBidi"/>
          <w:sz w:val="24"/>
          <w:szCs w:val="24"/>
        </w:rPr>
        <w:t xml:space="preserve">, </w:t>
      </w:r>
      <w:r w:rsidR="004963FA" w:rsidRPr="00B503E6">
        <w:rPr>
          <w:rFonts w:asciiTheme="majorBidi" w:hAnsiTheme="majorBidi" w:cstheme="majorBidi"/>
          <w:sz w:val="24"/>
          <w:szCs w:val="24"/>
        </w:rPr>
        <w:t>2</w:t>
      </w:r>
      <w:r w:rsidR="00D427BA" w:rsidRPr="00B503E6">
        <w:rPr>
          <w:rFonts w:asciiTheme="majorBidi" w:hAnsiTheme="majorBidi" w:cstheme="majorBidi"/>
          <w:sz w:val="24"/>
          <w:szCs w:val="24"/>
        </w:rPr>
        <w:t xml:space="preserve"> (2007)</w:t>
      </w:r>
      <w:r w:rsidR="004963FA" w:rsidRPr="00B503E6">
        <w:rPr>
          <w:rFonts w:asciiTheme="majorBidi" w:hAnsiTheme="majorBidi" w:cstheme="majorBidi"/>
          <w:sz w:val="24"/>
          <w:szCs w:val="24"/>
        </w:rPr>
        <w:t>:</w:t>
      </w:r>
      <w:r w:rsidRPr="00B503E6">
        <w:rPr>
          <w:rFonts w:asciiTheme="majorBidi" w:hAnsiTheme="majorBidi" w:cstheme="majorBidi"/>
          <w:sz w:val="24"/>
          <w:szCs w:val="24"/>
        </w:rPr>
        <w:t>311-320.</w:t>
      </w:r>
    </w:p>
    <w:p w:rsidR="00FD4CA5" w:rsidRPr="00B503E6" w:rsidRDefault="00FD4CA5" w:rsidP="005F5976">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lastRenderedPageBreak/>
        <w:t>Schein, A</w:t>
      </w:r>
      <w:r w:rsidR="00D427BA" w:rsidRPr="00B503E6">
        <w:rPr>
          <w:rFonts w:asciiTheme="majorBidi" w:hAnsiTheme="majorBidi" w:cstheme="majorBidi"/>
          <w:sz w:val="24"/>
          <w:szCs w:val="24"/>
        </w:rPr>
        <w:t>ndrew</w:t>
      </w:r>
      <w:r w:rsidR="005E7038" w:rsidRPr="00B503E6">
        <w:rPr>
          <w:rFonts w:asciiTheme="majorBidi" w:hAnsiTheme="majorBidi" w:cstheme="majorBidi"/>
          <w:sz w:val="24"/>
          <w:szCs w:val="24"/>
        </w:rPr>
        <w:t xml:space="preserve">. </w:t>
      </w:r>
      <w:r w:rsidR="005F5976" w:rsidRPr="00B503E6">
        <w:rPr>
          <w:rFonts w:asciiTheme="majorBidi" w:hAnsiTheme="majorBidi" w:cstheme="majorBidi"/>
          <w:sz w:val="24"/>
          <w:szCs w:val="24"/>
        </w:rPr>
        <w:t>“</w:t>
      </w:r>
      <w:r w:rsidRPr="00B503E6">
        <w:rPr>
          <w:rFonts w:asciiTheme="majorBidi" w:hAnsiTheme="majorBidi" w:cstheme="majorBidi"/>
          <w:sz w:val="24"/>
          <w:szCs w:val="24"/>
        </w:rPr>
        <w:t xml:space="preserve">Institutional </w:t>
      </w:r>
      <w:r w:rsidR="005E7038" w:rsidRPr="00B503E6">
        <w:rPr>
          <w:rFonts w:asciiTheme="majorBidi" w:hAnsiTheme="majorBidi" w:cstheme="majorBidi"/>
          <w:sz w:val="24"/>
          <w:szCs w:val="24"/>
        </w:rPr>
        <w:t>R</w:t>
      </w:r>
      <w:r w:rsidRPr="00B503E6">
        <w:rPr>
          <w:rFonts w:asciiTheme="majorBidi" w:hAnsiTheme="majorBidi" w:cstheme="majorBidi"/>
          <w:sz w:val="24"/>
          <w:szCs w:val="24"/>
        </w:rPr>
        <w:t xml:space="preserve">eversals and </w:t>
      </w:r>
      <w:r w:rsidR="005E7038" w:rsidRPr="00B503E6">
        <w:rPr>
          <w:rFonts w:asciiTheme="majorBidi" w:hAnsiTheme="majorBidi" w:cstheme="majorBidi"/>
          <w:sz w:val="24"/>
          <w:szCs w:val="24"/>
        </w:rPr>
        <w:t>E</w:t>
      </w:r>
      <w:r w:rsidRPr="00B503E6">
        <w:rPr>
          <w:rFonts w:asciiTheme="majorBidi" w:hAnsiTheme="majorBidi" w:cstheme="majorBidi"/>
          <w:sz w:val="24"/>
          <w:szCs w:val="24"/>
        </w:rPr>
        <w:t xml:space="preserve">conomic </w:t>
      </w:r>
      <w:r w:rsidR="005E7038" w:rsidRPr="00B503E6">
        <w:rPr>
          <w:rFonts w:asciiTheme="majorBidi" w:hAnsiTheme="majorBidi" w:cstheme="majorBidi"/>
          <w:sz w:val="24"/>
          <w:szCs w:val="24"/>
        </w:rPr>
        <w:t>G</w:t>
      </w:r>
      <w:r w:rsidRPr="00B503E6">
        <w:rPr>
          <w:rFonts w:asciiTheme="majorBidi" w:hAnsiTheme="majorBidi" w:cstheme="majorBidi"/>
          <w:sz w:val="24"/>
          <w:szCs w:val="24"/>
        </w:rPr>
        <w:t>rowth: Palestine 1516-1948</w:t>
      </w:r>
      <w:r w:rsidR="00D427BA" w:rsidRPr="00B503E6">
        <w:rPr>
          <w:rFonts w:asciiTheme="majorBidi" w:hAnsiTheme="majorBidi" w:cstheme="majorBidi"/>
          <w:sz w:val="24"/>
          <w:szCs w:val="24"/>
        </w:rPr>
        <w:t>.</w:t>
      </w:r>
      <w:r w:rsidR="005F5976"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Journal of Institutional Economics</w:t>
      </w:r>
      <w:r w:rsidRPr="00B503E6">
        <w:rPr>
          <w:rFonts w:asciiTheme="majorBidi" w:hAnsiTheme="majorBidi" w:cstheme="majorBidi"/>
          <w:sz w:val="24"/>
          <w:szCs w:val="24"/>
        </w:rPr>
        <w:t xml:space="preserve"> 8</w:t>
      </w:r>
      <w:r w:rsidR="00D427BA" w:rsidRPr="00B503E6">
        <w:rPr>
          <w:rFonts w:asciiTheme="majorBidi" w:hAnsiTheme="majorBidi" w:cstheme="majorBidi"/>
          <w:sz w:val="24"/>
          <w:szCs w:val="24"/>
        </w:rPr>
        <w:t xml:space="preserve">, </w:t>
      </w:r>
      <w:r w:rsidRPr="00B503E6">
        <w:rPr>
          <w:rFonts w:asciiTheme="majorBidi" w:hAnsiTheme="majorBidi" w:cstheme="majorBidi"/>
          <w:sz w:val="24"/>
          <w:szCs w:val="24"/>
        </w:rPr>
        <w:t>1</w:t>
      </w:r>
      <w:r w:rsidR="00D427BA" w:rsidRPr="00B503E6">
        <w:rPr>
          <w:rFonts w:asciiTheme="majorBidi" w:hAnsiTheme="majorBidi" w:cstheme="majorBidi"/>
          <w:sz w:val="24"/>
          <w:szCs w:val="24"/>
        </w:rPr>
        <w:t xml:space="preserve"> (2012)</w:t>
      </w:r>
      <w:r w:rsidR="005E7038" w:rsidRPr="00B503E6">
        <w:rPr>
          <w:rFonts w:asciiTheme="majorBidi" w:hAnsiTheme="majorBidi" w:cstheme="majorBidi"/>
          <w:sz w:val="24"/>
          <w:szCs w:val="24"/>
        </w:rPr>
        <w:t>:</w:t>
      </w:r>
      <w:r w:rsidRPr="00B503E6">
        <w:rPr>
          <w:rFonts w:asciiTheme="majorBidi" w:hAnsiTheme="majorBidi" w:cstheme="majorBidi"/>
          <w:sz w:val="24"/>
          <w:szCs w:val="24"/>
        </w:rPr>
        <w:t>119-141.</w:t>
      </w:r>
    </w:p>
    <w:p w:rsidR="002C0834" w:rsidRPr="00B503E6" w:rsidRDefault="002C0834" w:rsidP="005F5976">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Shwadran, Benjamin.  </w:t>
      </w:r>
      <w:r w:rsidRPr="00B503E6">
        <w:rPr>
          <w:rFonts w:asciiTheme="majorBidi" w:hAnsiTheme="majorBidi" w:cstheme="majorBidi"/>
          <w:i/>
          <w:iCs/>
          <w:sz w:val="24"/>
          <w:szCs w:val="24"/>
        </w:rPr>
        <w:t>Jordan: A State of Tension</w:t>
      </w:r>
      <w:r w:rsidRPr="00B503E6">
        <w:rPr>
          <w:rFonts w:asciiTheme="majorBidi" w:hAnsiTheme="majorBidi" w:cstheme="majorBidi"/>
          <w:sz w:val="24"/>
          <w:szCs w:val="24"/>
        </w:rPr>
        <w:t xml:space="preserve">. New York: Council for Middle </w:t>
      </w:r>
      <w:r w:rsidR="005F5976" w:rsidRPr="00B503E6">
        <w:rPr>
          <w:rFonts w:asciiTheme="majorBidi" w:hAnsiTheme="majorBidi" w:cstheme="majorBidi"/>
          <w:sz w:val="24"/>
          <w:szCs w:val="24"/>
        </w:rPr>
        <w:t>E</w:t>
      </w:r>
      <w:r w:rsidRPr="00B503E6">
        <w:rPr>
          <w:rFonts w:asciiTheme="majorBidi" w:hAnsiTheme="majorBidi" w:cstheme="majorBidi"/>
          <w:sz w:val="24"/>
          <w:szCs w:val="24"/>
        </w:rPr>
        <w:t xml:space="preserve">astern Affairs </w:t>
      </w:r>
      <w:r w:rsidR="005F5976" w:rsidRPr="00B503E6">
        <w:rPr>
          <w:rFonts w:asciiTheme="majorBidi" w:hAnsiTheme="majorBidi" w:cstheme="majorBidi"/>
          <w:sz w:val="24"/>
          <w:szCs w:val="24"/>
        </w:rPr>
        <w:t>P</w:t>
      </w:r>
      <w:r w:rsidRPr="00B503E6">
        <w:rPr>
          <w:rFonts w:asciiTheme="majorBidi" w:hAnsiTheme="majorBidi" w:cstheme="majorBidi"/>
          <w:sz w:val="24"/>
          <w:szCs w:val="24"/>
        </w:rPr>
        <w:t>ress, 1959.</w:t>
      </w:r>
    </w:p>
    <w:p w:rsidR="002B6C97" w:rsidRPr="00B503E6" w:rsidRDefault="002B6C97" w:rsidP="005F5976">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Sluglett, Peter. </w:t>
      </w:r>
      <w:r w:rsidR="005F5976" w:rsidRPr="00B503E6">
        <w:rPr>
          <w:rFonts w:asciiTheme="majorBidi" w:hAnsiTheme="majorBidi" w:cstheme="majorBidi"/>
          <w:sz w:val="24"/>
          <w:szCs w:val="24"/>
        </w:rPr>
        <w:t>“</w:t>
      </w:r>
      <w:r w:rsidRPr="00B503E6">
        <w:rPr>
          <w:rFonts w:asciiTheme="majorBidi" w:hAnsiTheme="majorBidi" w:cstheme="majorBidi"/>
          <w:sz w:val="24"/>
          <w:szCs w:val="24"/>
        </w:rPr>
        <w:t>Will the real nationalists stand up? The political activities of the notables of Aleppo, 1918-1946.</w:t>
      </w:r>
      <w:r w:rsidR="005F5976" w:rsidRPr="00B503E6">
        <w:rPr>
          <w:rFonts w:asciiTheme="majorBidi" w:hAnsiTheme="majorBidi" w:cstheme="majorBidi"/>
          <w:sz w:val="24"/>
          <w:szCs w:val="24"/>
        </w:rPr>
        <w:t>”</w:t>
      </w:r>
      <w:r w:rsidRPr="00B503E6">
        <w:rPr>
          <w:rFonts w:asciiTheme="majorBidi" w:hAnsiTheme="majorBidi" w:cstheme="majorBidi"/>
          <w:sz w:val="24"/>
          <w:szCs w:val="24"/>
        </w:rPr>
        <w:t xml:space="preserve"> In France, Syrie et Liban 1918-1946: Les ambiguïtés et les dynamiques de la relation mandataire, edited by Nadine Méouchy, </w:t>
      </w:r>
      <w:r w:rsidR="004D2A6F" w:rsidRPr="00B503E6">
        <w:rPr>
          <w:rFonts w:asciiTheme="majorBidi" w:hAnsiTheme="majorBidi" w:cstheme="majorBidi"/>
          <w:sz w:val="24"/>
          <w:szCs w:val="24"/>
        </w:rPr>
        <w:t xml:space="preserve">pp. 273-290, </w:t>
      </w:r>
      <w:r w:rsidRPr="00B503E6">
        <w:rPr>
          <w:rFonts w:asciiTheme="majorBidi" w:hAnsiTheme="majorBidi" w:cstheme="majorBidi"/>
          <w:sz w:val="24"/>
          <w:szCs w:val="24"/>
        </w:rPr>
        <w:t>Damascus: Presses de l’Ifpo, Institut français d'études arabes de Damas</w:t>
      </w:r>
      <w:r w:rsidR="004D2A6F" w:rsidRPr="00B503E6">
        <w:rPr>
          <w:rFonts w:asciiTheme="majorBidi" w:hAnsiTheme="majorBidi" w:cstheme="majorBidi"/>
          <w:sz w:val="24"/>
          <w:szCs w:val="24"/>
        </w:rPr>
        <w:t>, 2002.</w:t>
      </w:r>
      <w:r w:rsidRPr="00B503E6">
        <w:rPr>
          <w:rFonts w:asciiTheme="majorBidi" w:hAnsiTheme="majorBidi" w:cstheme="majorBidi"/>
          <w:sz w:val="24"/>
          <w:szCs w:val="24"/>
        </w:rPr>
        <w:t xml:space="preserve"> </w:t>
      </w:r>
    </w:p>
    <w:p w:rsidR="004D2A6F" w:rsidRPr="00B503E6" w:rsidRDefault="004D2A6F" w:rsidP="005F5976">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Sluglett, Peter. </w:t>
      </w:r>
      <w:r w:rsidR="005F5976" w:rsidRPr="00B503E6">
        <w:rPr>
          <w:rFonts w:asciiTheme="majorBidi" w:hAnsiTheme="majorBidi" w:cstheme="majorBidi"/>
          <w:sz w:val="24"/>
          <w:szCs w:val="24"/>
        </w:rPr>
        <w:t>“</w:t>
      </w:r>
      <w:r w:rsidRPr="00B503E6">
        <w:rPr>
          <w:rFonts w:asciiTheme="majorBidi" w:hAnsiTheme="majorBidi" w:cstheme="majorBidi"/>
          <w:sz w:val="24"/>
          <w:szCs w:val="24"/>
        </w:rPr>
        <w:t>The Mandates: Some Reflections on the Nature of the British Presence in Iraq (1914-1932) and the French Presence in Syria (1918-1946).</w:t>
      </w:r>
      <w:r w:rsidR="005F5976" w:rsidRPr="00B503E6">
        <w:rPr>
          <w:rFonts w:asciiTheme="majorBidi" w:hAnsiTheme="majorBidi" w:cstheme="majorBidi"/>
          <w:sz w:val="24"/>
          <w:szCs w:val="24"/>
        </w:rPr>
        <w:t>”</w:t>
      </w:r>
      <w:r w:rsidRPr="00B503E6">
        <w:rPr>
          <w:rFonts w:asciiTheme="majorBidi" w:hAnsiTheme="majorBidi" w:cstheme="majorBidi"/>
          <w:sz w:val="24"/>
          <w:szCs w:val="24"/>
        </w:rPr>
        <w:t xml:space="preserve"> In </w:t>
      </w:r>
      <w:r w:rsidRPr="00B503E6">
        <w:rPr>
          <w:rFonts w:asciiTheme="majorBidi" w:hAnsiTheme="majorBidi" w:cstheme="majorBidi"/>
          <w:i/>
          <w:iCs/>
          <w:sz w:val="24"/>
          <w:szCs w:val="24"/>
        </w:rPr>
        <w:t>The British and French Mandates in comparative perspectives</w:t>
      </w:r>
      <w:r w:rsidRPr="00B503E6">
        <w:rPr>
          <w:rFonts w:asciiTheme="majorBidi" w:hAnsiTheme="majorBidi" w:cstheme="majorBidi"/>
          <w:sz w:val="24"/>
          <w:szCs w:val="24"/>
        </w:rPr>
        <w:t>, edited by Nadine Méouchy and Peter Sl</w:t>
      </w:r>
      <w:r w:rsidR="0070352E" w:rsidRPr="00B503E6">
        <w:rPr>
          <w:rFonts w:asciiTheme="majorBidi" w:hAnsiTheme="majorBidi" w:cstheme="majorBidi"/>
          <w:sz w:val="24"/>
          <w:szCs w:val="24"/>
        </w:rPr>
        <w:t>u</w:t>
      </w:r>
      <w:r w:rsidRPr="00B503E6">
        <w:rPr>
          <w:rFonts w:asciiTheme="majorBidi" w:hAnsiTheme="majorBidi" w:cstheme="majorBidi"/>
          <w:sz w:val="24"/>
          <w:szCs w:val="24"/>
        </w:rPr>
        <w:t>glett, pp.103-127. Leiden: Brill, 2004.</w:t>
      </w:r>
    </w:p>
    <w:p w:rsidR="00104115" w:rsidRPr="00B503E6" w:rsidRDefault="00104115" w:rsidP="002B6C97">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Smith, B</w:t>
      </w:r>
      <w:r w:rsidR="00D427BA" w:rsidRPr="00B503E6">
        <w:rPr>
          <w:rFonts w:asciiTheme="majorBidi" w:hAnsiTheme="majorBidi" w:cstheme="majorBidi"/>
          <w:sz w:val="24"/>
          <w:szCs w:val="24"/>
        </w:rPr>
        <w:t>arbara</w:t>
      </w:r>
      <w:r w:rsidRPr="00B503E6">
        <w:rPr>
          <w:rFonts w:asciiTheme="majorBidi" w:hAnsiTheme="majorBidi" w:cstheme="majorBidi"/>
          <w:sz w:val="24"/>
          <w:szCs w:val="24"/>
        </w:rPr>
        <w:t xml:space="preserve"> J. </w:t>
      </w:r>
      <w:r w:rsidRPr="00B503E6">
        <w:rPr>
          <w:rFonts w:asciiTheme="majorBidi" w:hAnsiTheme="majorBidi" w:cstheme="majorBidi"/>
          <w:i/>
          <w:iCs/>
          <w:sz w:val="24"/>
          <w:szCs w:val="24"/>
        </w:rPr>
        <w:t>The roots of separatism in Palestine: British economic policy, 1920-1929</w:t>
      </w:r>
      <w:r w:rsidR="00D427BA" w:rsidRPr="00B503E6">
        <w:rPr>
          <w:rFonts w:asciiTheme="majorBidi" w:hAnsiTheme="majorBidi" w:cstheme="majorBidi"/>
          <w:sz w:val="24"/>
          <w:szCs w:val="24"/>
        </w:rPr>
        <w:t>.</w:t>
      </w:r>
      <w:r w:rsidRPr="00B503E6">
        <w:rPr>
          <w:rFonts w:asciiTheme="majorBidi" w:hAnsiTheme="majorBidi" w:cstheme="majorBidi"/>
          <w:sz w:val="24"/>
          <w:szCs w:val="24"/>
        </w:rPr>
        <w:t xml:space="preserve"> Syracuse</w:t>
      </w:r>
      <w:r w:rsidR="00923E14" w:rsidRPr="00B503E6">
        <w:rPr>
          <w:rFonts w:asciiTheme="majorBidi" w:hAnsiTheme="majorBidi" w:cstheme="majorBidi"/>
          <w:sz w:val="24"/>
          <w:szCs w:val="24"/>
        </w:rPr>
        <w:t>:</w:t>
      </w:r>
      <w:r w:rsidRPr="00B503E6">
        <w:rPr>
          <w:rFonts w:asciiTheme="majorBidi" w:hAnsiTheme="majorBidi" w:cstheme="majorBidi"/>
          <w:sz w:val="24"/>
          <w:szCs w:val="24"/>
        </w:rPr>
        <w:t xml:space="preserve"> Syracuse University Press</w:t>
      </w:r>
      <w:r w:rsidR="00D427BA" w:rsidRPr="00B503E6">
        <w:rPr>
          <w:rFonts w:asciiTheme="majorBidi" w:hAnsiTheme="majorBidi" w:cstheme="majorBidi"/>
          <w:sz w:val="24"/>
          <w:szCs w:val="24"/>
        </w:rPr>
        <w:t>, 1993</w:t>
      </w:r>
      <w:r w:rsidRPr="00B503E6">
        <w:rPr>
          <w:rFonts w:asciiTheme="majorBidi" w:hAnsiTheme="majorBidi" w:cstheme="majorBidi"/>
          <w:sz w:val="24"/>
          <w:szCs w:val="24"/>
        </w:rPr>
        <w:t xml:space="preserve">. </w:t>
      </w:r>
    </w:p>
    <w:p w:rsidR="00256D8B" w:rsidRPr="00B503E6" w:rsidRDefault="004D4272" w:rsidP="00D427BA">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i/>
          <w:iCs/>
          <w:sz w:val="24"/>
          <w:szCs w:val="24"/>
        </w:rPr>
        <w:t>Statistical Abstract of Palestine</w:t>
      </w:r>
      <w:r w:rsidR="00D427BA" w:rsidRPr="00B503E6">
        <w:rPr>
          <w:rFonts w:asciiTheme="majorBidi" w:hAnsiTheme="majorBidi" w:cstheme="majorBidi"/>
          <w:sz w:val="24"/>
          <w:szCs w:val="24"/>
        </w:rPr>
        <w:t>,</w:t>
      </w:r>
      <w:r w:rsidRPr="00B503E6">
        <w:rPr>
          <w:rFonts w:asciiTheme="majorBidi" w:hAnsiTheme="majorBidi" w:cstheme="majorBidi"/>
          <w:sz w:val="24"/>
          <w:szCs w:val="24"/>
        </w:rPr>
        <w:t xml:space="preserve"> eighth edition</w:t>
      </w:r>
      <w:r w:rsidR="00D427BA" w:rsidRPr="00B503E6">
        <w:rPr>
          <w:rFonts w:asciiTheme="majorBidi" w:hAnsiTheme="majorBidi" w:cstheme="majorBidi"/>
          <w:sz w:val="24"/>
          <w:szCs w:val="24"/>
        </w:rPr>
        <w:t>.</w:t>
      </w:r>
      <w:r w:rsidRPr="00B503E6">
        <w:rPr>
          <w:rFonts w:asciiTheme="majorBidi" w:hAnsiTheme="majorBidi" w:cstheme="majorBidi"/>
          <w:sz w:val="24"/>
          <w:szCs w:val="24"/>
        </w:rPr>
        <w:t xml:space="preserve"> Jerusalem: Government Printer</w:t>
      </w:r>
      <w:r w:rsidR="00D427BA" w:rsidRPr="00B503E6">
        <w:rPr>
          <w:rFonts w:asciiTheme="majorBidi" w:hAnsiTheme="majorBidi" w:cstheme="majorBidi"/>
          <w:sz w:val="24"/>
          <w:szCs w:val="24"/>
        </w:rPr>
        <w:t>, 1944-45</w:t>
      </w:r>
      <w:r w:rsidRPr="00B503E6">
        <w:rPr>
          <w:rFonts w:asciiTheme="majorBidi" w:hAnsiTheme="majorBidi" w:cstheme="majorBidi"/>
          <w:sz w:val="24"/>
          <w:szCs w:val="24"/>
        </w:rPr>
        <w:t xml:space="preserve">. </w:t>
      </w:r>
    </w:p>
    <w:p w:rsidR="004D4272" w:rsidRPr="00B503E6" w:rsidRDefault="00256D8B" w:rsidP="00D427BA">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i/>
          <w:iCs/>
          <w:sz w:val="24"/>
          <w:szCs w:val="24"/>
        </w:rPr>
        <w:t>Statistical Handbook of Middle Eastern Countries</w:t>
      </w:r>
      <w:r w:rsidR="00D427BA" w:rsidRPr="00B503E6">
        <w:rPr>
          <w:rFonts w:asciiTheme="majorBidi" w:hAnsiTheme="majorBidi" w:cstheme="majorBidi"/>
          <w:sz w:val="24"/>
          <w:szCs w:val="24"/>
        </w:rPr>
        <w:t>.</w:t>
      </w:r>
      <w:r w:rsidRPr="00B503E6">
        <w:rPr>
          <w:rFonts w:asciiTheme="majorBidi" w:hAnsiTheme="majorBidi" w:cstheme="majorBidi"/>
          <w:sz w:val="24"/>
          <w:szCs w:val="24"/>
        </w:rPr>
        <w:t xml:space="preserve"> Jerusalem: Economic Research Institute of the Jewish Agency for Palestine</w:t>
      </w:r>
      <w:r w:rsidR="00D427BA" w:rsidRPr="00B503E6">
        <w:rPr>
          <w:rFonts w:asciiTheme="majorBidi" w:hAnsiTheme="majorBidi" w:cstheme="majorBidi"/>
          <w:sz w:val="24"/>
          <w:szCs w:val="24"/>
        </w:rPr>
        <w:t>, 1944</w:t>
      </w:r>
      <w:r w:rsidRPr="00B503E6">
        <w:rPr>
          <w:rFonts w:asciiTheme="majorBidi" w:hAnsiTheme="majorBidi" w:cstheme="majorBidi"/>
          <w:sz w:val="24"/>
          <w:szCs w:val="24"/>
        </w:rPr>
        <w:t>.</w:t>
      </w:r>
      <w:r w:rsidR="004D4272" w:rsidRPr="00B503E6">
        <w:rPr>
          <w:rFonts w:asciiTheme="majorBidi" w:hAnsiTheme="majorBidi" w:cstheme="majorBidi"/>
          <w:sz w:val="24"/>
          <w:szCs w:val="24"/>
        </w:rPr>
        <w:t xml:space="preserve"> </w:t>
      </w:r>
    </w:p>
    <w:p w:rsidR="00D64D66" w:rsidRPr="00B503E6" w:rsidRDefault="00D64D66" w:rsidP="005F5976">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Stein, K</w:t>
      </w:r>
      <w:r w:rsidR="00D427BA" w:rsidRPr="00B503E6">
        <w:rPr>
          <w:rFonts w:asciiTheme="majorBidi" w:hAnsiTheme="majorBidi" w:cstheme="majorBidi"/>
          <w:sz w:val="24"/>
          <w:szCs w:val="24"/>
        </w:rPr>
        <w:t>enneth</w:t>
      </w:r>
      <w:r w:rsidR="003F3CAE" w:rsidRPr="00B503E6">
        <w:rPr>
          <w:rFonts w:asciiTheme="majorBidi" w:hAnsiTheme="majorBidi" w:cstheme="majorBidi"/>
          <w:sz w:val="24"/>
          <w:szCs w:val="24"/>
        </w:rPr>
        <w:t xml:space="preserve"> </w:t>
      </w:r>
      <w:r w:rsidRPr="00B503E6">
        <w:rPr>
          <w:rFonts w:asciiTheme="majorBidi" w:hAnsiTheme="majorBidi" w:cstheme="majorBidi"/>
          <w:sz w:val="24"/>
          <w:szCs w:val="24"/>
        </w:rPr>
        <w:t xml:space="preserve">W. </w:t>
      </w:r>
      <w:r w:rsidR="005F5976" w:rsidRPr="00B503E6">
        <w:rPr>
          <w:rFonts w:asciiTheme="majorBidi" w:hAnsiTheme="majorBidi" w:cstheme="majorBidi"/>
          <w:sz w:val="24"/>
          <w:szCs w:val="24"/>
        </w:rPr>
        <w:t>“</w:t>
      </w:r>
      <w:r w:rsidRPr="00B503E6">
        <w:rPr>
          <w:rFonts w:asciiTheme="majorBidi" w:hAnsiTheme="majorBidi" w:cstheme="majorBidi"/>
          <w:sz w:val="24"/>
          <w:szCs w:val="24"/>
        </w:rPr>
        <w:t>Palestine's rural economy</w:t>
      </w:r>
      <w:r w:rsidR="00D427BA" w:rsidRPr="00B503E6">
        <w:rPr>
          <w:rFonts w:asciiTheme="majorBidi" w:hAnsiTheme="majorBidi" w:cstheme="majorBidi"/>
          <w:sz w:val="24"/>
          <w:szCs w:val="24"/>
        </w:rPr>
        <w:t>.</w:t>
      </w:r>
      <w:r w:rsidR="005F5976"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Studies in Zionism</w:t>
      </w:r>
      <w:r w:rsidRPr="00B503E6">
        <w:rPr>
          <w:rFonts w:asciiTheme="majorBidi" w:hAnsiTheme="majorBidi" w:cstheme="majorBidi"/>
          <w:sz w:val="24"/>
          <w:szCs w:val="24"/>
        </w:rPr>
        <w:t xml:space="preserve"> 8</w:t>
      </w:r>
      <w:r w:rsidR="00D427BA" w:rsidRPr="00B503E6">
        <w:rPr>
          <w:rFonts w:asciiTheme="majorBidi" w:hAnsiTheme="majorBidi" w:cstheme="majorBidi"/>
          <w:sz w:val="24"/>
          <w:szCs w:val="24"/>
        </w:rPr>
        <w:t xml:space="preserve">, </w:t>
      </w:r>
      <w:r w:rsidRPr="00B503E6">
        <w:rPr>
          <w:rFonts w:asciiTheme="majorBidi" w:hAnsiTheme="majorBidi" w:cstheme="majorBidi"/>
          <w:sz w:val="24"/>
          <w:szCs w:val="24"/>
        </w:rPr>
        <w:t>1</w:t>
      </w:r>
      <w:r w:rsidR="00D427BA" w:rsidRPr="00B503E6">
        <w:rPr>
          <w:rFonts w:asciiTheme="majorBidi" w:hAnsiTheme="majorBidi" w:cstheme="majorBidi"/>
          <w:sz w:val="24"/>
          <w:szCs w:val="24"/>
        </w:rPr>
        <w:t xml:space="preserve"> (1987)</w:t>
      </w:r>
      <w:r w:rsidR="003F3CAE" w:rsidRPr="00B503E6">
        <w:rPr>
          <w:rFonts w:asciiTheme="majorBidi" w:hAnsiTheme="majorBidi" w:cstheme="majorBidi"/>
          <w:sz w:val="24"/>
          <w:szCs w:val="24"/>
        </w:rPr>
        <w:t>:</w:t>
      </w:r>
      <w:r w:rsidRPr="00B503E6">
        <w:rPr>
          <w:rFonts w:asciiTheme="majorBidi" w:hAnsiTheme="majorBidi" w:cstheme="majorBidi"/>
          <w:sz w:val="24"/>
          <w:szCs w:val="24"/>
        </w:rPr>
        <w:t xml:space="preserve">25-49. </w:t>
      </w:r>
    </w:p>
    <w:p w:rsidR="00DC48C9" w:rsidRPr="00B503E6" w:rsidRDefault="00DC48C9" w:rsidP="00D427BA">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Szereszewski, R</w:t>
      </w:r>
      <w:r w:rsidR="00D427BA" w:rsidRPr="00B503E6">
        <w:rPr>
          <w:rFonts w:asciiTheme="majorBidi" w:hAnsiTheme="majorBidi" w:cstheme="majorBidi"/>
          <w:sz w:val="24"/>
          <w:szCs w:val="24"/>
        </w:rPr>
        <w:t>obert</w:t>
      </w:r>
      <w:r w:rsidR="003F3CAE" w:rsidRPr="00B503E6">
        <w:rPr>
          <w:rFonts w:asciiTheme="majorBidi" w:hAnsiTheme="majorBidi" w:cstheme="majorBidi"/>
          <w:sz w:val="24"/>
          <w:szCs w:val="24"/>
        </w:rPr>
        <w:t xml:space="preserve">. </w:t>
      </w:r>
      <w:r w:rsidRPr="00B503E6">
        <w:rPr>
          <w:rFonts w:asciiTheme="majorBidi" w:hAnsiTheme="majorBidi" w:cstheme="majorBidi"/>
          <w:i/>
          <w:iCs/>
          <w:sz w:val="24"/>
          <w:szCs w:val="24"/>
        </w:rPr>
        <w:t xml:space="preserve">Essays on the </w:t>
      </w:r>
      <w:r w:rsidR="003F3CAE" w:rsidRPr="00B503E6">
        <w:rPr>
          <w:rFonts w:asciiTheme="majorBidi" w:hAnsiTheme="majorBidi" w:cstheme="majorBidi"/>
          <w:i/>
          <w:iCs/>
          <w:sz w:val="24"/>
          <w:szCs w:val="24"/>
        </w:rPr>
        <w:t>S</w:t>
      </w:r>
      <w:r w:rsidRPr="00B503E6">
        <w:rPr>
          <w:rFonts w:asciiTheme="majorBidi" w:hAnsiTheme="majorBidi" w:cstheme="majorBidi"/>
          <w:i/>
          <w:iCs/>
          <w:sz w:val="24"/>
          <w:szCs w:val="24"/>
        </w:rPr>
        <w:t xml:space="preserve">tructure of the Jewish </w:t>
      </w:r>
      <w:r w:rsidR="003F3CAE" w:rsidRPr="00B503E6">
        <w:rPr>
          <w:rFonts w:asciiTheme="majorBidi" w:hAnsiTheme="majorBidi" w:cstheme="majorBidi"/>
          <w:i/>
          <w:iCs/>
          <w:sz w:val="24"/>
          <w:szCs w:val="24"/>
        </w:rPr>
        <w:t>E</w:t>
      </w:r>
      <w:r w:rsidRPr="00B503E6">
        <w:rPr>
          <w:rFonts w:asciiTheme="majorBidi" w:hAnsiTheme="majorBidi" w:cstheme="majorBidi"/>
          <w:i/>
          <w:iCs/>
          <w:sz w:val="24"/>
          <w:szCs w:val="24"/>
        </w:rPr>
        <w:t>conomy in Palestine and Israel</w:t>
      </w:r>
      <w:r w:rsidR="00D427BA" w:rsidRPr="00B503E6">
        <w:rPr>
          <w:rFonts w:asciiTheme="majorBidi" w:hAnsiTheme="majorBidi" w:cstheme="majorBidi"/>
          <w:sz w:val="24"/>
          <w:szCs w:val="24"/>
        </w:rPr>
        <w:t>.</w:t>
      </w:r>
      <w:r w:rsidRPr="00B503E6">
        <w:rPr>
          <w:rFonts w:asciiTheme="majorBidi" w:hAnsiTheme="majorBidi" w:cstheme="majorBidi"/>
          <w:sz w:val="24"/>
          <w:szCs w:val="24"/>
        </w:rPr>
        <w:t xml:space="preserve"> Jerusalem: The Maurice Falk Institute for Economic Research in Israel</w:t>
      </w:r>
      <w:r w:rsidR="00D427BA" w:rsidRPr="00B503E6">
        <w:rPr>
          <w:rFonts w:asciiTheme="majorBidi" w:hAnsiTheme="majorBidi" w:cstheme="majorBidi"/>
          <w:sz w:val="24"/>
          <w:szCs w:val="24"/>
        </w:rPr>
        <w:t>, 1968</w:t>
      </w:r>
      <w:r w:rsidRPr="00B503E6">
        <w:rPr>
          <w:rFonts w:asciiTheme="majorBidi" w:hAnsiTheme="majorBidi" w:cstheme="majorBidi"/>
          <w:sz w:val="24"/>
          <w:szCs w:val="24"/>
        </w:rPr>
        <w:t>.</w:t>
      </w:r>
    </w:p>
    <w:p w:rsidR="003D0058" w:rsidRPr="00B503E6" w:rsidRDefault="003D0058" w:rsidP="005F5976">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i/>
          <w:iCs/>
          <w:sz w:val="24"/>
          <w:szCs w:val="24"/>
        </w:rPr>
        <w:t>The Economist</w:t>
      </w:r>
      <w:r w:rsidRPr="00B503E6">
        <w:rPr>
          <w:rFonts w:asciiTheme="majorBidi" w:hAnsiTheme="majorBidi" w:cstheme="majorBidi"/>
          <w:sz w:val="24"/>
          <w:szCs w:val="24"/>
        </w:rPr>
        <w:t xml:space="preserve">. </w:t>
      </w:r>
      <w:r w:rsidR="005F5976" w:rsidRPr="00B503E6">
        <w:rPr>
          <w:rFonts w:asciiTheme="majorBidi" w:hAnsiTheme="majorBidi" w:cstheme="majorBidi"/>
          <w:sz w:val="24"/>
          <w:szCs w:val="24"/>
        </w:rPr>
        <w:t>“</w:t>
      </w:r>
      <w:r w:rsidRPr="00B503E6">
        <w:rPr>
          <w:rFonts w:asciiTheme="majorBidi" w:hAnsiTheme="majorBidi" w:cstheme="majorBidi"/>
          <w:sz w:val="24"/>
          <w:szCs w:val="24"/>
        </w:rPr>
        <w:t>Income tax for Palestine</w:t>
      </w:r>
      <w:r w:rsidR="00D427BA" w:rsidRPr="00B503E6">
        <w:rPr>
          <w:rFonts w:asciiTheme="majorBidi" w:hAnsiTheme="majorBidi" w:cstheme="majorBidi"/>
          <w:sz w:val="24"/>
          <w:szCs w:val="24"/>
        </w:rPr>
        <w:t>.</w:t>
      </w:r>
      <w:r w:rsidR="005F5976" w:rsidRPr="00B503E6">
        <w:rPr>
          <w:rFonts w:asciiTheme="majorBidi" w:hAnsiTheme="majorBidi" w:cstheme="majorBidi"/>
          <w:sz w:val="24"/>
          <w:szCs w:val="24"/>
        </w:rPr>
        <w:t>”</w:t>
      </w:r>
      <w:r w:rsidRPr="00B503E6">
        <w:rPr>
          <w:rFonts w:asciiTheme="majorBidi" w:hAnsiTheme="majorBidi" w:cstheme="majorBidi"/>
          <w:sz w:val="24"/>
          <w:szCs w:val="24"/>
        </w:rPr>
        <w:t xml:space="preserve"> August 30</w:t>
      </w:r>
      <w:r w:rsidR="00D427BA" w:rsidRPr="00B503E6">
        <w:rPr>
          <w:rFonts w:asciiTheme="majorBidi" w:hAnsiTheme="majorBidi" w:cstheme="majorBidi"/>
          <w:sz w:val="24"/>
          <w:szCs w:val="24"/>
        </w:rPr>
        <w:t>, 1941.</w:t>
      </w:r>
      <w:r w:rsidRPr="00B503E6">
        <w:rPr>
          <w:rFonts w:asciiTheme="majorBidi" w:hAnsiTheme="majorBidi" w:cstheme="majorBidi"/>
          <w:sz w:val="24"/>
          <w:szCs w:val="24"/>
        </w:rPr>
        <w:t xml:space="preserve"> </w:t>
      </w:r>
    </w:p>
    <w:p w:rsidR="00092B66" w:rsidRPr="00B503E6" w:rsidRDefault="00793C36" w:rsidP="005F5976">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i/>
          <w:iCs/>
          <w:sz w:val="24"/>
          <w:szCs w:val="24"/>
        </w:rPr>
        <w:t>The Economist</w:t>
      </w:r>
      <w:r w:rsidRPr="00B503E6">
        <w:rPr>
          <w:rFonts w:asciiTheme="majorBidi" w:hAnsiTheme="majorBidi" w:cstheme="majorBidi"/>
          <w:sz w:val="24"/>
          <w:szCs w:val="24"/>
        </w:rPr>
        <w:t xml:space="preserve">. </w:t>
      </w:r>
      <w:r w:rsidR="005F5976" w:rsidRPr="00B503E6">
        <w:rPr>
          <w:rFonts w:asciiTheme="majorBidi" w:hAnsiTheme="majorBidi" w:cstheme="majorBidi"/>
          <w:sz w:val="24"/>
          <w:szCs w:val="24"/>
        </w:rPr>
        <w:t>“</w:t>
      </w:r>
      <w:r w:rsidRPr="00B503E6">
        <w:rPr>
          <w:rFonts w:asciiTheme="majorBidi" w:hAnsiTheme="majorBidi" w:cstheme="majorBidi"/>
          <w:sz w:val="24"/>
          <w:szCs w:val="24"/>
        </w:rPr>
        <w:t>Changes in the Arab economy</w:t>
      </w:r>
      <w:r w:rsidR="00D427BA" w:rsidRPr="00B503E6">
        <w:rPr>
          <w:rFonts w:asciiTheme="majorBidi" w:hAnsiTheme="majorBidi" w:cstheme="majorBidi"/>
          <w:sz w:val="24"/>
          <w:szCs w:val="24"/>
        </w:rPr>
        <w:t>.</w:t>
      </w:r>
      <w:r w:rsidR="005F5976" w:rsidRPr="00B503E6">
        <w:rPr>
          <w:rFonts w:asciiTheme="majorBidi" w:hAnsiTheme="majorBidi" w:cstheme="majorBidi"/>
          <w:sz w:val="24"/>
          <w:szCs w:val="24"/>
        </w:rPr>
        <w:t>”</w:t>
      </w:r>
      <w:r w:rsidRPr="00B503E6">
        <w:rPr>
          <w:rFonts w:asciiTheme="majorBidi" w:hAnsiTheme="majorBidi" w:cstheme="majorBidi"/>
          <w:sz w:val="24"/>
          <w:szCs w:val="24"/>
        </w:rPr>
        <w:t xml:space="preserve"> June 12</w:t>
      </w:r>
      <w:r w:rsidR="00A53BA4" w:rsidRPr="00B503E6">
        <w:rPr>
          <w:rFonts w:asciiTheme="majorBidi" w:hAnsiTheme="majorBidi" w:cstheme="majorBidi"/>
          <w:sz w:val="24"/>
          <w:szCs w:val="24"/>
        </w:rPr>
        <w:t xml:space="preserve">, </w:t>
      </w:r>
      <w:r w:rsidR="00D427BA" w:rsidRPr="00B503E6">
        <w:rPr>
          <w:rFonts w:asciiTheme="majorBidi" w:hAnsiTheme="majorBidi" w:cstheme="majorBidi"/>
          <w:sz w:val="24"/>
          <w:szCs w:val="24"/>
        </w:rPr>
        <w:t>1943.</w:t>
      </w:r>
    </w:p>
    <w:p w:rsidR="00793C36" w:rsidRPr="00B503E6" w:rsidRDefault="00092B66" w:rsidP="005F5976">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i/>
          <w:iCs/>
          <w:sz w:val="24"/>
          <w:szCs w:val="24"/>
        </w:rPr>
        <w:lastRenderedPageBreak/>
        <w:t>The Economist.</w:t>
      </w:r>
      <w:r w:rsidRPr="00B503E6">
        <w:rPr>
          <w:rFonts w:asciiTheme="majorBidi" w:hAnsiTheme="majorBidi" w:cstheme="majorBidi"/>
          <w:sz w:val="24"/>
          <w:szCs w:val="24"/>
        </w:rPr>
        <w:t xml:space="preserve"> </w:t>
      </w:r>
      <w:r w:rsidR="005F5976" w:rsidRPr="00B503E6">
        <w:rPr>
          <w:rFonts w:asciiTheme="majorBidi" w:hAnsiTheme="majorBidi" w:cstheme="majorBidi"/>
          <w:sz w:val="24"/>
          <w:szCs w:val="24"/>
        </w:rPr>
        <w:t>“</w:t>
      </w:r>
      <w:r w:rsidRPr="00B503E6">
        <w:rPr>
          <w:rFonts w:asciiTheme="majorBidi" w:hAnsiTheme="majorBidi" w:cstheme="majorBidi"/>
          <w:sz w:val="24"/>
          <w:szCs w:val="24"/>
        </w:rPr>
        <w:t>Trans-Jordan's Economy</w:t>
      </w:r>
      <w:r w:rsidR="00747E06" w:rsidRPr="00B503E6">
        <w:rPr>
          <w:rFonts w:asciiTheme="majorBidi" w:hAnsiTheme="majorBidi" w:cstheme="majorBidi"/>
          <w:sz w:val="24"/>
          <w:szCs w:val="24"/>
        </w:rPr>
        <w:t>.</w:t>
      </w:r>
      <w:r w:rsidR="005F5976" w:rsidRPr="00B503E6">
        <w:rPr>
          <w:rFonts w:asciiTheme="majorBidi" w:hAnsiTheme="majorBidi" w:cstheme="majorBidi"/>
          <w:sz w:val="24"/>
          <w:szCs w:val="24"/>
        </w:rPr>
        <w:t>”</w:t>
      </w:r>
      <w:r w:rsidRPr="00B503E6">
        <w:rPr>
          <w:rFonts w:asciiTheme="majorBidi" w:hAnsiTheme="majorBidi" w:cstheme="majorBidi"/>
          <w:sz w:val="24"/>
          <w:szCs w:val="24"/>
        </w:rPr>
        <w:t xml:space="preserve"> October 16</w:t>
      </w:r>
      <w:r w:rsidR="00747E06" w:rsidRPr="00B503E6">
        <w:rPr>
          <w:rFonts w:asciiTheme="majorBidi" w:hAnsiTheme="majorBidi" w:cstheme="majorBidi"/>
          <w:sz w:val="24"/>
          <w:szCs w:val="24"/>
        </w:rPr>
        <w:t>, 1943.</w:t>
      </w:r>
      <w:r w:rsidRPr="00B503E6">
        <w:rPr>
          <w:rFonts w:asciiTheme="majorBidi" w:hAnsiTheme="majorBidi" w:cstheme="majorBidi"/>
          <w:sz w:val="24"/>
          <w:szCs w:val="24"/>
        </w:rPr>
        <w:t xml:space="preserve"> </w:t>
      </w:r>
      <w:r w:rsidR="00793C36" w:rsidRPr="00B503E6">
        <w:rPr>
          <w:rFonts w:asciiTheme="majorBidi" w:hAnsiTheme="majorBidi" w:cstheme="majorBidi"/>
          <w:sz w:val="24"/>
          <w:szCs w:val="24"/>
        </w:rPr>
        <w:t xml:space="preserve"> </w:t>
      </w:r>
    </w:p>
    <w:p w:rsidR="00973FB7" w:rsidRPr="00B503E6" w:rsidRDefault="00973FB7" w:rsidP="005F5976">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i/>
          <w:iCs/>
          <w:sz w:val="24"/>
          <w:szCs w:val="24"/>
        </w:rPr>
        <w:t>The Economist</w:t>
      </w:r>
      <w:r w:rsidRPr="00B503E6">
        <w:rPr>
          <w:rFonts w:asciiTheme="majorBidi" w:hAnsiTheme="majorBidi" w:cstheme="majorBidi"/>
          <w:sz w:val="24"/>
          <w:szCs w:val="24"/>
        </w:rPr>
        <w:t xml:space="preserve">. </w:t>
      </w:r>
      <w:r w:rsidR="005F5976" w:rsidRPr="00B503E6">
        <w:rPr>
          <w:rFonts w:asciiTheme="majorBidi" w:hAnsiTheme="majorBidi" w:cstheme="majorBidi"/>
          <w:sz w:val="24"/>
          <w:szCs w:val="24"/>
        </w:rPr>
        <w:t>“</w:t>
      </w:r>
      <w:r w:rsidRPr="00B503E6">
        <w:rPr>
          <w:rFonts w:asciiTheme="majorBidi" w:hAnsiTheme="majorBidi" w:cstheme="majorBidi"/>
          <w:sz w:val="24"/>
          <w:szCs w:val="24"/>
        </w:rPr>
        <w:t>Terrorism in Palestine</w:t>
      </w:r>
      <w:r w:rsidR="00747E06" w:rsidRPr="00B503E6">
        <w:rPr>
          <w:rFonts w:asciiTheme="majorBidi" w:hAnsiTheme="majorBidi" w:cstheme="majorBidi"/>
          <w:sz w:val="24"/>
          <w:szCs w:val="24"/>
        </w:rPr>
        <w:t>.</w:t>
      </w:r>
      <w:r w:rsidR="005F5976" w:rsidRPr="00B503E6">
        <w:rPr>
          <w:rFonts w:asciiTheme="majorBidi" w:hAnsiTheme="majorBidi" w:cstheme="majorBidi"/>
          <w:sz w:val="24"/>
          <w:szCs w:val="24"/>
        </w:rPr>
        <w:t>”</w:t>
      </w:r>
      <w:r w:rsidRPr="00B503E6">
        <w:rPr>
          <w:rFonts w:asciiTheme="majorBidi" w:hAnsiTheme="majorBidi" w:cstheme="majorBidi"/>
          <w:sz w:val="24"/>
          <w:szCs w:val="24"/>
        </w:rPr>
        <w:t xml:space="preserve"> Oct</w:t>
      </w:r>
      <w:r w:rsidR="00747E06" w:rsidRPr="00B503E6">
        <w:rPr>
          <w:rFonts w:asciiTheme="majorBidi" w:hAnsiTheme="majorBidi" w:cstheme="majorBidi"/>
          <w:sz w:val="24"/>
          <w:szCs w:val="24"/>
        </w:rPr>
        <w:t>ober</w:t>
      </w:r>
      <w:r w:rsidRPr="00B503E6">
        <w:rPr>
          <w:rFonts w:asciiTheme="majorBidi" w:hAnsiTheme="majorBidi" w:cstheme="majorBidi"/>
          <w:sz w:val="24"/>
          <w:szCs w:val="24"/>
        </w:rPr>
        <w:t xml:space="preserve"> 21</w:t>
      </w:r>
      <w:r w:rsidR="00747E06" w:rsidRPr="00B503E6">
        <w:rPr>
          <w:rFonts w:asciiTheme="majorBidi" w:hAnsiTheme="majorBidi" w:cstheme="majorBidi"/>
          <w:sz w:val="24"/>
          <w:szCs w:val="24"/>
        </w:rPr>
        <w:t>, 1944.</w:t>
      </w:r>
    </w:p>
    <w:p w:rsidR="00AB3991" w:rsidRPr="00B503E6" w:rsidRDefault="00056BA1" w:rsidP="005F5976">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Thompson, Elizabeth. </w:t>
      </w:r>
      <w:r w:rsidR="005F5976" w:rsidRPr="00B503E6">
        <w:rPr>
          <w:rFonts w:asciiTheme="majorBidi" w:hAnsiTheme="majorBidi" w:cstheme="majorBidi"/>
          <w:sz w:val="24"/>
          <w:szCs w:val="24"/>
        </w:rPr>
        <w:t>“</w:t>
      </w:r>
      <w:r w:rsidRPr="00B503E6">
        <w:rPr>
          <w:rFonts w:asciiTheme="majorBidi" w:hAnsiTheme="majorBidi" w:cstheme="majorBidi"/>
          <w:sz w:val="24"/>
          <w:szCs w:val="24"/>
        </w:rPr>
        <w:t>The climax and crises of the colonial welfare state in Syria and Lebanon during World War II.</w:t>
      </w:r>
      <w:r w:rsidR="005F5976" w:rsidRPr="00B503E6">
        <w:rPr>
          <w:rFonts w:asciiTheme="majorBidi" w:hAnsiTheme="majorBidi" w:cstheme="majorBidi"/>
          <w:sz w:val="24"/>
          <w:szCs w:val="24"/>
        </w:rPr>
        <w:t>”</w:t>
      </w:r>
      <w:r w:rsidRPr="00B503E6">
        <w:rPr>
          <w:rFonts w:asciiTheme="majorBidi" w:hAnsiTheme="majorBidi" w:cstheme="majorBidi"/>
          <w:sz w:val="24"/>
          <w:szCs w:val="24"/>
        </w:rPr>
        <w:t xml:space="preserve"> In </w:t>
      </w:r>
      <w:r w:rsidRPr="00B503E6">
        <w:rPr>
          <w:rFonts w:asciiTheme="majorBidi" w:hAnsiTheme="majorBidi" w:cstheme="majorBidi"/>
          <w:i/>
          <w:iCs/>
          <w:sz w:val="24"/>
          <w:szCs w:val="24"/>
        </w:rPr>
        <w:t xml:space="preserve">War, </w:t>
      </w:r>
      <w:r w:rsidR="005F5976" w:rsidRPr="00B503E6">
        <w:rPr>
          <w:rFonts w:asciiTheme="majorBidi" w:hAnsiTheme="majorBidi" w:cstheme="majorBidi"/>
          <w:i/>
          <w:iCs/>
          <w:sz w:val="24"/>
          <w:szCs w:val="24"/>
        </w:rPr>
        <w:t>I</w:t>
      </w:r>
      <w:r w:rsidRPr="00B503E6">
        <w:rPr>
          <w:rFonts w:asciiTheme="majorBidi" w:hAnsiTheme="majorBidi" w:cstheme="majorBidi"/>
          <w:i/>
          <w:iCs/>
          <w:sz w:val="24"/>
          <w:szCs w:val="24"/>
        </w:rPr>
        <w:t xml:space="preserve">nstitutions, and </w:t>
      </w:r>
      <w:r w:rsidR="005F5976" w:rsidRPr="00B503E6">
        <w:rPr>
          <w:rFonts w:asciiTheme="majorBidi" w:hAnsiTheme="majorBidi" w:cstheme="majorBidi"/>
          <w:i/>
          <w:iCs/>
          <w:sz w:val="24"/>
          <w:szCs w:val="24"/>
        </w:rPr>
        <w:t>S</w:t>
      </w:r>
      <w:r w:rsidRPr="00B503E6">
        <w:rPr>
          <w:rFonts w:asciiTheme="majorBidi" w:hAnsiTheme="majorBidi" w:cstheme="majorBidi"/>
          <w:i/>
          <w:iCs/>
          <w:sz w:val="24"/>
          <w:szCs w:val="24"/>
        </w:rPr>
        <w:t xml:space="preserve">ocial </w:t>
      </w:r>
      <w:r w:rsidR="005F5976" w:rsidRPr="00B503E6">
        <w:rPr>
          <w:rFonts w:asciiTheme="majorBidi" w:hAnsiTheme="majorBidi" w:cstheme="majorBidi"/>
          <w:i/>
          <w:iCs/>
          <w:sz w:val="24"/>
          <w:szCs w:val="24"/>
        </w:rPr>
        <w:t>C</w:t>
      </w:r>
      <w:r w:rsidRPr="00B503E6">
        <w:rPr>
          <w:rFonts w:asciiTheme="majorBidi" w:hAnsiTheme="majorBidi" w:cstheme="majorBidi"/>
          <w:i/>
          <w:iCs/>
          <w:sz w:val="24"/>
          <w:szCs w:val="24"/>
        </w:rPr>
        <w:t>hange in the Middle East</w:t>
      </w:r>
      <w:r w:rsidRPr="00B503E6">
        <w:rPr>
          <w:rFonts w:asciiTheme="majorBidi" w:hAnsiTheme="majorBidi" w:cstheme="majorBidi"/>
          <w:sz w:val="24"/>
          <w:szCs w:val="24"/>
        </w:rPr>
        <w:t>, edited by Steven Heydemann, pp. 59-97, Berkeley: University of California Press, 2000.</w:t>
      </w:r>
    </w:p>
    <w:p w:rsidR="00056BA1" w:rsidRPr="00B503E6" w:rsidRDefault="00AB3991" w:rsidP="005F5976">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 xml:space="preserve">Walpole, George Fredrick. </w:t>
      </w:r>
      <w:r w:rsidR="005F5976" w:rsidRPr="00B503E6">
        <w:rPr>
          <w:rFonts w:asciiTheme="majorBidi" w:hAnsiTheme="majorBidi" w:cstheme="majorBidi"/>
          <w:sz w:val="24"/>
          <w:szCs w:val="24"/>
        </w:rPr>
        <w:t>“</w:t>
      </w:r>
      <w:r w:rsidRPr="00B503E6">
        <w:rPr>
          <w:rFonts w:asciiTheme="majorBidi" w:hAnsiTheme="majorBidi" w:cstheme="majorBidi"/>
          <w:sz w:val="24"/>
          <w:szCs w:val="24"/>
        </w:rPr>
        <w:t>Land problems in Transjordan.</w:t>
      </w:r>
      <w:r w:rsidR="005F5976"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Journal of the Royal Central Asian Society</w:t>
      </w:r>
      <w:r w:rsidRPr="00B503E6">
        <w:rPr>
          <w:rFonts w:asciiTheme="majorBidi" w:hAnsiTheme="majorBidi" w:cstheme="majorBidi"/>
          <w:sz w:val="24"/>
          <w:szCs w:val="24"/>
        </w:rPr>
        <w:t xml:space="preserve"> 35 (1948): 52-65.</w:t>
      </w:r>
      <w:r w:rsidR="00056BA1" w:rsidRPr="00B503E6">
        <w:rPr>
          <w:rFonts w:asciiTheme="majorBidi" w:hAnsiTheme="majorBidi" w:cstheme="majorBidi"/>
          <w:sz w:val="24"/>
          <w:szCs w:val="24"/>
        </w:rPr>
        <w:t xml:space="preserve">   </w:t>
      </w:r>
    </w:p>
    <w:p w:rsidR="00D65654" w:rsidRPr="00B503E6" w:rsidRDefault="00D65654" w:rsidP="00685108">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Warriner, D</w:t>
      </w:r>
      <w:r w:rsidR="00747E06" w:rsidRPr="00B503E6">
        <w:rPr>
          <w:rFonts w:asciiTheme="majorBidi" w:hAnsiTheme="majorBidi" w:cstheme="majorBidi"/>
          <w:sz w:val="24"/>
          <w:szCs w:val="24"/>
        </w:rPr>
        <w:t>oreen</w:t>
      </w:r>
      <w:r w:rsidR="003F3CAE"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 xml:space="preserve">Land </w:t>
      </w:r>
      <w:r w:rsidR="003F3CAE" w:rsidRPr="00B503E6">
        <w:rPr>
          <w:rFonts w:asciiTheme="majorBidi" w:hAnsiTheme="majorBidi" w:cstheme="majorBidi"/>
          <w:i/>
          <w:iCs/>
          <w:sz w:val="24"/>
          <w:szCs w:val="24"/>
        </w:rPr>
        <w:t>R</w:t>
      </w:r>
      <w:r w:rsidRPr="00B503E6">
        <w:rPr>
          <w:rFonts w:asciiTheme="majorBidi" w:hAnsiTheme="majorBidi" w:cstheme="majorBidi"/>
          <w:i/>
          <w:iCs/>
          <w:sz w:val="24"/>
          <w:szCs w:val="24"/>
        </w:rPr>
        <w:t xml:space="preserve">eform and </w:t>
      </w:r>
      <w:r w:rsidR="003F3CAE" w:rsidRPr="00B503E6">
        <w:rPr>
          <w:rFonts w:asciiTheme="majorBidi" w:hAnsiTheme="majorBidi" w:cstheme="majorBidi"/>
          <w:i/>
          <w:iCs/>
          <w:sz w:val="24"/>
          <w:szCs w:val="24"/>
        </w:rPr>
        <w:t>D</w:t>
      </w:r>
      <w:r w:rsidRPr="00B503E6">
        <w:rPr>
          <w:rFonts w:asciiTheme="majorBidi" w:hAnsiTheme="majorBidi" w:cstheme="majorBidi"/>
          <w:i/>
          <w:iCs/>
          <w:sz w:val="24"/>
          <w:szCs w:val="24"/>
        </w:rPr>
        <w:t xml:space="preserve">evelopment in the Middle </w:t>
      </w:r>
      <w:r w:rsidR="00B8634F" w:rsidRPr="00B503E6">
        <w:rPr>
          <w:rFonts w:asciiTheme="majorBidi" w:hAnsiTheme="majorBidi" w:cstheme="majorBidi"/>
          <w:i/>
          <w:iCs/>
          <w:sz w:val="24"/>
          <w:szCs w:val="24"/>
        </w:rPr>
        <w:t>E</w:t>
      </w:r>
      <w:r w:rsidRPr="00B503E6">
        <w:rPr>
          <w:rFonts w:asciiTheme="majorBidi" w:hAnsiTheme="majorBidi" w:cstheme="majorBidi"/>
          <w:i/>
          <w:iCs/>
          <w:sz w:val="24"/>
          <w:szCs w:val="24"/>
        </w:rPr>
        <w:t xml:space="preserve">ast: A </w:t>
      </w:r>
      <w:r w:rsidR="003F3CAE" w:rsidRPr="00B503E6">
        <w:rPr>
          <w:rFonts w:asciiTheme="majorBidi" w:hAnsiTheme="majorBidi" w:cstheme="majorBidi"/>
          <w:i/>
          <w:iCs/>
          <w:sz w:val="24"/>
          <w:szCs w:val="24"/>
        </w:rPr>
        <w:t>S</w:t>
      </w:r>
      <w:r w:rsidRPr="00B503E6">
        <w:rPr>
          <w:rFonts w:asciiTheme="majorBidi" w:hAnsiTheme="majorBidi" w:cstheme="majorBidi"/>
          <w:i/>
          <w:iCs/>
          <w:sz w:val="24"/>
          <w:szCs w:val="24"/>
        </w:rPr>
        <w:t>tudy of Egypt, Syria and Iraq</w:t>
      </w:r>
      <w:r w:rsidR="00685108" w:rsidRPr="00B503E6">
        <w:rPr>
          <w:rFonts w:asciiTheme="majorBidi" w:hAnsiTheme="majorBidi" w:cstheme="majorBidi"/>
          <w:sz w:val="24"/>
          <w:szCs w:val="24"/>
        </w:rPr>
        <w:t>.</w:t>
      </w:r>
      <w:r w:rsidRPr="00B503E6">
        <w:rPr>
          <w:rFonts w:asciiTheme="majorBidi" w:hAnsiTheme="majorBidi" w:cstheme="majorBidi"/>
          <w:sz w:val="24"/>
          <w:szCs w:val="24"/>
        </w:rPr>
        <w:t xml:space="preserve"> London: </w:t>
      </w:r>
      <w:r w:rsidR="00B8634F" w:rsidRPr="00B503E6">
        <w:rPr>
          <w:rFonts w:asciiTheme="majorBidi" w:hAnsiTheme="majorBidi" w:cstheme="majorBidi"/>
          <w:sz w:val="24"/>
          <w:szCs w:val="24"/>
        </w:rPr>
        <w:t xml:space="preserve">Royal </w:t>
      </w:r>
      <w:r w:rsidR="001242D3" w:rsidRPr="00B503E6">
        <w:rPr>
          <w:rFonts w:asciiTheme="majorBidi" w:hAnsiTheme="majorBidi" w:cstheme="majorBidi"/>
          <w:sz w:val="24"/>
          <w:szCs w:val="24"/>
        </w:rPr>
        <w:t>I</w:t>
      </w:r>
      <w:r w:rsidR="00B8634F" w:rsidRPr="00B503E6">
        <w:rPr>
          <w:rFonts w:asciiTheme="majorBidi" w:hAnsiTheme="majorBidi" w:cstheme="majorBidi"/>
          <w:sz w:val="24"/>
          <w:szCs w:val="24"/>
        </w:rPr>
        <w:t>nstitute of International Affairs</w:t>
      </w:r>
      <w:r w:rsidR="00747E06" w:rsidRPr="00B503E6">
        <w:rPr>
          <w:rFonts w:asciiTheme="majorBidi" w:hAnsiTheme="majorBidi" w:cstheme="majorBidi"/>
          <w:sz w:val="24"/>
          <w:szCs w:val="24"/>
        </w:rPr>
        <w:t>, 1957</w:t>
      </w:r>
      <w:r w:rsidR="00B8634F" w:rsidRPr="00B503E6">
        <w:rPr>
          <w:rFonts w:asciiTheme="majorBidi" w:hAnsiTheme="majorBidi" w:cstheme="majorBidi"/>
          <w:sz w:val="24"/>
          <w:szCs w:val="24"/>
        </w:rPr>
        <w:t>.</w:t>
      </w:r>
      <w:r w:rsidRPr="00B503E6">
        <w:rPr>
          <w:rFonts w:asciiTheme="majorBidi" w:hAnsiTheme="majorBidi" w:cstheme="majorBidi"/>
          <w:sz w:val="24"/>
          <w:szCs w:val="24"/>
        </w:rPr>
        <w:t xml:space="preserve"> </w:t>
      </w:r>
    </w:p>
    <w:p w:rsidR="004646D2" w:rsidRPr="00B503E6" w:rsidRDefault="00BF6863" w:rsidP="005F5976">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Widmer, R</w:t>
      </w:r>
      <w:r w:rsidR="00685108" w:rsidRPr="00B503E6">
        <w:rPr>
          <w:rFonts w:asciiTheme="majorBidi" w:hAnsiTheme="majorBidi" w:cstheme="majorBidi"/>
          <w:sz w:val="24"/>
          <w:szCs w:val="24"/>
        </w:rPr>
        <w:t>obert</w:t>
      </w:r>
      <w:r w:rsidR="003F3CAE"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5F5976" w:rsidRPr="00B503E6">
        <w:rPr>
          <w:rFonts w:asciiTheme="majorBidi" w:hAnsiTheme="majorBidi" w:cstheme="majorBidi"/>
          <w:sz w:val="24"/>
          <w:szCs w:val="24"/>
        </w:rPr>
        <w:t>“</w:t>
      </w:r>
      <w:r w:rsidRPr="00B503E6">
        <w:rPr>
          <w:rFonts w:asciiTheme="majorBidi" w:hAnsiTheme="majorBidi" w:cstheme="majorBidi"/>
          <w:sz w:val="24"/>
          <w:szCs w:val="24"/>
        </w:rPr>
        <w:t>Population</w:t>
      </w:r>
      <w:r w:rsidR="00685108" w:rsidRPr="00B503E6">
        <w:rPr>
          <w:rFonts w:asciiTheme="majorBidi" w:hAnsiTheme="majorBidi" w:cstheme="majorBidi"/>
          <w:sz w:val="24"/>
          <w:szCs w:val="24"/>
        </w:rPr>
        <w:t>.</w:t>
      </w:r>
      <w:r w:rsidR="005F5976" w:rsidRPr="00B503E6">
        <w:rPr>
          <w:rFonts w:asciiTheme="majorBidi" w:hAnsiTheme="majorBidi" w:cstheme="majorBidi"/>
          <w:sz w:val="24"/>
          <w:szCs w:val="24"/>
        </w:rPr>
        <w:t>”</w:t>
      </w:r>
      <w:r w:rsidR="00685108" w:rsidRPr="00B503E6">
        <w:rPr>
          <w:rFonts w:asciiTheme="majorBidi" w:hAnsiTheme="majorBidi" w:cstheme="majorBidi"/>
          <w:sz w:val="24"/>
          <w:szCs w:val="24"/>
        </w:rPr>
        <w:t xml:space="preserve"> In </w:t>
      </w:r>
      <w:r w:rsidRPr="00B503E6">
        <w:rPr>
          <w:rFonts w:asciiTheme="majorBidi" w:hAnsiTheme="majorBidi" w:cstheme="majorBidi"/>
          <w:i/>
          <w:iCs/>
          <w:sz w:val="24"/>
          <w:szCs w:val="24"/>
        </w:rPr>
        <w:t xml:space="preserve">Economic </w:t>
      </w:r>
      <w:r w:rsidR="003F3CAE" w:rsidRPr="00B503E6">
        <w:rPr>
          <w:rFonts w:asciiTheme="majorBidi" w:hAnsiTheme="majorBidi" w:cstheme="majorBidi"/>
          <w:i/>
          <w:iCs/>
          <w:sz w:val="24"/>
          <w:szCs w:val="24"/>
        </w:rPr>
        <w:t>O</w:t>
      </w:r>
      <w:r w:rsidRPr="00B503E6">
        <w:rPr>
          <w:rFonts w:asciiTheme="majorBidi" w:hAnsiTheme="majorBidi" w:cstheme="majorBidi"/>
          <w:i/>
          <w:iCs/>
          <w:sz w:val="24"/>
          <w:szCs w:val="24"/>
        </w:rPr>
        <w:t>rganization of Syria</w:t>
      </w:r>
      <w:r w:rsidR="003F3CAE" w:rsidRPr="00B503E6">
        <w:rPr>
          <w:rFonts w:asciiTheme="majorBidi" w:hAnsiTheme="majorBidi" w:cstheme="majorBidi"/>
          <w:sz w:val="24"/>
          <w:szCs w:val="24"/>
        </w:rPr>
        <w:t>,</w:t>
      </w:r>
      <w:r w:rsidRPr="00B503E6">
        <w:rPr>
          <w:rFonts w:asciiTheme="majorBidi" w:hAnsiTheme="majorBidi" w:cstheme="majorBidi"/>
          <w:sz w:val="24"/>
          <w:szCs w:val="24"/>
        </w:rPr>
        <w:t xml:space="preserve"> </w:t>
      </w:r>
      <w:r w:rsidR="00685108" w:rsidRPr="00B503E6">
        <w:rPr>
          <w:rFonts w:asciiTheme="majorBidi" w:hAnsiTheme="majorBidi" w:cstheme="majorBidi"/>
          <w:sz w:val="24"/>
          <w:szCs w:val="24"/>
        </w:rPr>
        <w:t xml:space="preserve">edited by Sa'id B. Himadeh, pp. 3-26. </w:t>
      </w:r>
      <w:r w:rsidRPr="00B503E6">
        <w:rPr>
          <w:rFonts w:asciiTheme="majorBidi" w:hAnsiTheme="majorBidi" w:cstheme="majorBidi"/>
          <w:sz w:val="24"/>
          <w:szCs w:val="24"/>
        </w:rPr>
        <w:t xml:space="preserve">Beirut: The American Press, </w:t>
      </w:r>
      <w:r w:rsidR="00685108" w:rsidRPr="00B503E6">
        <w:rPr>
          <w:rFonts w:asciiTheme="majorBidi" w:hAnsiTheme="majorBidi" w:cstheme="majorBidi"/>
          <w:sz w:val="24"/>
          <w:szCs w:val="24"/>
        </w:rPr>
        <w:t>1936</w:t>
      </w:r>
      <w:r w:rsidRPr="00B503E6">
        <w:rPr>
          <w:rFonts w:asciiTheme="majorBidi" w:hAnsiTheme="majorBidi" w:cstheme="majorBidi"/>
          <w:sz w:val="24"/>
          <w:szCs w:val="24"/>
        </w:rPr>
        <w:t>.</w:t>
      </w:r>
    </w:p>
    <w:p w:rsidR="00A125B8" w:rsidRPr="00B503E6" w:rsidRDefault="004646D2" w:rsidP="00685108">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Wilson, M</w:t>
      </w:r>
      <w:r w:rsidR="00685108" w:rsidRPr="00B503E6">
        <w:rPr>
          <w:rFonts w:asciiTheme="majorBidi" w:hAnsiTheme="majorBidi" w:cstheme="majorBidi"/>
          <w:sz w:val="24"/>
          <w:szCs w:val="24"/>
        </w:rPr>
        <w:t>ary</w:t>
      </w:r>
      <w:r w:rsidR="003F3CAE" w:rsidRPr="00B503E6">
        <w:rPr>
          <w:rFonts w:asciiTheme="majorBidi" w:hAnsiTheme="majorBidi" w:cstheme="majorBidi"/>
          <w:sz w:val="24"/>
          <w:szCs w:val="24"/>
        </w:rPr>
        <w:t xml:space="preserve"> </w:t>
      </w:r>
      <w:r w:rsidRPr="00B503E6">
        <w:rPr>
          <w:rFonts w:asciiTheme="majorBidi" w:hAnsiTheme="majorBidi" w:cstheme="majorBidi"/>
          <w:sz w:val="24"/>
          <w:szCs w:val="24"/>
        </w:rPr>
        <w:t xml:space="preserve">C. </w:t>
      </w:r>
      <w:r w:rsidRPr="00B503E6">
        <w:rPr>
          <w:rFonts w:asciiTheme="majorBidi" w:hAnsiTheme="majorBidi" w:cstheme="majorBidi"/>
          <w:i/>
          <w:iCs/>
          <w:sz w:val="24"/>
          <w:szCs w:val="24"/>
        </w:rPr>
        <w:t>King Abdullah, Britain and the making of Jordan</w:t>
      </w:r>
      <w:r w:rsidR="00685108" w:rsidRPr="00B503E6">
        <w:rPr>
          <w:rFonts w:asciiTheme="majorBidi" w:hAnsiTheme="majorBidi" w:cstheme="majorBidi"/>
          <w:sz w:val="24"/>
          <w:szCs w:val="24"/>
        </w:rPr>
        <w:t>.</w:t>
      </w:r>
      <w:r w:rsidRPr="00B503E6">
        <w:rPr>
          <w:rFonts w:asciiTheme="majorBidi" w:hAnsiTheme="majorBidi" w:cstheme="majorBidi"/>
          <w:sz w:val="24"/>
          <w:szCs w:val="24"/>
        </w:rPr>
        <w:t xml:space="preserve"> Cambridge; Cambridge University Press</w:t>
      </w:r>
      <w:r w:rsidR="00685108" w:rsidRPr="00B503E6">
        <w:rPr>
          <w:rFonts w:asciiTheme="majorBidi" w:hAnsiTheme="majorBidi" w:cstheme="majorBidi"/>
          <w:sz w:val="24"/>
          <w:szCs w:val="24"/>
        </w:rPr>
        <w:t>, 1987</w:t>
      </w:r>
      <w:r w:rsidRPr="00B503E6">
        <w:rPr>
          <w:rFonts w:asciiTheme="majorBidi" w:hAnsiTheme="majorBidi" w:cstheme="majorBidi"/>
          <w:sz w:val="24"/>
          <w:szCs w:val="24"/>
        </w:rPr>
        <w:t>.</w:t>
      </w:r>
    </w:p>
    <w:p w:rsidR="00263B77" w:rsidRPr="00B503E6" w:rsidRDefault="00A125B8" w:rsidP="00685108">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Zamir, M</w:t>
      </w:r>
      <w:r w:rsidR="00685108" w:rsidRPr="00B503E6">
        <w:rPr>
          <w:rFonts w:asciiTheme="majorBidi" w:hAnsiTheme="majorBidi" w:cstheme="majorBidi"/>
          <w:sz w:val="24"/>
          <w:szCs w:val="24"/>
        </w:rPr>
        <w:t>eir.</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Lebanon's quest: The road to statehood, 1926-1939</w:t>
      </w:r>
      <w:r w:rsidR="00685108" w:rsidRPr="00B503E6">
        <w:rPr>
          <w:rFonts w:asciiTheme="majorBidi" w:hAnsiTheme="majorBidi" w:cstheme="majorBidi"/>
          <w:sz w:val="24"/>
          <w:szCs w:val="24"/>
        </w:rPr>
        <w:t>.</w:t>
      </w:r>
      <w:r w:rsidRPr="00B503E6">
        <w:rPr>
          <w:rFonts w:asciiTheme="majorBidi" w:hAnsiTheme="majorBidi" w:cstheme="majorBidi"/>
          <w:sz w:val="24"/>
          <w:szCs w:val="24"/>
        </w:rPr>
        <w:t xml:space="preserve"> London: I. B. Tauris</w:t>
      </w:r>
      <w:r w:rsidR="00685108" w:rsidRPr="00B503E6">
        <w:rPr>
          <w:rFonts w:asciiTheme="majorBidi" w:hAnsiTheme="majorBidi" w:cstheme="majorBidi"/>
          <w:sz w:val="24"/>
          <w:szCs w:val="24"/>
        </w:rPr>
        <w:t>, 1997</w:t>
      </w:r>
      <w:r w:rsidRPr="00B503E6">
        <w:rPr>
          <w:rFonts w:asciiTheme="majorBidi" w:hAnsiTheme="majorBidi" w:cstheme="majorBidi"/>
          <w:sz w:val="24"/>
          <w:szCs w:val="24"/>
        </w:rPr>
        <w:t>.</w:t>
      </w:r>
      <w:r w:rsidR="004646D2" w:rsidRPr="00B503E6">
        <w:rPr>
          <w:rFonts w:asciiTheme="majorBidi" w:hAnsiTheme="majorBidi" w:cstheme="majorBidi"/>
          <w:sz w:val="24"/>
          <w:szCs w:val="24"/>
        </w:rPr>
        <w:t xml:space="preserve">  </w:t>
      </w:r>
    </w:p>
    <w:p w:rsidR="003171D2" w:rsidRPr="00B503E6" w:rsidRDefault="00263B77" w:rsidP="00263B77">
      <w:pPr>
        <w:spacing w:line="480" w:lineRule="auto"/>
        <w:ind w:left="567" w:hanging="567"/>
        <w:contextualSpacing/>
        <w:jc w:val="both"/>
        <w:rPr>
          <w:rFonts w:asciiTheme="majorBidi" w:hAnsiTheme="majorBidi" w:cstheme="majorBidi"/>
          <w:sz w:val="24"/>
          <w:szCs w:val="24"/>
        </w:rPr>
      </w:pPr>
      <w:r w:rsidRPr="00B503E6">
        <w:rPr>
          <w:rFonts w:asciiTheme="majorBidi" w:hAnsiTheme="majorBidi" w:cstheme="majorBidi"/>
          <w:sz w:val="24"/>
          <w:szCs w:val="24"/>
        </w:rPr>
        <w:t>Ze'evi, D</w:t>
      </w:r>
      <w:r w:rsidR="007C0C95" w:rsidRPr="00B503E6">
        <w:rPr>
          <w:rFonts w:asciiTheme="majorBidi" w:hAnsiTheme="majorBidi" w:cstheme="majorBidi"/>
          <w:sz w:val="24"/>
          <w:szCs w:val="24"/>
        </w:rPr>
        <w:t>ror</w:t>
      </w:r>
      <w:r w:rsidRPr="00B503E6">
        <w:rPr>
          <w:rFonts w:asciiTheme="majorBidi" w:hAnsiTheme="majorBidi" w:cstheme="majorBidi"/>
          <w:sz w:val="24"/>
          <w:szCs w:val="24"/>
        </w:rPr>
        <w:t xml:space="preserve">. </w:t>
      </w:r>
      <w:r w:rsidRPr="00B503E6">
        <w:rPr>
          <w:rFonts w:asciiTheme="majorBidi" w:hAnsiTheme="majorBidi" w:cstheme="majorBidi"/>
          <w:i/>
          <w:iCs/>
          <w:sz w:val="24"/>
          <w:szCs w:val="24"/>
        </w:rPr>
        <w:t>An Ottoman century: The district of Jerusalem in the 1600s</w:t>
      </w:r>
      <w:r w:rsidRPr="00B503E6">
        <w:rPr>
          <w:rFonts w:asciiTheme="majorBidi" w:hAnsiTheme="majorBidi" w:cstheme="majorBidi"/>
          <w:sz w:val="24"/>
          <w:szCs w:val="24"/>
        </w:rPr>
        <w:t xml:space="preserve">. Albany: State University of New York Press, 1996.  </w:t>
      </w:r>
      <w:r w:rsidR="00BF6863" w:rsidRPr="00B503E6">
        <w:rPr>
          <w:rFonts w:asciiTheme="majorBidi" w:hAnsiTheme="majorBidi" w:cstheme="majorBidi"/>
          <w:sz w:val="24"/>
          <w:szCs w:val="24"/>
        </w:rPr>
        <w:t xml:space="preserve">  </w:t>
      </w:r>
    </w:p>
    <w:p w:rsidR="001370D7" w:rsidRPr="00B503E6" w:rsidRDefault="001370D7">
      <w:pPr>
        <w:rPr>
          <w:rFonts w:asciiTheme="majorBidi" w:hAnsiTheme="majorBidi" w:cstheme="majorBidi"/>
          <w:sz w:val="24"/>
          <w:szCs w:val="24"/>
        </w:rPr>
      </w:pPr>
      <w:r w:rsidRPr="00B503E6">
        <w:rPr>
          <w:rFonts w:asciiTheme="majorBidi" w:hAnsiTheme="majorBidi" w:cstheme="majorBidi"/>
          <w:sz w:val="24"/>
          <w:szCs w:val="24"/>
        </w:rPr>
        <w:br w:type="page"/>
      </w:r>
    </w:p>
    <w:p w:rsidR="001370D7" w:rsidRPr="00B503E6" w:rsidRDefault="001370D7">
      <w:pPr>
        <w:rPr>
          <w:rFonts w:asciiTheme="majorBidi" w:hAnsiTheme="majorBidi" w:cstheme="majorBidi"/>
          <w:sz w:val="24"/>
          <w:szCs w:val="24"/>
        </w:rPr>
      </w:pPr>
      <w:r w:rsidRPr="00B503E6">
        <w:rPr>
          <w:rFonts w:asciiTheme="majorBidi" w:hAnsiTheme="majorBidi" w:cstheme="majorBidi"/>
          <w:sz w:val="24"/>
          <w:szCs w:val="24"/>
        </w:rPr>
        <w:lastRenderedPageBreak/>
        <w:t>Notes</w:t>
      </w:r>
    </w:p>
    <w:sectPr w:rsidR="001370D7" w:rsidRPr="00B503E6" w:rsidSect="00A20E19">
      <w:headerReference w:type="default" r:id="rId8"/>
      <w:endnotePr>
        <w:numFmt w:val="decimal"/>
      </w:endnotePr>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8BF" w:rsidRDefault="00B668BF" w:rsidP="00D73FF8">
      <w:r>
        <w:separator/>
      </w:r>
    </w:p>
  </w:endnote>
  <w:endnote w:type="continuationSeparator" w:id="0">
    <w:p w:rsidR="00B668BF" w:rsidRDefault="00B668BF" w:rsidP="00D73FF8">
      <w:r>
        <w:continuationSeparator/>
      </w:r>
    </w:p>
  </w:endnote>
  <w:endnote w:id="1">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Cleveland (2004, 225) and McCarthy (1990, 26,35).</w:t>
      </w:r>
    </w:p>
  </w:endnote>
  <w:endnote w:id="2">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Ruppin (1918, 11,12,46).</w:t>
      </w:r>
    </w:p>
  </w:endnote>
  <w:endnote w:id="3">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Wilson  (1987, 56) and  (Issawi 1988, 28).</w:t>
      </w:r>
    </w:p>
  </w:endnote>
  <w:endnote w:id="4">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The data for Syria, Trans-Jordan and Lebanon is from Statistical Handbook (1944, pp. 97,101,117,119) and the estimates of cultivable land for Syria and Lebanon are from 1934 and for Trans-Jordan from 1938.  The estimate for Palestine is from Himadeh (1938, 43,44).  These estimates of cultivable land are very subjective. For example, Khuri (1936, 73) writes that the cultivable land in Syria, including the </w:t>
      </w:r>
      <w:r w:rsidRPr="00E64D4B">
        <w:rPr>
          <w:rFonts w:asciiTheme="majorBidi" w:hAnsiTheme="majorBidi" w:cstheme="majorBidi"/>
          <w:i/>
          <w:iCs/>
          <w:sz w:val="24"/>
          <w:szCs w:val="24"/>
        </w:rPr>
        <w:t>sanjaq</w:t>
      </w:r>
      <w:r w:rsidRPr="00E64D4B">
        <w:rPr>
          <w:rFonts w:asciiTheme="majorBidi" w:hAnsiTheme="majorBidi" w:cstheme="majorBidi"/>
          <w:sz w:val="24"/>
          <w:szCs w:val="24"/>
        </w:rPr>
        <w:t xml:space="preserve"> of Alexandretta and Lebanon was just 40,000 sq km.</w:t>
      </w:r>
    </w:p>
  </w:endnote>
  <w:endnote w:id="5">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Ze'evi (1996, 130-135) notes that unofficially the peasants sold land, but the contracts were devised in a way to formally claim that no sale had occurred.</w:t>
      </w:r>
    </w:p>
  </w:endnote>
  <w:endnote w:id="6">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Patai (1949, 41) writes that in 1917 in Palestine "about 70% of the village lands were still cultivated under the </w:t>
      </w:r>
      <w:r w:rsidRPr="00E64D4B">
        <w:rPr>
          <w:rFonts w:asciiTheme="majorBidi" w:hAnsiTheme="majorBidi" w:cstheme="majorBidi"/>
          <w:i/>
          <w:iCs/>
          <w:sz w:val="24"/>
          <w:szCs w:val="24"/>
        </w:rPr>
        <w:t>musha`</w:t>
      </w:r>
      <w:r w:rsidRPr="00E64D4B">
        <w:rPr>
          <w:rFonts w:asciiTheme="majorBidi" w:hAnsiTheme="majorBidi" w:cstheme="majorBidi"/>
          <w:sz w:val="24"/>
          <w:szCs w:val="24"/>
        </w:rPr>
        <w:t xml:space="preserve"> system." Hope-Simpson (1930, 33) reported that in 1923, 56% of village lands were </w:t>
      </w:r>
      <w:r w:rsidRPr="00E64D4B">
        <w:rPr>
          <w:rFonts w:asciiTheme="majorBidi" w:hAnsiTheme="majorBidi" w:cstheme="majorBidi"/>
          <w:i/>
          <w:iCs/>
          <w:sz w:val="24"/>
          <w:szCs w:val="24"/>
        </w:rPr>
        <w:t>musha`</w:t>
      </w:r>
      <w:r w:rsidRPr="00E64D4B">
        <w:rPr>
          <w:rFonts w:asciiTheme="majorBidi" w:hAnsiTheme="majorBidi" w:cstheme="majorBidi"/>
          <w:sz w:val="24"/>
          <w:szCs w:val="24"/>
        </w:rPr>
        <w:t xml:space="preserve"> and the remainder 44% were divided (</w:t>
      </w:r>
      <w:r w:rsidRPr="00E64D4B">
        <w:rPr>
          <w:rFonts w:asciiTheme="majorBidi" w:hAnsiTheme="majorBidi" w:cstheme="majorBidi"/>
          <w:i/>
          <w:iCs/>
          <w:sz w:val="24"/>
          <w:szCs w:val="24"/>
        </w:rPr>
        <w:t>mafruz</w:t>
      </w:r>
      <w:r w:rsidRPr="00E64D4B">
        <w:rPr>
          <w:rFonts w:asciiTheme="majorBidi" w:hAnsiTheme="majorBidi" w:cstheme="majorBidi"/>
          <w:sz w:val="24"/>
          <w:szCs w:val="24"/>
        </w:rPr>
        <w:t xml:space="preserve">).  Fischbach (1994, 83) writes that in the 1920s "two-thirds  of Transjordanian villages were </w:t>
      </w:r>
      <w:r w:rsidRPr="00E64D4B">
        <w:rPr>
          <w:rFonts w:asciiTheme="majorBidi" w:hAnsiTheme="majorBidi" w:cstheme="majorBidi"/>
          <w:i/>
          <w:iCs/>
          <w:sz w:val="24"/>
          <w:szCs w:val="24"/>
        </w:rPr>
        <w:t>musha</w:t>
      </w:r>
      <w:r w:rsidRPr="00E64D4B">
        <w:rPr>
          <w:rFonts w:asciiTheme="majorBidi" w:hAnsiTheme="majorBidi" w:cstheme="majorBidi"/>
          <w:sz w:val="24"/>
          <w:szCs w:val="24"/>
        </w:rPr>
        <w:t xml:space="preserve">` villages," see also Fischbach 2000, 41,42. Khuri (1936, 57) noted that in the early 1930s in Syria the </w:t>
      </w:r>
      <w:r w:rsidRPr="00E64D4B">
        <w:rPr>
          <w:rFonts w:asciiTheme="majorBidi" w:hAnsiTheme="majorBidi" w:cstheme="majorBidi"/>
          <w:i/>
          <w:iCs/>
          <w:sz w:val="24"/>
          <w:szCs w:val="24"/>
        </w:rPr>
        <w:t>musha</w:t>
      </w:r>
      <w:r w:rsidRPr="00E64D4B">
        <w:rPr>
          <w:rFonts w:asciiTheme="majorBidi" w:hAnsiTheme="majorBidi" w:cstheme="majorBidi"/>
          <w:sz w:val="24"/>
          <w:szCs w:val="24"/>
        </w:rPr>
        <w:t xml:space="preserve">` system "prevailed to a large extent in the eastern part of the country where </w:t>
      </w:r>
      <w:r w:rsidRPr="00E64D4B">
        <w:rPr>
          <w:rFonts w:asciiTheme="majorBidi" w:hAnsiTheme="majorBidi" w:cstheme="majorBidi"/>
          <w:i/>
          <w:iCs/>
          <w:sz w:val="24"/>
          <w:szCs w:val="24"/>
        </w:rPr>
        <w:t>miri</w:t>
      </w:r>
      <w:r w:rsidRPr="00E64D4B">
        <w:rPr>
          <w:rFonts w:asciiTheme="majorBidi" w:hAnsiTheme="majorBidi" w:cstheme="majorBidi"/>
          <w:sz w:val="24"/>
          <w:szCs w:val="24"/>
        </w:rPr>
        <w:t xml:space="preserve"> land is the rule." See Schaebler (2000) for a discussion of the </w:t>
      </w:r>
      <w:r w:rsidRPr="00E64D4B">
        <w:rPr>
          <w:rFonts w:asciiTheme="majorBidi" w:hAnsiTheme="majorBidi" w:cstheme="majorBidi"/>
          <w:i/>
          <w:iCs/>
          <w:sz w:val="24"/>
          <w:szCs w:val="24"/>
        </w:rPr>
        <w:t>musha`</w:t>
      </w:r>
      <w:r w:rsidRPr="00E64D4B">
        <w:rPr>
          <w:rFonts w:asciiTheme="majorBidi" w:hAnsiTheme="majorBidi" w:cstheme="majorBidi"/>
          <w:sz w:val="24"/>
          <w:szCs w:val="24"/>
        </w:rPr>
        <w:t xml:space="preserve"> system in Syria. In Lebanon, where relatively more agricultural land was private property (</w:t>
      </w:r>
      <w:r w:rsidRPr="00E64D4B">
        <w:rPr>
          <w:rFonts w:asciiTheme="majorBidi" w:hAnsiTheme="majorBidi" w:cstheme="majorBidi"/>
          <w:i/>
          <w:iCs/>
          <w:sz w:val="24"/>
          <w:szCs w:val="24"/>
        </w:rPr>
        <w:t>mulk</w:t>
      </w:r>
      <w:r w:rsidRPr="00E64D4B">
        <w:rPr>
          <w:rFonts w:asciiTheme="majorBidi" w:hAnsiTheme="majorBidi" w:cstheme="majorBidi"/>
          <w:sz w:val="24"/>
          <w:szCs w:val="24"/>
        </w:rPr>
        <w:t xml:space="preserve">), the </w:t>
      </w:r>
      <w:r w:rsidRPr="00E64D4B">
        <w:rPr>
          <w:rFonts w:asciiTheme="majorBidi" w:hAnsiTheme="majorBidi" w:cstheme="majorBidi"/>
          <w:i/>
          <w:iCs/>
          <w:sz w:val="24"/>
          <w:szCs w:val="24"/>
        </w:rPr>
        <w:t>musha</w:t>
      </w:r>
      <w:r w:rsidRPr="00E64D4B">
        <w:rPr>
          <w:rFonts w:asciiTheme="majorBidi" w:hAnsiTheme="majorBidi" w:cstheme="majorBidi"/>
          <w:sz w:val="24"/>
          <w:szCs w:val="24"/>
        </w:rPr>
        <w:t>` system existed, but was less common, Firro (2003, 88) and Khuri (1936, 53).</w:t>
      </w:r>
    </w:p>
  </w:endnote>
  <w:endnote w:id="7">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An eyewitness in Palestine in 1913 described the </w:t>
      </w:r>
      <w:r w:rsidRPr="00E64D4B">
        <w:rPr>
          <w:rFonts w:asciiTheme="majorBidi" w:hAnsiTheme="majorBidi" w:cstheme="majorBidi"/>
          <w:i/>
          <w:iCs/>
          <w:sz w:val="24"/>
          <w:szCs w:val="24"/>
        </w:rPr>
        <w:t>musha</w:t>
      </w:r>
      <w:r w:rsidRPr="00E64D4B">
        <w:rPr>
          <w:rFonts w:asciiTheme="majorBidi" w:hAnsiTheme="majorBidi" w:cstheme="majorBidi"/>
          <w:sz w:val="24"/>
          <w:szCs w:val="24"/>
        </w:rPr>
        <w:t xml:space="preserve"> system in the following manner, “The lands were held in </w:t>
      </w:r>
      <w:r w:rsidRPr="00E64D4B">
        <w:rPr>
          <w:rFonts w:asciiTheme="majorBidi" w:hAnsiTheme="majorBidi" w:cstheme="majorBidi"/>
          <w:i/>
          <w:iCs/>
          <w:sz w:val="24"/>
          <w:szCs w:val="24"/>
        </w:rPr>
        <w:t>musha</w:t>
      </w:r>
      <w:r w:rsidRPr="00E64D4B">
        <w:rPr>
          <w:rFonts w:asciiTheme="majorBidi" w:hAnsiTheme="majorBidi" w:cstheme="majorBidi"/>
          <w:sz w:val="24"/>
          <w:szCs w:val="24"/>
        </w:rPr>
        <w:t xml:space="preserve"> ownership.  Every second year the fields were measured by stick and rope and distributed among the cultivators.  Division of land always led to strife and bloodshed” (Palestine Royal Commission Report 1937, 233).</w:t>
      </w:r>
    </w:p>
  </w:endnote>
  <w:endnote w:id="8">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One exception to this lack of development was in Palestine where the Jewish farmers and the even smaller community of German farmers began to use modern implements, Ruppin (1918, 26-33) and Avitsur (1975).  Another exception is that starting in the 1890s, mostly in Lebanon, hydraulic olive oil presses began to be used, and they constituted around 16% of the olive oil presses in the region by 1914 (Issawi, 1988, 377).</w:t>
      </w:r>
    </w:p>
  </w:endnote>
  <w:endnote w:id="9">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There were raids from Bedouins in Saudi Arabia in eastern Trans-Jordan in the late 1920 and early 1930s, which were finally stopped in 1932 by the desert force assembled by John Glubb, see Alon (2009, 84-98).</w:t>
      </w:r>
    </w:p>
  </w:endnote>
  <w:endnote w:id="10">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Annual Report for Palestine and Trans-Jordan, (1933, 236,237) and Longrigg (1972, 277).</w:t>
      </w:r>
    </w:p>
  </w:endnote>
  <w:endnote w:id="11">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Annual Report of Palestine and Trans-Jordan (1937, 295, 296) and Zamir (1997, 236).</w:t>
      </w:r>
    </w:p>
  </w:endnote>
  <w:endnote w:id="12">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Hershlag (1980, 259, 261), Longrigg (1972, 277), and Statistical Abstracts of Palestine (1944-45, 251).</w:t>
      </w:r>
    </w:p>
  </w:endnote>
  <w:endnote w:id="13">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Amadouny (1994, 134-143), El-Eini (1996, 234-240) and (2006), and Longrigg, (1972, 281,282).</w:t>
      </w:r>
    </w:p>
  </w:endnote>
  <w:endnote w:id="14">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Amadouny (1994, 141), Bunton (2007, 102-131), Hershlag (1980, 263), Petran (1972, 71), and Stein (1987).</w:t>
      </w:r>
    </w:p>
  </w:endnote>
  <w:endnote w:id="15">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Fischbach (2000, 70-72,83), Khuri (1936, 61), and Palestine Royal Commission (1937, 227).</w:t>
      </w:r>
    </w:p>
  </w:endnote>
  <w:endnote w:id="16">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For example, George Walpole, the director of the department of lands and surveys in Trans-Jordan from 1936 until 1954, stated  (1948,  56), “The first objective of Land Settlement, therefore, was to break the musha system of communal ownership.”</w:t>
      </w:r>
    </w:p>
  </w:endnote>
  <w:endnote w:id="17">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Doukhan (1938, 99,100) and Khuri (1936, 51-55, 62).</w:t>
      </w:r>
    </w:p>
  </w:endnote>
  <w:endnote w:id="18">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Bunton (2000, 138-141), and Khuri (1936, 67-69).</w:t>
      </w:r>
    </w:p>
  </w:endnote>
  <w:endnote w:id="19">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El-Eini (2006, 301) and Fischbach (2000, 94).  Fischbach (116) notes that “the settlement was faster and only one third as costly in Jordan as in Palestine.”</w:t>
      </w:r>
    </w:p>
  </w:endnote>
  <w:endnote w:id="20">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Fischbach (2000, 114,115), and Konikoff (1946, 36).</w:t>
      </w:r>
    </w:p>
  </w:endnote>
  <w:endnote w:id="21">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According to a survey in 1937 of the registered lands by that time, the size of an average holding was about 55 dunams, and was valued at £P 80. In addition, it seems that most of the landholders were small landowners, as 81% of the holdings were valued under £P 100 (Shwadran 1959, 194,195).</w:t>
      </w:r>
    </w:p>
  </w:endnote>
  <w:endnote w:id="22">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The percentage of cultivable land for Syria is a very rough estimate, not even counting the question of how define the amount of cultivable land.  The percentage above is derived from the estimate of 35,449 sq km of land that was settled for Syria in 1943, including the </w:t>
      </w:r>
      <w:r w:rsidRPr="00E64D4B">
        <w:rPr>
          <w:rFonts w:asciiTheme="majorBidi" w:hAnsiTheme="majorBidi" w:cstheme="majorBidi"/>
          <w:i/>
          <w:iCs/>
          <w:sz w:val="24"/>
          <w:szCs w:val="24"/>
        </w:rPr>
        <w:t>sanjaq</w:t>
      </w:r>
      <w:r w:rsidRPr="00E64D4B">
        <w:rPr>
          <w:rFonts w:asciiTheme="majorBidi" w:hAnsiTheme="majorBidi" w:cstheme="majorBidi"/>
          <w:sz w:val="24"/>
          <w:szCs w:val="24"/>
        </w:rPr>
        <w:t xml:space="preserve"> of Alexandretta, and Lebanon, as reported by  Hanna (2004, 462), and Warriner, (1957, 97).  From that number, Lebanon's 4,000 sq km that were settled based on Firro (2003, 88) was deducted, and another 1,463 sq km were deducted which was the amount of settled land in the </w:t>
      </w:r>
      <w:r w:rsidRPr="00E64D4B">
        <w:rPr>
          <w:rFonts w:asciiTheme="majorBidi" w:hAnsiTheme="majorBidi" w:cstheme="majorBidi"/>
          <w:i/>
          <w:iCs/>
          <w:sz w:val="24"/>
          <w:szCs w:val="24"/>
        </w:rPr>
        <w:t>sanjaq</w:t>
      </w:r>
      <w:r w:rsidRPr="00E64D4B">
        <w:rPr>
          <w:rFonts w:asciiTheme="majorBidi" w:hAnsiTheme="majorBidi" w:cstheme="majorBidi"/>
          <w:sz w:val="24"/>
          <w:szCs w:val="24"/>
        </w:rPr>
        <w:t xml:space="preserve"> of Alexandretta in the end of 1933 (Khuri 1936, 64).  The resulting number, 29,986 sq km was then divided by the estimate of cultivable land for Syria listed in the beginning of the paper, 53,136 sq km.  It is unclear how much more land settlement occurred in Alexandretta after 1933 since Khoury (1987, 63) notes that the survey was suspended in 1934 for some time, and then in 1936 the crises of Alexandretta began (Arsuzi-Elamir, 2004).    </w:t>
      </w:r>
    </w:p>
  </w:endnote>
  <w:endnote w:id="23">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The evidence also with regard to the size of the holdings is also somewhat contradictory. Khoury (1987, 62) records that “in the Aleppo province the number of small privately-owned holdings decreased as a percentage of the total number of privately-owned holding in the province from 33 to 16 percent between 1924 and 1944. During the same period, the number of medium sized holdings (10 to 100 hectares) increased from 22 to 39 percent and the number of large holdings (over 100 hectares) increased from 24 to 45 percent… Similarly in the Homs district in the late 1930s, 55% of all privately-owned lands belonged to big landowners; and of the 144 villages in the Hama district in 1933, 92 were completely owned by four families.  In both Homs and Hama, the number of owners cultivating their own lands declined under the Mandate.” However, Issawi (1988, 286) writes, “Rough estimates for 1913 show 25 percent of Syria's total area was in small holdings, 15 percent in medium holdings and 60 percent in large holdings; more accurate figures for the Syrian Republic in 1945 are 15, 33 and 29 percent with 23 percent in state holdings.”  Firro (2003, 88) claims that the land registration process in Lebanon also benefited the large landholders, who “were able to transfer most of the registered lands into private estates.”</w:t>
      </w:r>
    </w:p>
  </w:endnote>
  <w:endnote w:id="24">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An intern report of Civil Administration (1921, 10), Hope-Simpson (1930, 109), Palestine Royal Commission (1937, 209), and Peter (2004, 432-440).</w:t>
      </w:r>
    </w:p>
  </w:endnote>
  <w:endnote w:id="25">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Fieldhouse (2006, 328), Khoury (1987, 90) and Smith (1993, 116-132).</w:t>
      </w:r>
    </w:p>
  </w:endnote>
  <w:endnote w:id="26">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Longrigg (1972, 261-265), and Sacher (1976, 132,133). Peter Sluglett (2004: 125) writes “Both France and Britain attempted to introduce meritocratic civil service in the mandated states.”</w:t>
      </w:r>
    </w:p>
  </w:endnote>
  <w:endnote w:id="27">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Abcarius (1938, 509) and Hakim (1936, 345-347).</w:t>
      </w:r>
    </w:p>
  </w:endnote>
  <w:endnote w:id="28">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For more detailed discussion of the difficulties of the werko and tithe taxes, and the new rural tax, see Abcarius (1938, 516-525), Bunton (2007, 139-162), Fischbach (2000, 95-99) and Hakim 1936, pp.344-358.</w:t>
      </w:r>
    </w:p>
  </w:endnote>
  <w:endnote w:id="29">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Hershlag (1980, 258), Konikoff (1946, 91) and </w:t>
      </w:r>
      <w:r w:rsidRPr="00E64D4B">
        <w:rPr>
          <w:rFonts w:asciiTheme="majorBidi" w:hAnsiTheme="majorBidi" w:cstheme="majorBidi"/>
          <w:i/>
          <w:iCs/>
          <w:sz w:val="24"/>
          <w:szCs w:val="24"/>
        </w:rPr>
        <w:t>The Economist</w:t>
      </w:r>
      <w:r w:rsidRPr="00E64D4B">
        <w:rPr>
          <w:rFonts w:asciiTheme="majorBidi" w:hAnsiTheme="majorBidi" w:cstheme="majorBidi"/>
          <w:sz w:val="24"/>
          <w:szCs w:val="24"/>
        </w:rPr>
        <w:t xml:space="preserve"> (1941).</w:t>
      </w:r>
    </w:p>
  </w:endnote>
  <w:endnote w:id="30">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The Palestine Royal Commission (1937, 168) claimed that in Palestine these changes “meant a reduction of 70 percent on the average in taxation payable by cultivators of cereals.”</w:t>
      </w:r>
    </w:p>
  </w:endnote>
  <w:endnote w:id="31">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Hakim (1936, 335), and Himadeh (1936, 437).</w:t>
      </w:r>
    </w:p>
  </w:endnote>
  <w:endnote w:id="32">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Hershlag (1980, 252).  From 1930-1941, Syria had a budget surplus every year, except in 1933 and 1936, and in both of those years the deficit was minute, 0.5% and 0.6% of expenditures.  Lebanon had a budget surplus every year from 1930-1942.  All data from Statistical Handbook (1944, 111).</w:t>
      </w:r>
    </w:p>
  </w:endnote>
  <w:endnote w:id="33">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The grant money only paid for 75% of the costs of the Trans-Jordan Frontier Force, and the rest was paid for by the Palestine government, Abcarius (1938, 544), Statistical Abstract of Palestine (1944-45, 80), and Statistical Handbook (1944, 27).</w:t>
      </w:r>
    </w:p>
  </w:endnote>
  <w:endnote w:id="34">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Statistical Handbook (1944, 124) and </w:t>
      </w:r>
      <w:r w:rsidRPr="00E64D4B">
        <w:rPr>
          <w:rFonts w:asciiTheme="majorBidi" w:hAnsiTheme="majorBidi" w:cstheme="majorBidi"/>
          <w:i/>
          <w:iCs/>
          <w:sz w:val="24"/>
          <w:szCs w:val="24"/>
        </w:rPr>
        <w:t xml:space="preserve">The Economist </w:t>
      </w:r>
      <w:r w:rsidRPr="00E64D4B">
        <w:rPr>
          <w:rFonts w:asciiTheme="majorBidi" w:hAnsiTheme="majorBidi" w:cstheme="majorBidi"/>
          <w:sz w:val="24"/>
          <w:szCs w:val="24"/>
        </w:rPr>
        <w:t>(October 16, 1943, 523).</w:t>
      </w:r>
    </w:p>
  </w:endnote>
  <w:endnote w:id="35">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Metzer presents the data for the Jewish and Arab sectors separately, and Schein (2007) provides the combined data.</w:t>
      </w:r>
    </w:p>
  </w:endnote>
  <w:endnote w:id="36">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Khoury (1987, 12), Statistical Handbook (1944, 99) and Widmer (1936, 5,6). The  data for Syria does not include the </w:t>
      </w:r>
      <w:r w:rsidRPr="00E64D4B">
        <w:rPr>
          <w:rFonts w:asciiTheme="majorBidi" w:hAnsiTheme="majorBidi" w:cstheme="majorBidi"/>
          <w:i/>
          <w:iCs/>
          <w:sz w:val="24"/>
          <w:szCs w:val="24"/>
        </w:rPr>
        <w:t>sanjaq</w:t>
      </w:r>
      <w:r w:rsidRPr="00E64D4B">
        <w:rPr>
          <w:rFonts w:asciiTheme="majorBidi" w:hAnsiTheme="majorBidi" w:cstheme="majorBidi"/>
          <w:sz w:val="24"/>
          <w:szCs w:val="24"/>
        </w:rPr>
        <w:t xml:space="preserve"> of Alexandretta (population 212,000). This very high growth rate makes the numbers suspicious.  Widmer (5) notes that there were problems with the 1922 census so “these statistics are far from reliable.”</w:t>
      </w:r>
    </w:p>
  </w:endnote>
  <w:endnote w:id="37">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Annual Report of Palestine and Trans-Jordan 1938, 369, 370.</w:t>
      </w:r>
    </w:p>
  </w:endnote>
  <w:endnote w:id="38">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Khoury (1987, 11,12). If one excludes Bedouins, the urbanization rate was 34%, while if one includes 350,000 Bedouins to the overall population figures, the urbanization rate falls to 31%.</w:t>
      </w:r>
    </w:p>
  </w:endnote>
  <w:endnote w:id="39">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Statistical Handbook (1944, 99).  Widmer (1936, 9) notes that there are no reliable figures for the urban population in Syria and Lebanon before 1932. A comparison of figures from Widmer for Syria and Lebanon for 1932 reveal little change from 1932 to 1942/43.</w:t>
      </w:r>
    </w:p>
  </w:endnote>
  <w:endnote w:id="40">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Data on cities from Statistical Abstract of Palestine (1944-45, 21,22). Urbanization rate was calculated based on McCarthy's (1990, 35) population estimates.  According to Ben-Arieh's (1975, 68) estimates of Palestine's urban population in 1922, the urbanization rate in Palestine in 1922 was 22.5%.</w:t>
      </w:r>
    </w:p>
  </w:endnote>
  <w:endnote w:id="41">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Data for 1922 from Wilson (1987, 55,56) and data for 1943 from Konikoff (1946, 17,18).</w:t>
      </w:r>
    </w:p>
  </w:endnote>
  <w:endnote w:id="42">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Data from Statistical Handbook (1944, 111).</w:t>
      </w:r>
    </w:p>
  </w:endnote>
  <w:endnote w:id="43">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League of Nations Yearbook (1933-34, Table 107, and 1942-44, Table 93).  Export data includes re-exports and transit trade. Norman Burns and Allen Edwards (1936, 242) write, “In a normal year about 35 per cent of Syrian general export trade is made up of transit.”</w:t>
      </w:r>
    </w:p>
  </w:endnote>
  <w:endnote w:id="44">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Re-exports fell by around 80% during the Great Depression due to tariffs imposed by other countries, Burns and Edwards (1936, 245).  During WWII, exports initially fell, and then they returned to their pre-WWII levels, £S 34,000,000 in 1944 as opposed to £S 36,000,000 in 1939, League of Nations Yearbook (1942-44, Table 93).</w:t>
      </w:r>
    </w:p>
  </w:endnote>
  <w:endnote w:id="45">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Data from Burns and Edwards (1936, 237), Khuri (1936, 76-78) and Statistical Handbook (1944, 102, 110).</w:t>
      </w:r>
    </w:p>
  </w:endnote>
  <w:endnote w:id="46">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Khuri (1936, 709) and Warriner (1957, 72).</w:t>
      </w:r>
    </w:p>
  </w:endnote>
  <w:endnote w:id="47">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Tractors began to be used in Palestine in 1928, and in Syria in 1936, </w:t>
      </w:r>
      <w:r w:rsidRPr="00E64D4B">
        <w:rPr>
          <w:rFonts w:asciiTheme="majorBidi" w:hAnsiTheme="majorBidi" w:cstheme="majorBidi"/>
          <w:i/>
          <w:iCs/>
          <w:sz w:val="24"/>
          <w:szCs w:val="24"/>
        </w:rPr>
        <w:t>The Economist</w:t>
      </w:r>
      <w:r w:rsidRPr="00E64D4B">
        <w:rPr>
          <w:rFonts w:asciiTheme="majorBidi" w:hAnsiTheme="majorBidi" w:cstheme="majorBidi"/>
          <w:sz w:val="24"/>
          <w:szCs w:val="24"/>
        </w:rPr>
        <w:t xml:space="preserve"> (June 12, 1943) and Warriner (1957, 96).  Konikoff (1946, 39) notes that in 1939 there were nine tractors in Trans-Jordan.</w:t>
      </w:r>
    </w:p>
  </w:endnote>
  <w:endnote w:id="48">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Statistical Abstract of Palestine (1944-45, 63).  The population data used for the calculations is from McCarthy (1990, 31,35).</w:t>
      </w:r>
    </w:p>
  </w:endnote>
  <w:endnote w:id="49">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Statistical Abstract of Palestine (1944-45, 63,72).  In terms of output, the number of oranges cases produced increased from 1,385,000 in 1921 to 16,960,900 in 1939, Metzer (1998, 221). For the period from 1921-1939, approximately 85% of the oranges grown were exported.</w:t>
      </w:r>
    </w:p>
  </w:endnote>
  <w:endnote w:id="50">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Statistical Abstract of Palestine (1944-45, 74).  The refinery received oil from Iraq that was sent to Haifa via a pipeline.</w:t>
      </w:r>
    </w:p>
  </w:endnote>
  <w:endnote w:id="51">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Annual Report of Palestine and Trans-Jordan (1931, 177). This figure does not include transit trade and re-exports.  It took longer to begin collecting trade data in Trans-Jordan, and the early trade data is less reliable.</w:t>
      </w:r>
    </w:p>
  </w:endnote>
  <w:endnote w:id="52">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An anonymous reviewer has suggested that the growth in this period might have been due to the Arab revolt in Palestine since this caused a larger presence of British troops in Palestine, there were disruptions in Palestine's agricultural production due to the revolt and possibly demand from Jews and Arabs in Palestine for Jordanian grains increased as part of their mutual economic boycotts.</w:t>
      </w:r>
    </w:p>
  </w:endnote>
  <w:endnote w:id="53">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Statistical Handbook (1944, 122,123), and Annual Reports of Palestine and Trans-Jordan of 1931, 1937 and 1938 . The Trans-Jordan population used to calculate its per capita exports was 300,000 based on the Annual Report (1938, 370).</w:t>
      </w:r>
    </w:p>
  </w:endnote>
  <w:endnote w:id="54">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Amawi (1994) and Mazur (1979, 8,14).</w:t>
      </w:r>
    </w:p>
  </w:endnote>
  <w:endnote w:id="55">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Annual Report of Palestine and Trans-Jordan for the year 1927, 1928, 80.</w:t>
      </w:r>
    </w:p>
  </w:endnote>
  <w:endnote w:id="56">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Fischbach (2000, 127), Konikoff (1946, 42) and Statistical Handbook (1944, 120).</w:t>
      </w:r>
    </w:p>
  </w:endnote>
  <w:endnote w:id="57">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Badre (1971, 162), Hakim (1936, 137), and Saba (1976, 18).  Firro (2003, 82) notes that before WWI there were approximately 200 spinning mills in Lebanon, while at the end of the mandate period there were about 16.  The average production of citrus fruits from 1930-1933 was 32,000 tons and from 1938-1942, 58,000 tons.  Output of grapes in both Syria and Lebanon also increased significantly, from 42,000 tons in 1924 to 201,000 tons in 1938.  Data from Statistical Handbook (1944, 102, 110), and Khuri (1936, 86).</w:t>
      </w:r>
    </w:p>
  </w:endnote>
  <w:endnote w:id="58">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Amadouny (1994, 149), Longrigg (1972, 277), Sawwaf (1938, 332), Statistical Abstract of Palestine, (1944-45, 251), and Statistical Handbook (1944, 124).</w:t>
      </w:r>
    </w:p>
  </w:endnote>
  <w:endnote w:id="59">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Statistical Handbook (1944: pp. 18,107,123).</w:t>
      </w:r>
    </w:p>
  </w:endnote>
  <w:endnote w:id="60">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Annual Report of Palestine and Trans-Jordan (1937, 295,296, 1938, 407), and Longrigg (1972, 279).</w:t>
      </w:r>
    </w:p>
  </w:endnote>
  <w:endnote w:id="61">
    <w:p w:rsidR="00AF3B80" w:rsidRPr="00E64D4B" w:rsidRDefault="00AF3B80" w:rsidP="00E64D4B">
      <w:pPr>
        <w:pStyle w:val="EndnoteText"/>
        <w:spacing w:line="480" w:lineRule="auto"/>
        <w:contextualSpacing/>
        <w:rPr>
          <w:rFonts w:asciiTheme="majorBidi" w:hAnsiTheme="majorBidi" w:cstheme="majorBidi"/>
          <w:sz w:val="24"/>
          <w:szCs w:val="24"/>
        </w:rPr>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Bonne (1955, 307) and Konikoff (1946, 62).</w:t>
      </w:r>
    </w:p>
  </w:endnote>
  <w:endnote w:id="62">
    <w:p w:rsidR="00AF3B80" w:rsidRDefault="00AF3B80" w:rsidP="00A24EBB">
      <w:pPr>
        <w:pStyle w:val="EndnoteText"/>
        <w:spacing w:line="480" w:lineRule="auto"/>
        <w:contextualSpacing/>
      </w:pPr>
      <w:r w:rsidRPr="00E64D4B">
        <w:rPr>
          <w:rStyle w:val="EndnoteReference"/>
          <w:rFonts w:asciiTheme="majorBidi" w:hAnsiTheme="majorBidi" w:cstheme="majorBidi"/>
          <w:sz w:val="24"/>
          <w:szCs w:val="24"/>
        </w:rPr>
        <w:endnoteRef/>
      </w:r>
      <w:r w:rsidRPr="00E64D4B">
        <w:rPr>
          <w:rFonts w:asciiTheme="majorBidi" w:hAnsiTheme="majorBidi" w:cstheme="majorBidi"/>
          <w:sz w:val="24"/>
          <w:szCs w:val="24"/>
        </w:rPr>
        <w:t xml:space="preserve"> Annual fixed capital formation in the Jewish sector of Palestine's economy averaged £P 2,354,800 from 1922-1932, and then from 1933-1938, it averaged £P 8,419,000, Szereszewski (1968, 74). Metzer (1998, 104,105) notes that the ratio of investment to output in the Jewish sector was “extremely high” </w:t>
      </w:r>
      <w:r>
        <w:rPr>
          <w:rFonts w:asciiTheme="majorBidi" w:hAnsiTheme="majorBidi" w:cstheme="majorBidi"/>
          <w:sz w:val="24"/>
          <w:szCs w:val="24"/>
        </w:rPr>
        <w:t xml:space="preserve">from an </w:t>
      </w:r>
      <w:r w:rsidRPr="00E64D4B">
        <w:rPr>
          <w:rFonts w:asciiTheme="majorBidi" w:hAnsiTheme="majorBidi" w:cstheme="majorBidi"/>
          <w:sz w:val="24"/>
          <w:szCs w:val="24"/>
        </w:rPr>
        <w:t xml:space="preserve">international </w:t>
      </w:r>
      <w:r>
        <w:rPr>
          <w:rFonts w:asciiTheme="majorBidi" w:hAnsiTheme="majorBidi" w:cstheme="majorBidi"/>
          <w:sz w:val="24"/>
          <w:szCs w:val="24"/>
        </w:rPr>
        <w:t xml:space="preserve">perspective.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8BF" w:rsidRDefault="00B668BF" w:rsidP="00D73FF8">
      <w:r>
        <w:separator/>
      </w:r>
    </w:p>
  </w:footnote>
  <w:footnote w:type="continuationSeparator" w:id="0">
    <w:p w:rsidR="00B668BF" w:rsidRDefault="00B668BF" w:rsidP="00D73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80" w:rsidRDefault="003419C0">
    <w:pPr>
      <w:pStyle w:val="Header"/>
      <w:jc w:val="right"/>
    </w:pPr>
    <w:fldSimple w:instr=" PAGE   \* MERGEFORMAT ">
      <w:r w:rsidR="009D4F38">
        <w:rPr>
          <w:noProof/>
        </w:rPr>
        <w:t>49</w:t>
      </w:r>
    </w:fldSimple>
  </w:p>
  <w:p w:rsidR="00AF3B80" w:rsidRDefault="00AF3B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4AA4"/>
    <w:multiLevelType w:val="hybridMultilevel"/>
    <w:tmpl w:val="830A9B82"/>
    <w:lvl w:ilvl="0" w:tplc="2F646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019BB"/>
    <w:multiLevelType w:val="hybridMultilevel"/>
    <w:tmpl w:val="4B0A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F5155"/>
    <w:multiLevelType w:val="hybridMultilevel"/>
    <w:tmpl w:val="BE08D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227A8"/>
    <w:multiLevelType w:val="hybridMultilevel"/>
    <w:tmpl w:val="F26A5338"/>
    <w:lvl w:ilvl="0" w:tplc="37A2C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F24CA"/>
    <w:multiLevelType w:val="hybridMultilevel"/>
    <w:tmpl w:val="F0D601FA"/>
    <w:lvl w:ilvl="0" w:tplc="23C465EA">
      <w:start w:val="1"/>
      <w:numFmt w:val="decimal"/>
      <w:lvlText w:val="%1."/>
      <w:lvlJc w:val="left"/>
      <w:pPr>
        <w:ind w:left="720" w:hanging="360"/>
      </w:pPr>
      <w:rPr>
        <w:rFonts w:asciiTheme="majorBidi" w:eastAsia="Times"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rsids>
    <w:rsidRoot w:val="005023EC"/>
    <w:rsid w:val="00001DF9"/>
    <w:rsid w:val="000024AF"/>
    <w:rsid w:val="00006837"/>
    <w:rsid w:val="00006920"/>
    <w:rsid w:val="00010FA5"/>
    <w:rsid w:val="00011029"/>
    <w:rsid w:val="00012839"/>
    <w:rsid w:val="00013DE3"/>
    <w:rsid w:val="000145BB"/>
    <w:rsid w:val="00015965"/>
    <w:rsid w:val="00021803"/>
    <w:rsid w:val="00023687"/>
    <w:rsid w:val="00023F59"/>
    <w:rsid w:val="0002445B"/>
    <w:rsid w:val="00024E5C"/>
    <w:rsid w:val="00026267"/>
    <w:rsid w:val="00026A86"/>
    <w:rsid w:val="00027511"/>
    <w:rsid w:val="00027EDD"/>
    <w:rsid w:val="0003122A"/>
    <w:rsid w:val="00032CC6"/>
    <w:rsid w:val="000356CE"/>
    <w:rsid w:val="0003664C"/>
    <w:rsid w:val="00037DC7"/>
    <w:rsid w:val="0004144A"/>
    <w:rsid w:val="00045F81"/>
    <w:rsid w:val="00047098"/>
    <w:rsid w:val="00047AE7"/>
    <w:rsid w:val="00050621"/>
    <w:rsid w:val="00051120"/>
    <w:rsid w:val="00051567"/>
    <w:rsid w:val="000518D9"/>
    <w:rsid w:val="0005354D"/>
    <w:rsid w:val="0005587E"/>
    <w:rsid w:val="00056BA1"/>
    <w:rsid w:val="00057DC0"/>
    <w:rsid w:val="00060912"/>
    <w:rsid w:val="00062245"/>
    <w:rsid w:val="00063029"/>
    <w:rsid w:val="000647BD"/>
    <w:rsid w:val="00064E20"/>
    <w:rsid w:val="000653B0"/>
    <w:rsid w:val="0006629C"/>
    <w:rsid w:val="00066DD7"/>
    <w:rsid w:val="00066E35"/>
    <w:rsid w:val="00067633"/>
    <w:rsid w:val="00067641"/>
    <w:rsid w:val="00071C8F"/>
    <w:rsid w:val="00074262"/>
    <w:rsid w:val="000747CE"/>
    <w:rsid w:val="00075077"/>
    <w:rsid w:val="00075AAE"/>
    <w:rsid w:val="000775E0"/>
    <w:rsid w:val="00077FE8"/>
    <w:rsid w:val="0008079D"/>
    <w:rsid w:val="0008129D"/>
    <w:rsid w:val="000816C0"/>
    <w:rsid w:val="0008179F"/>
    <w:rsid w:val="00081E84"/>
    <w:rsid w:val="00084CA5"/>
    <w:rsid w:val="00086C67"/>
    <w:rsid w:val="000909A3"/>
    <w:rsid w:val="00092187"/>
    <w:rsid w:val="00092B66"/>
    <w:rsid w:val="0009488E"/>
    <w:rsid w:val="00095F0B"/>
    <w:rsid w:val="000963A2"/>
    <w:rsid w:val="00097E9B"/>
    <w:rsid w:val="000A02B8"/>
    <w:rsid w:val="000A278C"/>
    <w:rsid w:val="000A27E0"/>
    <w:rsid w:val="000A32CB"/>
    <w:rsid w:val="000A3FEC"/>
    <w:rsid w:val="000A6A6B"/>
    <w:rsid w:val="000B0E43"/>
    <w:rsid w:val="000B3A6A"/>
    <w:rsid w:val="000B4358"/>
    <w:rsid w:val="000B5603"/>
    <w:rsid w:val="000B6E9A"/>
    <w:rsid w:val="000C09E9"/>
    <w:rsid w:val="000C1AFB"/>
    <w:rsid w:val="000C1F26"/>
    <w:rsid w:val="000C247D"/>
    <w:rsid w:val="000C2E23"/>
    <w:rsid w:val="000C3784"/>
    <w:rsid w:val="000C55CB"/>
    <w:rsid w:val="000C5A40"/>
    <w:rsid w:val="000C5BEE"/>
    <w:rsid w:val="000C62E8"/>
    <w:rsid w:val="000C7143"/>
    <w:rsid w:val="000C7ACE"/>
    <w:rsid w:val="000D0A76"/>
    <w:rsid w:val="000D11CC"/>
    <w:rsid w:val="000D1446"/>
    <w:rsid w:val="000D1ABF"/>
    <w:rsid w:val="000D2175"/>
    <w:rsid w:val="000D2983"/>
    <w:rsid w:val="000D2EA0"/>
    <w:rsid w:val="000D3542"/>
    <w:rsid w:val="000D3DE8"/>
    <w:rsid w:val="000D53F3"/>
    <w:rsid w:val="000D6CA6"/>
    <w:rsid w:val="000D7580"/>
    <w:rsid w:val="000E0A1D"/>
    <w:rsid w:val="000E0E28"/>
    <w:rsid w:val="000E3FDE"/>
    <w:rsid w:val="000E657B"/>
    <w:rsid w:val="000E6AD8"/>
    <w:rsid w:val="000E7DD9"/>
    <w:rsid w:val="000F23F0"/>
    <w:rsid w:val="000F3D4F"/>
    <w:rsid w:val="000F505E"/>
    <w:rsid w:val="000F52DD"/>
    <w:rsid w:val="000F71A7"/>
    <w:rsid w:val="000F72BC"/>
    <w:rsid w:val="00100610"/>
    <w:rsid w:val="00101820"/>
    <w:rsid w:val="00101FB1"/>
    <w:rsid w:val="00102E86"/>
    <w:rsid w:val="00104115"/>
    <w:rsid w:val="001046CB"/>
    <w:rsid w:val="00104B24"/>
    <w:rsid w:val="00106404"/>
    <w:rsid w:val="00107B7F"/>
    <w:rsid w:val="00107E4D"/>
    <w:rsid w:val="001135E5"/>
    <w:rsid w:val="00115D7E"/>
    <w:rsid w:val="00117279"/>
    <w:rsid w:val="00122AF5"/>
    <w:rsid w:val="00123A82"/>
    <w:rsid w:val="001242D3"/>
    <w:rsid w:val="00124414"/>
    <w:rsid w:val="001305A6"/>
    <w:rsid w:val="00130637"/>
    <w:rsid w:val="00132C71"/>
    <w:rsid w:val="00133965"/>
    <w:rsid w:val="0013482B"/>
    <w:rsid w:val="0013498B"/>
    <w:rsid w:val="00135ED9"/>
    <w:rsid w:val="001370D7"/>
    <w:rsid w:val="001376B0"/>
    <w:rsid w:val="0014019C"/>
    <w:rsid w:val="001419E3"/>
    <w:rsid w:val="001421EF"/>
    <w:rsid w:val="00142931"/>
    <w:rsid w:val="0014355C"/>
    <w:rsid w:val="00143BCA"/>
    <w:rsid w:val="0014460E"/>
    <w:rsid w:val="00144C37"/>
    <w:rsid w:val="00146123"/>
    <w:rsid w:val="00146F1C"/>
    <w:rsid w:val="00146F1E"/>
    <w:rsid w:val="001471BD"/>
    <w:rsid w:val="00147D27"/>
    <w:rsid w:val="00147D9F"/>
    <w:rsid w:val="001501CB"/>
    <w:rsid w:val="00151D73"/>
    <w:rsid w:val="00153303"/>
    <w:rsid w:val="00153B5D"/>
    <w:rsid w:val="001542A6"/>
    <w:rsid w:val="00154EE2"/>
    <w:rsid w:val="0016016F"/>
    <w:rsid w:val="001604D5"/>
    <w:rsid w:val="001613C3"/>
    <w:rsid w:val="00161F25"/>
    <w:rsid w:val="00163CFB"/>
    <w:rsid w:val="00166435"/>
    <w:rsid w:val="001665D8"/>
    <w:rsid w:val="00171FC6"/>
    <w:rsid w:val="0017625D"/>
    <w:rsid w:val="00177754"/>
    <w:rsid w:val="00180275"/>
    <w:rsid w:val="00180729"/>
    <w:rsid w:val="00182D03"/>
    <w:rsid w:val="0018322A"/>
    <w:rsid w:val="00185516"/>
    <w:rsid w:val="001858B5"/>
    <w:rsid w:val="001870A9"/>
    <w:rsid w:val="00187F73"/>
    <w:rsid w:val="00191054"/>
    <w:rsid w:val="001950D6"/>
    <w:rsid w:val="001A04C5"/>
    <w:rsid w:val="001A3FC2"/>
    <w:rsid w:val="001A416B"/>
    <w:rsid w:val="001A4EE2"/>
    <w:rsid w:val="001A6003"/>
    <w:rsid w:val="001A6364"/>
    <w:rsid w:val="001B05AA"/>
    <w:rsid w:val="001B5CB2"/>
    <w:rsid w:val="001B5CD9"/>
    <w:rsid w:val="001B6083"/>
    <w:rsid w:val="001C0A7C"/>
    <w:rsid w:val="001C22F1"/>
    <w:rsid w:val="001C2509"/>
    <w:rsid w:val="001C28D5"/>
    <w:rsid w:val="001C31C9"/>
    <w:rsid w:val="001C408E"/>
    <w:rsid w:val="001C5CDA"/>
    <w:rsid w:val="001C6F1A"/>
    <w:rsid w:val="001C7527"/>
    <w:rsid w:val="001D05FC"/>
    <w:rsid w:val="001D1A79"/>
    <w:rsid w:val="001D2A6A"/>
    <w:rsid w:val="001D3A78"/>
    <w:rsid w:val="001D40BD"/>
    <w:rsid w:val="001D48AD"/>
    <w:rsid w:val="001D4A39"/>
    <w:rsid w:val="001D4AC5"/>
    <w:rsid w:val="001D5462"/>
    <w:rsid w:val="001D5E42"/>
    <w:rsid w:val="001D64E5"/>
    <w:rsid w:val="001D686B"/>
    <w:rsid w:val="001D73C0"/>
    <w:rsid w:val="001E0456"/>
    <w:rsid w:val="001E297B"/>
    <w:rsid w:val="001E4450"/>
    <w:rsid w:val="001E5FB5"/>
    <w:rsid w:val="001E6282"/>
    <w:rsid w:val="001E656E"/>
    <w:rsid w:val="001E7228"/>
    <w:rsid w:val="001F04A0"/>
    <w:rsid w:val="001F16C1"/>
    <w:rsid w:val="001F223F"/>
    <w:rsid w:val="001F2750"/>
    <w:rsid w:val="001F2D83"/>
    <w:rsid w:val="001F4658"/>
    <w:rsid w:val="001F5FC2"/>
    <w:rsid w:val="001F670D"/>
    <w:rsid w:val="00202044"/>
    <w:rsid w:val="00202267"/>
    <w:rsid w:val="00203982"/>
    <w:rsid w:val="00203F7F"/>
    <w:rsid w:val="002074C7"/>
    <w:rsid w:val="0021390B"/>
    <w:rsid w:val="00214BF9"/>
    <w:rsid w:val="00215F9D"/>
    <w:rsid w:val="00222C47"/>
    <w:rsid w:val="002238F4"/>
    <w:rsid w:val="002251DC"/>
    <w:rsid w:val="00227636"/>
    <w:rsid w:val="00227991"/>
    <w:rsid w:val="00227B7A"/>
    <w:rsid w:val="00231C73"/>
    <w:rsid w:val="0023243D"/>
    <w:rsid w:val="0023293E"/>
    <w:rsid w:val="00232BA7"/>
    <w:rsid w:val="00233652"/>
    <w:rsid w:val="00233F56"/>
    <w:rsid w:val="00237477"/>
    <w:rsid w:val="00240CF2"/>
    <w:rsid w:val="002413B2"/>
    <w:rsid w:val="00244919"/>
    <w:rsid w:val="002456F7"/>
    <w:rsid w:val="00246C0A"/>
    <w:rsid w:val="0024731F"/>
    <w:rsid w:val="00251AF5"/>
    <w:rsid w:val="002552A2"/>
    <w:rsid w:val="00255F8B"/>
    <w:rsid w:val="00256299"/>
    <w:rsid w:val="00256D8B"/>
    <w:rsid w:val="00263B77"/>
    <w:rsid w:val="00265D4F"/>
    <w:rsid w:val="00265FA6"/>
    <w:rsid w:val="0026657E"/>
    <w:rsid w:val="002716AA"/>
    <w:rsid w:val="00271E72"/>
    <w:rsid w:val="002734CA"/>
    <w:rsid w:val="00273AEC"/>
    <w:rsid w:val="002745C0"/>
    <w:rsid w:val="00275894"/>
    <w:rsid w:val="00275EB3"/>
    <w:rsid w:val="0027617B"/>
    <w:rsid w:val="00276D63"/>
    <w:rsid w:val="002776DA"/>
    <w:rsid w:val="00277CA7"/>
    <w:rsid w:val="0028078C"/>
    <w:rsid w:val="00280A06"/>
    <w:rsid w:val="00282DE2"/>
    <w:rsid w:val="00283319"/>
    <w:rsid w:val="0028493C"/>
    <w:rsid w:val="00285E1D"/>
    <w:rsid w:val="00294C1F"/>
    <w:rsid w:val="00295160"/>
    <w:rsid w:val="00296D36"/>
    <w:rsid w:val="00297FE8"/>
    <w:rsid w:val="002A0045"/>
    <w:rsid w:val="002A03D3"/>
    <w:rsid w:val="002A25F8"/>
    <w:rsid w:val="002A4AAF"/>
    <w:rsid w:val="002A508E"/>
    <w:rsid w:val="002A68CE"/>
    <w:rsid w:val="002B017C"/>
    <w:rsid w:val="002B1D38"/>
    <w:rsid w:val="002B2458"/>
    <w:rsid w:val="002B282D"/>
    <w:rsid w:val="002B5414"/>
    <w:rsid w:val="002B6C97"/>
    <w:rsid w:val="002C0127"/>
    <w:rsid w:val="002C0834"/>
    <w:rsid w:val="002C1F9A"/>
    <w:rsid w:val="002C2375"/>
    <w:rsid w:val="002C468C"/>
    <w:rsid w:val="002C510D"/>
    <w:rsid w:val="002C53B6"/>
    <w:rsid w:val="002C6F66"/>
    <w:rsid w:val="002C707B"/>
    <w:rsid w:val="002C7108"/>
    <w:rsid w:val="002D06D6"/>
    <w:rsid w:val="002D0852"/>
    <w:rsid w:val="002D13C0"/>
    <w:rsid w:val="002D178B"/>
    <w:rsid w:val="002D1B6C"/>
    <w:rsid w:val="002D2C00"/>
    <w:rsid w:val="002D4393"/>
    <w:rsid w:val="002D4A56"/>
    <w:rsid w:val="002D562A"/>
    <w:rsid w:val="002D6753"/>
    <w:rsid w:val="002D6C4B"/>
    <w:rsid w:val="002E0B5E"/>
    <w:rsid w:val="002E1C7B"/>
    <w:rsid w:val="002E2064"/>
    <w:rsid w:val="002E73F3"/>
    <w:rsid w:val="002E7A3E"/>
    <w:rsid w:val="002E7C10"/>
    <w:rsid w:val="002F04D0"/>
    <w:rsid w:val="002F074F"/>
    <w:rsid w:val="002F1215"/>
    <w:rsid w:val="002F3665"/>
    <w:rsid w:val="002F6A8A"/>
    <w:rsid w:val="0030049A"/>
    <w:rsid w:val="003004B1"/>
    <w:rsid w:val="00306CC0"/>
    <w:rsid w:val="00306E74"/>
    <w:rsid w:val="003109DB"/>
    <w:rsid w:val="00310A55"/>
    <w:rsid w:val="00310F44"/>
    <w:rsid w:val="00312478"/>
    <w:rsid w:val="00313FDC"/>
    <w:rsid w:val="00314017"/>
    <w:rsid w:val="00315202"/>
    <w:rsid w:val="00315EE3"/>
    <w:rsid w:val="003171D2"/>
    <w:rsid w:val="00317ED4"/>
    <w:rsid w:val="00321BBB"/>
    <w:rsid w:val="003223CB"/>
    <w:rsid w:val="003247EA"/>
    <w:rsid w:val="00324F68"/>
    <w:rsid w:val="00325618"/>
    <w:rsid w:val="00327D06"/>
    <w:rsid w:val="00330711"/>
    <w:rsid w:val="00333BCD"/>
    <w:rsid w:val="00335CF0"/>
    <w:rsid w:val="00336FD2"/>
    <w:rsid w:val="00337D07"/>
    <w:rsid w:val="003419C0"/>
    <w:rsid w:val="003458FE"/>
    <w:rsid w:val="003475BA"/>
    <w:rsid w:val="0035064D"/>
    <w:rsid w:val="00350E0E"/>
    <w:rsid w:val="00352B47"/>
    <w:rsid w:val="0035479E"/>
    <w:rsid w:val="003547EF"/>
    <w:rsid w:val="0036002C"/>
    <w:rsid w:val="00361AB4"/>
    <w:rsid w:val="00362276"/>
    <w:rsid w:val="0036265B"/>
    <w:rsid w:val="00362AAC"/>
    <w:rsid w:val="00363D55"/>
    <w:rsid w:val="00365170"/>
    <w:rsid w:val="00366B7E"/>
    <w:rsid w:val="00367D66"/>
    <w:rsid w:val="0037019C"/>
    <w:rsid w:val="003716FC"/>
    <w:rsid w:val="00371B70"/>
    <w:rsid w:val="00372DA5"/>
    <w:rsid w:val="00374589"/>
    <w:rsid w:val="00374983"/>
    <w:rsid w:val="003750A1"/>
    <w:rsid w:val="0037549F"/>
    <w:rsid w:val="0037661A"/>
    <w:rsid w:val="003800AD"/>
    <w:rsid w:val="00385C11"/>
    <w:rsid w:val="003866E3"/>
    <w:rsid w:val="00387087"/>
    <w:rsid w:val="00387690"/>
    <w:rsid w:val="003906B3"/>
    <w:rsid w:val="00391BF3"/>
    <w:rsid w:val="00392C58"/>
    <w:rsid w:val="003953DA"/>
    <w:rsid w:val="003962A8"/>
    <w:rsid w:val="00397038"/>
    <w:rsid w:val="00397117"/>
    <w:rsid w:val="003A045F"/>
    <w:rsid w:val="003A1ABD"/>
    <w:rsid w:val="003A32CE"/>
    <w:rsid w:val="003A33A6"/>
    <w:rsid w:val="003A4195"/>
    <w:rsid w:val="003A45E6"/>
    <w:rsid w:val="003A4636"/>
    <w:rsid w:val="003A6CED"/>
    <w:rsid w:val="003B0EB2"/>
    <w:rsid w:val="003B2964"/>
    <w:rsid w:val="003B2BD6"/>
    <w:rsid w:val="003B3504"/>
    <w:rsid w:val="003B3777"/>
    <w:rsid w:val="003B5FF6"/>
    <w:rsid w:val="003B6878"/>
    <w:rsid w:val="003C16BD"/>
    <w:rsid w:val="003C27AD"/>
    <w:rsid w:val="003C4F5D"/>
    <w:rsid w:val="003C5015"/>
    <w:rsid w:val="003C5210"/>
    <w:rsid w:val="003C699C"/>
    <w:rsid w:val="003D0058"/>
    <w:rsid w:val="003D2045"/>
    <w:rsid w:val="003D3C40"/>
    <w:rsid w:val="003D4200"/>
    <w:rsid w:val="003D6180"/>
    <w:rsid w:val="003D6414"/>
    <w:rsid w:val="003E05E3"/>
    <w:rsid w:val="003E0AC3"/>
    <w:rsid w:val="003E10D8"/>
    <w:rsid w:val="003E12A0"/>
    <w:rsid w:val="003E168B"/>
    <w:rsid w:val="003E1775"/>
    <w:rsid w:val="003E2B7A"/>
    <w:rsid w:val="003E529A"/>
    <w:rsid w:val="003E57DC"/>
    <w:rsid w:val="003E66DF"/>
    <w:rsid w:val="003E67A8"/>
    <w:rsid w:val="003E742B"/>
    <w:rsid w:val="003F11E3"/>
    <w:rsid w:val="003F1B87"/>
    <w:rsid w:val="003F1E6B"/>
    <w:rsid w:val="003F35B2"/>
    <w:rsid w:val="003F3CAE"/>
    <w:rsid w:val="003F5C11"/>
    <w:rsid w:val="003F6F76"/>
    <w:rsid w:val="0040146B"/>
    <w:rsid w:val="00403B2B"/>
    <w:rsid w:val="004041EF"/>
    <w:rsid w:val="00404493"/>
    <w:rsid w:val="00405052"/>
    <w:rsid w:val="0040730E"/>
    <w:rsid w:val="0041000D"/>
    <w:rsid w:val="00410769"/>
    <w:rsid w:val="00411184"/>
    <w:rsid w:val="00411E09"/>
    <w:rsid w:val="00413E12"/>
    <w:rsid w:val="00414C67"/>
    <w:rsid w:val="00415B36"/>
    <w:rsid w:val="00416FBD"/>
    <w:rsid w:val="0041703B"/>
    <w:rsid w:val="004174FF"/>
    <w:rsid w:val="00417C71"/>
    <w:rsid w:val="00420690"/>
    <w:rsid w:val="0042363C"/>
    <w:rsid w:val="004239D2"/>
    <w:rsid w:val="00423ACA"/>
    <w:rsid w:val="0042409C"/>
    <w:rsid w:val="0042458C"/>
    <w:rsid w:val="0042567D"/>
    <w:rsid w:val="00425735"/>
    <w:rsid w:val="004305D2"/>
    <w:rsid w:val="00430E3A"/>
    <w:rsid w:val="004327DC"/>
    <w:rsid w:val="00433490"/>
    <w:rsid w:val="0043475B"/>
    <w:rsid w:val="00436345"/>
    <w:rsid w:val="004377C0"/>
    <w:rsid w:val="0044580F"/>
    <w:rsid w:val="00447A41"/>
    <w:rsid w:val="00450692"/>
    <w:rsid w:val="00452CFD"/>
    <w:rsid w:val="0046133F"/>
    <w:rsid w:val="0046232C"/>
    <w:rsid w:val="004646D2"/>
    <w:rsid w:val="00464B66"/>
    <w:rsid w:val="00464D9F"/>
    <w:rsid w:val="004662F8"/>
    <w:rsid w:val="0046799A"/>
    <w:rsid w:val="00467A18"/>
    <w:rsid w:val="00467D79"/>
    <w:rsid w:val="004705F7"/>
    <w:rsid w:val="00472006"/>
    <w:rsid w:val="004721B3"/>
    <w:rsid w:val="00473195"/>
    <w:rsid w:val="00476808"/>
    <w:rsid w:val="00477B83"/>
    <w:rsid w:val="004828BC"/>
    <w:rsid w:val="00482F16"/>
    <w:rsid w:val="00484FB9"/>
    <w:rsid w:val="004856A6"/>
    <w:rsid w:val="00486A12"/>
    <w:rsid w:val="00486ED4"/>
    <w:rsid w:val="00490757"/>
    <w:rsid w:val="00490BBE"/>
    <w:rsid w:val="004919B1"/>
    <w:rsid w:val="00491C00"/>
    <w:rsid w:val="004936D1"/>
    <w:rsid w:val="004963FA"/>
    <w:rsid w:val="004978AD"/>
    <w:rsid w:val="004A0828"/>
    <w:rsid w:val="004A1038"/>
    <w:rsid w:val="004A1984"/>
    <w:rsid w:val="004A2205"/>
    <w:rsid w:val="004A305A"/>
    <w:rsid w:val="004A3C1D"/>
    <w:rsid w:val="004A4E4A"/>
    <w:rsid w:val="004A61D6"/>
    <w:rsid w:val="004A61F5"/>
    <w:rsid w:val="004A636B"/>
    <w:rsid w:val="004A7135"/>
    <w:rsid w:val="004B109A"/>
    <w:rsid w:val="004B182A"/>
    <w:rsid w:val="004B1B02"/>
    <w:rsid w:val="004B2B44"/>
    <w:rsid w:val="004B37C8"/>
    <w:rsid w:val="004B3940"/>
    <w:rsid w:val="004B473C"/>
    <w:rsid w:val="004B798A"/>
    <w:rsid w:val="004C1E5E"/>
    <w:rsid w:val="004C2567"/>
    <w:rsid w:val="004C2620"/>
    <w:rsid w:val="004C3106"/>
    <w:rsid w:val="004C3EB0"/>
    <w:rsid w:val="004C4468"/>
    <w:rsid w:val="004C49BD"/>
    <w:rsid w:val="004C4A38"/>
    <w:rsid w:val="004C4EBD"/>
    <w:rsid w:val="004C639E"/>
    <w:rsid w:val="004C7D66"/>
    <w:rsid w:val="004D1375"/>
    <w:rsid w:val="004D146A"/>
    <w:rsid w:val="004D1BCC"/>
    <w:rsid w:val="004D2A6F"/>
    <w:rsid w:val="004D33BA"/>
    <w:rsid w:val="004D4272"/>
    <w:rsid w:val="004D436B"/>
    <w:rsid w:val="004D50EF"/>
    <w:rsid w:val="004E0448"/>
    <w:rsid w:val="004E2141"/>
    <w:rsid w:val="004E356A"/>
    <w:rsid w:val="004E7616"/>
    <w:rsid w:val="004E798D"/>
    <w:rsid w:val="004E7EEC"/>
    <w:rsid w:val="004F0284"/>
    <w:rsid w:val="004F62E2"/>
    <w:rsid w:val="004F65A1"/>
    <w:rsid w:val="004F68B6"/>
    <w:rsid w:val="004F72EE"/>
    <w:rsid w:val="00501046"/>
    <w:rsid w:val="00501D49"/>
    <w:rsid w:val="00501E27"/>
    <w:rsid w:val="005023EC"/>
    <w:rsid w:val="00502D11"/>
    <w:rsid w:val="005052D8"/>
    <w:rsid w:val="00505799"/>
    <w:rsid w:val="00505935"/>
    <w:rsid w:val="00505B0F"/>
    <w:rsid w:val="0050634D"/>
    <w:rsid w:val="005064FC"/>
    <w:rsid w:val="00507527"/>
    <w:rsid w:val="005100CA"/>
    <w:rsid w:val="005108F8"/>
    <w:rsid w:val="005126EF"/>
    <w:rsid w:val="00514605"/>
    <w:rsid w:val="0051682A"/>
    <w:rsid w:val="00517623"/>
    <w:rsid w:val="00520146"/>
    <w:rsid w:val="00520B85"/>
    <w:rsid w:val="00521E71"/>
    <w:rsid w:val="00523274"/>
    <w:rsid w:val="00523693"/>
    <w:rsid w:val="00523BC6"/>
    <w:rsid w:val="00525B88"/>
    <w:rsid w:val="005277A0"/>
    <w:rsid w:val="00530C32"/>
    <w:rsid w:val="00532325"/>
    <w:rsid w:val="00532461"/>
    <w:rsid w:val="00532DFB"/>
    <w:rsid w:val="00534D1B"/>
    <w:rsid w:val="00535581"/>
    <w:rsid w:val="00535B6B"/>
    <w:rsid w:val="00535D69"/>
    <w:rsid w:val="00535F9B"/>
    <w:rsid w:val="00541616"/>
    <w:rsid w:val="005448A7"/>
    <w:rsid w:val="00553A07"/>
    <w:rsid w:val="005546F9"/>
    <w:rsid w:val="00555275"/>
    <w:rsid w:val="0055658F"/>
    <w:rsid w:val="00561596"/>
    <w:rsid w:val="0056338F"/>
    <w:rsid w:val="005638F6"/>
    <w:rsid w:val="00563EA8"/>
    <w:rsid w:val="00564AB7"/>
    <w:rsid w:val="00570436"/>
    <w:rsid w:val="00570897"/>
    <w:rsid w:val="00570B66"/>
    <w:rsid w:val="005711A1"/>
    <w:rsid w:val="00575B70"/>
    <w:rsid w:val="00576C34"/>
    <w:rsid w:val="0057777C"/>
    <w:rsid w:val="00577817"/>
    <w:rsid w:val="00580D32"/>
    <w:rsid w:val="00580FF3"/>
    <w:rsid w:val="00585CD2"/>
    <w:rsid w:val="00586075"/>
    <w:rsid w:val="005865F8"/>
    <w:rsid w:val="00586BD7"/>
    <w:rsid w:val="00587078"/>
    <w:rsid w:val="00591823"/>
    <w:rsid w:val="00594D13"/>
    <w:rsid w:val="005953D8"/>
    <w:rsid w:val="00596788"/>
    <w:rsid w:val="0059735B"/>
    <w:rsid w:val="00597F63"/>
    <w:rsid w:val="005A126F"/>
    <w:rsid w:val="005A1283"/>
    <w:rsid w:val="005A23BF"/>
    <w:rsid w:val="005A4173"/>
    <w:rsid w:val="005A41B4"/>
    <w:rsid w:val="005B07B0"/>
    <w:rsid w:val="005B1F3A"/>
    <w:rsid w:val="005B21D1"/>
    <w:rsid w:val="005B2967"/>
    <w:rsid w:val="005B2F1E"/>
    <w:rsid w:val="005B35A5"/>
    <w:rsid w:val="005B4030"/>
    <w:rsid w:val="005B42E7"/>
    <w:rsid w:val="005B5488"/>
    <w:rsid w:val="005B77C8"/>
    <w:rsid w:val="005B7B25"/>
    <w:rsid w:val="005C147C"/>
    <w:rsid w:val="005C1FAF"/>
    <w:rsid w:val="005C4A28"/>
    <w:rsid w:val="005C4DA2"/>
    <w:rsid w:val="005C52B4"/>
    <w:rsid w:val="005C6C15"/>
    <w:rsid w:val="005C74CF"/>
    <w:rsid w:val="005C7E86"/>
    <w:rsid w:val="005D03F8"/>
    <w:rsid w:val="005D0A11"/>
    <w:rsid w:val="005D0B7B"/>
    <w:rsid w:val="005D10DD"/>
    <w:rsid w:val="005D17E6"/>
    <w:rsid w:val="005D1FAA"/>
    <w:rsid w:val="005D31BA"/>
    <w:rsid w:val="005D3DAF"/>
    <w:rsid w:val="005D5907"/>
    <w:rsid w:val="005D6590"/>
    <w:rsid w:val="005D6770"/>
    <w:rsid w:val="005D6C32"/>
    <w:rsid w:val="005D7495"/>
    <w:rsid w:val="005E04F5"/>
    <w:rsid w:val="005E226B"/>
    <w:rsid w:val="005E29C7"/>
    <w:rsid w:val="005E3237"/>
    <w:rsid w:val="005E34A7"/>
    <w:rsid w:val="005E5370"/>
    <w:rsid w:val="005E5F72"/>
    <w:rsid w:val="005E7038"/>
    <w:rsid w:val="005F07D4"/>
    <w:rsid w:val="005F39E3"/>
    <w:rsid w:val="005F4463"/>
    <w:rsid w:val="005F5976"/>
    <w:rsid w:val="005F65BC"/>
    <w:rsid w:val="0060097D"/>
    <w:rsid w:val="00600A8B"/>
    <w:rsid w:val="006016A5"/>
    <w:rsid w:val="00602352"/>
    <w:rsid w:val="006027EF"/>
    <w:rsid w:val="006033A2"/>
    <w:rsid w:val="00605A25"/>
    <w:rsid w:val="006113E0"/>
    <w:rsid w:val="0061280F"/>
    <w:rsid w:val="00612D58"/>
    <w:rsid w:val="00613D6A"/>
    <w:rsid w:val="00615A7A"/>
    <w:rsid w:val="00617278"/>
    <w:rsid w:val="00617895"/>
    <w:rsid w:val="006205B0"/>
    <w:rsid w:val="00620C88"/>
    <w:rsid w:val="00620D39"/>
    <w:rsid w:val="006224BB"/>
    <w:rsid w:val="006243B7"/>
    <w:rsid w:val="00625352"/>
    <w:rsid w:val="00625D18"/>
    <w:rsid w:val="00626B63"/>
    <w:rsid w:val="006273D3"/>
    <w:rsid w:val="00627F9E"/>
    <w:rsid w:val="00632C0D"/>
    <w:rsid w:val="00632DAB"/>
    <w:rsid w:val="0063314C"/>
    <w:rsid w:val="0063320B"/>
    <w:rsid w:val="00633335"/>
    <w:rsid w:val="00634AC1"/>
    <w:rsid w:val="006360D8"/>
    <w:rsid w:val="00640C27"/>
    <w:rsid w:val="00640C51"/>
    <w:rsid w:val="006414A7"/>
    <w:rsid w:val="006424A7"/>
    <w:rsid w:val="006428F9"/>
    <w:rsid w:val="00643A3B"/>
    <w:rsid w:val="00644169"/>
    <w:rsid w:val="006444AA"/>
    <w:rsid w:val="00645DDF"/>
    <w:rsid w:val="00646033"/>
    <w:rsid w:val="006476EF"/>
    <w:rsid w:val="00647932"/>
    <w:rsid w:val="006479BF"/>
    <w:rsid w:val="00651A0B"/>
    <w:rsid w:val="006531A7"/>
    <w:rsid w:val="006545B0"/>
    <w:rsid w:val="00655D4B"/>
    <w:rsid w:val="00655E09"/>
    <w:rsid w:val="00656238"/>
    <w:rsid w:val="00656811"/>
    <w:rsid w:val="00657692"/>
    <w:rsid w:val="00657DFD"/>
    <w:rsid w:val="0066080C"/>
    <w:rsid w:val="00661689"/>
    <w:rsid w:val="00661A5D"/>
    <w:rsid w:val="00661FC1"/>
    <w:rsid w:val="00662CAB"/>
    <w:rsid w:val="0066354C"/>
    <w:rsid w:val="006637F7"/>
    <w:rsid w:val="0066589D"/>
    <w:rsid w:val="006668EC"/>
    <w:rsid w:val="00667007"/>
    <w:rsid w:val="0066799F"/>
    <w:rsid w:val="00670D4B"/>
    <w:rsid w:val="00670F9C"/>
    <w:rsid w:val="006720E1"/>
    <w:rsid w:val="0067223F"/>
    <w:rsid w:val="006722CE"/>
    <w:rsid w:val="00672CD3"/>
    <w:rsid w:val="00673FDD"/>
    <w:rsid w:val="00674550"/>
    <w:rsid w:val="006755F2"/>
    <w:rsid w:val="0067630B"/>
    <w:rsid w:val="006775D1"/>
    <w:rsid w:val="00677946"/>
    <w:rsid w:val="00683B42"/>
    <w:rsid w:val="00685108"/>
    <w:rsid w:val="006856A7"/>
    <w:rsid w:val="00686AA3"/>
    <w:rsid w:val="006872F6"/>
    <w:rsid w:val="0069111B"/>
    <w:rsid w:val="00693CAE"/>
    <w:rsid w:val="00694A86"/>
    <w:rsid w:val="006A111E"/>
    <w:rsid w:val="006A1302"/>
    <w:rsid w:val="006A3C68"/>
    <w:rsid w:val="006A42C9"/>
    <w:rsid w:val="006A4775"/>
    <w:rsid w:val="006A5250"/>
    <w:rsid w:val="006A7111"/>
    <w:rsid w:val="006A7D53"/>
    <w:rsid w:val="006B2E4F"/>
    <w:rsid w:val="006B406B"/>
    <w:rsid w:val="006B672C"/>
    <w:rsid w:val="006C2C3B"/>
    <w:rsid w:val="006C3081"/>
    <w:rsid w:val="006C3926"/>
    <w:rsid w:val="006C3F9B"/>
    <w:rsid w:val="006C41E2"/>
    <w:rsid w:val="006C5E2F"/>
    <w:rsid w:val="006C75B6"/>
    <w:rsid w:val="006D1076"/>
    <w:rsid w:val="006D21BF"/>
    <w:rsid w:val="006D24FC"/>
    <w:rsid w:val="006D2C6E"/>
    <w:rsid w:val="006D3710"/>
    <w:rsid w:val="006D3A03"/>
    <w:rsid w:val="006D4DB8"/>
    <w:rsid w:val="006D50DE"/>
    <w:rsid w:val="006D6322"/>
    <w:rsid w:val="006D797F"/>
    <w:rsid w:val="006E0718"/>
    <w:rsid w:val="006E0E11"/>
    <w:rsid w:val="006E1789"/>
    <w:rsid w:val="006E302A"/>
    <w:rsid w:val="006E404C"/>
    <w:rsid w:val="006E408D"/>
    <w:rsid w:val="006E4E9B"/>
    <w:rsid w:val="006E613C"/>
    <w:rsid w:val="006E63D7"/>
    <w:rsid w:val="006E7007"/>
    <w:rsid w:val="006E7556"/>
    <w:rsid w:val="006E7C11"/>
    <w:rsid w:val="006E7C16"/>
    <w:rsid w:val="006E7D40"/>
    <w:rsid w:val="006F5709"/>
    <w:rsid w:val="006F5DB3"/>
    <w:rsid w:val="006F60C0"/>
    <w:rsid w:val="006F74E9"/>
    <w:rsid w:val="00702029"/>
    <w:rsid w:val="0070352E"/>
    <w:rsid w:val="007046BD"/>
    <w:rsid w:val="00705AE2"/>
    <w:rsid w:val="007066AC"/>
    <w:rsid w:val="007069D7"/>
    <w:rsid w:val="007105E9"/>
    <w:rsid w:val="0071068C"/>
    <w:rsid w:val="00713BA6"/>
    <w:rsid w:val="00714C3F"/>
    <w:rsid w:val="00714F8F"/>
    <w:rsid w:val="00715FA1"/>
    <w:rsid w:val="007166C4"/>
    <w:rsid w:val="00716A28"/>
    <w:rsid w:val="0072053E"/>
    <w:rsid w:val="00720CA5"/>
    <w:rsid w:val="00721F0B"/>
    <w:rsid w:val="007225BC"/>
    <w:rsid w:val="00722A3A"/>
    <w:rsid w:val="007231FD"/>
    <w:rsid w:val="007235D2"/>
    <w:rsid w:val="00723F3A"/>
    <w:rsid w:val="00723FC0"/>
    <w:rsid w:val="00724B96"/>
    <w:rsid w:val="0072594F"/>
    <w:rsid w:val="007265A1"/>
    <w:rsid w:val="007266A9"/>
    <w:rsid w:val="007275B6"/>
    <w:rsid w:val="00732F8F"/>
    <w:rsid w:val="0073325B"/>
    <w:rsid w:val="00733764"/>
    <w:rsid w:val="00734944"/>
    <w:rsid w:val="007352AA"/>
    <w:rsid w:val="00735B91"/>
    <w:rsid w:val="00736691"/>
    <w:rsid w:val="00736B2F"/>
    <w:rsid w:val="00737270"/>
    <w:rsid w:val="00741EF8"/>
    <w:rsid w:val="007429C1"/>
    <w:rsid w:val="00743679"/>
    <w:rsid w:val="00747E06"/>
    <w:rsid w:val="00750231"/>
    <w:rsid w:val="00751BCA"/>
    <w:rsid w:val="00754280"/>
    <w:rsid w:val="00755133"/>
    <w:rsid w:val="00756309"/>
    <w:rsid w:val="00756457"/>
    <w:rsid w:val="007609DE"/>
    <w:rsid w:val="00761A98"/>
    <w:rsid w:val="007627FE"/>
    <w:rsid w:val="00767320"/>
    <w:rsid w:val="00767811"/>
    <w:rsid w:val="00767A1B"/>
    <w:rsid w:val="00771042"/>
    <w:rsid w:val="0077373B"/>
    <w:rsid w:val="007748BC"/>
    <w:rsid w:val="0077703D"/>
    <w:rsid w:val="007772F3"/>
    <w:rsid w:val="00777779"/>
    <w:rsid w:val="00777969"/>
    <w:rsid w:val="00781DC9"/>
    <w:rsid w:val="00782D09"/>
    <w:rsid w:val="007861BC"/>
    <w:rsid w:val="00786D3C"/>
    <w:rsid w:val="00787634"/>
    <w:rsid w:val="00790B5A"/>
    <w:rsid w:val="00793C36"/>
    <w:rsid w:val="007959A0"/>
    <w:rsid w:val="007A0268"/>
    <w:rsid w:val="007A3516"/>
    <w:rsid w:val="007A4514"/>
    <w:rsid w:val="007A4B7E"/>
    <w:rsid w:val="007A51DA"/>
    <w:rsid w:val="007A5FDA"/>
    <w:rsid w:val="007A68AF"/>
    <w:rsid w:val="007A69DB"/>
    <w:rsid w:val="007A6CB6"/>
    <w:rsid w:val="007B1EB6"/>
    <w:rsid w:val="007B2190"/>
    <w:rsid w:val="007B2E71"/>
    <w:rsid w:val="007B3F8A"/>
    <w:rsid w:val="007B5E4A"/>
    <w:rsid w:val="007B61EC"/>
    <w:rsid w:val="007B6839"/>
    <w:rsid w:val="007B6D4F"/>
    <w:rsid w:val="007C0797"/>
    <w:rsid w:val="007C0C95"/>
    <w:rsid w:val="007C297C"/>
    <w:rsid w:val="007C33C4"/>
    <w:rsid w:val="007C359F"/>
    <w:rsid w:val="007C5B5C"/>
    <w:rsid w:val="007C5F32"/>
    <w:rsid w:val="007C732A"/>
    <w:rsid w:val="007D21A1"/>
    <w:rsid w:val="007D3641"/>
    <w:rsid w:val="007D3671"/>
    <w:rsid w:val="007D3A11"/>
    <w:rsid w:val="007D3CD7"/>
    <w:rsid w:val="007D4916"/>
    <w:rsid w:val="007E1DCE"/>
    <w:rsid w:val="007E6D8A"/>
    <w:rsid w:val="007F58DD"/>
    <w:rsid w:val="007F630B"/>
    <w:rsid w:val="007F6472"/>
    <w:rsid w:val="007F743E"/>
    <w:rsid w:val="007F7700"/>
    <w:rsid w:val="007F7FB7"/>
    <w:rsid w:val="008014D5"/>
    <w:rsid w:val="00801809"/>
    <w:rsid w:val="00801AC0"/>
    <w:rsid w:val="0080216C"/>
    <w:rsid w:val="00802A7D"/>
    <w:rsid w:val="00803238"/>
    <w:rsid w:val="00803DC5"/>
    <w:rsid w:val="00806BA3"/>
    <w:rsid w:val="00806C64"/>
    <w:rsid w:val="00807DFF"/>
    <w:rsid w:val="008101C6"/>
    <w:rsid w:val="00810316"/>
    <w:rsid w:val="0081037E"/>
    <w:rsid w:val="008135DF"/>
    <w:rsid w:val="00813D7C"/>
    <w:rsid w:val="00817AAE"/>
    <w:rsid w:val="0082028F"/>
    <w:rsid w:val="00821079"/>
    <w:rsid w:val="0082239C"/>
    <w:rsid w:val="008225FC"/>
    <w:rsid w:val="008228FC"/>
    <w:rsid w:val="008229BF"/>
    <w:rsid w:val="00825D1E"/>
    <w:rsid w:val="008264A3"/>
    <w:rsid w:val="0083066A"/>
    <w:rsid w:val="00833D22"/>
    <w:rsid w:val="008341FA"/>
    <w:rsid w:val="00834695"/>
    <w:rsid w:val="0083737A"/>
    <w:rsid w:val="00837B91"/>
    <w:rsid w:val="00840B3D"/>
    <w:rsid w:val="00841454"/>
    <w:rsid w:val="00841A02"/>
    <w:rsid w:val="00841CF2"/>
    <w:rsid w:val="00842145"/>
    <w:rsid w:val="0084232E"/>
    <w:rsid w:val="00842B07"/>
    <w:rsid w:val="00842D8B"/>
    <w:rsid w:val="0084335E"/>
    <w:rsid w:val="0084405D"/>
    <w:rsid w:val="00845063"/>
    <w:rsid w:val="00847C6B"/>
    <w:rsid w:val="00850666"/>
    <w:rsid w:val="0085276E"/>
    <w:rsid w:val="00854AE5"/>
    <w:rsid w:val="00855FE2"/>
    <w:rsid w:val="00856B69"/>
    <w:rsid w:val="00857B66"/>
    <w:rsid w:val="008604CB"/>
    <w:rsid w:val="00860CC7"/>
    <w:rsid w:val="0086366E"/>
    <w:rsid w:val="008643FA"/>
    <w:rsid w:val="0087213B"/>
    <w:rsid w:val="00872283"/>
    <w:rsid w:val="008723C9"/>
    <w:rsid w:val="00873B26"/>
    <w:rsid w:val="00873F85"/>
    <w:rsid w:val="00874682"/>
    <w:rsid w:val="00874C99"/>
    <w:rsid w:val="00874E47"/>
    <w:rsid w:val="008760F7"/>
    <w:rsid w:val="0087649C"/>
    <w:rsid w:val="00877F7F"/>
    <w:rsid w:val="00882083"/>
    <w:rsid w:val="008823F8"/>
    <w:rsid w:val="008839E8"/>
    <w:rsid w:val="00884495"/>
    <w:rsid w:val="00884B3C"/>
    <w:rsid w:val="00884C63"/>
    <w:rsid w:val="00885BEC"/>
    <w:rsid w:val="00886607"/>
    <w:rsid w:val="00886ECF"/>
    <w:rsid w:val="0088721C"/>
    <w:rsid w:val="008925DC"/>
    <w:rsid w:val="008926BD"/>
    <w:rsid w:val="008927CC"/>
    <w:rsid w:val="00892DEA"/>
    <w:rsid w:val="008948A2"/>
    <w:rsid w:val="00894963"/>
    <w:rsid w:val="008949FB"/>
    <w:rsid w:val="00894A2D"/>
    <w:rsid w:val="008957C7"/>
    <w:rsid w:val="00895A16"/>
    <w:rsid w:val="00896156"/>
    <w:rsid w:val="00896CA7"/>
    <w:rsid w:val="00897264"/>
    <w:rsid w:val="008A3500"/>
    <w:rsid w:val="008A38D9"/>
    <w:rsid w:val="008A4670"/>
    <w:rsid w:val="008A5C2C"/>
    <w:rsid w:val="008A621E"/>
    <w:rsid w:val="008A6403"/>
    <w:rsid w:val="008B02F7"/>
    <w:rsid w:val="008B0F90"/>
    <w:rsid w:val="008B1891"/>
    <w:rsid w:val="008B3472"/>
    <w:rsid w:val="008B39E7"/>
    <w:rsid w:val="008B5B8F"/>
    <w:rsid w:val="008B7851"/>
    <w:rsid w:val="008C0CCD"/>
    <w:rsid w:val="008C20AE"/>
    <w:rsid w:val="008C2218"/>
    <w:rsid w:val="008C251B"/>
    <w:rsid w:val="008C4498"/>
    <w:rsid w:val="008C70AE"/>
    <w:rsid w:val="008C7D08"/>
    <w:rsid w:val="008D04EF"/>
    <w:rsid w:val="008D1713"/>
    <w:rsid w:val="008D1F6F"/>
    <w:rsid w:val="008D2790"/>
    <w:rsid w:val="008D31FF"/>
    <w:rsid w:val="008E016C"/>
    <w:rsid w:val="008E20DD"/>
    <w:rsid w:val="008E30FB"/>
    <w:rsid w:val="008E35D9"/>
    <w:rsid w:val="008E36F7"/>
    <w:rsid w:val="008E4D8F"/>
    <w:rsid w:val="008E6827"/>
    <w:rsid w:val="008F02AD"/>
    <w:rsid w:val="008F3649"/>
    <w:rsid w:val="008F3675"/>
    <w:rsid w:val="008F3F86"/>
    <w:rsid w:val="008F45C3"/>
    <w:rsid w:val="008F4F2F"/>
    <w:rsid w:val="008F61FE"/>
    <w:rsid w:val="008F6A27"/>
    <w:rsid w:val="008F6A5B"/>
    <w:rsid w:val="008F721B"/>
    <w:rsid w:val="008F77BA"/>
    <w:rsid w:val="009001E6"/>
    <w:rsid w:val="00900C82"/>
    <w:rsid w:val="009015B8"/>
    <w:rsid w:val="009031B3"/>
    <w:rsid w:val="00903381"/>
    <w:rsid w:val="00904208"/>
    <w:rsid w:val="0090484A"/>
    <w:rsid w:val="00904A57"/>
    <w:rsid w:val="00905A39"/>
    <w:rsid w:val="00911129"/>
    <w:rsid w:val="0091218D"/>
    <w:rsid w:val="009132FC"/>
    <w:rsid w:val="00913313"/>
    <w:rsid w:val="00916C14"/>
    <w:rsid w:val="009173D1"/>
    <w:rsid w:val="00922275"/>
    <w:rsid w:val="0092372F"/>
    <w:rsid w:val="00923E14"/>
    <w:rsid w:val="00926BF3"/>
    <w:rsid w:val="009307ED"/>
    <w:rsid w:val="00930A39"/>
    <w:rsid w:val="00931380"/>
    <w:rsid w:val="00933294"/>
    <w:rsid w:val="009335A2"/>
    <w:rsid w:val="00933C1D"/>
    <w:rsid w:val="009345BA"/>
    <w:rsid w:val="00934F3D"/>
    <w:rsid w:val="00935371"/>
    <w:rsid w:val="00935B85"/>
    <w:rsid w:val="00936247"/>
    <w:rsid w:val="0093677C"/>
    <w:rsid w:val="009434FA"/>
    <w:rsid w:val="009440E3"/>
    <w:rsid w:val="009448C7"/>
    <w:rsid w:val="00944F71"/>
    <w:rsid w:val="00945431"/>
    <w:rsid w:val="00946135"/>
    <w:rsid w:val="00946500"/>
    <w:rsid w:val="0094742C"/>
    <w:rsid w:val="009517B6"/>
    <w:rsid w:val="00952DAC"/>
    <w:rsid w:val="00953772"/>
    <w:rsid w:val="009539B8"/>
    <w:rsid w:val="0095491C"/>
    <w:rsid w:val="00954F75"/>
    <w:rsid w:val="00955DF6"/>
    <w:rsid w:val="00956700"/>
    <w:rsid w:val="0095693B"/>
    <w:rsid w:val="0096549F"/>
    <w:rsid w:val="00965A17"/>
    <w:rsid w:val="00965C2E"/>
    <w:rsid w:val="009677F0"/>
    <w:rsid w:val="00967D4D"/>
    <w:rsid w:val="00970E7B"/>
    <w:rsid w:val="00973130"/>
    <w:rsid w:val="009739E4"/>
    <w:rsid w:val="00973DA2"/>
    <w:rsid w:val="00973FB7"/>
    <w:rsid w:val="009744A7"/>
    <w:rsid w:val="009763C3"/>
    <w:rsid w:val="00977CFA"/>
    <w:rsid w:val="00980A1E"/>
    <w:rsid w:val="00981A55"/>
    <w:rsid w:val="009826B0"/>
    <w:rsid w:val="00985259"/>
    <w:rsid w:val="00985885"/>
    <w:rsid w:val="009866F1"/>
    <w:rsid w:val="009900BE"/>
    <w:rsid w:val="00993768"/>
    <w:rsid w:val="009956BE"/>
    <w:rsid w:val="009961E5"/>
    <w:rsid w:val="00996A4E"/>
    <w:rsid w:val="00997370"/>
    <w:rsid w:val="009A6283"/>
    <w:rsid w:val="009A78D7"/>
    <w:rsid w:val="009B0376"/>
    <w:rsid w:val="009B0B3B"/>
    <w:rsid w:val="009B104C"/>
    <w:rsid w:val="009B1899"/>
    <w:rsid w:val="009B5AF7"/>
    <w:rsid w:val="009B6705"/>
    <w:rsid w:val="009C1748"/>
    <w:rsid w:val="009C4368"/>
    <w:rsid w:val="009C53DC"/>
    <w:rsid w:val="009D041A"/>
    <w:rsid w:val="009D0804"/>
    <w:rsid w:val="009D1DA5"/>
    <w:rsid w:val="009D2CA9"/>
    <w:rsid w:val="009D37EB"/>
    <w:rsid w:val="009D3B25"/>
    <w:rsid w:val="009D3E62"/>
    <w:rsid w:val="009D44C1"/>
    <w:rsid w:val="009D47DF"/>
    <w:rsid w:val="009D4F38"/>
    <w:rsid w:val="009D500B"/>
    <w:rsid w:val="009D528F"/>
    <w:rsid w:val="009D5AB0"/>
    <w:rsid w:val="009D6678"/>
    <w:rsid w:val="009D683A"/>
    <w:rsid w:val="009D7351"/>
    <w:rsid w:val="009E3D23"/>
    <w:rsid w:val="009E3D94"/>
    <w:rsid w:val="009E677E"/>
    <w:rsid w:val="009F1958"/>
    <w:rsid w:val="009F1B9C"/>
    <w:rsid w:val="009F1BFE"/>
    <w:rsid w:val="009F2486"/>
    <w:rsid w:val="009F32D8"/>
    <w:rsid w:val="009F447C"/>
    <w:rsid w:val="009F455C"/>
    <w:rsid w:val="009F5C6E"/>
    <w:rsid w:val="009F5FFE"/>
    <w:rsid w:val="009F6350"/>
    <w:rsid w:val="00A0011E"/>
    <w:rsid w:val="00A026CF"/>
    <w:rsid w:val="00A03779"/>
    <w:rsid w:val="00A0384C"/>
    <w:rsid w:val="00A03B40"/>
    <w:rsid w:val="00A04A96"/>
    <w:rsid w:val="00A053F1"/>
    <w:rsid w:val="00A058F6"/>
    <w:rsid w:val="00A06C62"/>
    <w:rsid w:val="00A11457"/>
    <w:rsid w:val="00A125B8"/>
    <w:rsid w:val="00A12F41"/>
    <w:rsid w:val="00A134C7"/>
    <w:rsid w:val="00A13C27"/>
    <w:rsid w:val="00A175D8"/>
    <w:rsid w:val="00A17A17"/>
    <w:rsid w:val="00A20E19"/>
    <w:rsid w:val="00A21459"/>
    <w:rsid w:val="00A22CA2"/>
    <w:rsid w:val="00A24872"/>
    <w:rsid w:val="00A2498F"/>
    <w:rsid w:val="00A24EBB"/>
    <w:rsid w:val="00A2647A"/>
    <w:rsid w:val="00A2713F"/>
    <w:rsid w:val="00A3059B"/>
    <w:rsid w:val="00A31AF8"/>
    <w:rsid w:val="00A32A41"/>
    <w:rsid w:val="00A332E4"/>
    <w:rsid w:val="00A34D79"/>
    <w:rsid w:val="00A35525"/>
    <w:rsid w:val="00A3576F"/>
    <w:rsid w:val="00A36E63"/>
    <w:rsid w:val="00A377C8"/>
    <w:rsid w:val="00A42340"/>
    <w:rsid w:val="00A42D55"/>
    <w:rsid w:val="00A44731"/>
    <w:rsid w:val="00A45C39"/>
    <w:rsid w:val="00A46306"/>
    <w:rsid w:val="00A467E8"/>
    <w:rsid w:val="00A47B59"/>
    <w:rsid w:val="00A5377B"/>
    <w:rsid w:val="00A53BA4"/>
    <w:rsid w:val="00A542A9"/>
    <w:rsid w:val="00A54318"/>
    <w:rsid w:val="00A548A0"/>
    <w:rsid w:val="00A54D0D"/>
    <w:rsid w:val="00A5586B"/>
    <w:rsid w:val="00A5605E"/>
    <w:rsid w:val="00A56F9C"/>
    <w:rsid w:val="00A61746"/>
    <w:rsid w:val="00A61E87"/>
    <w:rsid w:val="00A6449C"/>
    <w:rsid w:val="00A64991"/>
    <w:rsid w:val="00A66392"/>
    <w:rsid w:val="00A66414"/>
    <w:rsid w:val="00A665B5"/>
    <w:rsid w:val="00A678C4"/>
    <w:rsid w:val="00A70B3D"/>
    <w:rsid w:val="00A71AA0"/>
    <w:rsid w:val="00A725F9"/>
    <w:rsid w:val="00A72A4D"/>
    <w:rsid w:val="00A736FA"/>
    <w:rsid w:val="00A75537"/>
    <w:rsid w:val="00A7592F"/>
    <w:rsid w:val="00A76D7E"/>
    <w:rsid w:val="00A81221"/>
    <w:rsid w:val="00A839BD"/>
    <w:rsid w:val="00A83F5B"/>
    <w:rsid w:val="00A848A1"/>
    <w:rsid w:val="00A86527"/>
    <w:rsid w:val="00A904D7"/>
    <w:rsid w:val="00A91293"/>
    <w:rsid w:val="00A9277C"/>
    <w:rsid w:val="00A92C76"/>
    <w:rsid w:val="00A93C1E"/>
    <w:rsid w:val="00A95C27"/>
    <w:rsid w:val="00A95E14"/>
    <w:rsid w:val="00A97407"/>
    <w:rsid w:val="00AA1950"/>
    <w:rsid w:val="00AA2212"/>
    <w:rsid w:val="00AA2C0C"/>
    <w:rsid w:val="00AA3637"/>
    <w:rsid w:val="00AA4CA4"/>
    <w:rsid w:val="00AA5515"/>
    <w:rsid w:val="00AA573D"/>
    <w:rsid w:val="00AA5811"/>
    <w:rsid w:val="00AB1C1D"/>
    <w:rsid w:val="00AB3991"/>
    <w:rsid w:val="00AB4646"/>
    <w:rsid w:val="00AB516B"/>
    <w:rsid w:val="00AB5F00"/>
    <w:rsid w:val="00AB7348"/>
    <w:rsid w:val="00AC1C69"/>
    <w:rsid w:val="00AC2961"/>
    <w:rsid w:val="00AC2F4D"/>
    <w:rsid w:val="00AC3255"/>
    <w:rsid w:val="00AC5F23"/>
    <w:rsid w:val="00AC77F1"/>
    <w:rsid w:val="00AD0FB7"/>
    <w:rsid w:val="00AD1B62"/>
    <w:rsid w:val="00AD21F3"/>
    <w:rsid w:val="00AD4C3C"/>
    <w:rsid w:val="00AD509E"/>
    <w:rsid w:val="00AD7F7C"/>
    <w:rsid w:val="00AE27E5"/>
    <w:rsid w:val="00AE28B7"/>
    <w:rsid w:val="00AE36F4"/>
    <w:rsid w:val="00AE5538"/>
    <w:rsid w:val="00AE6848"/>
    <w:rsid w:val="00AE6F05"/>
    <w:rsid w:val="00AE7C57"/>
    <w:rsid w:val="00AF0B7C"/>
    <w:rsid w:val="00AF2BD4"/>
    <w:rsid w:val="00AF3B80"/>
    <w:rsid w:val="00AF3BBC"/>
    <w:rsid w:val="00AF6CDE"/>
    <w:rsid w:val="00AF7DA0"/>
    <w:rsid w:val="00B00058"/>
    <w:rsid w:val="00B00958"/>
    <w:rsid w:val="00B00DBB"/>
    <w:rsid w:val="00B01E2D"/>
    <w:rsid w:val="00B02967"/>
    <w:rsid w:val="00B05130"/>
    <w:rsid w:val="00B062D0"/>
    <w:rsid w:val="00B0667E"/>
    <w:rsid w:val="00B0767B"/>
    <w:rsid w:val="00B104AA"/>
    <w:rsid w:val="00B11333"/>
    <w:rsid w:val="00B12036"/>
    <w:rsid w:val="00B13D05"/>
    <w:rsid w:val="00B1518B"/>
    <w:rsid w:val="00B153D3"/>
    <w:rsid w:val="00B172E4"/>
    <w:rsid w:val="00B204AB"/>
    <w:rsid w:val="00B21DE0"/>
    <w:rsid w:val="00B23A3C"/>
    <w:rsid w:val="00B243CC"/>
    <w:rsid w:val="00B24C32"/>
    <w:rsid w:val="00B25AF1"/>
    <w:rsid w:val="00B26558"/>
    <w:rsid w:val="00B271D2"/>
    <w:rsid w:val="00B27E22"/>
    <w:rsid w:val="00B3330D"/>
    <w:rsid w:val="00B33B90"/>
    <w:rsid w:val="00B34D6F"/>
    <w:rsid w:val="00B34DB3"/>
    <w:rsid w:val="00B35ED3"/>
    <w:rsid w:val="00B36804"/>
    <w:rsid w:val="00B376FD"/>
    <w:rsid w:val="00B404F9"/>
    <w:rsid w:val="00B40815"/>
    <w:rsid w:val="00B40BC6"/>
    <w:rsid w:val="00B434C2"/>
    <w:rsid w:val="00B45437"/>
    <w:rsid w:val="00B46700"/>
    <w:rsid w:val="00B4761F"/>
    <w:rsid w:val="00B479F6"/>
    <w:rsid w:val="00B503E6"/>
    <w:rsid w:val="00B52C12"/>
    <w:rsid w:val="00B5317D"/>
    <w:rsid w:val="00B54364"/>
    <w:rsid w:val="00B547E6"/>
    <w:rsid w:val="00B56501"/>
    <w:rsid w:val="00B61060"/>
    <w:rsid w:val="00B63770"/>
    <w:rsid w:val="00B64A30"/>
    <w:rsid w:val="00B64CD3"/>
    <w:rsid w:val="00B65E53"/>
    <w:rsid w:val="00B668BF"/>
    <w:rsid w:val="00B6743E"/>
    <w:rsid w:val="00B6759D"/>
    <w:rsid w:val="00B67DA6"/>
    <w:rsid w:val="00B71EEE"/>
    <w:rsid w:val="00B73F96"/>
    <w:rsid w:val="00B75746"/>
    <w:rsid w:val="00B75792"/>
    <w:rsid w:val="00B766C8"/>
    <w:rsid w:val="00B813B8"/>
    <w:rsid w:val="00B8196D"/>
    <w:rsid w:val="00B81AC8"/>
    <w:rsid w:val="00B856A8"/>
    <w:rsid w:val="00B85A65"/>
    <w:rsid w:val="00B8634F"/>
    <w:rsid w:val="00B879B8"/>
    <w:rsid w:val="00B87C3E"/>
    <w:rsid w:val="00B918ED"/>
    <w:rsid w:val="00B9205B"/>
    <w:rsid w:val="00B9234C"/>
    <w:rsid w:val="00B958C5"/>
    <w:rsid w:val="00B95AFA"/>
    <w:rsid w:val="00B9606F"/>
    <w:rsid w:val="00B96554"/>
    <w:rsid w:val="00BA0CB9"/>
    <w:rsid w:val="00BA2E9D"/>
    <w:rsid w:val="00BA4C0C"/>
    <w:rsid w:val="00BA59B8"/>
    <w:rsid w:val="00BA5AE8"/>
    <w:rsid w:val="00BA708B"/>
    <w:rsid w:val="00BA71C3"/>
    <w:rsid w:val="00BA7904"/>
    <w:rsid w:val="00BB003D"/>
    <w:rsid w:val="00BB011A"/>
    <w:rsid w:val="00BB0830"/>
    <w:rsid w:val="00BB15BB"/>
    <w:rsid w:val="00BB2109"/>
    <w:rsid w:val="00BB39AC"/>
    <w:rsid w:val="00BB3C26"/>
    <w:rsid w:val="00BB5B9D"/>
    <w:rsid w:val="00BB6B3D"/>
    <w:rsid w:val="00BB7909"/>
    <w:rsid w:val="00BC059F"/>
    <w:rsid w:val="00BC0A5C"/>
    <w:rsid w:val="00BC0AD8"/>
    <w:rsid w:val="00BC2AD6"/>
    <w:rsid w:val="00BC309E"/>
    <w:rsid w:val="00BC317B"/>
    <w:rsid w:val="00BC573C"/>
    <w:rsid w:val="00BC6B5D"/>
    <w:rsid w:val="00BD0323"/>
    <w:rsid w:val="00BD0694"/>
    <w:rsid w:val="00BD1578"/>
    <w:rsid w:val="00BD2481"/>
    <w:rsid w:val="00BD312D"/>
    <w:rsid w:val="00BD44C3"/>
    <w:rsid w:val="00BD64A3"/>
    <w:rsid w:val="00BD7453"/>
    <w:rsid w:val="00BE0D5A"/>
    <w:rsid w:val="00BE165E"/>
    <w:rsid w:val="00BE2050"/>
    <w:rsid w:val="00BE22AB"/>
    <w:rsid w:val="00BE34C0"/>
    <w:rsid w:val="00BE5285"/>
    <w:rsid w:val="00BE666D"/>
    <w:rsid w:val="00BE6D3C"/>
    <w:rsid w:val="00BE7095"/>
    <w:rsid w:val="00BE7610"/>
    <w:rsid w:val="00BF1049"/>
    <w:rsid w:val="00BF165B"/>
    <w:rsid w:val="00BF1BC1"/>
    <w:rsid w:val="00BF1E13"/>
    <w:rsid w:val="00BF3A70"/>
    <w:rsid w:val="00BF561F"/>
    <w:rsid w:val="00BF58E8"/>
    <w:rsid w:val="00BF5F97"/>
    <w:rsid w:val="00BF6863"/>
    <w:rsid w:val="00BF6DE1"/>
    <w:rsid w:val="00BF701D"/>
    <w:rsid w:val="00BF7754"/>
    <w:rsid w:val="00BF7962"/>
    <w:rsid w:val="00C00B37"/>
    <w:rsid w:val="00C01526"/>
    <w:rsid w:val="00C02E6D"/>
    <w:rsid w:val="00C043FA"/>
    <w:rsid w:val="00C04B52"/>
    <w:rsid w:val="00C11ECC"/>
    <w:rsid w:val="00C121FD"/>
    <w:rsid w:val="00C1382F"/>
    <w:rsid w:val="00C14EA3"/>
    <w:rsid w:val="00C17F42"/>
    <w:rsid w:val="00C21AF9"/>
    <w:rsid w:val="00C21B93"/>
    <w:rsid w:val="00C236B4"/>
    <w:rsid w:val="00C27F4D"/>
    <w:rsid w:val="00C309D1"/>
    <w:rsid w:val="00C30C53"/>
    <w:rsid w:val="00C314A4"/>
    <w:rsid w:val="00C32622"/>
    <w:rsid w:val="00C32A57"/>
    <w:rsid w:val="00C33665"/>
    <w:rsid w:val="00C342D4"/>
    <w:rsid w:val="00C344C9"/>
    <w:rsid w:val="00C35004"/>
    <w:rsid w:val="00C35D44"/>
    <w:rsid w:val="00C372C5"/>
    <w:rsid w:val="00C409B6"/>
    <w:rsid w:val="00C40D33"/>
    <w:rsid w:val="00C42136"/>
    <w:rsid w:val="00C46993"/>
    <w:rsid w:val="00C478FE"/>
    <w:rsid w:val="00C50182"/>
    <w:rsid w:val="00C505CE"/>
    <w:rsid w:val="00C51C01"/>
    <w:rsid w:val="00C5273D"/>
    <w:rsid w:val="00C53BAA"/>
    <w:rsid w:val="00C54CCD"/>
    <w:rsid w:val="00C5621F"/>
    <w:rsid w:val="00C5703F"/>
    <w:rsid w:val="00C570A2"/>
    <w:rsid w:val="00C574BB"/>
    <w:rsid w:val="00C57667"/>
    <w:rsid w:val="00C60E72"/>
    <w:rsid w:val="00C61AE6"/>
    <w:rsid w:val="00C62484"/>
    <w:rsid w:val="00C62AFB"/>
    <w:rsid w:val="00C65784"/>
    <w:rsid w:val="00C66710"/>
    <w:rsid w:val="00C67917"/>
    <w:rsid w:val="00C7161C"/>
    <w:rsid w:val="00C71DBB"/>
    <w:rsid w:val="00C73732"/>
    <w:rsid w:val="00C73D56"/>
    <w:rsid w:val="00C753E3"/>
    <w:rsid w:val="00C840D6"/>
    <w:rsid w:val="00C85C2A"/>
    <w:rsid w:val="00C86530"/>
    <w:rsid w:val="00C87196"/>
    <w:rsid w:val="00C900FA"/>
    <w:rsid w:val="00C909CD"/>
    <w:rsid w:val="00C91C7A"/>
    <w:rsid w:val="00C93FFC"/>
    <w:rsid w:val="00C95698"/>
    <w:rsid w:val="00C96183"/>
    <w:rsid w:val="00C9763F"/>
    <w:rsid w:val="00CA028C"/>
    <w:rsid w:val="00CA18EC"/>
    <w:rsid w:val="00CA6766"/>
    <w:rsid w:val="00CA679D"/>
    <w:rsid w:val="00CB0433"/>
    <w:rsid w:val="00CB0F16"/>
    <w:rsid w:val="00CB1F47"/>
    <w:rsid w:val="00CB3644"/>
    <w:rsid w:val="00CB4196"/>
    <w:rsid w:val="00CB5048"/>
    <w:rsid w:val="00CB508B"/>
    <w:rsid w:val="00CB58A5"/>
    <w:rsid w:val="00CB5915"/>
    <w:rsid w:val="00CB5C87"/>
    <w:rsid w:val="00CB5EB4"/>
    <w:rsid w:val="00CB6139"/>
    <w:rsid w:val="00CB620D"/>
    <w:rsid w:val="00CB7937"/>
    <w:rsid w:val="00CC0F0B"/>
    <w:rsid w:val="00CC10E0"/>
    <w:rsid w:val="00CC11D2"/>
    <w:rsid w:val="00CC163B"/>
    <w:rsid w:val="00CC16C5"/>
    <w:rsid w:val="00CC227D"/>
    <w:rsid w:val="00CC3B35"/>
    <w:rsid w:val="00CC4AFF"/>
    <w:rsid w:val="00CC545F"/>
    <w:rsid w:val="00CC5B85"/>
    <w:rsid w:val="00CD15BD"/>
    <w:rsid w:val="00CD6293"/>
    <w:rsid w:val="00CD6DAB"/>
    <w:rsid w:val="00CD6EDC"/>
    <w:rsid w:val="00CD71CF"/>
    <w:rsid w:val="00CD7B5E"/>
    <w:rsid w:val="00CE1BA9"/>
    <w:rsid w:val="00CE286B"/>
    <w:rsid w:val="00CE29D7"/>
    <w:rsid w:val="00CE3ABD"/>
    <w:rsid w:val="00CE3EBC"/>
    <w:rsid w:val="00CE468C"/>
    <w:rsid w:val="00CE5AF2"/>
    <w:rsid w:val="00CE7D13"/>
    <w:rsid w:val="00CF0173"/>
    <w:rsid w:val="00CF23D1"/>
    <w:rsid w:val="00CF382A"/>
    <w:rsid w:val="00CF3A2A"/>
    <w:rsid w:val="00CF4511"/>
    <w:rsid w:val="00CF6268"/>
    <w:rsid w:val="00D03171"/>
    <w:rsid w:val="00D04ACD"/>
    <w:rsid w:val="00D076E4"/>
    <w:rsid w:val="00D10B51"/>
    <w:rsid w:val="00D10BF2"/>
    <w:rsid w:val="00D12199"/>
    <w:rsid w:val="00D14437"/>
    <w:rsid w:val="00D14A95"/>
    <w:rsid w:val="00D15487"/>
    <w:rsid w:val="00D17E24"/>
    <w:rsid w:val="00D204C1"/>
    <w:rsid w:val="00D20A63"/>
    <w:rsid w:val="00D20E41"/>
    <w:rsid w:val="00D22DAF"/>
    <w:rsid w:val="00D25602"/>
    <w:rsid w:val="00D2693B"/>
    <w:rsid w:val="00D26C21"/>
    <w:rsid w:val="00D27094"/>
    <w:rsid w:val="00D32CBC"/>
    <w:rsid w:val="00D32FC8"/>
    <w:rsid w:val="00D3345A"/>
    <w:rsid w:val="00D33F9C"/>
    <w:rsid w:val="00D3730F"/>
    <w:rsid w:val="00D376AA"/>
    <w:rsid w:val="00D377FA"/>
    <w:rsid w:val="00D40305"/>
    <w:rsid w:val="00D41748"/>
    <w:rsid w:val="00D427BA"/>
    <w:rsid w:val="00D44059"/>
    <w:rsid w:val="00D46825"/>
    <w:rsid w:val="00D4697D"/>
    <w:rsid w:val="00D4716C"/>
    <w:rsid w:val="00D47B79"/>
    <w:rsid w:val="00D47B93"/>
    <w:rsid w:val="00D507C8"/>
    <w:rsid w:val="00D50DF4"/>
    <w:rsid w:val="00D52074"/>
    <w:rsid w:val="00D5252C"/>
    <w:rsid w:val="00D53C80"/>
    <w:rsid w:val="00D5574A"/>
    <w:rsid w:val="00D572D4"/>
    <w:rsid w:val="00D57EBA"/>
    <w:rsid w:val="00D60A64"/>
    <w:rsid w:val="00D61069"/>
    <w:rsid w:val="00D61296"/>
    <w:rsid w:val="00D61368"/>
    <w:rsid w:val="00D62876"/>
    <w:rsid w:val="00D632E8"/>
    <w:rsid w:val="00D63EDF"/>
    <w:rsid w:val="00D64D66"/>
    <w:rsid w:val="00D65654"/>
    <w:rsid w:val="00D722DD"/>
    <w:rsid w:val="00D72379"/>
    <w:rsid w:val="00D72AB3"/>
    <w:rsid w:val="00D73092"/>
    <w:rsid w:val="00D73392"/>
    <w:rsid w:val="00D7397B"/>
    <w:rsid w:val="00D73FF8"/>
    <w:rsid w:val="00D74602"/>
    <w:rsid w:val="00D74E68"/>
    <w:rsid w:val="00D76213"/>
    <w:rsid w:val="00D77357"/>
    <w:rsid w:val="00D77A38"/>
    <w:rsid w:val="00D811E0"/>
    <w:rsid w:val="00D81381"/>
    <w:rsid w:val="00D82E52"/>
    <w:rsid w:val="00D82F7D"/>
    <w:rsid w:val="00D83577"/>
    <w:rsid w:val="00D92602"/>
    <w:rsid w:val="00D92BA6"/>
    <w:rsid w:val="00D94BA2"/>
    <w:rsid w:val="00D96E8A"/>
    <w:rsid w:val="00D9791E"/>
    <w:rsid w:val="00DA01BA"/>
    <w:rsid w:val="00DA1547"/>
    <w:rsid w:val="00DA1C32"/>
    <w:rsid w:val="00DA1FF8"/>
    <w:rsid w:val="00DA2DF6"/>
    <w:rsid w:val="00DA4241"/>
    <w:rsid w:val="00DA4AB5"/>
    <w:rsid w:val="00DA664E"/>
    <w:rsid w:val="00DB4F1C"/>
    <w:rsid w:val="00DB6ADA"/>
    <w:rsid w:val="00DC0535"/>
    <w:rsid w:val="00DC0C66"/>
    <w:rsid w:val="00DC40D8"/>
    <w:rsid w:val="00DC48C9"/>
    <w:rsid w:val="00DC4F02"/>
    <w:rsid w:val="00DC5E9C"/>
    <w:rsid w:val="00DC64DD"/>
    <w:rsid w:val="00DC6B7A"/>
    <w:rsid w:val="00DD0BAD"/>
    <w:rsid w:val="00DD1873"/>
    <w:rsid w:val="00DD1AA0"/>
    <w:rsid w:val="00DD2091"/>
    <w:rsid w:val="00DD3DF7"/>
    <w:rsid w:val="00DD4846"/>
    <w:rsid w:val="00DD628D"/>
    <w:rsid w:val="00DD7B98"/>
    <w:rsid w:val="00DD7D07"/>
    <w:rsid w:val="00DE00C9"/>
    <w:rsid w:val="00DE1959"/>
    <w:rsid w:val="00DE28B5"/>
    <w:rsid w:val="00DE4868"/>
    <w:rsid w:val="00DE5945"/>
    <w:rsid w:val="00DE605D"/>
    <w:rsid w:val="00DE61A2"/>
    <w:rsid w:val="00DE65B3"/>
    <w:rsid w:val="00DE708D"/>
    <w:rsid w:val="00DE75AE"/>
    <w:rsid w:val="00DF029F"/>
    <w:rsid w:val="00DF11E7"/>
    <w:rsid w:val="00DF1358"/>
    <w:rsid w:val="00DF33AB"/>
    <w:rsid w:val="00DF43E9"/>
    <w:rsid w:val="00DF5EC2"/>
    <w:rsid w:val="00DF7C70"/>
    <w:rsid w:val="00E0248A"/>
    <w:rsid w:val="00E0268A"/>
    <w:rsid w:val="00E03036"/>
    <w:rsid w:val="00E03985"/>
    <w:rsid w:val="00E03C23"/>
    <w:rsid w:val="00E0497C"/>
    <w:rsid w:val="00E04B3B"/>
    <w:rsid w:val="00E04C1F"/>
    <w:rsid w:val="00E0550F"/>
    <w:rsid w:val="00E11358"/>
    <w:rsid w:val="00E122B8"/>
    <w:rsid w:val="00E12794"/>
    <w:rsid w:val="00E13545"/>
    <w:rsid w:val="00E13657"/>
    <w:rsid w:val="00E144AF"/>
    <w:rsid w:val="00E14FC2"/>
    <w:rsid w:val="00E155CB"/>
    <w:rsid w:val="00E157D7"/>
    <w:rsid w:val="00E162AE"/>
    <w:rsid w:val="00E16CAC"/>
    <w:rsid w:val="00E216A4"/>
    <w:rsid w:val="00E22733"/>
    <w:rsid w:val="00E23721"/>
    <w:rsid w:val="00E24914"/>
    <w:rsid w:val="00E24A94"/>
    <w:rsid w:val="00E24D62"/>
    <w:rsid w:val="00E26C05"/>
    <w:rsid w:val="00E26DD5"/>
    <w:rsid w:val="00E27469"/>
    <w:rsid w:val="00E30509"/>
    <w:rsid w:val="00E30D15"/>
    <w:rsid w:val="00E33465"/>
    <w:rsid w:val="00E33EC3"/>
    <w:rsid w:val="00E340ED"/>
    <w:rsid w:val="00E352A1"/>
    <w:rsid w:val="00E370AF"/>
    <w:rsid w:val="00E402CB"/>
    <w:rsid w:val="00E407C3"/>
    <w:rsid w:val="00E42338"/>
    <w:rsid w:val="00E42707"/>
    <w:rsid w:val="00E43A26"/>
    <w:rsid w:val="00E45735"/>
    <w:rsid w:val="00E461FC"/>
    <w:rsid w:val="00E51AD9"/>
    <w:rsid w:val="00E52FD2"/>
    <w:rsid w:val="00E5367C"/>
    <w:rsid w:val="00E53F22"/>
    <w:rsid w:val="00E55C13"/>
    <w:rsid w:val="00E55C82"/>
    <w:rsid w:val="00E5637B"/>
    <w:rsid w:val="00E5657D"/>
    <w:rsid w:val="00E6286D"/>
    <w:rsid w:val="00E64A99"/>
    <w:rsid w:val="00E64D4B"/>
    <w:rsid w:val="00E64DF6"/>
    <w:rsid w:val="00E64E60"/>
    <w:rsid w:val="00E65200"/>
    <w:rsid w:val="00E658A0"/>
    <w:rsid w:val="00E6663A"/>
    <w:rsid w:val="00E67FED"/>
    <w:rsid w:val="00E72714"/>
    <w:rsid w:val="00E72D2E"/>
    <w:rsid w:val="00E75635"/>
    <w:rsid w:val="00E75B6D"/>
    <w:rsid w:val="00E76FAE"/>
    <w:rsid w:val="00E7762A"/>
    <w:rsid w:val="00E77F03"/>
    <w:rsid w:val="00E810B5"/>
    <w:rsid w:val="00E8110F"/>
    <w:rsid w:val="00E82F73"/>
    <w:rsid w:val="00E85EE4"/>
    <w:rsid w:val="00E9078D"/>
    <w:rsid w:val="00E91321"/>
    <w:rsid w:val="00E91F34"/>
    <w:rsid w:val="00E94012"/>
    <w:rsid w:val="00E94B47"/>
    <w:rsid w:val="00E950C4"/>
    <w:rsid w:val="00E9521D"/>
    <w:rsid w:val="00E97713"/>
    <w:rsid w:val="00EA2001"/>
    <w:rsid w:val="00EA3D55"/>
    <w:rsid w:val="00EA66D3"/>
    <w:rsid w:val="00EB0726"/>
    <w:rsid w:val="00EB28BF"/>
    <w:rsid w:val="00EB7ACB"/>
    <w:rsid w:val="00EC027D"/>
    <w:rsid w:val="00EC2E36"/>
    <w:rsid w:val="00EC59B1"/>
    <w:rsid w:val="00ED1246"/>
    <w:rsid w:val="00ED1563"/>
    <w:rsid w:val="00ED1876"/>
    <w:rsid w:val="00ED28A4"/>
    <w:rsid w:val="00ED2C61"/>
    <w:rsid w:val="00ED2D53"/>
    <w:rsid w:val="00ED3B1B"/>
    <w:rsid w:val="00ED3DC8"/>
    <w:rsid w:val="00ED40FE"/>
    <w:rsid w:val="00ED42C7"/>
    <w:rsid w:val="00ED4860"/>
    <w:rsid w:val="00ED57F3"/>
    <w:rsid w:val="00ED5A1B"/>
    <w:rsid w:val="00ED79DF"/>
    <w:rsid w:val="00ED7F2D"/>
    <w:rsid w:val="00EE14E4"/>
    <w:rsid w:val="00EE14FC"/>
    <w:rsid w:val="00EE36F6"/>
    <w:rsid w:val="00EE4D5D"/>
    <w:rsid w:val="00EE7893"/>
    <w:rsid w:val="00EE7F27"/>
    <w:rsid w:val="00EF07C3"/>
    <w:rsid w:val="00EF15F2"/>
    <w:rsid w:val="00EF165F"/>
    <w:rsid w:val="00EF3747"/>
    <w:rsid w:val="00EF3EF3"/>
    <w:rsid w:val="00EF48D1"/>
    <w:rsid w:val="00EF527D"/>
    <w:rsid w:val="00EF5E5A"/>
    <w:rsid w:val="00EF6434"/>
    <w:rsid w:val="00EF77A5"/>
    <w:rsid w:val="00F016CF"/>
    <w:rsid w:val="00F04125"/>
    <w:rsid w:val="00F059EC"/>
    <w:rsid w:val="00F1203B"/>
    <w:rsid w:val="00F13B4E"/>
    <w:rsid w:val="00F13F66"/>
    <w:rsid w:val="00F14387"/>
    <w:rsid w:val="00F15AA4"/>
    <w:rsid w:val="00F20B4A"/>
    <w:rsid w:val="00F236D8"/>
    <w:rsid w:val="00F25C8C"/>
    <w:rsid w:val="00F25D50"/>
    <w:rsid w:val="00F25FEA"/>
    <w:rsid w:val="00F26262"/>
    <w:rsid w:val="00F279A7"/>
    <w:rsid w:val="00F31875"/>
    <w:rsid w:val="00F34F8A"/>
    <w:rsid w:val="00F36293"/>
    <w:rsid w:val="00F36C08"/>
    <w:rsid w:val="00F404AB"/>
    <w:rsid w:val="00F40607"/>
    <w:rsid w:val="00F41212"/>
    <w:rsid w:val="00F41D68"/>
    <w:rsid w:val="00F447F7"/>
    <w:rsid w:val="00F45AD3"/>
    <w:rsid w:val="00F46CAD"/>
    <w:rsid w:val="00F46F74"/>
    <w:rsid w:val="00F4778C"/>
    <w:rsid w:val="00F526DD"/>
    <w:rsid w:val="00F53798"/>
    <w:rsid w:val="00F5528D"/>
    <w:rsid w:val="00F572EF"/>
    <w:rsid w:val="00F57C69"/>
    <w:rsid w:val="00F62214"/>
    <w:rsid w:val="00F67782"/>
    <w:rsid w:val="00F67AAA"/>
    <w:rsid w:val="00F70806"/>
    <w:rsid w:val="00F70DE9"/>
    <w:rsid w:val="00F72156"/>
    <w:rsid w:val="00F724B6"/>
    <w:rsid w:val="00F724F2"/>
    <w:rsid w:val="00F72B47"/>
    <w:rsid w:val="00F75301"/>
    <w:rsid w:val="00F75642"/>
    <w:rsid w:val="00F756E6"/>
    <w:rsid w:val="00F757EB"/>
    <w:rsid w:val="00F75A4F"/>
    <w:rsid w:val="00F76CD1"/>
    <w:rsid w:val="00F80C26"/>
    <w:rsid w:val="00F81DAF"/>
    <w:rsid w:val="00F84161"/>
    <w:rsid w:val="00F86889"/>
    <w:rsid w:val="00F90ED1"/>
    <w:rsid w:val="00F91C92"/>
    <w:rsid w:val="00F92C41"/>
    <w:rsid w:val="00F93B4A"/>
    <w:rsid w:val="00F94908"/>
    <w:rsid w:val="00F95760"/>
    <w:rsid w:val="00F96332"/>
    <w:rsid w:val="00F96CAF"/>
    <w:rsid w:val="00F96EBC"/>
    <w:rsid w:val="00FA1739"/>
    <w:rsid w:val="00FA307F"/>
    <w:rsid w:val="00FA4A02"/>
    <w:rsid w:val="00FA58C3"/>
    <w:rsid w:val="00FA5D4C"/>
    <w:rsid w:val="00FA678F"/>
    <w:rsid w:val="00FA6A7A"/>
    <w:rsid w:val="00FA714D"/>
    <w:rsid w:val="00FB1306"/>
    <w:rsid w:val="00FB1D1C"/>
    <w:rsid w:val="00FB4A5F"/>
    <w:rsid w:val="00FB4CD2"/>
    <w:rsid w:val="00FB6373"/>
    <w:rsid w:val="00FC0E4F"/>
    <w:rsid w:val="00FC1A30"/>
    <w:rsid w:val="00FC1F45"/>
    <w:rsid w:val="00FC3C5E"/>
    <w:rsid w:val="00FC4383"/>
    <w:rsid w:val="00FC44AB"/>
    <w:rsid w:val="00FC5435"/>
    <w:rsid w:val="00FC729B"/>
    <w:rsid w:val="00FD06DE"/>
    <w:rsid w:val="00FD0823"/>
    <w:rsid w:val="00FD0EE4"/>
    <w:rsid w:val="00FD140C"/>
    <w:rsid w:val="00FD1526"/>
    <w:rsid w:val="00FD27F9"/>
    <w:rsid w:val="00FD43D5"/>
    <w:rsid w:val="00FD4CA5"/>
    <w:rsid w:val="00FD4D9E"/>
    <w:rsid w:val="00FD50BA"/>
    <w:rsid w:val="00FD538B"/>
    <w:rsid w:val="00FD5934"/>
    <w:rsid w:val="00FD7400"/>
    <w:rsid w:val="00FE0192"/>
    <w:rsid w:val="00FE0339"/>
    <w:rsid w:val="00FE49EF"/>
    <w:rsid w:val="00FE5B7E"/>
    <w:rsid w:val="00FE61B5"/>
    <w:rsid w:val="00FE6379"/>
    <w:rsid w:val="00FF0CBF"/>
    <w:rsid w:val="00FF3A79"/>
    <w:rsid w:val="00FF3B2E"/>
    <w:rsid w:val="00FF4BE5"/>
    <w:rsid w:val="00FF4C92"/>
    <w:rsid w:val="00FF61F8"/>
    <w:rsid w:val="00FF635C"/>
    <w:rsid w:val="00FF671A"/>
    <w:rsid w:val="00FF6899"/>
    <w:rsid w:val="00FF7D3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EC"/>
    <w:rPr>
      <w:rFonts w:ascii="New York" w:eastAsia="Times" w:hAnsi="New York" w:cs="Times New Roman"/>
      <w:lang w:eastAsia="sv-S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3EC"/>
    <w:rPr>
      <w:color w:val="0000FF"/>
      <w:u w:val="single"/>
    </w:rPr>
  </w:style>
  <w:style w:type="paragraph" w:styleId="EndnoteText">
    <w:name w:val="endnote text"/>
    <w:basedOn w:val="Normal"/>
    <w:link w:val="EndnoteTextChar"/>
    <w:uiPriority w:val="99"/>
    <w:semiHidden/>
    <w:unhideWhenUsed/>
    <w:rsid w:val="00D73FF8"/>
  </w:style>
  <w:style w:type="character" w:customStyle="1" w:styleId="EndnoteTextChar">
    <w:name w:val="Endnote Text Char"/>
    <w:basedOn w:val="DefaultParagraphFont"/>
    <w:link w:val="EndnoteText"/>
    <w:uiPriority w:val="99"/>
    <w:semiHidden/>
    <w:rsid w:val="00D73FF8"/>
    <w:rPr>
      <w:rFonts w:ascii="New York" w:eastAsia="Times" w:hAnsi="New York" w:cs="Times New Roman"/>
      <w:sz w:val="20"/>
      <w:szCs w:val="20"/>
      <w:lang w:eastAsia="sv-SE" w:bidi="ar-SA"/>
    </w:rPr>
  </w:style>
  <w:style w:type="character" w:styleId="EndnoteReference">
    <w:name w:val="endnote reference"/>
    <w:basedOn w:val="DefaultParagraphFont"/>
    <w:uiPriority w:val="99"/>
    <w:semiHidden/>
    <w:unhideWhenUsed/>
    <w:rsid w:val="00D73FF8"/>
    <w:rPr>
      <w:vertAlign w:val="superscript"/>
    </w:rPr>
  </w:style>
  <w:style w:type="paragraph" w:styleId="Header">
    <w:name w:val="header"/>
    <w:basedOn w:val="Normal"/>
    <w:link w:val="HeaderChar"/>
    <w:uiPriority w:val="99"/>
    <w:unhideWhenUsed/>
    <w:rsid w:val="00A20E19"/>
    <w:pPr>
      <w:tabs>
        <w:tab w:val="center" w:pos="4153"/>
        <w:tab w:val="right" w:pos="8306"/>
      </w:tabs>
    </w:pPr>
  </w:style>
  <w:style w:type="character" w:customStyle="1" w:styleId="HeaderChar">
    <w:name w:val="Header Char"/>
    <w:basedOn w:val="DefaultParagraphFont"/>
    <w:link w:val="Header"/>
    <w:uiPriority w:val="99"/>
    <w:rsid w:val="00A20E19"/>
    <w:rPr>
      <w:rFonts w:ascii="New York" w:eastAsia="Times" w:hAnsi="New York" w:cs="Times New Roman"/>
      <w:sz w:val="20"/>
      <w:szCs w:val="20"/>
      <w:lang w:eastAsia="sv-SE" w:bidi="ar-SA"/>
    </w:rPr>
  </w:style>
  <w:style w:type="paragraph" w:styleId="Footer">
    <w:name w:val="footer"/>
    <w:basedOn w:val="Normal"/>
    <w:link w:val="FooterChar"/>
    <w:uiPriority w:val="99"/>
    <w:semiHidden/>
    <w:unhideWhenUsed/>
    <w:rsid w:val="00A20E19"/>
    <w:pPr>
      <w:tabs>
        <w:tab w:val="center" w:pos="4153"/>
        <w:tab w:val="right" w:pos="8306"/>
      </w:tabs>
    </w:pPr>
  </w:style>
  <w:style w:type="character" w:customStyle="1" w:styleId="FooterChar">
    <w:name w:val="Footer Char"/>
    <w:basedOn w:val="DefaultParagraphFont"/>
    <w:link w:val="Footer"/>
    <w:uiPriority w:val="99"/>
    <w:semiHidden/>
    <w:rsid w:val="00A20E19"/>
    <w:rPr>
      <w:rFonts w:ascii="New York" w:eastAsia="Times" w:hAnsi="New York" w:cs="Times New Roman"/>
      <w:sz w:val="20"/>
      <w:szCs w:val="20"/>
      <w:lang w:eastAsia="sv-SE" w:bidi="ar-SA"/>
    </w:rPr>
  </w:style>
  <w:style w:type="paragraph" w:styleId="FootnoteText">
    <w:name w:val="footnote text"/>
    <w:basedOn w:val="Normal"/>
    <w:link w:val="FootnoteTextChar"/>
    <w:rsid w:val="00734944"/>
    <w:rPr>
      <w:rFonts w:ascii="Times New Roman" w:eastAsia="Times New Roman" w:hAnsi="Times New Roman"/>
      <w:lang w:eastAsia="en-US" w:bidi="he-IL"/>
    </w:rPr>
  </w:style>
  <w:style w:type="character" w:customStyle="1" w:styleId="FootnoteTextChar">
    <w:name w:val="Footnote Text Char"/>
    <w:basedOn w:val="DefaultParagraphFont"/>
    <w:link w:val="FootnoteText"/>
    <w:rsid w:val="00734944"/>
    <w:rPr>
      <w:rFonts w:ascii="Times New Roman" w:eastAsia="Times New Roman" w:hAnsi="Times New Roman" w:cs="Times New Roman"/>
      <w:sz w:val="20"/>
      <w:szCs w:val="20"/>
    </w:rPr>
  </w:style>
  <w:style w:type="character" w:styleId="FootnoteReference">
    <w:name w:val="footnote reference"/>
    <w:basedOn w:val="DefaultParagraphFont"/>
    <w:rsid w:val="00734944"/>
    <w:rPr>
      <w:vertAlign w:val="superscript"/>
    </w:rPr>
  </w:style>
  <w:style w:type="paragraph" w:styleId="BalloonText">
    <w:name w:val="Balloon Text"/>
    <w:basedOn w:val="Normal"/>
    <w:link w:val="BalloonTextChar"/>
    <w:uiPriority w:val="99"/>
    <w:semiHidden/>
    <w:unhideWhenUsed/>
    <w:rsid w:val="003171D2"/>
    <w:rPr>
      <w:rFonts w:ascii="Tahoma" w:hAnsi="Tahoma" w:cs="Tahoma"/>
      <w:sz w:val="16"/>
      <w:szCs w:val="16"/>
    </w:rPr>
  </w:style>
  <w:style w:type="character" w:customStyle="1" w:styleId="BalloonTextChar">
    <w:name w:val="Balloon Text Char"/>
    <w:basedOn w:val="DefaultParagraphFont"/>
    <w:link w:val="BalloonText"/>
    <w:uiPriority w:val="99"/>
    <w:semiHidden/>
    <w:rsid w:val="003171D2"/>
    <w:rPr>
      <w:rFonts w:ascii="Tahoma" w:eastAsia="Times" w:hAnsi="Tahoma" w:cs="Tahoma"/>
      <w:sz w:val="16"/>
      <w:szCs w:val="16"/>
      <w:lang w:eastAsia="sv-SE" w:bidi="ar-SA"/>
    </w:rPr>
  </w:style>
  <w:style w:type="paragraph" w:styleId="NormalWeb">
    <w:name w:val="Normal (Web)"/>
    <w:basedOn w:val="Normal"/>
    <w:uiPriority w:val="99"/>
    <w:unhideWhenUsed/>
    <w:rsid w:val="006F5DB3"/>
    <w:pPr>
      <w:spacing w:before="100" w:beforeAutospacing="1" w:after="100" w:afterAutospacing="1"/>
    </w:pPr>
    <w:rPr>
      <w:rFonts w:ascii="Times New Roman" w:eastAsia="Times New Roman" w:hAnsi="Times New Roman"/>
      <w:sz w:val="24"/>
      <w:szCs w:val="24"/>
      <w:lang w:eastAsia="en-US" w:bidi="he-IL"/>
    </w:rPr>
  </w:style>
  <w:style w:type="character" w:styleId="Strong">
    <w:name w:val="Strong"/>
    <w:basedOn w:val="DefaultParagraphFont"/>
    <w:uiPriority w:val="22"/>
    <w:qFormat/>
    <w:rsid w:val="006F5DB3"/>
    <w:rPr>
      <w:b/>
      <w:bCs/>
    </w:rPr>
  </w:style>
  <w:style w:type="paragraph" w:styleId="ListParagraph">
    <w:name w:val="List Paragraph"/>
    <w:basedOn w:val="Normal"/>
    <w:uiPriority w:val="34"/>
    <w:qFormat/>
    <w:rsid w:val="00397117"/>
    <w:pPr>
      <w:ind w:left="720"/>
      <w:contextualSpacing/>
    </w:pPr>
  </w:style>
  <w:style w:type="table" w:styleId="TableGrid">
    <w:name w:val="Table Grid"/>
    <w:basedOn w:val="TableNormal"/>
    <w:uiPriority w:val="59"/>
    <w:rsid w:val="0050634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6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9C741-2445-47C6-8681-25EF8247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13985</TotalTime>
  <Pages>50</Pages>
  <Words>12227</Words>
  <Characters>61139</Characters>
  <Application>Microsoft Office Word</Application>
  <DocSecurity>0</DocSecurity>
  <Lines>509</Lines>
  <Paragraphs>146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Company>
  <LinksUpToDate>false</LinksUpToDate>
  <CharactersWithSpaces>73220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389</cp:revision>
  <dcterms:created xsi:type="dcterms:W3CDTF">2013-01-17T08:54:00Z</dcterms:created>
  <dcterms:modified xsi:type="dcterms:W3CDTF">2015-05-07T22:54:00Z</dcterms:modified>
</cp:coreProperties>
</file>