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F7827" w14:textId="7FED035B" w:rsidR="00E67E67" w:rsidRPr="00471E15" w:rsidRDefault="0050262C" w:rsidP="002623D1">
      <w:pPr>
        <w:pStyle w:val="ArticleTitle"/>
        <w:tabs>
          <w:tab w:val="left" w:pos="432"/>
        </w:tabs>
        <w:rPr>
          <w:sz w:val="28"/>
          <w:szCs w:val="28"/>
        </w:rPr>
      </w:pPr>
      <w:bookmarkStart w:id="0" w:name="_GoBack"/>
      <w:bookmarkEnd w:id="0"/>
      <w:r>
        <w:rPr>
          <w:sz w:val="28"/>
          <w:szCs w:val="28"/>
        </w:rPr>
        <w:t>The Implications of Behavioral Antitrust</w:t>
      </w:r>
    </w:p>
    <w:p w14:paraId="6C411362" w14:textId="77777777" w:rsidR="00E67E67" w:rsidRDefault="00E67E67" w:rsidP="002623D1">
      <w:pPr>
        <w:tabs>
          <w:tab w:val="left" w:pos="432"/>
        </w:tabs>
        <w:rPr>
          <w:caps/>
        </w:rPr>
      </w:pPr>
    </w:p>
    <w:p w14:paraId="43B5AF27" w14:textId="3CE12B3B" w:rsidR="00E67E67" w:rsidRPr="0050262C" w:rsidRDefault="00222C81" w:rsidP="002623D1">
      <w:pPr>
        <w:pStyle w:val="YourName"/>
        <w:tabs>
          <w:tab w:val="left" w:pos="432"/>
        </w:tabs>
        <w:rPr>
          <w:i w:val="0"/>
          <w:sz w:val="26"/>
          <w:szCs w:val="26"/>
        </w:rPr>
      </w:pPr>
      <w:r>
        <w:rPr>
          <w:sz w:val="26"/>
          <w:szCs w:val="26"/>
        </w:rPr>
        <w:t>Maurice E. Stucke</w:t>
      </w:r>
      <w:r w:rsidR="00E67E67" w:rsidRPr="00DE478D">
        <w:rPr>
          <w:rStyle w:val="FootnoteReference"/>
          <w:sz w:val="26"/>
          <w:szCs w:val="26"/>
        </w:rPr>
        <w:footnoteReference w:customMarkFollows="1" w:id="1"/>
        <w:t>*</w:t>
      </w:r>
    </w:p>
    <w:p w14:paraId="2C0D521F" w14:textId="77777777" w:rsidR="00471E15" w:rsidRDefault="00471E15" w:rsidP="002623D1">
      <w:pPr>
        <w:tabs>
          <w:tab w:val="left" w:pos="432"/>
        </w:tabs>
      </w:pPr>
    </w:p>
    <w:p w14:paraId="1C485E69" w14:textId="1ADCF619" w:rsidR="002623D1" w:rsidRPr="002623D1" w:rsidRDefault="00E67E67" w:rsidP="002623D1">
      <w:pPr>
        <w:pStyle w:val="Heading1"/>
        <w:tabs>
          <w:tab w:val="left" w:pos="432"/>
        </w:tabs>
      </w:pPr>
      <w:r>
        <w:t>Introduction</w:t>
      </w:r>
      <w:r w:rsidR="00232DE1">
        <w:t xml:space="preserve"> </w:t>
      </w:r>
    </w:p>
    <w:p w14:paraId="3BE819B2" w14:textId="77777777" w:rsidR="00AB7EA4" w:rsidRDefault="002623D1" w:rsidP="002623D1">
      <w:pPr>
        <w:pStyle w:val="Num-DocParagraph"/>
        <w:tabs>
          <w:tab w:val="left" w:pos="432"/>
          <w:tab w:val="left" w:pos="720"/>
        </w:tabs>
        <w:spacing w:line="360" w:lineRule="auto"/>
        <w:rPr>
          <w:rFonts w:ascii="CG Times" w:hAnsi="CG Times"/>
          <w:sz w:val="24"/>
          <w:szCs w:val="24"/>
        </w:rPr>
      </w:pPr>
      <w:r>
        <w:rPr>
          <w:color w:val="000000"/>
        </w:rPr>
        <w:tab/>
      </w:r>
      <w:proofErr w:type="spellStart"/>
      <w:r w:rsidR="0050262C" w:rsidRPr="0050262C">
        <w:rPr>
          <w:rFonts w:ascii="CG Times" w:hAnsi="CG Times"/>
          <w:color w:val="000000"/>
          <w:sz w:val="24"/>
          <w:szCs w:val="24"/>
        </w:rPr>
        <w:t>Behavioral</w:t>
      </w:r>
      <w:proofErr w:type="spellEnd"/>
      <w:r w:rsidR="0050262C" w:rsidRPr="0050262C">
        <w:rPr>
          <w:rFonts w:ascii="CG Times" w:hAnsi="CG Times"/>
          <w:color w:val="000000"/>
          <w:sz w:val="24"/>
          <w:szCs w:val="24"/>
        </w:rPr>
        <w:t xml:space="preserve"> economics “is now </w:t>
      </w:r>
      <w:proofErr w:type="gramStart"/>
      <w:r w:rsidR="0050262C" w:rsidRPr="0050262C">
        <w:rPr>
          <w:rFonts w:ascii="CG Times" w:hAnsi="CG Times"/>
          <w:color w:val="000000"/>
          <w:sz w:val="24"/>
          <w:szCs w:val="24"/>
        </w:rPr>
        <w:t>mainstream</w:t>
      </w:r>
      <w:proofErr w:type="gramEnd"/>
      <w:r w:rsidR="0050262C" w:rsidRPr="0050262C">
        <w:rPr>
          <w:rFonts w:ascii="CG Times" w:hAnsi="CG Times"/>
          <w:color w:val="000000"/>
          <w:sz w:val="24"/>
          <w:szCs w:val="24"/>
        </w:rPr>
        <w:t>.”</w:t>
      </w:r>
      <w:r w:rsidR="0050262C" w:rsidRPr="0050262C">
        <w:rPr>
          <w:rStyle w:val="FootnoteReference"/>
          <w:rFonts w:ascii="CG Times" w:hAnsi="CG Times"/>
          <w:color w:val="000000"/>
          <w:sz w:val="24"/>
          <w:szCs w:val="24"/>
        </w:rPr>
        <w:footnoteReference w:id="2"/>
      </w:r>
      <w:r w:rsidR="0050262C" w:rsidRPr="0050262C">
        <w:rPr>
          <w:rFonts w:ascii="CG Times" w:hAnsi="CG Times"/>
          <w:color w:val="000000"/>
          <w:sz w:val="24"/>
          <w:szCs w:val="24"/>
        </w:rPr>
        <w:t xml:space="preserve"> </w:t>
      </w:r>
      <w:r w:rsidR="0050262C" w:rsidRPr="0050262C">
        <w:rPr>
          <w:rFonts w:ascii="CG Times" w:hAnsi="CG Times"/>
          <w:sz w:val="24"/>
          <w:szCs w:val="24"/>
        </w:rPr>
        <w:t>The economics literature some time ago moved beyond neoclassical economic theory’s assumptions of perfectly rational market participants who pursue with willpower their economic self-interest. Over the past twenty years, the economic literature has increasingly recognized and measured how (</w:t>
      </w:r>
      <w:proofErr w:type="spellStart"/>
      <w:r w:rsidR="0050262C" w:rsidRPr="0050262C">
        <w:rPr>
          <w:rFonts w:ascii="CG Times" w:hAnsi="CG Times"/>
          <w:sz w:val="24"/>
          <w:szCs w:val="24"/>
        </w:rPr>
        <w:t>i</w:t>
      </w:r>
      <w:proofErr w:type="spellEnd"/>
      <w:r w:rsidR="0050262C" w:rsidRPr="0050262C">
        <w:rPr>
          <w:rFonts w:ascii="CG Times" w:hAnsi="CG Times"/>
          <w:sz w:val="24"/>
          <w:szCs w:val="24"/>
        </w:rPr>
        <w:t xml:space="preserve">) willpower is imperfect, (ii) people will incur costs to punish unfair </w:t>
      </w:r>
      <w:proofErr w:type="spellStart"/>
      <w:r w:rsidR="0050262C" w:rsidRPr="0050262C">
        <w:rPr>
          <w:rFonts w:ascii="CG Times" w:hAnsi="CG Times"/>
          <w:sz w:val="24"/>
          <w:szCs w:val="24"/>
        </w:rPr>
        <w:t>behavior</w:t>
      </w:r>
      <w:proofErr w:type="spellEnd"/>
      <w:r w:rsidR="0050262C" w:rsidRPr="0050262C">
        <w:rPr>
          <w:rFonts w:ascii="CG Times" w:hAnsi="CG Times"/>
          <w:sz w:val="24"/>
          <w:szCs w:val="24"/>
        </w:rPr>
        <w:t xml:space="preserve">, and care about treating others, and being treated fairly, and (iii) the biases and heuristics that affect decision-making. </w:t>
      </w:r>
    </w:p>
    <w:p w14:paraId="64DAF716" w14:textId="741F8A1C" w:rsidR="005D796C" w:rsidRPr="00AB7EA4" w:rsidRDefault="00AB7EA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proofErr w:type="spellStart"/>
      <w:r w:rsidR="0050262C" w:rsidRPr="0050262C">
        <w:rPr>
          <w:rFonts w:ascii="CG Times" w:hAnsi="CG Times"/>
          <w:color w:val="000000"/>
          <w:sz w:val="24"/>
          <w:szCs w:val="24"/>
        </w:rPr>
        <w:t>Behavioral</w:t>
      </w:r>
      <w:proofErr w:type="spellEnd"/>
      <w:r w:rsidR="0050262C" w:rsidRPr="0050262C">
        <w:rPr>
          <w:rFonts w:ascii="CG Times" w:hAnsi="CG Times"/>
          <w:color w:val="000000"/>
          <w:sz w:val="24"/>
          <w:szCs w:val="24"/>
        </w:rPr>
        <w:t xml:space="preserve"> economics is also timely. </w:t>
      </w:r>
      <w:r w:rsidR="005D796C">
        <w:rPr>
          <w:rFonts w:ascii="CG Times" w:hAnsi="CG Times"/>
          <w:color w:val="000000"/>
          <w:sz w:val="24"/>
          <w:szCs w:val="24"/>
        </w:rPr>
        <w:t xml:space="preserve"> </w:t>
      </w:r>
      <w:r w:rsidR="0050262C" w:rsidRPr="0050262C">
        <w:rPr>
          <w:rFonts w:ascii="CG Times" w:hAnsi="CG Times"/>
          <w:color w:val="000000"/>
          <w:sz w:val="24"/>
          <w:szCs w:val="24"/>
        </w:rPr>
        <w:t xml:space="preserve">The </w:t>
      </w:r>
      <w:r w:rsidR="00136C28">
        <w:rPr>
          <w:rFonts w:ascii="CG Times" w:hAnsi="CG Times"/>
          <w:color w:val="000000"/>
          <w:sz w:val="24"/>
          <w:szCs w:val="24"/>
        </w:rPr>
        <w:t xml:space="preserve">economic </w:t>
      </w:r>
      <w:r w:rsidR="0050262C" w:rsidRPr="0050262C">
        <w:rPr>
          <w:rFonts w:ascii="CG Times" w:hAnsi="CG Times"/>
          <w:color w:val="000000"/>
          <w:sz w:val="24"/>
          <w:szCs w:val="24"/>
        </w:rPr>
        <w:t xml:space="preserve">crisis raised important issues of market failure, weak regulation, moral hazard, and our lack of understanding about how many markets actually operate. </w:t>
      </w:r>
      <w:r>
        <w:rPr>
          <w:rFonts w:ascii="CG Times" w:hAnsi="CG Times"/>
          <w:color w:val="000000"/>
          <w:sz w:val="24"/>
          <w:szCs w:val="24"/>
        </w:rPr>
        <w:t>T</w:t>
      </w:r>
      <w:r w:rsidR="0050262C" w:rsidRPr="0050262C">
        <w:rPr>
          <w:rFonts w:ascii="CG Times" w:hAnsi="CG Times"/>
          <w:color w:val="000000"/>
          <w:sz w:val="24"/>
          <w:szCs w:val="24"/>
        </w:rPr>
        <w:t>he Organisation for Economic Co-operation and Development (OECD) noted how “the worst financial and economic crisis in our lifetime”</w:t>
      </w:r>
      <w:r w:rsidR="0050262C" w:rsidRPr="0050262C">
        <w:rPr>
          <w:rStyle w:val="FootnoteReference"/>
          <w:rFonts w:ascii="CG Times" w:hAnsi="CG Times"/>
          <w:color w:val="000000"/>
          <w:sz w:val="24"/>
          <w:szCs w:val="24"/>
        </w:rPr>
        <w:footnoteReference w:id="3"/>
      </w:r>
      <w:r w:rsidR="0050262C" w:rsidRPr="0050262C">
        <w:rPr>
          <w:rFonts w:ascii="CG Times" w:hAnsi="CG Times"/>
          <w:color w:val="000000"/>
          <w:sz w:val="24"/>
          <w:szCs w:val="24"/>
        </w:rPr>
        <w:t xml:space="preserve"> has prompted policy makers to ask: “Are our economic theories, our economic models, and our assumptions still valid?”</w:t>
      </w:r>
      <w:r w:rsidR="0050262C" w:rsidRPr="0050262C">
        <w:rPr>
          <w:rStyle w:val="FootnoteReference"/>
          <w:rFonts w:ascii="CG Times" w:hAnsi="CG Times"/>
          <w:color w:val="000000"/>
          <w:sz w:val="24"/>
          <w:szCs w:val="24"/>
        </w:rPr>
        <w:footnoteReference w:id="4"/>
      </w:r>
    </w:p>
    <w:p w14:paraId="030AE78F" w14:textId="5583C9ED" w:rsidR="00AB7EA4" w:rsidRDefault="005D796C" w:rsidP="002623D1">
      <w:pPr>
        <w:pStyle w:val="Num-DocParagraph"/>
        <w:tabs>
          <w:tab w:val="left" w:pos="432"/>
          <w:tab w:val="left" w:pos="720"/>
        </w:tabs>
        <w:spacing w:line="360" w:lineRule="auto"/>
        <w:rPr>
          <w:color w:val="000000"/>
        </w:rPr>
      </w:pPr>
      <w:r>
        <w:rPr>
          <w:color w:val="000000"/>
        </w:rPr>
        <w:lastRenderedPageBreak/>
        <w:tab/>
      </w:r>
      <w:r w:rsidR="0050262C" w:rsidRPr="0050262C">
        <w:rPr>
          <w:rFonts w:ascii="CG Times" w:hAnsi="CG Times"/>
          <w:sz w:val="24"/>
          <w:szCs w:val="24"/>
        </w:rPr>
        <w:t xml:space="preserve">As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(with its more realistic assumptions of human </w:t>
      </w:r>
      <w:proofErr w:type="spellStart"/>
      <w:r w:rsidR="0050262C" w:rsidRPr="0050262C">
        <w:rPr>
          <w:rFonts w:ascii="CG Times" w:hAnsi="CG Times"/>
          <w:sz w:val="24"/>
          <w:szCs w:val="24"/>
        </w:rPr>
        <w:t>behavior</w:t>
      </w:r>
      <w:proofErr w:type="spellEnd"/>
      <w:r w:rsidR="0050262C" w:rsidRPr="0050262C">
        <w:rPr>
          <w:rFonts w:ascii="CG Times" w:hAnsi="CG Times"/>
          <w:sz w:val="24"/>
          <w:szCs w:val="24"/>
        </w:rPr>
        <w:t>) goes mainstream in academia and the business world, one expects lawyers and economists to bring the current economic thinking to the competition agencies</w:t>
      </w:r>
      <w:r w:rsidR="00AB7EA4">
        <w:rPr>
          <w:rFonts w:ascii="CG Times" w:hAnsi="CG Times"/>
          <w:sz w:val="24"/>
          <w:szCs w:val="24"/>
        </w:rPr>
        <w:t xml:space="preserve"> and courts</w:t>
      </w:r>
      <w:r w:rsidR="0050262C" w:rsidRPr="0050262C">
        <w:rPr>
          <w:rFonts w:ascii="CG Times" w:hAnsi="CG Times"/>
          <w:sz w:val="24"/>
          <w:szCs w:val="24"/>
        </w:rPr>
        <w:t xml:space="preserve">.  </w:t>
      </w:r>
      <w:r w:rsidR="00AB7EA4">
        <w:rPr>
          <w:rFonts w:ascii="CG Times" w:hAnsi="CG Times"/>
          <w:sz w:val="24"/>
          <w:szCs w:val="24"/>
        </w:rPr>
        <w:t>Already governmental agencies, such as the U.K.</w:t>
      </w:r>
      <w:r w:rsidR="00AB7EA4">
        <w:rPr>
          <w:rFonts w:ascii="CG Times" w:hAnsi="CG Times" w:hint="eastAsia"/>
          <w:sz w:val="24"/>
          <w:szCs w:val="24"/>
        </w:rPr>
        <w:t>’</w:t>
      </w:r>
      <w:r w:rsidR="00AB7EA4">
        <w:rPr>
          <w:rFonts w:ascii="CG Times" w:hAnsi="CG Times"/>
          <w:sz w:val="24"/>
          <w:szCs w:val="24"/>
        </w:rPr>
        <w:t>s Financial Conduct Authority</w:t>
      </w:r>
      <w:r w:rsidR="00136C28">
        <w:rPr>
          <w:rFonts w:ascii="CG Times" w:hAnsi="CG Times"/>
          <w:sz w:val="24"/>
          <w:szCs w:val="24"/>
        </w:rPr>
        <w:t xml:space="preserve"> (FCA)</w:t>
      </w:r>
      <w:r w:rsidR="00144014">
        <w:rPr>
          <w:rFonts w:ascii="CG Times" w:hAnsi="CG Times"/>
          <w:sz w:val="24"/>
          <w:szCs w:val="24"/>
        </w:rPr>
        <w:t>,</w:t>
      </w:r>
      <w:r w:rsidR="00AB7EA4">
        <w:rPr>
          <w:rStyle w:val="FootnoteReference"/>
          <w:rFonts w:ascii="CG Times" w:hAnsi="CG Times"/>
          <w:sz w:val="24"/>
          <w:szCs w:val="24"/>
        </w:rPr>
        <w:footnoteReference w:id="5"/>
      </w:r>
      <w:r w:rsidR="00AB7EA4">
        <w:rPr>
          <w:rFonts w:ascii="CG Times" w:hAnsi="CG Times"/>
          <w:sz w:val="24"/>
          <w:szCs w:val="24"/>
        </w:rPr>
        <w:t xml:space="preserve"> </w:t>
      </w:r>
      <w:r w:rsidR="00144014">
        <w:rPr>
          <w:rFonts w:ascii="CG Times" w:hAnsi="CG Times"/>
          <w:sz w:val="24"/>
          <w:szCs w:val="24"/>
        </w:rPr>
        <w:t xml:space="preserve">and </w:t>
      </w:r>
      <w:r w:rsidR="00AB7EA4">
        <w:rPr>
          <w:rFonts w:ascii="CG Times" w:hAnsi="CG Times"/>
          <w:sz w:val="24"/>
          <w:szCs w:val="24"/>
        </w:rPr>
        <w:t>U.S. Consumer Financial Protection Bureau</w:t>
      </w:r>
      <w:r w:rsidR="00144014">
        <w:rPr>
          <w:rStyle w:val="FootnoteReference"/>
          <w:rFonts w:ascii="CG Times" w:hAnsi="CG Times"/>
          <w:sz w:val="24"/>
          <w:szCs w:val="24"/>
        </w:rPr>
        <w:footnoteReference w:id="6"/>
      </w:r>
      <w:r w:rsidR="00AB7EA4">
        <w:rPr>
          <w:rFonts w:ascii="CG Times" w:hAnsi="CG Times"/>
          <w:sz w:val="24"/>
          <w:szCs w:val="24"/>
        </w:rPr>
        <w:t xml:space="preserve">, </w:t>
      </w:r>
      <w:r w:rsidR="00136C28">
        <w:rPr>
          <w:rFonts w:ascii="CG Times" w:hAnsi="CG Times"/>
          <w:sz w:val="24"/>
          <w:szCs w:val="24"/>
        </w:rPr>
        <w:t>are discussing how market forces will not always reduce, and at times will exploit, consumers</w:t>
      </w:r>
      <w:r w:rsidR="00136C28">
        <w:rPr>
          <w:rFonts w:ascii="CG Times" w:hAnsi="CG Times" w:hint="eastAsia"/>
          <w:sz w:val="24"/>
          <w:szCs w:val="24"/>
        </w:rPr>
        <w:t>’</w:t>
      </w:r>
      <w:r w:rsidR="00136C28">
        <w:rPr>
          <w:rFonts w:ascii="CG Times" w:hAnsi="CG Times"/>
          <w:sz w:val="24"/>
          <w:szCs w:val="24"/>
        </w:rPr>
        <w:t xml:space="preserve"> </w:t>
      </w:r>
      <w:r w:rsidR="00136C28">
        <w:rPr>
          <w:rFonts w:ascii="CG Times" w:hAnsi="CG Times" w:hint="eastAsia"/>
          <w:sz w:val="24"/>
          <w:szCs w:val="24"/>
        </w:rPr>
        <w:t>behavioural</w:t>
      </w:r>
      <w:r w:rsidR="00136C28">
        <w:rPr>
          <w:rFonts w:ascii="CG Times" w:hAnsi="CG Times"/>
          <w:sz w:val="24"/>
          <w:szCs w:val="24"/>
        </w:rPr>
        <w:t xml:space="preserve"> biases.   Indeed, the belief is that </w:t>
      </w:r>
      <w:r w:rsidR="00136C28">
        <w:rPr>
          <w:rFonts w:ascii="CG Times" w:hAnsi="CG Times" w:hint="eastAsia"/>
          <w:sz w:val="24"/>
          <w:szCs w:val="24"/>
        </w:rPr>
        <w:t>behavioural</w:t>
      </w:r>
      <w:r w:rsidR="00136C28">
        <w:rPr>
          <w:rFonts w:ascii="CG Times" w:hAnsi="CG Times"/>
          <w:sz w:val="24"/>
          <w:szCs w:val="24"/>
        </w:rPr>
        <w:t xml:space="preserve"> biases </w:t>
      </w:r>
      <w:r w:rsidR="00136C28">
        <w:rPr>
          <w:rFonts w:ascii="CG Times" w:hAnsi="CG Times" w:hint="eastAsia"/>
          <w:sz w:val="24"/>
          <w:szCs w:val="24"/>
        </w:rPr>
        <w:t>“</w:t>
      </w:r>
      <w:r w:rsidR="00136C28">
        <w:rPr>
          <w:rFonts w:ascii="CG Times" w:hAnsi="CG Times"/>
          <w:sz w:val="24"/>
          <w:szCs w:val="24"/>
        </w:rPr>
        <w:t>can lead firms to compete in ways that are not in the interests of consumers.</w:t>
      </w:r>
      <w:r w:rsidR="00136C28">
        <w:rPr>
          <w:rFonts w:ascii="CG Times" w:hAnsi="CG Times" w:hint="eastAsia"/>
          <w:sz w:val="24"/>
          <w:szCs w:val="24"/>
        </w:rPr>
        <w:t>”</w:t>
      </w:r>
      <w:r w:rsidR="00136C28">
        <w:rPr>
          <w:rStyle w:val="FootnoteReference"/>
          <w:rFonts w:ascii="CG Times" w:hAnsi="CG Times"/>
          <w:sz w:val="24"/>
          <w:szCs w:val="24"/>
        </w:rPr>
        <w:footnoteReference w:id="7"/>
      </w:r>
      <w:r w:rsidR="00136C28">
        <w:rPr>
          <w:rFonts w:ascii="CG Times" w:hAnsi="CG Times"/>
          <w:sz w:val="24"/>
          <w:szCs w:val="24"/>
        </w:rPr>
        <w:t xml:space="preserve"> </w:t>
      </w:r>
      <w:r w:rsidR="0050262C" w:rsidRPr="0050262C">
        <w:rPr>
          <w:rFonts w:ascii="CG Times" w:hAnsi="CG Times"/>
          <w:sz w:val="24"/>
          <w:szCs w:val="24"/>
        </w:rPr>
        <w:t xml:space="preserve">How should the competition agencies </w:t>
      </w:r>
      <w:r w:rsidR="00AB7EA4">
        <w:rPr>
          <w:rFonts w:ascii="CG Times" w:hAnsi="CG Times"/>
          <w:sz w:val="24"/>
          <w:szCs w:val="24"/>
        </w:rPr>
        <w:t xml:space="preserve">and courts </w:t>
      </w:r>
      <w:r w:rsidR="0050262C" w:rsidRPr="0050262C">
        <w:rPr>
          <w:rFonts w:ascii="CG Times" w:hAnsi="CG Times"/>
          <w:sz w:val="24"/>
          <w:szCs w:val="24"/>
        </w:rPr>
        <w:t>respond</w:t>
      </w:r>
      <w:r w:rsidR="00136C28">
        <w:rPr>
          <w:rFonts w:ascii="CG Times" w:hAnsi="CG Times"/>
          <w:sz w:val="24"/>
          <w:szCs w:val="24"/>
        </w:rPr>
        <w:t xml:space="preserve"> to the insights of </w:t>
      </w:r>
      <w:r w:rsidR="00136C28">
        <w:rPr>
          <w:rFonts w:ascii="CG Times" w:hAnsi="CG Times" w:hint="eastAsia"/>
          <w:sz w:val="24"/>
          <w:szCs w:val="24"/>
        </w:rPr>
        <w:t>behavioural</w:t>
      </w:r>
      <w:r w:rsidR="00136C28">
        <w:rPr>
          <w:rFonts w:ascii="CG Times" w:hAnsi="CG Times"/>
          <w:sz w:val="24"/>
          <w:szCs w:val="24"/>
        </w:rPr>
        <w:t xml:space="preserve"> economics</w:t>
      </w:r>
      <w:r w:rsidR="0050262C" w:rsidRPr="0050262C">
        <w:rPr>
          <w:rFonts w:ascii="CG Times" w:hAnsi="CG Times"/>
          <w:sz w:val="24"/>
          <w:szCs w:val="24"/>
        </w:rPr>
        <w:t>?</w:t>
      </w:r>
      <w:r w:rsidR="00AB7EA4">
        <w:rPr>
          <w:color w:val="000000"/>
        </w:rPr>
        <w:t xml:space="preserve">  </w:t>
      </w:r>
    </w:p>
    <w:p w14:paraId="45461046" w14:textId="501C07ED" w:rsidR="0050262C" w:rsidRPr="00AB7EA4" w:rsidRDefault="00AB7EA4" w:rsidP="002623D1">
      <w:pPr>
        <w:pStyle w:val="Num-DocParagraph"/>
        <w:tabs>
          <w:tab w:val="left" w:pos="432"/>
          <w:tab w:val="left" w:pos="720"/>
        </w:tabs>
        <w:spacing w:line="360" w:lineRule="auto"/>
        <w:rPr>
          <w:color w:val="000000"/>
        </w:rPr>
      </w:pPr>
      <w:r>
        <w:rPr>
          <w:color w:val="000000"/>
        </w:rPr>
        <w:tab/>
      </w:r>
      <w:r w:rsidR="0050262C" w:rsidRPr="0050262C">
        <w:rPr>
          <w:rFonts w:ascii="CG Times" w:hAnsi="CG Times"/>
          <w:sz w:val="24"/>
          <w:szCs w:val="24"/>
        </w:rPr>
        <w:t xml:space="preserve">This paper examines how competition authorities can consider the implications of </w:t>
      </w:r>
      <w:proofErr w:type="spellStart"/>
      <w:r w:rsidR="0050262C" w:rsidRPr="0050262C">
        <w:rPr>
          <w:rFonts w:ascii="CG Times" w:hAnsi="CG Times"/>
          <w:sz w:val="24"/>
          <w:szCs w:val="24"/>
        </w:rPr>
        <w:t>behav</w:t>
      </w:r>
      <w:r w:rsidR="004D1D2B">
        <w:rPr>
          <w:rFonts w:ascii="CG Times" w:hAnsi="CG Times"/>
          <w:sz w:val="24"/>
          <w:szCs w:val="24"/>
        </w:rPr>
        <w:t>ioral</w:t>
      </w:r>
      <w:proofErr w:type="spellEnd"/>
      <w:r w:rsidR="004D1D2B">
        <w:rPr>
          <w:rFonts w:ascii="CG Times" w:hAnsi="CG Times"/>
          <w:sz w:val="24"/>
          <w:szCs w:val="24"/>
        </w:rPr>
        <w:t xml:space="preserve"> economics on four levels:</w:t>
      </w:r>
    </w:p>
    <w:p w14:paraId="2BEB16B6" w14:textId="77777777" w:rsidR="0050262C" w:rsidRPr="0050262C" w:rsidRDefault="0050262C" w:rsidP="002623D1">
      <w:pPr>
        <w:pStyle w:val="ListBullet"/>
        <w:tabs>
          <w:tab w:val="clear" w:pos="850"/>
          <w:tab w:val="left" w:pos="432"/>
          <w:tab w:val="left" w:pos="720"/>
          <w:tab w:val="num" w:pos="1258"/>
        </w:tabs>
        <w:ind w:left="408"/>
        <w:rPr>
          <w:rFonts w:ascii="CG Times" w:hAnsi="CG Times"/>
          <w:sz w:val="24"/>
          <w:szCs w:val="24"/>
        </w:rPr>
      </w:pPr>
      <w:proofErr w:type="gramStart"/>
      <w:r w:rsidRPr="0050262C">
        <w:rPr>
          <w:rFonts w:ascii="CG Times" w:hAnsi="CG Times"/>
          <w:i/>
          <w:sz w:val="24"/>
          <w:szCs w:val="24"/>
        </w:rPr>
        <w:t>first</w:t>
      </w:r>
      <w:proofErr w:type="gramEnd"/>
      <w:r w:rsidRPr="0050262C">
        <w:rPr>
          <w:rFonts w:ascii="CG Times" w:hAnsi="CG Times"/>
          <w:i/>
          <w:sz w:val="24"/>
          <w:szCs w:val="24"/>
        </w:rPr>
        <w:t xml:space="preserve"> </w:t>
      </w:r>
      <w:r w:rsidRPr="0050262C">
        <w:rPr>
          <w:rFonts w:ascii="CG Times" w:hAnsi="CG Times"/>
          <w:sz w:val="24"/>
          <w:szCs w:val="24"/>
        </w:rPr>
        <w:t xml:space="preserve">as a gap filler, i.e., to help explain “real world” evidence that neoclassical economic theory cannot explain, </w:t>
      </w:r>
    </w:p>
    <w:p w14:paraId="74D31051" w14:textId="77777777" w:rsidR="0050262C" w:rsidRPr="0050262C" w:rsidRDefault="0050262C" w:rsidP="002623D1">
      <w:pPr>
        <w:pStyle w:val="ListBullet"/>
        <w:tabs>
          <w:tab w:val="clear" w:pos="850"/>
          <w:tab w:val="left" w:pos="432"/>
          <w:tab w:val="left" w:pos="720"/>
          <w:tab w:val="num" w:pos="1258"/>
        </w:tabs>
        <w:ind w:left="408"/>
        <w:rPr>
          <w:rFonts w:ascii="CG Times" w:hAnsi="CG Times"/>
          <w:sz w:val="24"/>
          <w:szCs w:val="24"/>
        </w:rPr>
      </w:pPr>
      <w:proofErr w:type="gramStart"/>
      <w:r w:rsidRPr="0050262C">
        <w:rPr>
          <w:rFonts w:ascii="CG Times" w:hAnsi="CG Times"/>
          <w:i/>
          <w:sz w:val="24"/>
          <w:szCs w:val="24"/>
        </w:rPr>
        <w:t>second</w:t>
      </w:r>
      <w:proofErr w:type="gramEnd"/>
      <w:r w:rsidRPr="0050262C">
        <w:rPr>
          <w:rFonts w:ascii="CG Times" w:hAnsi="CG Times"/>
          <w:i/>
          <w:sz w:val="24"/>
          <w:szCs w:val="24"/>
        </w:rPr>
        <w:t xml:space="preserve"> </w:t>
      </w:r>
      <w:r w:rsidRPr="0050262C">
        <w:rPr>
          <w:rFonts w:ascii="CG Times" w:hAnsi="CG Times"/>
          <w:sz w:val="24"/>
          <w:szCs w:val="24"/>
        </w:rPr>
        <w:t xml:space="preserve">to assess critically the assumptions of specific antitrust policies, such as merger review and cartel prosecutions, </w:t>
      </w:r>
    </w:p>
    <w:p w14:paraId="6025E936" w14:textId="5B06F946" w:rsidR="0050262C" w:rsidRPr="0050262C" w:rsidRDefault="0050262C" w:rsidP="002623D1">
      <w:pPr>
        <w:pStyle w:val="ListBullet"/>
        <w:tabs>
          <w:tab w:val="clear" w:pos="850"/>
          <w:tab w:val="left" w:pos="432"/>
          <w:tab w:val="left" w:pos="720"/>
          <w:tab w:val="num" w:pos="1258"/>
        </w:tabs>
        <w:ind w:left="408"/>
        <w:rPr>
          <w:rFonts w:ascii="CG Times" w:hAnsi="CG Times"/>
          <w:sz w:val="24"/>
          <w:szCs w:val="24"/>
        </w:rPr>
      </w:pPr>
      <w:proofErr w:type="gramStart"/>
      <w:r w:rsidRPr="0050262C">
        <w:rPr>
          <w:rFonts w:ascii="CG Times" w:hAnsi="CG Times"/>
          <w:i/>
          <w:sz w:val="24"/>
          <w:szCs w:val="24"/>
        </w:rPr>
        <w:t>third</w:t>
      </w:r>
      <w:proofErr w:type="gramEnd"/>
      <w:r w:rsidRPr="0050262C">
        <w:rPr>
          <w:rFonts w:ascii="CG Times" w:hAnsi="CG Times"/>
          <w:i/>
          <w:sz w:val="24"/>
          <w:szCs w:val="24"/>
        </w:rPr>
        <w:t xml:space="preserve"> </w:t>
      </w:r>
      <w:r w:rsidRPr="0050262C">
        <w:rPr>
          <w:rFonts w:ascii="CG Times" w:hAnsi="CG Times"/>
          <w:sz w:val="24"/>
          <w:szCs w:val="24"/>
        </w:rPr>
        <w:t>to revisit three fundamental antitrust questions, namely what is competition, what are the goals of competition law, and what should be the legal standa</w:t>
      </w:r>
      <w:r w:rsidR="004D1D2B">
        <w:rPr>
          <w:rFonts w:ascii="CG Times" w:hAnsi="CG Times"/>
          <w:sz w:val="24"/>
          <w:szCs w:val="24"/>
        </w:rPr>
        <w:t>rds to promote those goals, and</w:t>
      </w:r>
    </w:p>
    <w:p w14:paraId="2970AB23" w14:textId="77777777" w:rsidR="0050262C" w:rsidRPr="0050262C" w:rsidRDefault="0050262C" w:rsidP="002623D1">
      <w:pPr>
        <w:pStyle w:val="ListBullet"/>
        <w:tabs>
          <w:tab w:val="clear" w:pos="850"/>
          <w:tab w:val="left" w:pos="432"/>
          <w:tab w:val="left" w:pos="720"/>
          <w:tab w:val="num" w:pos="1258"/>
        </w:tabs>
        <w:ind w:left="408"/>
        <w:rPr>
          <w:rFonts w:ascii="CG Times" w:hAnsi="CG Times"/>
          <w:sz w:val="24"/>
          <w:szCs w:val="24"/>
        </w:rPr>
      </w:pPr>
      <w:proofErr w:type="gramStart"/>
      <w:r w:rsidRPr="0050262C">
        <w:rPr>
          <w:rFonts w:ascii="CG Times" w:hAnsi="CG Times"/>
          <w:i/>
          <w:sz w:val="24"/>
          <w:szCs w:val="24"/>
        </w:rPr>
        <w:lastRenderedPageBreak/>
        <w:t>fourth</w:t>
      </w:r>
      <w:proofErr w:type="gramEnd"/>
      <w:r w:rsidRPr="0050262C">
        <w:rPr>
          <w:rFonts w:ascii="CG Times" w:hAnsi="CG Times"/>
          <w:sz w:val="24"/>
          <w:szCs w:val="24"/>
        </w:rPr>
        <w:t xml:space="preserve"> to assess how </w:t>
      </w:r>
      <w:proofErr w:type="spellStart"/>
      <w:r w:rsidRPr="0050262C">
        <w:rPr>
          <w:rFonts w:ascii="CG Times" w:hAnsi="CG Times"/>
          <w:sz w:val="24"/>
          <w:szCs w:val="24"/>
        </w:rPr>
        <w:t>behavioral</w:t>
      </w:r>
      <w:proofErr w:type="spellEnd"/>
      <w:r w:rsidRPr="0050262C">
        <w:rPr>
          <w:rFonts w:ascii="CG Times" w:hAnsi="CG Times"/>
          <w:sz w:val="24"/>
          <w:szCs w:val="24"/>
        </w:rPr>
        <w:t xml:space="preserve"> economics will affect the degree of convergence/divergence of competition law among the over 100 jurisdictions with competition laws today.</w:t>
      </w:r>
    </w:p>
    <w:p w14:paraId="1F6BD3B8" w14:textId="3B556C87" w:rsidR="0050262C" w:rsidRPr="0050262C" w:rsidRDefault="002623D1" w:rsidP="00EB2916">
      <w:pPr>
        <w:pStyle w:val="Heading1"/>
        <w:tabs>
          <w:tab w:val="left" w:pos="432"/>
        </w:tabs>
      </w:pPr>
      <w:r>
        <w:t xml:space="preserve">I. </w:t>
      </w:r>
      <w:r w:rsidR="00EB2916">
        <w:t xml:space="preserve"> </w:t>
      </w:r>
      <w:r w:rsidR="0050262C" w:rsidRPr="0050262C">
        <w:t>Level I: Behavioral Economics as a Gap Filler</w:t>
      </w:r>
    </w:p>
    <w:p w14:paraId="3B914858" w14:textId="77777777" w:rsidR="002D7A58" w:rsidRDefault="0050262C"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proofErr w:type="gramStart"/>
      <w:r w:rsidR="00E72F4C">
        <w:rPr>
          <w:rFonts w:ascii="CG Times" w:hAnsi="CG Times"/>
          <w:sz w:val="24"/>
          <w:szCs w:val="24"/>
        </w:rPr>
        <w:t>The  Supreme</w:t>
      </w:r>
      <w:proofErr w:type="gramEnd"/>
      <w:r w:rsidR="00E72F4C">
        <w:rPr>
          <w:rFonts w:ascii="CG Times" w:hAnsi="CG Times"/>
          <w:sz w:val="24"/>
          <w:szCs w:val="24"/>
        </w:rPr>
        <w:t xml:space="preserve"> Court </w:t>
      </w:r>
      <w:r w:rsidR="00E72F4C" w:rsidRPr="00136C28">
        <w:rPr>
          <w:rFonts w:ascii="CG Times" w:hAnsi="CG Times"/>
          <w:sz w:val="24"/>
          <w:szCs w:val="24"/>
        </w:rPr>
        <w:t>prefer</w:t>
      </w:r>
      <w:r w:rsidR="00E72F4C">
        <w:rPr>
          <w:rFonts w:ascii="CG Times" w:hAnsi="CG Times"/>
          <w:sz w:val="24"/>
          <w:szCs w:val="24"/>
        </w:rPr>
        <w:t xml:space="preserve">s </w:t>
      </w:r>
      <w:r w:rsidR="00E72F4C" w:rsidRPr="00136C28">
        <w:rPr>
          <w:rFonts w:ascii="CG Times" w:hAnsi="CG Times"/>
          <w:sz w:val="24"/>
          <w:szCs w:val="24"/>
        </w:rPr>
        <w:t xml:space="preserve">to resolve antitrust claims on a case-by-case basis, focusing on the </w:t>
      </w:r>
      <w:r w:rsidR="00E72F4C" w:rsidRPr="00136C28">
        <w:rPr>
          <w:rFonts w:ascii="CG Times" w:hAnsi="CG Times" w:hint="eastAsia"/>
          <w:sz w:val="24"/>
          <w:szCs w:val="24"/>
        </w:rPr>
        <w:t>“</w:t>
      </w:r>
      <w:r w:rsidR="00E72F4C" w:rsidRPr="00136C28">
        <w:rPr>
          <w:rFonts w:ascii="CG Times" w:hAnsi="CG Times"/>
          <w:sz w:val="24"/>
          <w:szCs w:val="24"/>
        </w:rPr>
        <w:t>particular facts disclosed by the record.</w:t>
      </w:r>
      <w:r w:rsidR="00E72F4C" w:rsidRPr="00136C28">
        <w:rPr>
          <w:rFonts w:ascii="CG Times" w:hAnsi="CG Times" w:hint="eastAsia"/>
          <w:sz w:val="24"/>
          <w:szCs w:val="24"/>
        </w:rPr>
        <w:t>”</w:t>
      </w:r>
      <w:r w:rsidR="00E72F4C">
        <w:rPr>
          <w:rStyle w:val="FootnoteReference"/>
          <w:rFonts w:ascii="CG Times" w:hAnsi="CG Times"/>
          <w:sz w:val="24"/>
          <w:szCs w:val="24"/>
        </w:rPr>
        <w:footnoteReference w:id="8"/>
      </w:r>
      <w:r w:rsidR="00E72F4C">
        <w:rPr>
          <w:rFonts w:ascii="CG Times" w:hAnsi="CG Times"/>
          <w:sz w:val="24"/>
          <w:szCs w:val="24"/>
          <w:lang w:val="en-US"/>
        </w:rPr>
        <w:t xml:space="preserve">  Thus economic theory must be able to explain </w:t>
      </w:r>
      <w:r w:rsidR="00E72F4C" w:rsidRPr="00E72F4C">
        <w:rPr>
          <w:rFonts w:ascii="CG Times" w:hAnsi="CG Times"/>
          <w:sz w:val="24"/>
          <w:szCs w:val="24"/>
          <w:lang w:val="en-US"/>
        </w:rPr>
        <w:t>the economic reality of the market at issue</w:t>
      </w:r>
      <w:r w:rsidR="00E72F4C">
        <w:rPr>
          <w:rFonts w:ascii="CG Times" w:hAnsi="CG Times"/>
          <w:sz w:val="24"/>
          <w:szCs w:val="24"/>
          <w:lang w:val="en-US"/>
        </w:rPr>
        <w:t xml:space="preserve">. Competition policy, as evident by the </w:t>
      </w:r>
      <w:r w:rsidR="00E72F4C">
        <w:rPr>
          <w:rFonts w:ascii="CG Times" w:hAnsi="CG Times"/>
          <w:sz w:val="24"/>
          <w:szCs w:val="24"/>
        </w:rPr>
        <w:t>Chicago, Post-Chicago, Harvard, and Neo-Chicago Schools,</w:t>
      </w:r>
      <w:r w:rsidR="00E72F4C">
        <w:rPr>
          <w:rFonts w:ascii="CG Times" w:hAnsi="CG Times"/>
          <w:sz w:val="24"/>
          <w:szCs w:val="24"/>
          <w:lang w:val="en-US"/>
        </w:rPr>
        <w:t xml:space="preserve"> does not necessarily subscribe to one economic theory.  But underlying </w:t>
      </w:r>
      <w:r w:rsidR="00E72F4C">
        <w:rPr>
          <w:rFonts w:ascii="CG Times" w:hAnsi="CG Times"/>
          <w:sz w:val="24"/>
          <w:szCs w:val="24"/>
        </w:rPr>
        <w:t>any of these schools</w:t>
      </w:r>
      <w:r w:rsidR="00E72F4C">
        <w:rPr>
          <w:rFonts w:ascii="CG Times" w:hAnsi="CG Times" w:hint="eastAsia"/>
          <w:sz w:val="24"/>
          <w:szCs w:val="24"/>
        </w:rPr>
        <w:t>’</w:t>
      </w:r>
      <w:r w:rsidR="00E72F4C">
        <w:rPr>
          <w:rFonts w:ascii="CG Times" w:hAnsi="CG Times"/>
          <w:sz w:val="24"/>
          <w:szCs w:val="24"/>
        </w:rPr>
        <w:t xml:space="preserve"> economic </w:t>
      </w:r>
      <w:r w:rsidR="00136C28">
        <w:rPr>
          <w:rFonts w:ascii="CG Times" w:hAnsi="CG Times"/>
          <w:sz w:val="24"/>
          <w:szCs w:val="24"/>
        </w:rPr>
        <w:t xml:space="preserve">theories </w:t>
      </w:r>
      <w:r w:rsidR="00E72F4C">
        <w:rPr>
          <w:rFonts w:ascii="CG Times" w:hAnsi="CG Times"/>
          <w:sz w:val="24"/>
          <w:szCs w:val="24"/>
        </w:rPr>
        <w:t xml:space="preserve">is the </w:t>
      </w:r>
      <w:r w:rsidR="00136C28">
        <w:rPr>
          <w:rFonts w:ascii="CG Times" w:hAnsi="CG Times"/>
          <w:sz w:val="24"/>
          <w:szCs w:val="24"/>
        </w:rPr>
        <w:t xml:space="preserve">premise on rational market participants with willpower who pursue their economic self-interest. </w:t>
      </w:r>
      <w:r w:rsidR="00E72F4C">
        <w:rPr>
          <w:rFonts w:ascii="CG Times" w:hAnsi="CG Times"/>
          <w:sz w:val="24"/>
          <w:szCs w:val="24"/>
        </w:rPr>
        <w:t xml:space="preserve"> Agencies and courts can rely on these economic theories to help under the particular facts of the market under investigation.  </w:t>
      </w:r>
    </w:p>
    <w:p w14:paraId="637E8018" w14:textId="3E4E566C" w:rsidR="00136C28" w:rsidRDefault="002D7A58" w:rsidP="002D7A58">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t>A</w:t>
      </w:r>
      <w:r w:rsidR="0050262C" w:rsidRPr="0050262C">
        <w:rPr>
          <w:rFonts w:ascii="CG Times" w:hAnsi="CG Times"/>
          <w:sz w:val="24"/>
          <w:szCs w:val="24"/>
        </w:rPr>
        <w:t xml:space="preserve">t times </w:t>
      </w:r>
      <w:r w:rsidR="00136C28">
        <w:rPr>
          <w:rFonts w:ascii="CG Times" w:hAnsi="CG Times"/>
          <w:sz w:val="24"/>
          <w:szCs w:val="24"/>
        </w:rPr>
        <w:t xml:space="preserve">the neoclassical </w:t>
      </w:r>
      <w:r w:rsidR="0050262C" w:rsidRPr="0050262C">
        <w:rPr>
          <w:rFonts w:ascii="CG Times" w:hAnsi="CG Times"/>
          <w:sz w:val="24"/>
          <w:szCs w:val="24"/>
        </w:rPr>
        <w:t>economic theor</w:t>
      </w:r>
      <w:r w:rsidR="00136C28">
        <w:rPr>
          <w:rFonts w:ascii="CG Times" w:hAnsi="CG Times"/>
          <w:sz w:val="24"/>
          <w:szCs w:val="24"/>
        </w:rPr>
        <w:t xml:space="preserve">ies </w:t>
      </w:r>
      <w:r w:rsidR="0050262C" w:rsidRPr="0050262C">
        <w:rPr>
          <w:rFonts w:ascii="CG Times" w:hAnsi="CG Times"/>
          <w:sz w:val="24"/>
          <w:szCs w:val="24"/>
        </w:rPr>
        <w:t xml:space="preserve">cannot easily be reconciled with evidence of the parties’ </w:t>
      </w:r>
      <w:r w:rsidR="00136C28">
        <w:rPr>
          <w:rFonts w:ascii="CG Times" w:hAnsi="CG Times"/>
          <w:sz w:val="24"/>
          <w:szCs w:val="24"/>
        </w:rPr>
        <w:t xml:space="preserve">actual </w:t>
      </w:r>
      <w:proofErr w:type="spellStart"/>
      <w:r w:rsidR="0050262C" w:rsidRPr="0050262C">
        <w:rPr>
          <w:rFonts w:ascii="CG Times" w:hAnsi="CG Times"/>
          <w:sz w:val="24"/>
          <w:szCs w:val="24"/>
        </w:rPr>
        <w:t>behavior</w:t>
      </w:r>
      <w:proofErr w:type="spellEnd"/>
      <w:r w:rsidR="0050262C" w:rsidRPr="0050262C">
        <w:rPr>
          <w:rFonts w:ascii="CG Times" w:hAnsi="CG Times"/>
          <w:sz w:val="24"/>
          <w:szCs w:val="24"/>
        </w:rPr>
        <w:t>, intent, motives, or post-merger plans.</w:t>
      </w:r>
      <w:r w:rsidR="0050262C" w:rsidRPr="0050262C">
        <w:rPr>
          <w:rStyle w:val="FootnoteReference"/>
          <w:rFonts w:ascii="CG Times" w:hAnsi="CG Times"/>
          <w:color w:val="000000"/>
          <w:sz w:val="24"/>
          <w:szCs w:val="24"/>
        </w:rPr>
        <w:footnoteReference w:id="9"/>
      </w:r>
      <w:r w:rsidR="0050262C" w:rsidRPr="0050262C">
        <w:rPr>
          <w:rFonts w:ascii="CG Times" w:hAnsi="CG Times"/>
          <w:sz w:val="24"/>
          <w:szCs w:val="24"/>
        </w:rPr>
        <w:t xml:space="preserve"> </w:t>
      </w:r>
      <w:r>
        <w:rPr>
          <w:rFonts w:ascii="CG Times" w:hAnsi="CG Times"/>
          <w:sz w:val="24"/>
          <w:szCs w:val="24"/>
        </w:rPr>
        <w:t xml:space="preserve"> </w:t>
      </w:r>
      <w:r w:rsidR="00136C28">
        <w:rPr>
          <w:rFonts w:ascii="CG Times" w:hAnsi="CG Times"/>
          <w:sz w:val="24"/>
          <w:szCs w:val="24"/>
        </w:rPr>
        <w:t xml:space="preserve">The agency </w:t>
      </w:r>
      <w:r>
        <w:rPr>
          <w:rFonts w:ascii="CG Times" w:hAnsi="CG Times"/>
          <w:sz w:val="24"/>
          <w:szCs w:val="24"/>
        </w:rPr>
        <w:t xml:space="preserve">and court are now </w:t>
      </w:r>
      <w:r w:rsidR="00136C28">
        <w:rPr>
          <w:rFonts w:ascii="CG Times" w:hAnsi="CG Times"/>
          <w:sz w:val="24"/>
          <w:szCs w:val="24"/>
        </w:rPr>
        <w:t>in a quandary</w:t>
      </w:r>
      <w:r>
        <w:rPr>
          <w:rFonts w:ascii="CG Times" w:hAnsi="CG Times"/>
          <w:sz w:val="24"/>
          <w:szCs w:val="24"/>
        </w:rPr>
        <w:t xml:space="preserve">.  One could </w:t>
      </w:r>
      <w:r>
        <w:rPr>
          <w:rFonts w:ascii="CG Times" w:hAnsi="CG Times"/>
          <w:sz w:val="24"/>
          <w:szCs w:val="24"/>
        </w:rPr>
        <w:lastRenderedPageBreak/>
        <w:t xml:space="preserve">assume that this irregularity </w:t>
      </w:r>
      <w:r>
        <w:rPr>
          <w:rFonts w:ascii="CG Times" w:hAnsi="CG Times" w:hint="eastAsia"/>
          <w:sz w:val="24"/>
          <w:szCs w:val="24"/>
        </w:rPr>
        <w:t>regularly “</w:t>
      </w:r>
      <w:r w:rsidRPr="002D7A58">
        <w:rPr>
          <w:rFonts w:ascii="CG Times" w:hAnsi="CG Times"/>
          <w:sz w:val="24"/>
          <w:szCs w:val="24"/>
        </w:rPr>
        <w:t>crops up in smoothly functioning, even perfectly competitive, markets,</w:t>
      </w:r>
      <w:r>
        <w:rPr>
          <w:rFonts w:ascii="CG Times" w:hAnsi="CG Times" w:hint="eastAsia"/>
          <w:sz w:val="24"/>
          <w:szCs w:val="24"/>
        </w:rPr>
        <w:t>”</w:t>
      </w:r>
      <w:r w:rsidRPr="002D7A58">
        <w:rPr>
          <w:rFonts w:ascii="CG Times" w:hAnsi="CG Times"/>
          <w:sz w:val="24"/>
          <w:szCs w:val="24"/>
        </w:rPr>
        <w:t xml:space="preserve"> </w:t>
      </w:r>
      <w:r>
        <w:rPr>
          <w:rFonts w:ascii="CG Times" w:hAnsi="CG Times"/>
          <w:sz w:val="24"/>
          <w:szCs w:val="24"/>
        </w:rPr>
        <w:t xml:space="preserve">but is of </w:t>
      </w:r>
      <w:r>
        <w:rPr>
          <w:rFonts w:ascii="CG Times" w:hAnsi="CG Times" w:hint="eastAsia"/>
          <w:sz w:val="24"/>
          <w:szCs w:val="24"/>
        </w:rPr>
        <w:t>“</w:t>
      </w:r>
      <w:r w:rsidRPr="002D7A58">
        <w:rPr>
          <w:rFonts w:ascii="CG Times" w:hAnsi="CG Times"/>
          <w:sz w:val="24"/>
          <w:szCs w:val="24"/>
        </w:rPr>
        <w:t>no concern to the antitrust laws.</w:t>
      </w:r>
      <w:r>
        <w:rPr>
          <w:rFonts w:ascii="CG Times" w:hAnsi="CG Times" w:hint="eastAsia"/>
          <w:sz w:val="24"/>
          <w:szCs w:val="24"/>
        </w:rPr>
        <w:t>”</w:t>
      </w:r>
      <w:r>
        <w:rPr>
          <w:rStyle w:val="FootnoteReference"/>
          <w:rFonts w:ascii="CG Times" w:hAnsi="CG Times"/>
          <w:sz w:val="24"/>
          <w:szCs w:val="24"/>
        </w:rPr>
        <w:footnoteReference w:id="10"/>
      </w:r>
      <w:r w:rsidRPr="002D7A58">
        <w:rPr>
          <w:rFonts w:ascii="CG Times" w:hAnsi="CG Times"/>
          <w:sz w:val="24"/>
          <w:szCs w:val="24"/>
        </w:rPr>
        <w:t xml:space="preserve"> </w:t>
      </w:r>
      <w:r>
        <w:rPr>
          <w:rFonts w:ascii="CG Times" w:hAnsi="CG Times"/>
          <w:sz w:val="24"/>
          <w:szCs w:val="24"/>
        </w:rPr>
        <w:t xml:space="preserve"> This is because the market power, while injuring</w:t>
      </w:r>
      <w:r w:rsidRPr="002D7A58">
        <w:rPr>
          <w:rFonts w:ascii="CG Times" w:hAnsi="CG Times"/>
          <w:sz w:val="24"/>
          <w:szCs w:val="24"/>
        </w:rPr>
        <w:t xml:space="preserve"> certain consumers, produces only </w:t>
      </w:r>
      <w:r w:rsidRPr="002D7A58">
        <w:rPr>
          <w:rFonts w:ascii="CG Times" w:hAnsi="CG Times" w:hint="eastAsia"/>
          <w:sz w:val="24"/>
          <w:szCs w:val="24"/>
        </w:rPr>
        <w:t>“</w:t>
      </w:r>
      <w:r w:rsidRPr="002D7A58">
        <w:rPr>
          <w:rFonts w:ascii="CG Times" w:hAnsi="CG Times"/>
          <w:sz w:val="24"/>
          <w:szCs w:val="24"/>
        </w:rPr>
        <w:t>a brief perturbation in competitive conditions-not the sort of thing the antitrust laws do or should worry about.</w:t>
      </w:r>
      <w:r w:rsidRPr="002D7A58">
        <w:rPr>
          <w:rFonts w:ascii="CG Times" w:hAnsi="CG Times" w:hint="eastAsia"/>
          <w:sz w:val="24"/>
          <w:szCs w:val="24"/>
        </w:rPr>
        <w:t>”</w:t>
      </w:r>
      <w:r>
        <w:rPr>
          <w:rStyle w:val="FootnoteReference"/>
          <w:rFonts w:ascii="CG Times" w:hAnsi="CG Times"/>
          <w:sz w:val="24"/>
          <w:szCs w:val="24"/>
        </w:rPr>
        <w:footnoteReference w:id="11"/>
      </w:r>
      <w:r>
        <w:rPr>
          <w:rFonts w:ascii="CG Times" w:hAnsi="CG Times"/>
          <w:sz w:val="24"/>
          <w:szCs w:val="24"/>
        </w:rPr>
        <w:t xml:space="preserve">  At times the divergence between economic realities and economic theory is brief.  But th</w:t>
      </w:r>
      <w:r w:rsidR="0020456C">
        <w:rPr>
          <w:rFonts w:ascii="CG Times" w:hAnsi="CG Times"/>
          <w:sz w:val="24"/>
          <w:szCs w:val="24"/>
        </w:rPr>
        <w:t xml:space="preserve">e problem </w:t>
      </w:r>
      <w:r>
        <w:rPr>
          <w:rFonts w:ascii="CG Times" w:hAnsi="CG Times"/>
          <w:sz w:val="24"/>
          <w:szCs w:val="24"/>
        </w:rPr>
        <w:t xml:space="preserve">is </w:t>
      </w:r>
      <w:r w:rsidR="0020456C">
        <w:rPr>
          <w:rFonts w:ascii="CG Times" w:hAnsi="CG Times"/>
          <w:sz w:val="24"/>
          <w:szCs w:val="24"/>
        </w:rPr>
        <w:t xml:space="preserve">when </w:t>
      </w:r>
      <w:r>
        <w:rPr>
          <w:rFonts w:ascii="CG Times" w:hAnsi="CG Times"/>
          <w:sz w:val="24"/>
          <w:szCs w:val="24"/>
        </w:rPr>
        <w:t>the anticompetitive marketplace realities</w:t>
      </w:r>
      <w:r w:rsidR="0020456C">
        <w:rPr>
          <w:rFonts w:ascii="CG Times" w:hAnsi="CG Times"/>
          <w:sz w:val="24"/>
          <w:szCs w:val="24"/>
        </w:rPr>
        <w:t>, contrary to neoclassical economic theory,</w:t>
      </w:r>
      <w:r>
        <w:rPr>
          <w:rFonts w:ascii="CG Times" w:hAnsi="CG Times"/>
          <w:sz w:val="24"/>
          <w:szCs w:val="24"/>
        </w:rPr>
        <w:t xml:space="preserve"> </w:t>
      </w:r>
      <w:r w:rsidR="0020456C">
        <w:rPr>
          <w:rFonts w:ascii="CG Times" w:hAnsi="CG Times"/>
          <w:sz w:val="24"/>
          <w:szCs w:val="24"/>
        </w:rPr>
        <w:t xml:space="preserve">persist.   </w:t>
      </w:r>
      <w:proofErr w:type="spellStart"/>
      <w:r w:rsidR="0020456C">
        <w:rPr>
          <w:rFonts w:ascii="CG Times" w:hAnsi="CG Times"/>
          <w:sz w:val="24"/>
          <w:szCs w:val="24"/>
        </w:rPr>
        <w:t>Behavioral</w:t>
      </w:r>
      <w:proofErr w:type="spellEnd"/>
      <w:r w:rsidR="0020456C">
        <w:rPr>
          <w:rFonts w:ascii="CG Times" w:hAnsi="CG Times"/>
          <w:sz w:val="24"/>
          <w:szCs w:val="24"/>
        </w:rPr>
        <w:t xml:space="preserve"> economics will not always supply an answer, but its insights can enrich competition policies</w:t>
      </w:r>
      <w:r w:rsidR="0020456C">
        <w:rPr>
          <w:rFonts w:ascii="CG Times" w:hAnsi="CG Times" w:hint="eastAsia"/>
          <w:sz w:val="24"/>
          <w:szCs w:val="24"/>
        </w:rPr>
        <w:t>’</w:t>
      </w:r>
      <w:r w:rsidR="0020456C">
        <w:rPr>
          <w:rFonts w:ascii="CG Times" w:hAnsi="CG Times"/>
          <w:sz w:val="24"/>
          <w:szCs w:val="24"/>
        </w:rPr>
        <w:t xml:space="preserve"> economic theories in better understanding </w:t>
      </w:r>
      <w:r w:rsidR="0020456C" w:rsidRPr="0050262C">
        <w:rPr>
          <w:rFonts w:ascii="CG Times" w:hAnsi="CG Times"/>
          <w:sz w:val="24"/>
          <w:szCs w:val="24"/>
        </w:rPr>
        <w:t xml:space="preserve">the parties’ </w:t>
      </w:r>
      <w:r w:rsidR="0020456C">
        <w:rPr>
          <w:rFonts w:ascii="CG Times" w:hAnsi="CG Times"/>
          <w:sz w:val="24"/>
          <w:szCs w:val="24"/>
        </w:rPr>
        <w:t xml:space="preserve">actual </w:t>
      </w:r>
      <w:proofErr w:type="spellStart"/>
      <w:r w:rsidR="0020456C" w:rsidRPr="0050262C">
        <w:rPr>
          <w:rFonts w:ascii="CG Times" w:hAnsi="CG Times"/>
          <w:sz w:val="24"/>
          <w:szCs w:val="24"/>
        </w:rPr>
        <w:t>behavior</w:t>
      </w:r>
      <w:proofErr w:type="spellEnd"/>
      <w:r w:rsidR="0020456C" w:rsidRPr="0050262C">
        <w:rPr>
          <w:rFonts w:ascii="CG Times" w:hAnsi="CG Times"/>
          <w:sz w:val="24"/>
          <w:szCs w:val="24"/>
        </w:rPr>
        <w:t>, intent, motives, or post-merger plans</w:t>
      </w:r>
      <w:r w:rsidR="0020456C">
        <w:rPr>
          <w:rFonts w:ascii="CG Times" w:hAnsi="CG Times"/>
          <w:sz w:val="24"/>
          <w:szCs w:val="24"/>
        </w:rPr>
        <w:t xml:space="preserve">.  Thus the easiest </w:t>
      </w:r>
      <w:r w:rsidR="0020456C">
        <w:rPr>
          <w:rFonts w:ascii="CG Times" w:hAnsi="CG Times" w:hint="eastAsia"/>
          <w:sz w:val="24"/>
          <w:szCs w:val="24"/>
        </w:rPr>
        <w:t>entrée</w:t>
      </w:r>
      <w:r w:rsidR="0020456C">
        <w:rPr>
          <w:rFonts w:ascii="CG Times" w:hAnsi="CG Times"/>
          <w:sz w:val="24"/>
          <w:szCs w:val="24"/>
        </w:rPr>
        <w:t xml:space="preserve"> of </w:t>
      </w:r>
      <w:r w:rsidR="0020456C">
        <w:rPr>
          <w:rFonts w:ascii="CG Times" w:hAnsi="CG Times" w:hint="eastAsia"/>
          <w:sz w:val="24"/>
          <w:szCs w:val="24"/>
        </w:rPr>
        <w:t>behavioural</w:t>
      </w:r>
      <w:r w:rsidR="0020456C">
        <w:rPr>
          <w:rFonts w:ascii="CG Times" w:hAnsi="CG Times"/>
          <w:sz w:val="24"/>
          <w:szCs w:val="24"/>
        </w:rPr>
        <w:t xml:space="preserve"> economics into competition policy is to help explain certain marketplace </w:t>
      </w:r>
      <w:r w:rsidR="0020456C">
        <w:rPr>
          <w:rFonts w:ascii="CG Times" w:hAnsi="CG Times" w:hint="eastAsia"/>
          <w:sz w:val="24"/>
          <w:szCs w:val="24"/>
        </w:rPr>
        <w:t>behaviour</w:t>
      </w:r>
      <w:r w:rsidR="0020456C">
        <w:rPr>
          <w:rFonts w:ascii="CG Times" w:hAnsi="CG Times"/>
          <w:sz w:val="24"/>
          <w:szCs w:val="24"/>
        </w:rPr>
        <w:t xml:space="preserve"> that neoclassical economic theory </w:t>
      </w:r>
      <w:proofErr w:type="gramStart"/>
      <w:r w:rsidR="0020456C">
        <w:rPr>
          <w:rFonts w:ascii="CG Times" w:hAnsi="CG Times"/>
          <w:sz w:val="24"/>
          <w:szCs w:val="24"/>
        </w:rPr>
        <w:t>can not</w:t>
      </w:r>
      <w:proofErr w:type="gramEnd"/>
      <w:r w:rsidR="0020456C">
        <w:rPr>
          <w:rFonts w:ascii="CG Times" w:hAnsi="CG Times"/>
          <w:sz w:val="24"/>
          <w:szCs w:val="24"/>
        </w:rPr>
        <w:t xml:space="preserve"> easily explain.</w:t>
      </w:r>
    </w:p>
    <w:p w14:paraId="7F915875" w14:textId="59F382C5" w:rsidR="0050262C" w:rsidRDefault="00136C28"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20456C">
        <w:rPr>
          <w:rFonts w:ascii="CG Times" w:hAnsi="CG Times"/>
          <w:sz w:val="24"/>
          <w:szCs w:val="24"/>
        </w:rPr>
        <w:t xml:space="preserve">One good illustration of </w:t>
      </w:r>
      <w:r w:rsidR="0020456C">
        <w:rPr>
          <w:rFonts w:ascii="CG Times" w:hAnsi="CG Times" w:hint="eastAsia"/>
          <w:sz w:val="24"/>
          <w:szCs w:val="24"/>
        </w:rPr>
        <w:t>behavioural</w:t>
      </w:r>
      <w:r w:rsidR="0020456C">
        <w:rPr>
          <w:rFonts w:ascii="CG Times" w:hAnsi="CG Times"/>
          <w:sz w:val="24"/>
          <w:szCs w:val="24"/>
        </w:rPr>
        <w:t xml:space="preserve"> economics as a gap filler is the </w:t>
      </w:r>
      <w:r w:rsidR="0050262C" w:rsidRPr="0050262C">
        <w:rPr>
          <w:rFonts w:ascii="CG Times" w:hAnsi="CG Times"/>
          <w:sz w:val="24"/>
          <w:szCs w:val="24"/>
        </w:rPr>
        <w:t>European Commission’s prosecution of Microsoft for abusive tying</w:t>
      </w:r>
      <w:r w:rsidR="0020456C">
        <w:rPr>
          <w:rFonts w:ascii="CG Times" w:hAnsi="CG Times"/>
          <w:sz w:val="24"/>
          <w:szCs w:val="24"/>
        </w:rPr>
        <w:t>.</w:t>
      </w:r>
      <w:r w:rsidR="0050262C" w:rsidRPr="0050262C">
        <w:rPr>
          <w:rStyle w:val="FootnoteReference"/>
          <w:rFonts w:ascii="CG Times" w:hAnsi="CG Times"/>
          <w:sz w:val="24"/>
          <w:szCs w:val="24"/>
        </w:rPr>
        <w:footnoteReference w:id="12"/>
      </w:r>
      <w:r w:rsidR="0050262C" w:rsidRPr="0050262C">
        <w:rPr>
          <w:rFonts w:ascii="CG Times" w:hAnsi="CG Times"/>
          <w:sz w:val="24"/>
          <w:szCs w:val="24"/>
        </w:rPr>
        <w:t xml:space="preserve"> Microsoft’s </w:t>
      </w:r>
      <w:proofErr w:type="spellStart"/>
      <w:r w:rsidR="0050262C" w:rsidRPr="0050262C">
        <w:rPr>
          <w:rFonts w:ascii="CG Times" w:hAnsi="CG Times"/>
          <w:sz w:val="24"/>
          <w:szCs w:val="24"/>
        </w:rPr>
        <w:t>defense</w:t>
      </w:r>
      <w:proofErr w:type="spellEnd"/>
      <w:r w:rsidR="0050262C" w:rsidRPr="0050262C">
        <w:rPr>
          <w:rFonts w:ascii="CG Times" w:hAnsi="CG Times"/>
          <w:sz w:val="24"/>
          <w:szCs w:val="24"/>
        </w:rPr>
        <w:t xml:space="preserve"> was premised on neoclassical economic theory. The Commission and Court of First Instance responded with actual consumer </w:t>
      </w:r>
      <w:proofErr w:type="spellStart"/>
      <w:r w:rsidR="0050262C" w:rsidRPr="0050262C">
        <w:rPr>
          <w:rFonts w:ascii="CG Times" w:hAnsi="CG Times"/>
          <w:sz w:val="24"/>
          <w:szCs w:val="24"/>
        </w:rPr>
        <w:t>behavior</w:t>
      </w:r>
      <w:proofErr w:type="spellEnd"/>
      <w:r w:rsidR="0050262C" w:rsidRPr="0050262C">
        <w:rPr>
          <w:rFonts w:ascii="CG Times" w:hAnsi="CG Times"/>
          <w:sz w:val="24"/>
          <w:szCs w:val="24"/>
        </w:rPr>
        <w:t xml:space="preserve">, which the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literature explains well. </w:t>
      </w:r>
    </w:p>
    <w:p w14:paraId="6EBF6CA7" w14:textId="1E1ABF31" w:rsidR="0050262C" w:rsidRPr="0050262C" w:rsidRDefault="0050262C"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lastRenderedPageBreak/>
        <w:tab/>
      </w:r>
      <w:r w:rsidRPr="0050262C">
        <w:rPr>
          <w:rFonts w:ascii="CG Times" w:hAnsi="CG Times"/>
          <w:sz w:val="24"/>
          <w:szCs w:val="24"/>
        </w:rPr>
        <w:t>The Commission accused Microsoft, inter alia, of tying its media player to its personal computer operating system, where it had (and still has) a monopoly for personal computer operating systems.</w:t>
      </w:r>
      <w:r w:rsidRPr="0050262C">
        <w:rPr>
          <w:rStyle w:val="FootnoteReference"/>
          <w:rFonts w:ascii="CG Times" w:hAnsi="CG Times"/>
          <w:sz w:val="24"/>
          <w:szCs w:val="24"/>
        </w:rPr>
        <w:footnoteReference w:id="13"/>
      </w:r>
      <w:r w:rsidRPr="0050262C">
        <w:rPr>
          <w:rFonts w:ascii="CG Times" w:hAnsi="CG Times"/>
          <w:sz w:val="24"/>
          <w:szCs w:val="24"/>
        </w:rPr>
        <w:t xml:space="preserve"> Media players enable consumers to store and play music and videos on their computers (and now on handheld devices). The Commission, like the district court in the U.S. antitrust case, observed how the personal computer software industry was characterized with network effects.</w:t>
      </w:r>
      <w:r w:rsidRPr="0050262C">
        <w:rPr>
          <w:rStyle w:val="FootnoteReference"/>
          <w:rFonts w:ascii="CG Times" w:hAnsi="CG Times"/>
          <w:sz w:val="24"/>
          <w:szCs w:val="24"/>
        </w:rPr>
        <w:footnoteReference w:id="14"/>
      </w:r>
      <w:r w:rsidRPr="0050262C">
        <w:rPr>
          <w:rFonts w:ascii="CG Times" w:hAnsi="CG Times"/>
          <w:sz w:val="24"/>
          <w:szCs w:val="24"/>
        </w:rPr>
        <w:t xml:space="preserve"> The Commission argued, and Court of First Instance found, that such bundling would discourage investment in “all the technologies in which Microsoft could conceivably take an interest in the future.”</w:t>
      </w:r>
      <w:r w:rsidRPr="0050262C">
        <w:rPr>
          <w:rStyle w:val="FootnoteReference"/>
          <w:rFonts w:ascii="CG Times" w:hAnsi="CG Times"/>
          <w:sz w:val="24"/>
          <w:szCs w:val="24"/>
        </w:rPr>
        <w:footnoteReference w:id="15"/>
      </w:r>
      <w:r w:rsidRPr="0050262C">
        <w:rPr>
          <w:rFonts w:ascii="CG Times" w:hAnsi="CG Times"/>
          <w:sz w:val="24"/>
          <w:szCs w:val="24"/>
        </w:rPr>
        <w:t xml:space="preserve"> Microsoft’s </w:t>
      </w:r>
      <w:r w:rsidRPr="0050262C">
        <w:rPr>
          <w:rFonts w:ascii="CG Times" w:hAnsi="CG Times"/>
          <w:color w:val="000000"/>
          <w:sz w:val="24"/>
          <w:szCs w:val="24"/>
        </w:rPr>
        <w:t>tying created “a disincentive for users to use third-party media players and for OEMs [original equipment manufacturers] to pre-install such media players on client PCs.”</w:t>
      </w:r>
      <w:r w:rsidRPr="0050262C">
        <w:rPr>
          <w:rStyle w:val="FootnoteReference"/>
          <w:rFonts w:ascii="CG Times" w:hAnsi="CG Times"/>
          <w:color w:val="000000"/>
          <w:sz w:val="24"/>
          <w:szCs w:val="24"/>
        </w:rPr>
        <w:footnoteReference w:id="16"/>
      </w:r>
      <w:r w:rsidRPr="0050262C">
        <w:rPr>
          <w:rFonts w:ascii="CG Times" w:hAnsi="CG Times"/>
          <w:color w:val="000000"/>
          <w:sz w:val="24"/>
          <w:szCs w:val="24"/>
        </w:rPr>
        <w:t xml:space="preserve"> Given this disincentive, the concern was that Microsoft’s tying would weaken competition among </w:t>
      </w:r>
      <w:r w:rsidRPr="0050262C">
        <w:rPr>
          <w:rFonts w:ascii="CG Times" w:hAnsi="CG Times"/>
          <w:color w:val="000000"/>
          <w:sz w:val="24"/>
          <w:szCs w:val="24"/>
        </w:rPr>
        <w:lastRenderedPageBreak/>
        <w:t>media players “in such a way that the maintenance of an effective competitive structure would not be ensured in the near future.”</w:t>
      </w:r>
      <w:r w:rsidRPr="0050262C">
        <w:rPr>
          <w:rStyle w:val="FootnoteReference"/>
          <w:rFonts w:ascii="CG Times" w:hAnsi="CG Times"/>
          <w:color w:val="000000"/>
          <w:sz w:val="24"/>
          <w:szCs w:val="24"/>
        </w:rPr>
        <w:footnoteReference w:id="17"/>
      </w:r>
    </w:p>
    <w:p w14:paraId="5E0F29D7" w14:textId="77777777" w:rsidR="0050262C" w:rsidRPr="0050262C" w:rsidRDefault="0050262C" w:rsidP="002623D1">
      <w:pPr>
        <w:pStyle w:val="Num-DocParagraph"/>
        <w:tabs>
          <w:tab w:val="left" w:pos="432"/>
          <w:tab w:val="left" w:pos="720"/>
        </w:tabs>
        <w:spacing w:line="360" w:lineRule="auto"/>
        <w:rPr>
          <w:rFonts w:ascii="CG Times" w:hAnsi="CG Times"/>
          <w:sz w:val="24"/>
          <w:szCs w:val="24"/>
        </w:rPr>
      </w:pPr>
      <w:r w:rsidRPr="0050262C">
        <w:rPr>
          <w:rFonts w:ascii="CG Times" w:hAnsi="CG Times"/>
          <w:sz w:val="24"/>
          <w:szCs w:val="24"/>
        </w:rPr>
        <w:tab/>
        <w:t>Under neoclassical economic theory, it is difficult to see any significant foreclosure and resulting harm to competition. Microsoft’s Windows Media Player came with the Windows operating system. But no one disputed that consumers, after unpacking the computer and starting it up, could search the Internet for the media player they want, download the software to their computer, and use that media player to stream music or videos.</w:t>
      </w:r>
      <w:r w:rsidRPr="0050262C">
        <w:rPr>
          <w:rStyle w:val="FootnoteReference"/>
          <w:rFonts w:ascii="CG Times" w:hAnsi="CG Times"/>
          <w:sz w:val="24"/>
          <w:szCs w:val="24"/>
        </w:rPr>
        <w:footnoteReference w:id="18"/>
      </w:r>
      <w:r w:rsidRPr="0050262C">
        <w:rPr>
          <w:rFonts w:ascii="CG Times" w:hAnsi="CG Times"/>
          <w:sz w:val="24"/>
          <w:szCs w:val="24"/>
        </w:rPr>
        <w:t xml:space="preserve"> The Commission never argued that consumers were unaware of competing media players. This was unlikely. Consumers presumably knew of </w:t>
      </w:r>
      <w:proofErr w:type="spellStart"/>
      <w:r w:rsidRPr="0050262C">
        <w:rPr>
          <w:rFonts w:ascii="CG Times" w:hAnsi="CG Times"/>
          <w:sz w:val="24"/>
          <w:szCs w:val="24"/>
        </w:rPr>
        <w:t>RealNetworks’s</w:t>
      </w:r>
      <w:proofErr w:type="spellEnd"/>
      <w:r w:rsidRPr="0050262C">
        <w:rPr>
          <w:rFonts w:ascii="CG Times" w:hAnsi="CG Times"/>
          <w:sz w:val="24"/>
          <w:szCs w:val="24"/>
        </w:rPr>
        <w:t xml:space="preserve"> media player: it was part of Microsoft’s earlier operating system.</w:t>
      </w:r>
    </w:p>
    <w:p w14:paraId="53AAB631" w14:textId="77777777" w:rsidR="0050262C" w:rsidRPr="0050262C" w:rsidRDefault="0050262C" w:rsidP="002623D1">
      <w:pPr>
        <w:pStyle w:val="Num-DocParagraph"/>
        <w:tabs>
          <w:tab w:val="left" w:pos="432"/>
          <w:tab w:val="left" w:pos="720"/>
        </w:tabs>
        <w:spacing w:line="360" w:lineRule="auto"/>
        <w:rPr>
          <w:rFonts w:ascii="CG Times" w:hAnsi="CG Times"/>
          <w:sz w:val="24"/>
          <w:szCs w:val="24"/>
        </w:rPr>
      </w:pPr>
      <w:r w:rsidRPr="0050262C">
        <w:rPr>
          <w:rFonts w:ascii="CG Times" w:hAnsi="CG Times"/>
          <w:sz w:val="24"/>
          <w:szCs w:val="24"/>
        </w:rPr>
        <w:tab/>
        <w:t>Nor were consumers or the original equipment manufacturers disadvantaged if they selected an alternative media player. After the U.S. consent decree, Microsoft could not design its operating system to hamper rival media players, as it earlier did with its Internet browser.</w:t>
      </w:r>
      <w:r w:rsidRPr="0050262C">
        <w:rPr>
          <w:rStyle w:val="FootnoteReference"/>
          <w:rFonts w:ascii="CG Times" w:hAnsi="CG Times"/>
          <w:sz w:val="24"/>
          <w:szCs w:val="24"/>
        </w:rPr>
        <w:footnoteReference w:id="19"/>
      </w:r>
      <w:r w:rsidRPr="0050262C">
        <w:rPr>
          <w:rFonts w:ascii="CG Times" w:hAnsi="CG Times"/>
          <w:sz w:val="24"/>
          <w:szCs w:val="24"/>
        </w:rPr>
        <w:t xml:space="preserve"> Nor could Microsoft contractually require software developers, content providers, or anyone else to distribute or promote exclusively or mainly its Windows Media Player.</w:t>
      </w:r>
      <w:r w:rsidRPr="0050262C">
        <w:rPr>
          <w:rStyle w:val="FootnoteReference"/>
          <w:rFonts w:ascii="CG Times" w:hAnsi="CG Times"/>
          <w:sz w:val="24"/>
          <w:szCs w:val="24"/>
        </w:rPr>
        <w:footnoteReference w:id="20"/>
      </w:r>
      <w:r w:rsidRPr="0050262C">
        <w:rPr>
          <w:rFonts w:ascii="CG Times" w:hAnsi="CG Times"/>
          <w:sz w:val="24"/>
          <w:szCs w:val="24"/>
        </w:rPr>
        <w:t xml:space="preserve"> Microsoft’s operating system could run one or more media players without affecting the media players’ performance.</w:t>
      </w:r>
      <w:r w:rsidRPr="0050262C">
        <w:rPr>
          <w:rStyle w:val="FootnoteReference"/>
          <w:rFonts w:ascii="CG Times" w:hAnsi="CG Times"/>
          <w:sz w:val="24"/>
          <w:szCs w:val="24"/>
        </w:rPr>
        <w:footnoteReference w:id="21"/>
      </w:r>
      <w:r w:rsidRPr="0050262C">
        <w:rPr>
          <w:rFonts w:ascii="CG Times" w:hAnsi="CG Times"/>
          <w:sz w:val="24"/>
          <w:szCs w:val="24"/>
        </w:rPr>
        <w:t xml:space="preserve"> Nor were consumers forced to use Microsoft’s media player. Consumers could set </w:t>
      </w:r>
      <w:r w:rsidRPr="0050262C">
        <w:rPr>
          <w:rFonts w:ascii="CG Times" w:hAnsi="CG Times"/>
          <w:sz w:val="24"/>
          <w:szCs w:val="24"/>
        </w:rPr>
        <w:lastRenderedPageBreak/>
        <w:t>another media player as the default option.</w:t>
      </w:r>
      <w:r w:rsidRPr="0050262C">
        <w:rPr>
          <w:rStyle w:val="FootnoteReference"/>
          <w:rFonts w:ascii="CG Times" w:hAnsi="CG Times"/>
          <w:sz w:val="24"/>
          <w:szCs w:val="24"/>
        </w:rPr>
        <w:footnoteReference w:id="22"/>
      </w:r>
      <w:r w:rsidRPr="0050262C">
        <w:rPr>
          <w:rFonts w:ascii="CG Times" w:hAnsi="CG Times"/>
          <w:sz w:val="24"/>
          <w:szCs w:val="24"/>
        </w:rPr>
        <w:t xml:space="preserve"> Consequently, how could Microsoft foreclose competition when consumers could download (often for free) </w:t>
      </w:r>
      <w:proofErr w:type="gramStart"/>
      <w:r w:rsidRPr="0050262C">
        <w:rPr>
          <w:rFonts w:ascii="CG Times" w:hAnsi="CG Times"/>
          <w:sz w:val="24"/>
          <w:szCs w:val="24"/>
        </w:rPr>
        <w:t>Apple’s</w:t>
      </w:r>
      <w:proofErr w:type="gramEnd"/>
      <w:r w:rsidRPr="0050262C">
        <w:rPr>
          <w:rFonts w:ascii="CG Times" w:hAnsi="CG Times"/>
          <w:sz w:val="24"/>
          <w:szCs w:val="24"/>
        </w:rPr>
        <w:t xml:space="preserve"> and </w:t>
      </w:r>
      <w:proofErr w:type="spellStart"/>
      <w:r w:rsidRPr="0050262C">
        <w:rPr>
          <w:rFonts w:ascii="CG Times" w:hAnsi="CG Times"/>
          <w:sz w:val="24"/>
          <w:szCs w:val="24"/>
        </w:rPr>
        <w:t>RealNetworks’s</w:t>
      </w:r>
      <w:proofErr w:type="spellEnd"/>
      <w:r w:rsidRPr="0050262C">
        <w:rPr>
          <w:rFonts w:ascii="CG Times" w:hAnsi="CG Times"/>
          <w:sz w:val="24"/>
          <w:szCs w:val="24"/>
        </w:rPr>
        <w:t xml:space="preserve"> media players off the Internet?</w:t>
      </w:r>
      <w:r w:rsidRPr="0050262C">
        <w:rPr>
          <w:rStyle w:val="FootnoteReference"/>
          <w:rFonts w:ascii="CG Times" w:hAnsi="CG Times"/>
          <w:sz w:val="24"/>
          <w:szCs w:val="24"/>
        </w:rPr>
        <w:footnoteReference w:id="23"/>
      </w:r>
    </w:p>
    <w:p w14:paraId="4B38F44D" w14:textId="77D12E16" w:rsidR="0050262C" w:rsidRPr="0050262C" w:rsidRDefault="0050262C" w:rsidP="002623D1">
      <w:pPr>
        <w:pStyle w:val="Num-DocParagraph"/>
        <w:tabs>
          <w:tab w:val="left" w:pos="432"/>
          <w:tab w:val="left" w:pos="720"/>
        </w:tabs>
        <w:spacing w:line="360" w:lineRule="auto"/>
        <w:rPr>
          <w:rFonts w:ascii="CG Times" w:hAnsi="CG Times"/>
          <w:sz w:val="24"/>
          <w:szCs w:val="24"/>
        </w:rPr>
      </w:pPr>
      <w:r w:rsidRPr="0050262C">
        <w:rPr>
          <w:rFonts w:ascii="CG Times" w:hAnsi="CG Times"/>
          <w:sz w:val="24"/>
          <w:szCs w:val="24"/>
        </w:rPr>
        <w:tab/>
        <w:t>One could strain under neoclassical economic theory to find coercion. First, consumers, particularly without broadband Internet service, must expend some time and effort to download a media player.</w:t>
      </w:r>
      <w:r w:rsidRPr="0050262C">
        <w:rPr>
          <w:rStyle w:val="FootnoteReference"/>
          <w:rFonts w:ascii="CG Times" w:hAnsi="CG Times"/>
          <w:sz w:val="24"/>
          <w:szCs w:val="24"/>
        </w:rPr>
        <w:footnoteReference w:id="24"/>
      </w:r>
      <w:r w:rsidRPr="0050262C">
        <w:rPr>
          <w:rFonts w:ascii="CG Times" w:hAnsi="CG Times"/>
          <w:sz w:val="24"/>
          <w:szCs w:val="24"/>
        </w:rPr>
        <w:t xml:space="preserve"> Second, computer manufacturers and consumers could not delete Microsoft’s media player.</w:t>
      </w:r>
      <w:r w:rsidRPr="0050262C">
        <w:rPr>
          <w:rStyle w:val="FootnoteReference"/>
          <w:rFonts w:ascii="CG Times" w:hAnsi="CG Times"/>
          <w:sz w:val="24"/>
          <w:szCs w:val="24"/>
        </w:rPr>
        <w:footnoteReference w:id="25"/>
      </w:r>
      <w:r w:rsidRPr="0050262C">
        <w:rPr>
          <w:rFonts w:ascii="CG Times" w:hAnsi="CG Times"/>
          <w:sz w:val="24"/>
          <w:szCs w:val="24"/>
        </w:rPr>
        <w:t xml:space="preserve"> Any media player would be in addition to Microsoft’s Player.</w:t>
      </w:r>
      <w:r w:rsidRPr="0050262C">
        <w:rPr>
          <w:rStyle w:val="FootnoteReference"/>
          <w:rFonts w:ascii="CG Times" w:hAnsi="CG Times"/>
          <w:sz w:val="24"/>
          <w:szCs w:val="24"/>
        </w:rPr>
        <w:footnoteReference w:id="26"/>
      </w:r>
      <w:r w:rsidRPr="0050262C">
        <w:rPr>
          <w:rFonts w:ascii="CG Times" w:hAnsi="CG Times"/>
          <w:sz w:val="24"/>
          <w:szCs w:val="24"/>
        </w:rPr>
        <w:t xml:space="preserve"> Thus the computer memory, taken by Microsoft’s Player, was unavailable for other purposes. Third, Microsoft devised its software so that its Player could override the consumer’s default setting and reappear when the consumer used Microsoft’s web browser, Internet Explorer, to access media files streamed over the Internet.</w:t>
      </w:r>
      <w:r w:rsidRPr="0050262C">
        <w:rPr>
          <w:rStyle w:val="FootnoteReference"/>
          <w:rFonts w:ascii="CG Times" w:hAnsi="CG Times"/>
          <w:sz w:val="24"/>
          <w:szCs w:val="24"/>
        </w:rPr>
        <w:footnoteReference w:id="27"/>
      </w:r>
    </w:p>
    <w:p w14:paraId="7E3911D0" w14:textId="77777777" w:rsidR="0050262C" w:rsidRPr="0050262C" w:rsidRDefault="0050262C" w:rsidP="002623D1">
      <w:pPr>
        <w:pStyle w:val="Num-DocParagraph"/>
        <w:tabs>
          <w:tab w:val="left" w:pos="432"/>
          <w:tab w:val="left" w:pos="720"/>
        </w:tabs>
        <w:spacing w:after="200" w:line="360" w:lineRule="auto"/>
        <w:rPr>
          <w:rFonts w:ascii="CG Times" w:hAnsi="CG Times"/>
          <w:sz w:val="24"/>
          <w:szCs w:val="24"/>
        </w:rPr>
      </w:pPr>
      <w:r w:rsidRPr="0050262C">
        <w:rPr>
          <w:rFonts w:ascii="CG Times" w:hAnsi="CG Times"/>
          <w:sz w:val="24"/>
          <w:szCs w:val="24"/>
        </w:rPr>
        <w:tab/>
        <w:t>While annoying, these factors hardly justify a finding of foreclosure. If other media players offered superior performance for free or at an attractive price,</w:t>
      </w:r>
      <w:r w:rsidRPr="0050262C">
        <w:rPr>
          <w:rStyle w:val="FootnoteReference"/>
          <w:rFonts w:ascii="CG Times" w:hAnsi="CG Times"/>
          <w:sz w:val="24"/>
          <w:szCs w:val="24"/>
        </w:rPr>
        <w:footnoteReference w:id="28"/>
      </w:r>
      <w:r w:rsidRPr="0050262C">
        <w:rPr>
          <w:rFonts w:ascii="CG Times" w:hAnsi="CG Times"/>
          <w:sz w:val="24"/>
          <w:szCs w:val="24"/>
        </w:rPr>
        <w:t xml:space="preserve"> rational consumers would incur the costs to acquire a competing media player. Put simply, if the benefits of using a competing media player </w:t>
      </w:r>
      <w:r w:rsidRPr="0050262C">
        <w:rPr>
          <w:rFonts w:ascii="CG Times" w:hAnsi="CG Times"/>
          <w:sz w:val="24"/>
          <w:szCs w:val="24"/>
        </w:rPr>
        <w:lastRenderedPageBreak/>
        <w:t>outweigh the costs, rational consumers would switch. Since rational consumers would switch to media players of “better quality,”</w:t>
      </w:r>
      <w:r w:rsidRPr="0050262C">
        <w:rPr>
          <w:rStyle w:val="FootnoteReference"/>
          <w:rFonts w:ascii="CG Times" w:hAnsi="CG Times"/>
          <w:sz w:val="24"/>
          <w:szCs w:val="24"/>
        </w:rPr>
        <w:footnoteReference w:id="29"/>
      </w:r>
      <w:r w:rsidRPr="0050262C">
        <w:rPr>
          <w:rFonts w:ascii="CG Times" w:hAnsi="CG Times"/>
          <w:sz w:val="24"/>
          <w:szCs w:val="24"/>
        </w:rPr>
        <w:t xml:space="preserve"> then software programmers and music companies would support the superior players’ formats. Microsoft’s attempt to thwart the competitive threat of middleware (or leverage its monopoly to the media player market) would fail.</w:t>
      </w:r>
    </w:p>
    <w:p w14:paraId="6FA2CF3E" w14:textId="77777777" w:rsidR="0050262C" w:rsidRPr="0050262C" w:rsidRDefault="0050262C" w:rsidP="002623D1">
      <w:pPr>
        <w:pStyle w:val="Num-DocParagraph"/>
        <w:tabs>
          <w:tab w:val="left" w:pos="432"/>
          <w:tab w:val="left" w:pos="720"/>
        </w:tabs>
        <w:spacing w:after="200" w:line="360" w:lineRule="auto"/>
        <w:rPr>
          <w:rFonts w:ascii="CG Times" w:hAnsi="CG Times"/>
          <w:sz w:val="24"/>
          <w:szCs w:val="24"/>
        </w:rPr>
      </w:pPr>
      <w:r w:rsidRPr="0050262C">
        <w:rPr>
          <w:rFonts w:ascii="CG Times" w:hAnsi="CG Times"/>
          <w:sz w:val="24"/>
          <w:szCs w:val="24"/>
        </w:rPr>
        <w:tab/>
        <w:t xml:space="preserve">If many consumers did not download competing media players when they could have, then this </w:t>
      </w:r>
      <w:proofErr w:type="spellStart"/>
      <w:r w:rsidRPr="0050262C">
        <w:rPr>
          <w:rFonts w:ascii="CG Times" w:hAnsi="CG Times"/>
          <w:sz w:val="24"/>
          <w:szCs w:val="24"/>
        </w:rPr>
        <w:t>behavior</w:t>
      </w:r>
      <w:proofErr w:type="spellEnd"/>
      <w:r w:rsidRPr="0050262C">
        <w:rPr>
          <w:rFonts w:ascii="CG Times" w:hAnsi="CG Times"/>
          <w:sz w:val="24"/>
          <w:szCs w:val="24"/>
        </w:rPr>
        <w:t>, under neoclassical economics theory, is consistent with competition on the merits. Rational consumers could and would switch to superior media players. If consumers did not switch, then Windows Media Player’s quality must equal or surpass that of competing media players.</w:t>
      </w:r>
    </w:p>
    <w:p w14:paraId="054231B1" w14:textId="77777777" w:rsidR="0050262C" w:rsidRPr="0050262C" w:rsidRDefault="0050262C" w:rsidP="002623D1">
      <w:pPr>
        <w:pStyle w:val="Num-DocParagraph"/>
        <w:tabs>
          <w:tab w:val="left" w:pos="432"/>
          <w:tab w:val="left" w:pos="720"/>
        </w:tabs>
        <w:spacing w:after="200" w:line="360" w:lineRule="auto"/>
        <w:rPr>
          <w:rFonts w:ascii="CG Times" w:hAnsi="CG Times"/>
          <w:sz w:val="24"/>
          <w:szCs w:val="24"/>
        </w:rPr>
      </w:pPr>
      <w:r w:rsidRPr="0050262C">
        <w:rPr>
          <w:rFonts w:ascii="CG Times" w:hAnsi="CG Times"/>
          <w:sz w:val="24"/>
          <w:szCs w:val="24"/>
        </w:rPr>
        <w:tab/>
        <w:t>Herein was the problem. Windows Media Player’s growth, as Microsoft recognized, was not attributable to superior quality.</w:t>
      </w:r>
      <w:r w:rsidRPr="0050262C">
        <w:rPr>
          <w:rStyle w:val="FootnoteReference"/>
          <w:rFonts w:ascii="CG Times" w:hAnsi="CG Times"/>
          <w:sz w:val="24"/>
          <w:szCs w:val="24"/>
        </w:rPr>
        <w:footnoteReference w:id="30"/>
      </w:r>
      <w:r w:rsidRPr="0050262C">
        <w:rPr>
          <w:rFonts w:ascii="CG Times" w:hAnsi="CG Times"/>
          <w:sz w:val="24"/>
          <w:szCs w:val="24"/>
        </w:rPr>
        <w:t xml:space="preserve"> Consequently, fewer consumers than neoclassical economic theory predicted were switching to superior media players.</w:t>
      </w:r>
    </w:p>
    <w:p w14:paraId="2C9D0019" w14:textId="77777777" w:rsidR="0050262C" w:rsidRPr="0050262C" w:rsidRDefault="0050262C" w:rsidP="002623D1">
      <w:pPr>
        <w:pStyle w:val="Num-DocParagraph"/>
        <w:tabs>
          <w:tab w:val="left" w:pos="432"/>
          <w:tab w:val="left" w:pos="720"/>
        </w:tabs>
        <w:spacing w:after="200" w:line="360" w:lineRule="auto"/>
        <w:rPr>
          <w:rFonts w:ascii="CG Times" w:hAnsi="CG Times"/>
          <w:sz w:val="24"/>
          <w:szCs w:val="24"/>
        </w:rPr>
      </w:pPr>
      <w:r w:rsidRPr="0050262C">
        <w:rPr>
          <w:rFonts w:ascii="CG Times" w:hAnsi="CG Times"/>
          <w:sz w:val="24"/>
          <w:szCs w:val="24"/>
        </w:rPr>
        <w:tab/>
        <w:t xml:space="preserve">For a rational choice theorist, the default option (assuming low transactions costs and no informational asymmetries) is irrelevant. Say consumers prefer Windows Media Player. If computer manufacturers installed another media player, then consumers would switch to Windows Media Player. So whatever the default option, consumers should readily opt for the superior media player. But if Microsoft seriously considered downloading as “an equivalent alternative to pre-installation,” observed the </w:t>
      </w:r>
      <w:r w:rsidRPr="0050262C">
        <w:rPr>
          <w:rFonts w:ascii="CG Times" w:hAnsi="CG Times"/>
          <w:sz w:val="24"/>
          <w:szCs w:val="24"/>
        </w:rPr>
        <w:lastRenderedPageBreak/>
        <w:t>Commission, then Microsoft’s “insistence on maintaining its current privilege of automatic pre-installation appears inconsistent.”</w:t>
      </w:r>
      <w:r w:rsidRPr="0050262C">
        <w:rPr>
          <w:rStyle w:val="FootnoteReference"/>
          <w:rFonts w:ascii="CG Times" w:hAnsi="CG Times"/>
          <w:sz w:val="24"/>
          <w:szCs w:val="24"/>
        </w:rPr>
        <w:footnoteReference w:id="31"/>
      </w:r>
    </w:p>
    <w:p w14:paraId="7728BDA5" w14:textId="77777777" w:rsidR="0050262C" w:rsidRPr="0050262C" w:rsidRDefault="0050262C" w:rsidP="002623D1">
      <w:pPr>
        <w:pStyle w:val="Num-DocParagraph"/>
        <w:tabs>
          <w:tab w:val="left" w:pos="432"/>
          <w:tab w:val="left" w:pos="720"/>
        </w:tabs>
        <w:spacing w:after="200" w:line="360" w:lineRule="auto"/>
        <w:rPr>
          <w:rFonts w:ascii="CG Times" w:hAnsi="CG Times"/>
          <w:sz w:val="24"/>
          <w:szCs w:val="24"/>
        </w:rPr>
      </w:pPr>
      <w:r w:rsidRPr="0050262C">
        <w:rPr>
          <w:rFonts w:ascii="CG Times" w:hAnsi="CG Times"/>
          <w:sz w:val="24"/>
          <w:szCs w:val="24"/>
        </w:rPr>
        <w:tab/>
        <w:t xml:space="preserve">As the </w:t>
      </w:r>
      <w:proofErr w:type="spellStart"/>
      <w:r w:rsidRPr="0050262C">
        <w:rPr>
          <w:rFonts w:ascii="CG Times" w:hAnsi="CG Times"/>
          <w:sz w:val="24"/>
          <w:szCs w:val="24"/>
        </w:rPr>
        <w:t>behavioral</w:t>
      </w:r>
      <w:proofErr w:type="spellEnd"/>
      <w:r w:rsidRPr="0050262C">
        <w:rPr>
          <w:rFonts w:ascii="CG Times" w:hAnsi="CG Times"/>
          <w:sz w:val="24"/>
          <w:szCs w:val="24"/>
        </w:rPr>
        <w:t xml:space="preserve"> economics literature shows, the setting of the default often can determine the outcome--even when transaction costs are nominal.</w:t>
      </w:r>
      <w:bookmarkStart w:id="1" w:name="_Ref285480589"/>
      <w:r w:rsidRPr="0050262C">
        <w:rPr>
          <w:rStyle w:val="FootnoteReference"/>
          <w:rFonts w:ascii="CG Times" w:hAnsi="CG Times"/>
          <w:sz w:val="24"/>
          <w:szCs w:val="24"/>
        </w:rPr>
        <w:footnoteReference w:id="32"/>
      </w:r>
      <w:bookmarkEnd w:id="1"/>
      <w:r w:rsidRPr="0050262C">
        <w:rPr>
          <w:rFonts w:ascii="CG Times" w:hAnsi="CG Times"/>
          <w:sz w:val="24"/>
          <w:szCs w:val="24"/>
        </w:rPr>
        <w:t xml:space="preserve"> Default options have played an important role in participation and investments in retirement savings, contractual choices in health-clubs, organ donations, car insurance plans, and participation in class actions.</w:t>
      </w:r>
      <w:bookmarkStart w:id="2" w:name="_Ref199573297"/>
      <w:r w:rsidRPr="0050262C">
        <w:rPr>
          <w:rStyle w:val="FootnoteReference"/>
          <w:rFonts w:ascii="CG Times" w:hAnsi="CG Times"/>
          <w:sz w:val="24"/>
          <w:szCs w:val="24"/>
        </w:rPr>
        <w:footnoteReference w:id="33"/>
      </w:r>
      <w:bookmarkEnd w:id="2"/>
      <w:r w:rsidRPr="0050262C">
        <w:rPr>
          <w:rFonts w:ascii="CG Times" w:hAnsi="CG Times"/>
          <w:sz w:val="24"/>
          <w:szCs w:val="24"/>
        </w:rPr>
        <w:t xml:space="preserve"> In antitrust cases, default options can help foreclose rivals.  The consumer choice that spurs competition is a deliberative choice among several options.  But if many consumers opt for the default option, then being the default option (or the first option encountered) provides a significant competitive advantage.  Firms may compete more to become the default option (such as payments to an Internet browser to be the default search engine) than on other dimensions (objectively providing responsive information to search requests). </w:t>
      </w:r>
    </w:p>
    <w:p w14:paraId="41DF2EB0" w14:textId="77777777" w:rsidR="002623D1" w:rsidRDefault="0050262C" w:rsidP="002623D1">
      <w:pPr>
        <w:pStyle w:val="Num-DocParagraph"/>
        <w:tabs>
          <w:tab w:val="left" w:pos="432"/>
          <w:tab w:val="left" w:pos="720"/>
        </w:tabs>
        <w:spacing w:after="200" w:line="360" w:lineRule="auto"/>
        <w:rPr>
          <w:rFonts w:ascii="CG Times" w:hAnsi="CG Times"/>
          <w:sz w:val="24"/>
          <w:szCs w:val="24"/>
        </w:rPr>
      </w:pPr>
      <w:r w:rsidRPr="0050262C">
        <w:rPr>
          <w:rFonts w:ascii="CG Times" w:hAnsi="CG Times"/>
          <w:sz w:val="24"/>
          <w:szCs w:val="24"/>
        </w:rPr>
        <w:lastRenderedPageBreak/>
        <w:tab/>
        <w:t>Not surprisingly, firms and consumers can have different preferences over the default option.</w:t>
      </w:r>
      <w:r w:rsidRPr="0050262C">
        <w:rPr>
          <w:rStyle w:val="FootnoteReference"/>
          <w:rFonts w:ascii="CG Times" w:hAnsi="CG Times"/>
          <w:sz w:val="24"/>
          <w:szCs w:val="24"/>
        </w:rPr>
        <w:footnoteReference w:id="34"/>
      </w:r>
      <w:r w:rsidRPr="0050262C">
        <w:rPr>
          <w:rFonts w:ascii="CG Times" w:hAnsi="CG Times"/>
          <w:sz w:val="24"/>
          <w:szCs w:val="24"/>
        </w:rPr>
        <w:t xml:space="preserve"> Regulators and the industry also battle </w:t>
      </w:r>
      <w:r w:rsidRPr="0050262C">
        <w:rPr>
          <w:rFonts w:ascii="CG Times" w:hAnsi="CG Times"/>
          <w:spacing w:val="2"/>
          <w:sz w:val="24"/>
          <w:szCs w:val="24"/>
        </w:rPr>
        <w:t>over whether consumers need to opt-out or opt-in. Microsoft preferred having its inferior media player as the default choice, thereby requiring consumers to opt out. As Microsoft recognized, some consumers would reject the default media player and download a rival player. But many consumers would stick with the default media player. Consequently, the Court of First Instance recognized that consumers “who find Windows Media Player pre-installed on their client PCs are generally less inclined to use another media player.”</w:t>
      </w:r>
      <w:r w:rsidRPr="0050262C">
        <w:rPr>
          <w:rStyle w:val="FootnoteReference"/>
          <w:rFonts w:ascii="CG Times" w:hAnsi="CG Times"/>
          <w:spacing w:val="2"/>
          <w:sz w:val="24"/>
          <w:szCs w:val="24"/>
        </w:rPr>
        <w:footnoteReference w:id="35"/>
      </w:r>
      <w:r w:rsidRPr="0050262C">
        <w:rPr>
          <w:rFonts w:ascii="CG Times" w:hAnsi="CG Times"/>
          <w:spacing w:val="2"/>
          <w:sz w:val="24"/>
          <w:szCs w:val="24"/>
        </w:rPr>
        <w:t xml:space="preserve"> The Commission was blunter: “A supply-side aspect to consider is that, while downloading is in itself a technically inexpensive way of distributing media players, vendors must expend resources to overcome end-users’ inertia and persuade them to ignore the pre-installation of [Windows</w:t>
      </w:r>
      <w:r w:rsidRPr="0050262C">
        <w:rPr>
          <w:rFonts w:ascii="CG Times" w:hAnsi="CG Times"/>
          <w:sz w:val="24"/>
          <w:szCs w:val="24"/>
        </w:rPr>
        <w:t xml:space="preserve"> Media Player].”</w:t>
      </w:r>
      <w:r w:rsidRPr="0050262C">
        <w:rPr>
          <w:rStyle w:val="FootnoteReference"/>
          <w:rFonts w:ascii="CG Times" w:hAnsi="CG Times"/>
          <w:sz w:val="24"/>
          <w:szCs w:val="24"/>
        </w:rPr>
        <w:footnoteReference w:id="36"/>
      </w:r>
      <w:r w:rsidRPr="0050262C">
        <w:rPr>
          <w:rFonts w:ascii="CG Times" w:hAnsi="CG Times"/>
          <w:sz w:val="24"/>
          <w:szCs w:val="24"/>
        </w:rPr>
        <w:t xml:space="preserve">  This quote also illustrates the fallacy of equating a remedy (e.g., making it easier for consumers to choose) with a competitive outcome (e.g., consumers will search the Internet and download a rival software program).  Even if the competition agency has made competitive alternatives technically feasible, inexpensive, and simple under the auspices of its proposed remedy, this does not mean that consumers always will exercise that choice. Not only is inertia at work. Some non-computer savvy consumers may believe that the default option represents the computer manufacturer’s choice of the superior media player.</w:t>
      </w:r>
      <w:r w:rsidRPr="0050262C">
        <w:rPr>
          <w:rStyle w:val="FootnoteReference"/>
          <w:rFonts w:ascii="CG Times" w:hAnsi="CG Times"/>
          <w:sz w:val="24"/>
          <w:szCs w:val="24"/>
        </w:rPr>
        <w:footnoteReference w:id="37"/>
      </w:r>
      <w:r w:rsidRPr="0050262C">
        <w:rPr>
          <w:rFonts w:ascii="CG Times" w:hAnsi="CG Times"/>
          <w:sz w:val="24"/>
          <w:szCs w:val="24"/>
        </w:rPr>
        <w:t xml:space="preserve"> Status quo bias explains why many consumers remain with the </w:t>
      </w:r>
      <w:r w:rsidRPr="0050262C">
        <w:rPr>
          <w:rFonts w:ascii="CG Times" w:hAnsi="CG Times"/>
          <w:sz w:val="24"/>
          <w:szCs w:val="24"/>
        </w:rPr>
        <w:lastRenderedPageBreak/>
        <w:t>default option, even though neoclassical theory predicts that many consumers would download superior alternative media browsers.</w:t>
      </w:r>
      <w:r w:rsidRPr="0050262C">
        <w:rPr>
          <w:rStyle w:val="FootnoteReference"/>
          <w:rFonts w:ascii="CG Times" w:hAnsi="CG Times"/>
          <w:sz w:val="24"/>
          <w:szCs w:val="24"/>
        </w:rPr>
        <w:footnoteReference w:id="38"/>
      </w:r>
    </w:p>
    <w:p w14:paraId="0076EA23" w14:textId="701874EE" w:rsidR="0050262C" w:rsidRPr="0050262C" w:rsidRDefault="002623D1" w:rsidP="00EB2916">
      <w:pPr>
        <w:pStyle w:val="Num-DocParagraph"/>
        <w:tabs>
          <w:tab w:val="left" w:pos="432"/>
          <w:tab w:val="left" w:pos="720"/>
        </w:tabs>
        <w:spacing w:after="200"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Consequently, </w:t>
      </w:r>
      <w:r w:rsidR="00EB2916">
        <w:rPr>
          <w:rFonts w:ascii="CG Times" w:hAnsi="CG Times"/>
          <w:sz w:val="24"/>
          <w:szCs w:val="24"/>
        </w:rPr>
        <w:t xml:space="preserve">to the extent courts and agencies continue to conduct </w:t>
      </w:r>
      <w:r w:rsidR="00EB2916" w:rsidRPr="00EB2916">
        <w:rPr>
          <w:rFonts w:ascii="CG Times" w:hAnsi="CG Times"/>
          <w:sz w:val="24"/>
          <w:szCs w:val="24"/>
        </w:rPr>
        <w:t>a</w:t>
      </w:r>
      <w:r w:rsidR="00EB2916">
        <w:rPr>
          <w:rFonts w:ascii="CG Times" w:hAnsi="CG Times"/>
          <w:sz w:val="24"/>
          <w:szCs w:val="24"/>
        </w:rPr>
        <w:t xml:space="preserve"> rule-of-reason,</w:t>
      </w:r>
      <w:r w:rsidR="00EB2916" w:rsidRPr="00EB2916">
        <w:rPr>
          <w:rFonts w:ascii="CG Times" w:hAnsi="CG Times"/>
          <w:sz w:val="24"/>
          <w:szCs w:val="24"/>
        </w:rPr>
        <w:t xml:space="preserve"> case-by-case </w:t>
      </w:r>
      <w:r w:rsidR="00EB2916">
        <w:rPr>
          <w:rFonts w:ascii="CG Times" w:hAnsi="CG Times" w:hint="eastAsia"/>
          <w:sz w:val="24"/>
          <w:szCs w:val="24"/>
        </w:rPr>
        <w:t>analysis</w:t>
      </w:r>
      <w:r w:rsidR="00EB2916">
        <w:rPr>
          <w:rFonts w:ascii="CG Times" w:hAnsi="CG Times"/>
          <w:sz w:val="24"/>
          <w:szCs w:val="24"/>
        </w:rPr>
        <w:t xml:space="preserve"> of the economic realties of </w:t>
      </w:r>
      <w:r w:rsidR="00EB2916" w:rsidRPr="00EB2916">
        <w:rPr>
          <w:rFonts w:ascii="CG Times" w:hAnsi="CG Times"/>
          <w:sz w:val="24"/>
          <w:szCs w:val="24"/>
        </w:rPr>
        <w:t xml:space="preserve">the </w:t>
      </w:r>
      <w:r w:rsidR="00EB2916">
        <w:rPr>
          <w:rFonts w:ascii="CG Times" w:hAnsi="CG Times"/>
          <w:sz w:val="24"/>
          <w:szCs w:val="24"/>
        </w:rPr>
        <w:t xml:space="preserve">particular industry, then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can serve as a gap filler—namely, to understand better observed </w:t>
      </w:r>
      <w:proofErr w:type="spellStart"/>
      <w:r w:rsidR="0050262C" w:rsidRPr="0050262C">
        <w:rPr>
          <w:rFonts w:ascii="CG Times" w:hAnsi="CG Times"/>
          <w:sz w:val="24"/>
          <w:szCs w:val="24"/>
        </w:rPr>
        <w:t>behavior</w:t>
      </w:r>
      <w:proofErr w:type="spellEnd"/>
      <w:r w:rsidR="0050262C" w:rsidRPr="0050262C">
        <w:rPr>
          <w:rFonts w:ascii="CG Times" w:hAnsi="CG Times"/>
          <w:sz w:val="24"/>
          <w:szCs w:val="24"/>
        </w:rPr>
        <w:t xml:space="preserve"> (such as the importance of the default option)</w:t>
      </w:r>
      <w:r w:rsidR="00EB2916">
        <w:rPr>
          <w:rFonts w:ascii="CG Times" w:hAnsi="CG Times"/>
          <w:sz w:val="24"/>
          <w:szCs w:val="24"/>
        </w:rPr>
        <w:t>.</w:t>
      </w:r>
      <w:r w:rsidR="0050262C" w:rsidRPr="0050262C">
        <w:rPr>
          <w:rFonts w:ascii="CG Times" w:hAnsi="CG Times"/>
          <w:sz w:val="24"/>
          <w:szCs w:val="24"/>
        </w:rPr>
        <w:t xml:space="preserve"> </w:t>
      </w:r>
      <w:r w:rsidR="00EB2916">
        <w:rPr>
          <w:rFonts w:ascii="CG Times" w:hAnsi="CG Times"/>
          <w:sz w:val="24"/>
          <w:szCs w:val="24"/>
        </w:rPr>
        <w:t xml:space="preserve"> Under Level I, </w:t>
      </w:r>
      <w:r w:rsidR="0050262C" w:rsidRPr="0050262C">
        <w:rPr>
          <w:rFonts w:ascii="CG Times" w:hAnsi="CG Times"/>
          <w:sz w:val="24"/>
          <w:szCs w:val="24"/>
        </w:rPr>
        <w:t xml:space="preserve">the competition agency has the benefit of observing the anticompetitive effects; its difficulty is using neoclassical economic theory to explain the observed conduct. If the agencies follow the evidence wherever it leads them, then the agencies need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in their toolkit to better understand the firm-consumer interactions.</w:t>
      </w:r>
    </w:p>
    <w:p w14:paraId="6D00DF6F" w14:textId="2A7ED1AC" w:rsidR="0050262C" w:rsidRPr="0050262C" w:rsidRDefault="002623D1" w:rsidP="00EB2916">
      <w:pPr>
        <w:pStyle w:val="Heading1"/>
        <w:tabs>
          <w:tab w:val="left" w:pos="432"/>
        </w:tabs>
      </w:pPr>
      <w:r>
        <w:t xml:space="preserve">II. </w:t>
      </w:r>
      <w:r w:rsidR="00EB2916">
        <w:t xml:space="preserve"> </w:t>
      </w:r>
      <w:r w:rsidR="0050262C" w:rsidRPr="0050262C">
        <w:t>Level II: Revisit Assumptions under Neoclassical Economic Theory</w:t>
      </w:r>
    </w:p>
    <w:p w14:paraId="5E3E8322" w14:textId="30964C9A" w:rsidR="00EB2916" w:rsidRDefault="0050262C" w:rsidP="002623D1">
      <w:pPr>
        <w:pStyle w:val="Num-DocParagraph"/>
        <w:tabs>
          <w:tab w:val="left" w:pos="432"/>
          <w:tab w:val="left" w:pos="720"/>
        </w:tabs>
        <w:spacing w:line="360" w:lineRule="auto"/>
        <w:rPr>
          <w:rFonts w:ascii="CG Times" w:hAnsi="CG Times"/>
          <w:sz w:val="24"/>
          <w:szCs w:val="24"/>
        </w:rPr>
      </w:pPr>
      <w:r w:rsidRPr="0050262C">
        <w:rPr>
          <w:rFonts w:ascii="CG Times" w:hAnsi="CG Times"/>
          <w:sz w:val="24"/>
          <w:szCs w:val="24"/>
        </w:rPr>
        <w:tab/>
      </w:r>
      <w:r w:rsidR="00EB2916">
        <w:rPr>
          <w:rFonts w:ascii="CG Times" w:hAnsi="CG Times"/>
          <w:sz w:val="24"/>
          <w:szCs w:val="24"/>
        </w:rPr>
        <w:t xml:space="preserve">As Part I discusses, the easiest </w:t>
      </w:r>
      <w:r w:rsidR="00EB2916">
        <w:rPr>
          <w:rFonts w:ascii="CG Times" w:hAnsi="CG Times" w:hint="eastAsia"/>
          <w:sz w:val="24"/>
          <w:szCs w:val="24"/>
        </w:rPr>
        <w:t>entrée</w:t>
      </w:r>
      <w:r w:rsidR="00EB2916">
        <w:rPr>
          <w:rFonts w:ascii="CG Times" w:hAnsi="CG Times"/>
          <w:sz w:val="24"/>
          <w:szCs w:val="24"/>
        </w:rPr>
        <w:t xml:space="preserve"> for </w:t>
      </w:r>
      <w:r w:rsidR="00EB2916">
        <w:rPr>
          <w:rFonts w:ascii="CG Times" w:hAnsi="CG Times" w:hint="eastAsia"/>
          <w:sz w:val="24"/>
          <w:szCs w:val="24"/>
        </w:rPr>
        <w:t>behavioural</w:t>
      </w:r>
      <w:r w:rsidR="00EB2916">
        <w:rPr>
          <w:rFonts w:ascii="CG Times" w:hAnsi="CG Times"/>
          <w:sz w:val="24"/>
          <w:szCs w:val="24"/>
        </w:rPr>
        <w:t xml:space="preserve"> economics into competition policy is as a gap-filler.  The agencies and courts continue to rely on neoclassical economic theory, but supplement it with the findings of </w:t>
      </w:r>
      <w:r w:rsidR="00EB2916">
        <w:rPr>
          <w:rFonts w:ascii="CG Times" w:hAnsi="CG Times" w:hint="eastAsia"/>
          <w:sz w:val="24"/>
          <w:szCs w:val="24"/>
        </w:rPr>
        <w:t>behavioural</w:t>
      </w:r>
      <w:r w:rsidR="00EB2916">
        <w:rPr>
          <w:rFonts w:ascii="CG Times" w:hAnsi="CG Times"/>
          <w:sz w:val="24"/>
          <w:szCs w:val="24"/>
        </w:rPr>
        <w:t xml:space="preserve"> economics to better understand the observed </w:t>
      </w:r>
      <w:r w:rsidR="00EB2916">
        <w:rPr>
          <w:rFonts w:ascii="CG Times" w:hAnsi="CG Times" w:hint="eastAsia"/>
          <w:sz w:val="24"/>
          <w:szCs w:val="24"/>
        </w:rPr>
        <w:t>behaviour</w:t>
      </w:r>
      <w:r w:rsidR="00715C87">
        <w:rPr>
          <w:rFonts w:ascii="CG Times" w:hAnsi="CG Times"/>
          <w:sz w:val="24"/>
          <w:szCs w:val="24"/>
        </w:rPr>
        <w:t xml:space="preserve">. </w:t>
      </w:r>
    </w:p>
    <w:p w14:paraId="4AA55C05" w14:textId="585569DE" w:rsidR="00715C87" w:rsidRDefault="00EB2916"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Often, however, competition authorities have to predict competitive consequences, notably in reviewing proposed mergers and determining the deterrent effect of increasing sanctions for price-fixing cartels. </w:t>
      </w:r>
      <w:r>
        <w:rPr>
          <w:rFonts w:ascii="CG Times" w:hAnsi="CG Times"/>
          <w:sz w:val="24"/>
          <w:szCs w:val="24"/>
        </w:rPr>
        <w:t xml:space="preserve"> </w:t>
      </w:r>
      <w:r w:rsidR="00DA76D9">
        <w:rPr>
          <w:rFonts w:ascii="CG Times" w:hAnsi="CG Times"/>
          <w:sz w:val="24"/>
          <w:szCs w:val="24"/>
        </w:rPr>
        <w:t xml:space="preserve">Suppose, for example, the two largest organic </w:t>
      </w:r>
      <w:r w:rsidR="00DA76D9">
        <w:rPr>
          <w:rFonts w:ascii="CG Times" w:hAnsi="CG Times" w:hint="eastAsia"/>
          <w:sz w:val="24"/>
          <w:szCs w:val="24"/>
        </w:rPr>
        <w:t>supermarket</w:t>
      </w:r>
      <w:r w:rsidR="00DA76D9">
        <w:rPr>
          <w:rFonts w:ascii="CG Times" w:hAnsi="CG Times"/>
          <w:sz w:val="24"/>
          <w:szCs w:val="24"/>
          <w:lang w:val="en-US"/>
        </w:rPr>
        <w:t xml:space="preserve"> chains</w:t>
      </w:r>
      <w:r w:rsidR="00DA76D9">
        <w:rPr>
          <w:rFonts w:ascii="CG Times" w:hAnsi="CG Times"/>
          <w:sz w:val="24"/>
          <w:szCs w:val="24"/>
        </w:rPr>
        <w:t xml:space="preserve"> seek to merge.  Under the federal competition law, the parties first have to notify the competition agencies of their proposed merger to enable the agency to assess whether the merger may substantially lessen competition or tend to create a monopoly.  Here the agency does not have the benefit of economic </w:t>
      </w:r>
      <w:r w:rsidR="00DA76D9">
        <w:rPr>
          <w:rFonts w:ascii="CG Times" w:hAnsi="CG Times"/>
          <w:sz w:val="24"/>
          <w:szCs w:val="24"/>
        </w:rPr>
        <w:lastRenderedPageBreak/>
        <w:t>realities—namely, to allow the supermarket merger, assess its compet</w:t>
      </w:r>
      <w:r w:rsidR="00EA2CC8">
        <w:rPr>
          <w:rFonts w:ascii="CG Times" w:hAnsi="CG Times"/>
          <w:sz w:val="24"/>
          <w:szCs w:val="24"/>
        </w:rPr>
        <w:t xml:space="preserve">itive effects, and then enjoin </w:t>
      </w:r>
      <w:r w:rsidR="00DA76D9">
        <w:rPr>
          <w:rFonts w:ascii="CG Times" w:hAnsi="CG Times"/>
          <w:sz w:val="24"/>
          <w:szCs w:val="24"/>
        </w:rPr>
        <w:t>t</w:t>
      </w:r>
      <w:r w:rsidR="00EA2CC8">
        <w:rPr>
          <w:rFonts w:ascii="CG Times" w:hAnsi="CG Times"/>
          <w:sz w:val="24"/>
          <w:szCs w:val="24"/>
        </w:rPr>
        <w:t>he merger</w:t>
      </w:r>
      <w:r w:rsidR="00DA76D9">
        <w:rPr>
          <w:rFonts w:ascii="CG Times" w:hAnsi="CG Times"/>
          <w:sz w:val="24"/>
          <w:szCs w:val="24"/>
        </w:rPr>
        <w:t xml:space="preserve"> if it proves anticompetitive.  By the time the agency assesses </w:t>
      </w:r>
      <w:r w:rsidR="00EA2CC8">
        <w:rPr>
          <w:rFonts w:ascii="CG Times" w:hAnsi="CG Times"/>
          <w:sz w:val="24"/>
          <w:szCs w:val="24"/>
        </w:rPr>
        <w:t>the merger</w:t>
      </w:r>
      <w:r w:rsidR="00EA2CC8">
        <w:rPr>
          <w:rFonts w:ascii="CG Times" w:hAnsi="CG Times" w:hint="eastAsia"/>
          <w:sz w:val="24"/>
          <w:szCs w:val="24"/>
        </w:rPr>
        <w:t>’</w:t>
      </w:r>
      <w:r w:rsidR="00EA2CC8">
        <w:rPr>
          <w:rFonts w:ascii="CG Times" w:hAnsi="CG Times"/>
          <w:sz w:val="24"/>
          <w:szCs w:val="24"/>
        </w:rPr>
        <w:t xml:space="preserve">s </w:t>
      </w:r>
      <w:r w:rsidR="00DA76D9">
        <w:rPr>
          <w:rFonts w:ascii="CG Times" w:hAnsi="CG Times"/>
          <w:sz w:val="24"/>
          <w:szCs w:val="24"/>
        </w:rPr>
        <w:t xml:space="preserve">competitive effects </w:t>
      </w:r>
      <w:r w:rsidR="00EA2CC8">
        <w:rPr>
          <w:rFonts w:ascii="CG Times" w:hAnsi="CG Times"/>
          <w:sz w:val="24"/>
          <w:szCs w:val="24"/>
        </w:rPr>
        <w:t xml:space="preserve">several </w:t>
      </w:r>
      <w:r w:rsidR="00DA76D9">
        <w:rPr>
          <w:rFonts w:ascii="CG Times" w:hAnsi="CG Times"/>
          <w:sz w:val="24"/>
          <w:szCs w:val="24"/>
        </w:rPr>
        <w:t xml:space="preserve">years </w:t>
      </w:r>
      <w:r w:rsidR="00EA2CC8">
        <w:rPr>
          <w:rFonts w:ascii="CG Times" w:hAnsi="CG Times"/>
          <w:sz w:val="24"/>
          <w:szCs w:val="24"/>
        </w:rPr>
        <w:t>later</w:t>
      </w:r>
      <w:r w:rsidR="00DA76D9">
        <w:rPr>
          <w:rFonts w:ascii="CG Times" w:hAnsi="CG Times"/>
          <w:sz w:val="24"/>
          <w:szCs w:val="24"/>
        </w:rPr>
        <w:t xml:space="preserve">, </w:t>
      </w:r>
      <w:r w:rsidR="00EA2CC8">
        <w:rPr>
          <w:rFonts w:ascii="CG Times" w:hAnsi="CG Times"/>
          <w:sz w:val="24"/>
          <w:szCs w:val="24"/>
        </w:rPr>
        <w:t>the agency</w:t>
      </w:r>
      <w:r w:rsidR="00EA2CC8">
        <w:rPr>
          <w:rFonts w:ascii="CG Times" w:hAnsi="CG Times" w:hint="eastAsia"/>
          <w:sz w:val="24"/>
          <w:szCs w:val="24"/>
        </w:rPr>
        <w:t>’</w:t>
      </w:r>
      <w:r w:rsidR="00EA2CC8">
        <w:rPr>
          <w:rFonts w:ascii="CG Times" w:hAnsi="CG Times"/>
          <w:sz w:val="24"/>
          <w:szCs w:val="24"/>
        </w:rPr>
        <w:t xml:space="preserve">s </w:t>
      </w:r>
      <w:r w:rsidR="00DA76D9">
        <w:rPr>
          <w:rFonts w:ascii="CG Times" w:hAnsi="CG Times"/>
          <w:sz w:val="24"/>
          <w:szCs w:val="24"/>
        </w:rPr>
        <w:t xml:space="preserve">remedy </w:t>
      </w:r>
      <w:r w:rsidR="00EA2CC8">
        <w:rPr>
          <w:rFonts w:ascii="CG Times" w:hAnsi="CG Times"/>
          <w:sz w:val="24"/>
          <w:szCs w:val="24"/>
        </w:rPr>
        <w:t xml:space="preserve">will </w:t>
      </w:r>
      <w:r w:rsidR="00DA76D9">
        <w:rPr>
          <w:rFonts w:ascii="CG Times" w:hAnsi="CG Times"/>
          <w:sz w:val="24"/>
          <w:szCs w:val="24"/>
        </w:rPr>
        <w:t xml:space="preserve">often </w:t>
      </w:r>
      <w:r w:rsidR="00EA2CC8">
        <w:rPr>
          <w:rFonts w:ascii="CG Times" w:hAnsi="CG Times"/>
          <w:sz w:val="24"/>
          <w:szCs w:val="24"/>
        </w:rPr>
        <w:t xml:space="preserve">be </w:t>
      </w:r>
      <w:r w:rsidR="00DA76D9">
        <w:rPr>
          <w:rFonts w:ascii="CG Times" w:hAnsi="CG Times"/>
          <w:sz w:val="24"/>
          <w:szCs w:val="24"/>
        </w:rPr>
        <w:t xml:space="preserve">ineffectual, as retail supermarkets </w:t>
      </w:r>
      <w:r w:rsidR="00EA2CC8">
        <w:rPr>
          <w:rFonts w:ascii="CG Times" w:hAnsi="CG Times"/>
          <w:sz w:val="24"/>
          <w:szCs w:val="24"/>
        </w:rPr>
        <w:t>will be closed</w:t>
      </w:r>
      <w:r w:rsidR="00DA76D9">
        <w:rPr>
          <w:rFonts w:ascii="CG Times" w:hAnsi="CG Times"/>
          <w:sz w:val="24"/>
          <w:szCs w:val="24"/>
        </w:rPr>
        <w:t xml:space="preserve"> closed, employees fired, etc. </w:t>
      </w:r>
      <w:r w:rsidR="00715C87">
        <w:rPr>
          <w:rFonts w:ascii="CG Times" w:hAnsi="CG Times"/>
          <w:sz w:val="24"/>
          <w:szCs w:val="24"/>
        </w:rPr>
        <w:t xml:space="preserve">The closest thing </w:t>
      </w:r>
      <w:r w:rsidR="00EA2CC8">
        <w:rPr>
          <w:rFonts w:ascii="CG Times" w:hAnsi="CG Times"/>
          <w:sz w:val="24"/>
          <w:szCs w:val="24"/>
        </w:rPr>
        <w:t>to the merger</w:t>
      </w:r>
      <w:r w:rsidR="00EA2CC8">
        <w:rPr>
          <w:rFonts w:ascii="CG Times" w:hAnsi="CG Times" w:hint="eastAsia"/>
          <w:sz w:val="24"/>
          <w:szCs w:val="24"/>
        </w:rPr>
        <w:t>’</w:t>
      </w:r>
      <w:r w:rsidR="00EA2CC8">
        <w:rPr>
          <w:rFonts w:ascii="CG Times" w:hAnsi="CG Times"/>
          <w:sz w:val="24"/>
          <w:szCs w:val="24"/>
        </w:rPr>
        <w:t xml:space="preserve">s anticompetitive effects </w:t>
      </w:r>
      <w:r w:rsidR="00715C87">
        <w:rPr>
          <w:rFonts w:ascii="CG Times" w:hAnsi="CG Times"/>
          <w:sz w:val="24"/>
          <w:szCs w:val="24"/>
        </w:rPr>
        <w:t xml:space="preserve">is analogous </w:t>
      </w:r>
      <w:r w:rsidR="00715C87" w:rsidRPr="00715C87">
        <w:rPr>
          <w:rFonts w:ascii="CG Times" w:hAnsi="CG Times"/>
          <w:sz w:val="24"/>
          <w:szCs w:val="24"/>
        </w:rPr>
        <w:t xml:space="preserve">historical events, or </w:t>
      </w:r>
      <w:r w:rsidR="00715C87" w:rsidRPr="00715C87">
        <w:rPr>
          <w:rFonts w:ascii="CG Times" w:hAnsi="CG Times" w:hint="eastAsia"/>
          <w:sz w:val="24"/>
          <w:szCs w:val="24"/>
        </w:rPr>
        <w:t>“</w:t>
      </w:r>
      <w:r w:rsidR="00715C87" w:rsidRPr="00715C87">
        <w:rPr>
          <w:rFonts w:ascii="CG Times" w:hAnsi="CG Times"/>
          <w:sz w:val="24"/>
          <w:szCs w:val="24"/>
        </w:rPr>
        <w:t>natural experiments,</w:t>
      </w:r>
      <w:r w:rsidR="00715C87" w:rsidRPr="00715C87">
        <w:rPr>
          <w:rFonts w:ascii="CG Times" w:hAnsi="CG Times" w:hint="eastAsia"/>
          <w:sz w:val="24"/>
          <w:szCs w:val="24"/>
        </w:rPr>
        <w:t>”</w:t>
      </w:r>
      <w:r w:rsidR="00715C87" w:rsidRPr="00715C87">
        <w:rPr>
          <w:rFonts w:ascii="CG Times" w:hAnsi="CG Times"/>
          <w:sz w:val="24"/>
          <w:szCs w:val="24"/>
        </w:rPr>
        <w:t xml:space="preserve"> </w:t>
      </w:r>
      <w:r w:rsidR="00715C87">
        <w:rPr>
          <w:rFonts w:ascii="CG Times" w:hAnsi="CG Times"/>
          <w:sz w:val="24"/>
          <w:szCs w:val="24"/>
        </w:rPr>
        <w:t>whereby the a</w:t>
      </w:r>
      <w:r w:rsidR="00715C87" w:rsidRPr="00715C87">
        <w:rPr>
          <w:rFonts w:ascii="CG Times" w:hAnsi="CG Times"/>
          <w:sz w:val="24"/>
          <w:szCs w:val="24"/>
        </w:rPr>
        <w:t xml:space="preserve">gencies </w:t>
      </w:r>
      <w:r w:rsidR="00715C87">
        <w:rPr>
          <w:rFonts w:ascii="CG Times" w:hAnsi="CG Times" w:hint="eastAsia"/>
          <w:sz w:val="24"/>
          <w:szCs w:val="24"/>
        </w:rPr>
        <w:t>“</w:t>
      </w:r>
      <w:r w:rsidR="00715C87" w:rsidRPr="00715C87">
        <w:rPr>
          <w:rFonts w:ascii="CG Times" w:hAnsi="CG Times"/>
          <w:sz w:val="24"/>
          <w:szCs w:val="24"/>
        </w:rPr>
        <w:t>examine the impact of recent mergers, entry, expansion,</w:t>
      </w:r>
      <w:r w:rsidR="00715C87">
        <w:rPr>
          <w:rFonts w:ascii="CG Times" w:hAnsi="CG Times"/>
          <w:sz w:val="24"/>
          <w:szCs w:val="24"/>
        </w:rPr>
        <w:t xml:space="preserve"> or exit in the relevant market</w:t>
      </w:r>
      <w:r w:rsidR="00715C87">
        <w:rPr>
          <w:rFonts w:ascii="CG Times" w:hAnsi="CG Times" w:hint="eastAsia"/>
          <w:sz w:val="24"/>
          <w:szCs w:val="24"/>
        </w:rPr>
        <w:t>”</w:t>
      </w:r>
      <w:r w:rsidR="00715C87" w:rsidRPr="00715C87">
        <w:rPr>
          <w:rFonts w:ascii="CG Times" w:hAnsi="CG Times"/>
          <w:sz w:val="24"/>
          <w:szCs w:val="24"/>
        </w:rPr>
        <w:t xml:space="preserve"> </w:t>
      </w:r>
      <w:r w:rsidR="00715C87">
        <w:rPr>
          <w:rFonts w:ascii="CG Times" w:hAnsi="CG Times"/>
          <w:sz w:val="24"/>
          <w:szCs w:val="24"/>
        </w:rPr>
        <w:t xml:space="preserve">or </w:t>
      </w:r>
      <w:r w:rsidR="00715C87">
        <w:rPr>
          <w:rFonts w:ascii="CG Times" w:hAnsi="CG Times" w:hint="eastAsia"/>
          <w:sz w:val="24"/>
          <w:szCs w:val="24"/>
        </w:rPr>
        <w:t>“</w:t>
      </w:r>
      <w:r w:rsidR="00715C87" w:rsidRPr="00715C87">
        <w:rPr>
          <w:rFonts w:ascii="CG Times" w:hAnsi="CG Times"/>
          <w:sz w:val="24"/>
          <w:szCs w:val="24"/>
        </w:rPr>
        <w:t>similar</w:t>
      </w:r>
      <w:r w:rsidR="00715C87">
        <w:rPr>
          <w:rFonts w:ascii="CG Times" w:hAnsi="CG Times" w:hint="eastAsia"/>
          <w:sz w:val="24"/>
          <w:szCs w:val="24"/>
        </w:rPr>
        <w:t>”</w:t>
      </w:r>
      <w:r w:rsidR="00715C87" w:rsidRPr="00715C87">
        <w:rPr>
          <w:rFonts w:ascii="CG Times" w:hAnsi="CG Times"/>
          <w:sz w:val="24"/>
          <w:szCs w:val="24"/>
        </w:rPr>
        <w:t xml:space="preserve"> markets</w:t>
      </w:r>
      <w:r w:rsidR="00715C87">
        <w:rPr>
          <w:rFonts w:ascii="CG Times" w:hAnsi="CG Times"/>
          <w:sz w:val="24"/>
          <w:szCs w:val="24"/>
        </w:rPr>
        <w:t>.</w:t>
      </w:r>
      <w:r w:rsidR="00715C87">
        <w:rPr>
          <w:rStyle w:val="FootnoteReference"/>
          <w:rFonts w:ascii="CG Times" w:hAnsi="CG Times"/>
          <w:sz w:val="24"/>
          <w:szCs w:val="24"/>
        </w:rPr>
        <w:footnoteReference w:id="39"/>
      </w:r>
      <w:r w:rsidR="00EA2CC8">
        <w:rPr>
          <w:rFonts w:ascii="CG Times" w:hAnsi="CG Times"/>
          <w:sz w:val="24"/>
          <w:szCs w:val="24"/>
        </w:rPr>
        <w:t xml:space="preserve">  So what happened in terms of prices, quality, service, and innovation in other geographic markets where one competitor recently left or entered?</w:t>
      </w:r>
    </w:p>
    <w:p w14:paraId="5588914C" w14:textId="30589D6B" w:rsidR="0050262C" w:rsidRPr="0050262C" w:rsidRDefault="00715C87"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t xml:space="preserve">But absent natural experiments and consummated mergers, the agencies typically </w:t>
      </w:r>
      <w:r w:rsidR="00EA2CC8">
        <w:rPr>
          <w:rFonts w:ascii="CG Times" w:hAnsi="CG Times"/>
          <w:sz w:val="24"/>
          <w:szCs w:val="24"/>
        </w:rPr>
        <w:t xml:space="preserve">will rely heavily on economic theory to </w:t>
      </w:r>
      <w:r>
        <w:rPr>
          <w:rFonts w:ascii="CG Times" w:hAnsi="CG Times"/>
          <w:sz w:val="24"/>
          <w:szCs w:val="24"/>
        </w:rPr>
        <w:t>predict a merger</w:t>
      </w:r>
      <w:r>
        <w:rPr>
          <w:rFonts w:ascii="CG Times" w:hAnsi="CG Times" w:hint="eastAsia"/>
          <w:sz w:val="24"/>
          <w:szCs w:val="24"/>
        </w:rPr>
        <w:t>’</w:t>
      </w:r>
      <w:r w:rsidR="00EA2CC8">
        <w:rPr>
          <w:rFonts w:ascii="CG Times" w:hAnsi="CG Times"/>
          <w:sz w:val="24"/>
          <w:szCs w:val="24"/>
          <w:lang w:val="en-US"/>
        </w:rPr>
        <w:t xml:space="preserve">s likely competitive effects. Thus </w:t>
      </w:r>
      <w:r>
        <w:rPr>
          <w:rFonts w:ascii="CG Times" w:hAnsi="CG Times"/>
          <w:sz w:val="24"/>
          <w:szCs w:val="24"/>
          <w:lang w:val="en-US"/>
        </w:rPr>
        <w:t>with the exception of mergers to monopoly, economic theory will likely play an even larger role</w:t>
      </w:r>
      <w:r w:rsidR="00EA2CC8">
        <w:rPr>
          <w:rFonts w:ascii="CG Times" w:hAnsi="CG Times"/>
          <w:sz w:val="24"/>
          <w:szCs w:val="24"/>
          <w:lang w:val="en-US"/>
        </w:rPr>
        <w:t xml:space="preserve"> than under Level I in predicting future competitive behavior</w:t>
      </w:r>
      <w:r>
        <w:rPr>
          <w:rFonts w:ascii="CG Times" w:hAnsi="CG Times"/>
          <w:sz w:val="24"/>
          <w:szCs w:val="24"/>
          <w:lang w:val="en-US"/>
        </w:rPr>
        <w:t xml:space="preserve">. </w:t>
      </w:r>
      <w:r w:rsidR="00995E3B">
        <w:rPr>
          <w:rFonts w:ascii="CG Times" w:hAnsi="CG Times"/>
          <w:sz w:val="24"/>
          <w:szCs w:val="24"/>
          <w:lang w:val="en-US"/>
        </w:rPr>
        <w:t>B</w:t>
      </w:r>
      <w:r w:rsidR="00EA2CC8">
        <w:rPr>
          <w:rFonts w:ascii="CG Times" w:hAnsi="CG Times"/>
          <w:sz w:val="24"/>
          <w:szCs w:val="24"/>
          <w:lang w:val="en-US"/>
        </w:rPr>
        <w:t xml:space="preserve">ehavioral economics </w:t>
      </w:r>
      <w:r w:rsidR="00995E3B">
        <w:rPr>
          <w:rFonts w:ascii="CG Times" w:hAnsi="CG Times"/>
          <w:sz w:val="24"/>
          <w:szCs w:val="24"/>
          <w:lang w:val="en-US"/>
        </w:rPr>
        <w:t xml:space="preserve">at least currently does </w:t>
      </w:r>
      <w:r w:rsidR="00EA2CC8">
        <w:rPr>
          <w:rFonts w:ascii="CG Times" w:hAnsi="CG Times"/>
          <w:sz w:val="24"/>
          <w:szCs w:val="24"/>
          <w:lang w:val="en-US"/>
        </w:rPr>
        <w:t>not provide a unifying theory</w:t>
      </w:r>
      <w:r w:rsidR="00995E3B">
        <w:rPr>
          <w:rFonts w:ascii="CG Times" w:hAnsi="CG Times"/>
          <w:sz w:val="24"/>
          <w:szCs w:val="24"/>
          <w:lang w:val="en-US"/>
        </w:rPr>
        <w:t xml:space="preserve">.  Putting aside the exaggerated claims of some critics, behavioral economics will not inspire policymakers to more aggressively enjoin mergers or otherwise enforce the competition laws. Instead, under </w:t>
      </w:r>
      <w:r>
        <w:rPr>
          <w:rFonts w:ascii="CG Times" w:hAnsi="CG Times"/>
          <w:sz w:val="24"/>
          <w:szCs w:val="24"/>
          <w:lang w:val="en-US"/>
        </w:rPr>
        <w:t xml:space="preserve">Level </w:t>
      </w:r>
      <w:r w:rsidR="00995E3B">
        <w:rPr>
          <w:rFonts w:ascii="CG Times" w:hAnsi="CG Times"/>
          <w:sz w:val="24"/>
          <w:szCs w:val="24"/>
          <w:lang w:val="en-US"/>
        </w:rPr>
        <w:t xml:space="preserve">Two,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can spur the agencies to reassess critically specific assumptions of their economic theories</w:t>
      </w:r>
      <w:r w:rsidR="00995E3B">
        <w:rPr>
          <w:rFonts w:ascii="CG Times" w:hAnsi="CG Times"/>
          <w:sz w:val="24"/>
          <w:szCs w:val="24"/>
        </w:rPr>
        <w:t xml:space="preserve"> and better assess the risk and cost of false positives versus false negatives</w:t>
      </w:r>
      <w:r w:rsidR="0050262C" w:rsidRPr="0050262C">
        <w:rPr>
          <w:rFonts w:ascii="CG Times" w:hAnsi="CG Times"/>
          <w:sz w:val="24"/>
          <w:szCs w:val="24"/>
        </w:rPr>
        <w:t>. Two examples are merger review and cartel prosecutions.</w:t>
      </w:r>
      <w:r w:rsidR="00995E3B">
        <w:rPr>
          <w:rFonts w:ascii="CG Times" w:hAnsi="CG Times"/>
          <w:sz w:val="24"/>
          <w:szCs w:val="24"/>
        </w:rPr>
        <w:t xml:space="preserve"> </w:t>
      </w:r>
    </w:p>
    <w:p w14:paraId="733AEC3E" w14:textId="3E087D67" w:rsidR="0050262C" w:rsidRPr="0050262C" w:rsidRDefault="0050262C" w:rsidP="002623D1">
      <w:pPr>
        <w:pStyle w:val="Heading2"/>
        <w:tabs>
          <w:tab w:val="left" w:pos="432"/>
        </w:tabs>
      </w:pPr>
      <w:r w:rsidRPr="0050262C">
        <w:t>Merger Review</w:t>
      </w:r>
    </w:p>
    <w:p w14:paraId="36860C59" w14:textId="64964F18" w:rsidR="0050262C" w:rsidRPr="0050262C" w:rsidRDefault="0050262C" w:rsidP="002623D1">
      <w:pPr>
        <w:pStyle w:val="Num-DocParagraph"/>
        <w:tabs>
          <w:tab w:val="left" w:pos="432"/>
          <w:tab w:val="left" w:pos="720"/>
        </w:tabs>
        <w:spacing w:line="360" w:lineRule="auto"/>
        <w:rPr>
          <w:rFonts w:ascii="CG Times" w:hAnsi="CG Times"/>
          <w:sz w:val="24"/>
          <w:szCs w:val="24"/>
        </w:rPr>
      </w:pPr>
      <w:r w:rsidRPr="0050262C">
        <w:rPr>
          <w:rFonts w:ascii="CG Times" w:hAnsi="CG Times"/>
          <w:sz w:val="24"/>
          <w:szCs w:val="24"/>
        </w:rPr>
        <w:tab/>
        <w:t xml:space="preserve">In assessing a proposed merger, competition authorities typically assume that actual marketplace </w:t>
      </w:r>
      <w:proofErr w:type="spellStart"/>
      <w:r w:rsidRPr="0050262C">
        <w:rPr>
          <w:rFonts w:ascii="CG Times" w:hAnsi="CG Times"/>
          <w:sz w:val="24"/>
          <w:szCs w:val="24"/>
        </w:rPr>
        <w:t>behavior</w:t>
      </w:r>
      <w:proofErr w:type="spellEnd"/>
      <w:r w:rsidRPr="0050262C">
        <w:rPr>
          <w:rFonts w:ascii="CG Times" w:hAnsi="CG Times"/>
          <w:sz w:val="24"/>
          <w:szCs w:val="24"/>
        </w:rPr>
        <w:t xml:space="preserve"> comports with rational, profit-</w:t>
      </w:r>
      <w:r w:rsidRPr="0050262C">
        <w:rPr>
          <w:rFonts w:ascii="CG Times" w:hAnsi="CG Times"/>
          <w:sz w:val="24"/>
          <w:szCs w:val="24"/>
        </w:rPr>
        <w:lastRenderedPageBreak/>
        <w:t xml:space="preserve">maximizing </w:t>
      </w:r>
      <w:proofErr w:type="spellStart"/>
      <w:r w:rsidRPr="0050262C">
        <w:rPr>
          <w:rFonts w:ascii="CG Times" w:hAnsi="CG Times"/>
          <w:sz w:val="24"/>
          <w:szCs w:val="24"/>
        </w:rPr>
        <w:t>behavior</w:t>
      </w:r>
      <w:proofErr w:type="spellEnd"/>
      <w:r w:rsidRPr="0050262C">
        <w:rPr>
          <w:rFonts w:ascii="CG Times" w:hAnsi="CG Times"/>
          <w:sz w:val="24"/>
          <w:szCs w:val="24"/>
        </w:rPr>
        <w:t>. Overlaying this assumption are at least five assumptions:</w:t>
      </w:r>
    </w:p>
    <w:p w14:paraId="4F9475B1" w14:textId="77777777" w:rsidR="0050262C" w:rsidRPr="0050262C" w:rsidRDefault="0050262C" w:rsidP="002623D1">
      <w:pPr>
        <w:pStyle w:val="ListBullet"/>
        <w:tabs>
          <w:tab w:val="clear" w:pos="850"/>
          <w:tab w:val="left" w:pos="432"/>
          <w:tab w:val="left" w:pos="720"/>
          <w:tab w:val="num" w:pos="1258"/>
        </w:tabs>
        <w:ind w:left="408"/>
        <w:rPr>
          <w:rFonts w:ascii="CG Times" w:hAnsi="CG Times"/>
          <w:sz w:val="24"/>
          <w:szCs w:val="24"/>
        </w:rPr>
      </w:pPr>
      <w:proofErr w:type="gramStart"/>
      <w:r w:rsidRPr="0050262C">
        <w:rPr>
          <w:rFonts w:ascii="CG Times" w:hAnsi="CG Times"/>
          <w:sz w:val="24"/>
          <w:szCs w:val="24"/>
        </w:rPr>
        <w:t>the</w:t>
      </w:r>
      <w:proofErr w:type="gramEnd"/>
      <w:r w:rsidRPr="0050262C">
        <w:rPr>
          <w:rFonts w:ascii="CG Times" w:hAnsi="CG Times"/>
          <w:sz w:val="24"/>
          <w:szCs w:val="24"/>
        </w:rPr>
        <w:t xml:space="preserve"> relevant anticompetitive effects often would manifest themselves as higher prices</w:t>
      </w:r>
      <w:bookmarkStart w:id="3" w:name="_Ref199566463"/>
      <w:r w:rsidRPr="0050262C">
        <w:rPr>
          <w:rFonts w:ascii="CG Times" w:hAnsi="CG Times"/>
          <w:sz w:val="24"/>
          <w:szCs w:val="24"/>
        </w:rPr>
        <w:t>;</w:t>
      </w:r>
      <w:r w:rsidRPr="0050262C">
        <w:rPr>
          <w:rStyle w:val="FootnoteReference"/>
          <w:rFonts w:ascii="CG Times" w:hAnsi="CG Times"/>
          <w:color w:val="000000"/>
          <w:sz w:val="24"/>
          <w:szCs w:val="24"/>
        </w:rPr>
        <w:footnoteReference w:id="40"/>
      </w:r>
      <w:bookmarkEnd w:id="3"/>
    </w:p>
    <w:p w14:paraId="0D73EC75"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t>anticompetitive</w:t>
      </w:r>
      <w:proofErr w:type="gramEnd"/>
      <w:r w:rsidRPr="0050262C">
        <w:rPr>
          <w:rFonts w:ascii="CG Times" w:hAnsi="CG Times"/>
          <w:sz w:val="24"/>
          <w:szCs w:val="24"/>
        </w:rPr>
        <w:t xml:space="preserve"> effects are likely only in highly concentrated (not moderately concentrated to </w:t>
      </w:r>
      <w:proofErr w:type="spellStart"/>
      <w:r w:rsidRPr="0050262C">
        <w:rPr>
          <w:rFonts w:ascii="CG Times" w:hAnsi="CG Times"/>
          <w:sz w:val="24"/>
          <w:szCs w:val="24"/>
        </w:rPr>
        <w:t>unconcentrated</w:t>
      </w:r>
      <w:proofErr w:type="spellEnd"/>
      <w:r w:rsidRPr="0050262C">
        <w:rPr>
          <w:rFonts w:ascii="CG Times" w:hAnsi="CG Times"/>
          <w:sz w:val="24"/>
          <w:szCs w:val="24"/>
        </w:rPr>
        <w:t>) markets;</w:t>
      </w:r>
      <w:r w:rsidRPr="0050262C">
        <w:rPr>
          <w:rStyle w:val="FootnoteReference"/>
          <w:rFonts w:ascii="CG Times" w:hAnsi="CG Times"/>
          <w:color w:val="000000"/>
          <w:sz w:val="24"/>
          <w:szCs w:val="24"/>
        </w:rPr>
        <w:footnoteReference w:id="41"/>
      </w:r>
      <w:r w:rsidRPr="0050262C">
        <w:rPr>
          <w:rFonts w:ascii="CG Times" w:hAnsi="CG Times"/>
          <w:sz w:val="24"/>
          <w:szCs w:val="24"/>
        </w:rPr>
        <w:t xml:space="preserve"> </w:t>
      </w:r>
    </w:p>
    <w:p w14:paraId="33430039"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t>even</w:t>
      </w:r>
      <w:proofErr w:type="gramEnd"/>
      <w:r w:rsidRPr="0050262C">
        <w:rPr>
          <w:rFonts w:ascii="CG Times" w:hAnsi="CG Times"/>
          <w:sz w:val="24"/>
          <w:szCs w:val="24"/>
        </w:rPr>
        <w:t xml:space="preserve"> in highly concentrated markets, anticompetitive effects are unlikely given certain economic conditions (e.g., big buyers or sellers that would discipline any non-cost-based price increase post-merger);</w:t>
      </w:r>
      <w:r w:rsidRPr="0050262C">
        <w:rPr>
          <w:rStyle w:val="FootnoteReference"/>
          <w:rFonts w:ascii="CG Times" w:hAnsi="CG Times"/>
          <w:color w:val="000000"/>
          <w:sz w:val="24"/>
          <w:szCs w:val="24"/>
        </w:rPr>
        <w:footnoteReference w:id="42"/>
      </w:r>
    </w:p>
    <w:p w14:paraId="2C6C5BA2"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t>anticompetitive</w:t>
      </w:r>
      <w:proofErr w:type="gramEnd"/>
      <w:r w:rsidRPr="0050262C">
        <w:rPr>
          <w:rFonts w:ascii="CG Times" w:hAnsi="CG Times"/>
          <w:sz w:val="24"/>
          <w:szCs w:val="24"/>
        </w:rPr>
        <w:t xml:space="preserve"> effects are unlikely, absent high entry barriers;</w:t>
      </w:r>
      <w:r w:rsidRPr="0050262C">
        <w:rPr>
          <w:rStyle w:val="FootnoteReference"/>
          <w:rFonts w:ascii="CG Times" w:hAnsi="CG Times"/>
          <w:color w:val="000000"/>
          <w:sz w:val="24"/>
          <w:szCs w:val="24"/>
        </w:rPr>
        <w:footnoteReference w:id="43"/>
      </w:r>
      <w:r w:rsidRPr="0050262C">
        <w:rPr>
          <w:rFonts w:ascii="CG Times" w:hAnsi="CG Times"/>
          <w:sz w:val="24"/>
          <w:szCs w:val="24"/>
        </w:rPr>
        <w:t xml:space="preserve"> and </w:t>
      </w:r>
    </w:p>
    <w:p w14:paraId="54040FEC" w14:textId="77777777" w:rsidR="0050262C" w:rsidRPr="0050262C" w:rsidRDefault="0050262C" w:rsidP="002623D1">
      <w:pPr>
        <w:pStyle w:val="ListBullet"/>
        <w:tabs>
          <w:tab w:val="clear" w:pos="850"/>
          <w:tab w:val="left" w:pos="432"/>
          <w:tab w:val="left" w:pos="720"/>
          <w:tab w:val="num" w:pos="1258"/>
        </w:tabs>
        <w:ind w:left="408"/>
        <w:rPr>
          <w:rFonts w:ascii="CG Times" w:hAnsi="CG Times"/>
          <w:sz w:val="24"/>
          <w:szCs w:val="24"/>
        </w:rPr>
      </w:pPr>
      <w:proofErr w:type="gramStart"/>
      <w:r w:rsidRPr="0050262C">
        <w:rPr>
          <w:rFonts w:ascii="CG Times" w:hAnsi="CG Times"/>
          <w:sz w:val="24"/>
          <w:szCs w:val="24"/>
        </w:rPr>
        <w:lastRenderedPageBreak/>
        <w:t>many</w:t>
      </w:r>
      <w:proofErr w:type="gramEnd"/>
      <w:r w:rsidRPr="0050262C">
        <w:rPr>
          <w:rFonts w:ascii="CG Times" w:hAnsi="CG Times"/>
          <w:sz w:val="24"/>
          <w:szCs w:val="24"/>
        </w:rPr>
        <w:t xml:space="preserve"> companies merge to generate significant efficiencies.</w:t>
      </w:r>
      <w:r w:rsidRPr="0050262C">
        <w:rPr>
          <w:rStyle w:val="FootnoteReference"/>
          <w:rFonts w:ascii="CG Times" w:hAnsi="CG Times"/>
          <w:color w:val="000000"/>
          <w:sz w:val="24"/>
          <w:szCs w:val="24"/>
        </w:rPr>
        <w:footnoteReference w:id="44"/>
      </w:r>
    </w:p>
    <w:p w14:paraId="4344CB79" w14:textId="77777777" w:rsidR="00B45752" w:rsidRDefault="00B45752" w:rsidP="00995E3B">
      <w:pPr>
        <w:pStyle w:val="Num-DocParagraph"/>
        <w:tabs>
          <w:tab w:val="left" w:pos="432"/>
          <w:tab w:val="left" w:pos="720"/>
        </w:tabs>
        <w:spacing w:line="360" w:lineRule="auto"/>
        <w:rPr>
          <w:rFonts w:ascii="CG Times" w:hAnsi="CG Times"/>
          <w:sz w:val="24"/>
          <w:szCs w:val="24"/>
        </w:rPr>
      </w:pPr>
      <w:r>
        <w:rPr>
          <w:rFonts w:ascii="CG Times" w:hAnsi="CG Times"/>
          <w:sz w:val="24"/>
          <w:szCs w:val="24"/>
        </w:rPr>
        <w:t xml:space="preserve">These assumptions play several important roles.  First, </w:t>
      </w:r>
      <w:r w:rsidR="00995E3B">
        <w:rPr>
          <w:rFonts w:ascii="CG Times" w:hAnsi="CG Times"/>
          <w:sz w:val="24"/>
          <w:szCs w:val="24"/>
        </w:rPr>
        <w:t xml:space="preserve">these assumptions affect the balancing of false negatives and positives.  </w:t>
      </w:r>
      <w:proofErr w:type="gramStart"/>
      <w:r w:rsidR="00652224">
        <w:rPr>
          <w:rFonts w:ascii="CG Times" w:hAnsi="CG Times"/>
          <w:sz w:val="24"/>
          <w:szCs w:val="24"/>
        </w:rPr>
        <w:t>With respect to false positives, r</w:t>
      </w:r>
      <w:r w:rsidR="00995E3B">
        <w:rPr>
          <w:rFonts w:ascii="CG Times" w:hAnsi="CG Times"/>
          <w:sz w:val="24"/>
          <w:szCs w:val="24"/>
        </w:rPr>
        <w:t xml:space="preserve">ational </w:t>
      </w:r>
      <w:r w:rsidR="00E01B7B">
        <w:rPr>
          <w:rFonts w:ascii="CG Times" w:hAnsi="CG Times"/>
          <w:sz w:val="24"/>
          <w:szCs w:val="24"/>
        </w:rPr>
        <w:t xml:space="preserve">for profit </w:t>
      </w:r>
      <w:r w:rsidR="00995E3B">
        <w:rPr>
          <w:rFonts w:ascii="CG Times" w:hAnsi="CG Times"/>
          <w:sz w:val="24"/>
          <w:szCs w:val="24"/>
        </w:rPr>
        <w:t xml:space="preserve">firms </w:t>
      </w:r>
      <w:r w:rsidR="00E01B7B">
        <w:rPr>
          <w:rFonts w:ascii="CG Times" w:hAnsi="CG Times"/>
          <w:sz w:val="24"/>
          <w:szCs w:val="24"/>
        </w:rPr>
        <w:t xml:space="preserve">presumably </w:t>
      </w:r>
      <w:r w:rsidR="00995E3B">
        <w:rPr>
          <w:rFonts w:ascii="CG Times" w:hAnsi="CG Times"/>
          <w:sz w:val="24"/>
          <w:szCs w:val="24"/>
        </w:rPr>
        <w:t xml:space="preserve">merge </w:t>
      </w:r>
      <w:r w:rsidR="00652224">
        <w:rPr>
          <w:rFonts w:ascii="CG Times" w:hAnsi="CG Times"/>
          <w:sz w:val="24"/>
          <w:szCs w:val="24"/>
        </w:rPr>
        <w:t xml:space="preserve">for efficiencies and/or </w:t>
      </w:r>
      <w:r w:rsidR="00995E3B">
        <w:rPr>
          <w:rFonts w:ascii="CG Times" w:hAnsi="CG Times"/>
          <w:sz w:val="24"/>
          <w:szCs w:val="24"/>
        </w:rPr>
        <w:t>to increase market power.</w:t>
      </w:r>
      <w:proofErr w:type="gramEnd"/>
      <w:r w:rsidR="00995E3B">
        <w:rPr>
          <w:rFonts w:ascii="CG Times" w:hAnsi="CG Times"/>
          <w:sz w:val="24"/>
          <w:szCs w:val="24"/>
        </w:rPr>
        <w:t xml:space="preserve">  If the agency cannot prove the </w:t>
      </w:r>
      <w:r w:rsidR="00652224">
        <w:rPr>
          <w:rFonts w:ascii="CG Times" w:hAnsi="CG Times"/>
          <w:sz w:val="24"/>
          <w:szCs w:val="24"/>
        </w:rPr>
        <w:t>latter</w:t>
      </w:r>
      <w:r w:rsidR="00995E3B">
        <w:rPr>
          <w:rFonts w:ascii="CG Times" w:hAnsi="CG Times"/>
          <w:sz w:val="24"/>
          <w:szCs w:val="24"/>
        </w:rPr>
        <w:t xml:space="preserve">, then the </w:t>
      </w:r>
      <w:r w:rsidR="00E01B7B">
        <w:rPr>
          <w:rFonts w:ascii="CG Times" w:hAnsi="CG Times"/>
          <w:sz w:val="24"/>
          <w:szCs w:val="24"/>
        </w:rPr>
        <w:t>merger</w:t>
      </w:r>
      <w:r w:rsidR="00E01B7B">
        <w:rPr>
          <w:rFonts w:ascii="CG Times" w:hAnsi="CG Times" w:hint="eastAsia"/>
          <w:sz w:val="24"/>
          <w:szCs w:val="24"/>
        </w:rPr>
        <w:t>’</w:t>
      </w:r>
      <w:r w:rsidR="00E01B7B">
        <w:rPr>
          <w:rFonts w:ascii="CG Times" w:hAnsi="CG Times"/>
          <w:sz w:val="24"/>
          <w:szCs w:val="24"/>
        </w:rPr>
        <w:t xml:space="preserve">s </w:t>
      </w:r>
      <w:r w:rsidR="00995E3B">
        <w:rPr>
          <w:rFonts w:ascii="CG Times" w:hAnsi="CG Times"/>
          <w:sz w:val="24"/>
          <w:szCs w:val="24"/>
        </w:rPr>
        <w:t xml:space="preserve">purpose </w:t>
      </w:r>
      <w:r w:rsidR="00E01B7B">
        <w:rPr>
          <w:rFonts w:ascii="CG Times" w:hAnsi="CG Times"/>
          <w:sz w:val="24"/>
          <w:szCs w:val="24"/>
        </w:rPr>
        <w:t xml:space="preserve">is likely the former in </w:t>
      </w:r>
      <w:r w:rsidR="00995E3B">
        <w:rPr>
          <w:rFonts w:ascii="CG Times" w:hAnsi="CG Times"/>
          <w:sz w:val="24"/>
          <w:szCs w:val="24"/>
        </w:rPr>
        <w:t>yield</w:t>
      </w:r>
      <w:r w:rsidR="00E01B7B">
        <w:rPr>
          <w:rFonts w:ascii="CG Times" w:hAnsi="CG Times"/>
          <w:sz w:val="24"/>
          <w:szCs w:val="24"/>
        </w:rPr>
        <w:t>ing</w:t>
      </w:r>
      <w:r w:rsidR="00995E3B">
        <w:rPr>
          <w:rFonts w:ascii="CG Times" w:hAnsi="CG Times"/>
          <w:sz w:val="24"/>
          <w:szCs w:val="24"/>
        </w:rPr>
        <w:t xml:space="preserve"> significant efficiencies.  Thus the </w:t>
      </w:r>
      <w:r w:rsidR="00E01B7B">
        <w:rPr>
          <w:rFonts w:ascii="CG Times" w:hAnsi="CG Times"/>
          <w:sz w:val="24"/>
          <w:szCs w:val="24"/>
        </w:rPr>
        <w:t xml:space="preserve">risk and </w:t>
      </w:r>
      <w:r w:rsidR="00995E3B">
        <w:rPr>
          <w:rFonts w:ascii="CG Times" w:hAnsi="CG Times"/>
          <w:sz w:val="24"/>
          <w:szCs w:val="24"/>
        </w:rPr>
        <w:t xml:space="preserve">cost of false positives increase </w:t>
      </w:r>
      <w:r w:rsidR="00652224">
        <w:rPr>
          <w:rFonts w:ascii="CG Times" w:hAnsi="CG Times"/>
          <w:sz w:val="24"/>
          <w:szCs w:val="24"/>
        </w:rPr>
        <w:t xml:space="preserve">when the agency is less able to conclusively </w:t>
      </w:r>
      <w:r w:rsidR="00E01B7B">
        <w:rPr>
          <w:rFonts w:ascii="CG Times" w:hAnsi="CG Times"/>
          <w:sz w:val="24"/>
          <w:szCs w:val="24"/>
        </w:rPr>
        <w:t xml:space="preserve">prove </w:t>
      </w:r>
      <w:r w:rsidR="00652224">
        <w:rPr>
          <w:rFonts w:ascii="CG Times" w:hAnsi="CG Times"/>
          <w:sz w:val="24"/>
          <w:szCs w:val="24"/>
        </w:rPr>
        <w:t>the merger</w:t>
      </w:r>
      <w:r w:rsidR="00652224">
        <w:rPr>
          <w:rFonts w:ascii="CG Times" w:hAnsi="CG Times" w:hint="eastAsia"/>
          <w:sz w:val="24"/>
          <w:szCs w:val="24"/>
        </w:rPr>
        <w:t>’</w:t>
      </w:r>
      <w:r w:rsidR="00652224">
        <w:rPr>
          <w:rFonts w:ascii="CG Times" w:hAnsi="CG Times"/>
          <w:sz w:val="24"/>
          <w:szCs w:val="24"/>
        </w:rPr>
        <w:t xml:space="preserve">s anticompetitive effects.  The agency </w:t>
      </w:r>
      <w:r w:rsidR="00F74DC3">
        <w:rPr>
          <w:rFonts w:ascii="CG Times" w:hAnsi="CG Times"/>
          <w:sz w:val="24"/>
          <w:szCs w:val="24"/>
        </w:rPr>
        <w:t xml:space="preserve">cannot simply rely on a presumption of anticompetitive harm in highly concentrated industries; instead it must show how that </w:t>
      </w:r>
      <w:r w:rsidR="00F74DC3">
        <w:rPr>
          <w:rFonts w:ascii="CG Times" w:hAnsi="CG Times" w:hint="eastAsia"/>
          <w:sz w:val="24"/>
          <w:szCs w:val="24"/>
        </w:rPr>
        <w:t>particular</w:t>
      </w:r>
      <w:r w:rsidR="00F74DC3">
        <w:rPr>
          <w:rFonts w:ascii="CG Times" w:hAnsi="CG Times"/>
          <w:sz w:val="24"/>
          <w:szCs w:val="24"/>
        </w:rPr>
        <w:t xml:space="preserve"> merger will increase significantly the risk that prices increase post-merger.  Absent this proof, the agency risks </w:t>
      </w:r>
      <w:r w:rsidR="00652224">
        <w:rPr>
          <w:rFonts w:ascii="CG Times" w:hAnsi="CG Times"/>
          <w:sz w:val="24"/>
          <w:szCs w:val="24"/>
        </w:rPr>
        <w:t>prohibit</w:t>
      </w:r>
      <w:r w:rsidR="00F74DC3">
        <w:rPr>
          <w:rFonts w:ascii="CG Times" w:hAnsi="CG Times"/>
          <w:sz w:val="24"/>
          <w:szCs w:val="24"/>
        </w:rPr>
        <w:t>ing</w:t>
      </w:r>
      <w:r w:rsidR="00652224">
        <w:rPr>
          <w:rFonts w:ascii="CG Times" w:hAnsi="CG Times"/>
          <w:sz w:val="24"/>
          <w:szCs w:val="24"/>
        </w:rPr>
        <w:t xml:space="preserve"> mergers that yield significant cost-savings that overall benefit society.  Moreover, the agency</w:t>
      </w:r>
      <w:r w:rsidR="00652224">
        <w:rPr>
          <w:rFonts w:ascii="CG Times" w:hAnsi="CG Times" w:hint="eastAsia"/>
          <w:sz w:val="24"/>
          <w:szCs w:val="24"/>
        </w:rPr>
        <w:t>’</w:t>
      </w:r>
      <w:r w:rsidR="00652224">
        <w:rPr>
          <w:rFonts w:ascii="CG Times" w:hAnsi="CG Times"/>
          <w:sz w:val="24"/>
          <w:szCs w:val="24"/>
        </w:rPr>
        <w:t>s actions may chill other</w:t>
      </w:r>
      <w:r w:rsidR="00F74DC3">
        <w:rPr>
          <w:rFonts w:ascii="CG Times" w:hAnsi="CG Times"/>
          <w:sz w:val="24"/>
          <w:szCs w:val="24"/>
        </w:rPr>
        <w:t xml:space="preserve"> efficiency enhancing mergers.</w:t>
      </w:r>
    </w:p>
    <w:p w14:paraId="4FFB53F1" w14:textId="72EDA544" w:rsidR="00BE0836" w:rsidRPr="00BE0836" w:rsidRDefault="00B45752" w:rsidP="00BE0836">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652224">
        <w:rPr>
          <w:rFonts w:ascii="CG Times" w:hAnsi="CG Times"/>
          <w:sz w:val="24"/>
          <w:szCs w:val="24"/>
        </w:rPr>
        <w:t xml:space="preserve">The assumptions also suggest less concern over false negatives. </w:t>
      </w:r>
      <w:r w:rsidR="00F74DC3">
        <w:rPr>
          <w:rFonts w:ascii="CG Times" w:hAnsi="CG Times"/>
          <w:sz w:val="24"/>
          <w:szCs w:val="24"/>
        </w:rPr>
        <w:t>E</w:t>
      </w:r>
      <w:r w:rsidR="00652224">
        <w:rPr>
          <w:rFonts w:ascii="CG Times" w:hAnsi="CG Times"/>
          <w:sz w:val="24"/>
          <w:szCs w:val="24"/>
        </w:rPr>
        <w:t xml:space="preserve">ven if the merger does not yield efficiencies, it is unlikely to be anticompetitive in most market settings, where entry barriers are low, where many other competitors or powerful buyers or sellers would keep the merging firms in check, or where consumers would discipline the exercise of market power by taking enough of their business elsewhere to make a price increase unprofitable. </w:t>
      </w:r>
    </w:p>
    <w:p w14:paraId="77D0219C" w14:textId="77777777" w:rsidR="00BE0836" w:rsidRPr="0050262C" w:rsidRDefault="00BE0836" w:rsidP="00BE0836">
      <w:pPr>
        <w:pStyle w:val="Heading3"/>
        <w:tabs>
          <w:tab w:val="left" w:pos="432"/>
        </w:tabs>
      </w:pPr>
      <w:r w:rsidRPr="0050262C">
        <w:lastRenderedPageBreak/>
        <w:t>Post-Merger Review</w:t>
      </w:r>
    </w:p>
    <w:p w14:paraId="285D67B0" w14:textId="77777777" w:rsidR="00EE5377" w:rsidRPr="00BE0836" w:rsidRDefault="00BE0836" w:rsidP="00EE5377">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EE5377">
        <w:rPr>
          <w:rFonts w:ascii="CG Times" w:hAnsi="CG Times"/>
          <w:sz w:val="24"/>
          <w:szCs w:val="24"/>
        </w:rPr>
        <w:t>O</w:t>
      </w:r>
      <w:r w:rsidR="00EE5377" w:rsidRPr="00BE0836">
        <w:rPr>
          <w:rFonts w:ascii="CG Times" w:hAnsi="CG Times"/>
          <w:sz w:val="24"/>
          <w:szCs w:val="24"/>
        </w:rPr>
        <w:t xml:space="preserve">ne role </w:t>
      </w:r>
      <w:proofErr w:type="spellStart"/>
      <w:r w:rsidR="00EE5377" w:rsidRPr="00BE0836">
        <w:rPr>
          <w:rFonts w:ascii="CG Times" w:hAnsi="CG Times"/>
          <w:sz w:val="24"/>
          <w:szCs w:val="24"/>
        </w:rPr>
        <w:t>behavioral</w:t>
      </w:r>
      <w:proofErr w:type="spellEnd"/>
      <w:r w:rsidR="00EE5377" w:rsidRPr="00BE0836">
        <w:rPr>
          <w:rFonts w:ascii="CG Times" w:hAnsi="CG Times"/>
          <w:sz w:val="24"/>
          <w:szCs w:val="24"/>
        </w:rPr>
        <w:t xml:space="preserve"> economics under Level II is to prompt the competition agencies to revisit their Guidelines assumptions and explore when actual marketplace </w:t>
      </w:r>
      <w:proofErr w:type="spellStart"/>
      <w:r w:rsidR="00EE5377" w:rsidRPr="00BE0836">
        <w:rPr>
          <w:rFonts w:ascii="CG Times" w:hAnsi="CG Times"/>
          <w:sz w:val="24"/>
          <w:szCs w:val="24"/>
        </w:rPr>
        <w:t>behavior</w:t>
      </w:r>
      <w:proofErr w:type="spellEnd"/>
      <w:r w:rsidR="00EE5377" w:rsidRPr="00BE0836">
        <w:rPr>
          <w:rFonts w:ascii="CG Times" w:hAnsi="CG Times"/>
          <w:sz w:val="24"/>
          <w:szCs w:val="24"/>
        </w:rPr>
        <w:t xml:space="preserve"> deviates from their theories</w:t>
      </w:r>
      <w:r w:rsidR="00EE5377" w:rsidRPr="00BE0836">
        <w:rPr>
          <w:rFonts w:ascii="CG Times" w:hAnsi="CG Times" w:hint="eastAsia"/>
          <w:sz w:val="24"/>
          <w:szCs w:val="24"/>
        </w:rPr>
        <w:t>’</w:t>
      </w:r>
      <w:r w:rsidR="00EE5377" w:rsidRPr="00BE0836">
        <w:rPr>
          <w:rFonts w:ascii="CG Times" w:hAnsi="CG Times"/>
          <w:sz w:val="24"/>
          <w:szCs w:val="24"/>
        </w:rPr>
        <w:t xml:space="preserve"> predicted </w:t>
      </w:r>
      <w:proofErr w:type="spellStart"/>
      <w:r w:rsidR="00EE5377" w:rsidRPr="00BE0836">
        <w:rPr>
          <w:rFonts w:ascii="CG Times" w:hAnsi="CG Times"/>
          <w:sz w:val="24"/>
          <w:szCs w:val="24"/>
        </w:rPr>
        <w:t>behavior</w:t>
      </w:r>
      <w:proofErr w:type="spellEnd"/>
      <w:r w:rsidR="00EE5377" w:rsidRPr="00BE0836">
        <w:rPr>
          <w:rFonts w:ascii="CG Times" w:hAnsi="CG Times"/>
          <w:sz w:val="24"/>
          <w:szCs w:val="24"/>
        </w:rPr>
        <w:t>.  Competition agencies are often evaluated on how quickly they assess mergers, the predictability of their review, and the cost imposed on the firms (and agencies).  Rarely are the agencies assessed on how often they accurately predict the mergers</w:t>
      </w:r>
      <w:r w:rsidR="00EE5377" w:rsidRPr="00BE0836">
        <w:rPr>
          <w:rFonts w:ascii="CG Times" w:hAnsi="CG Times" w:hint="eastAsia"/>
          <w:sz w:val="24"/>
          <w:szCs w:val="24"/>
        </w:rPr>
        <w:t>’</w:t>
      </w:r>
      <w:r w:rsidR="00EE5377" w:rsidRPr="00BE0836">
        <w:rPr>
          <w:rFonts w:ascii="CG Times" w:hAnsi="CG Times"/>
          <w:sz w:val="24"/>
          <w:szCs w:val="24"/>
        </w:rPr>
        <w:t xml:space="preserve"> likely competitive effects.  The U.S. agencies need not predict perfectly.  The Clayton Act tilts the balance toward enjoining mergers.  Congress did not require the agency to prove how the merger will lessen competition.  Instead, Congress intended the agencies to arrest trends toward concentration in their incipiency.  Thus, built into the law is some tolerance of false positives, namely that some mergers may ultimately not lessen competition but are enjoined to prevent further concentration.  Although the incipiency standard remains the law, and although the agencies and courts cite it, one trend over the past thirty years is for the agencies and courts to increasingly focus on how the merging firms may unilaterally raise price post-merger. The agencies and courts largely permitted mergers in industries moderately and less concentrated, or highly concentrated industries with low entry barriers, or highly concentrated industries for which they could not prove coordinated or unilateral anticompetitive effects.   </w:t>
      </w:r>
    </w:p>
    <w:p w14:paraId="44DA962C" w14:textId="77777777" w:rsidR="00EE5377" w:rsidRDefault="00EE5377" w:rsidP="00EE5377">
      <w:pPr>
        <w:pStyle w:val="Num-DocParagraph"/>
        <w:tabs>
          <w:tab w:val="left" w:pos="432"/>
          <w:tab w:val="left" w:pos="720"/>
        </w:tabs>
        <w:spacing w:line="360" w:lineRule="auto"/>
        <w:rPr>
          <w:rFonts w:ascii="CG Times" w:hAnsi="CG Times"/>
          <w:sz w:val="24"/>
          <w:szCs w:val="24"/>
        </w:rPr>
      </w:pPr>
      <w:r w:rsidRPr="00BE0836">
        <w:rPr>
          <w:rFonts w:ascii="CG Times" w:hAnsi="CG Times"/>
          <w:sz w:val="24"/>
          <w:szCs w:val="24"/>
        </w:rPr>
        <w:tab/>
        <w:t>As Level I shows, economic reality may not always square with economic theory.  Thus if certain markets are currently not behaving as economic theory suggests, then one cannot assume that economic theory will reliably predict future behaviour.  Unknown today is how often the agencies</w:t>
      </w:r>
      <w:r w:rsidRPr="00BE0836">
        <w:rPr>
          <w:rFonts w:ascii="CG Times" w:hAnsi="CG Times" w:hint="eastAsia"/>
          <w:sz w:val="24"/>
          <w:szCs w:val="24"/>
        </w:rPr>
        <w:t>’</w:t>
      </w:r>
      <w:r w:rsidRPr="00BE0836">
        <w:rPr>
          <w:rFonts w:ascii="CG Times" w:hAnsi="CG Times"/>
          <w:sz w:val="24"/>
          <w:szCs w:val="24"/>
        </w:rPr>
        <w:t xml:space="preserve"> economic assumptions accurately work or fail in predicting mergers</w:t>
      </w:r>
      <w:r w:rsidRPr="00BE0836">
        <w:rPr>
          <w:rFonts w:ascii="CG Times" w:hAnsi="CG Times" w:hint="eastAsia"/>
          <w:sz w:val="24"/>
          <w:szCs w:val="24"/>
        </w:rPr>
        <w:t>’</w:t>
      </w:r>
      <w:r w:rsidRPr="00BE0836">
        <w:rPr>
          <w:rFonts w:ascii="CG Times" w:hAnsi="CG Times"/>
          <w:sz w:val="24"/>
          <w:szCs w:val="24"/>
        </w:rPr>
        <w:t xml:space="preserve"> likely competitive effects.  Many mergers that are subject to post </w:t>
      </w:r>
      <w:r w:rsidRPr="00BE0836">
        <w:rPr>
          <w:rFonts w:ascii="CG Times" w:hAnsi="CG Times"/>
          <w:sz w:val="24"/>
          <w:szCs w:val="24"/>
        </w:rPr>
        <w:lastRenderedPageBreak/>
        <w:t>merger review do not turn out as theory predicted. Since the agencies do not regularly revisit mergers to assess whether they predicted accurately, the agencies</w:t>
      </w:r>
      <w:r w:rsidRPr="00BE0836">
        <w:rPr>
          <w:rFonts w:ascii="CG Times" w:hAnsi="CG Times" w:hint="eastAsia"/>
          <w:sz w:val="24"/>
          <w:szCs w:val="24"/>
        </w:rPr>
        <w:t>’</w:t>
      </w:r>
      <w:r w:rsidRPr="00BE0836">
        <w:rPr>
          <w:rFonts w:ascii="CG Times" w:hAnsi="CG Times"/>
          <w:sz w:val="24"/>
          <w:szCs w:val="24"/>
        </w:rPr>
        <w:t xml:space="preserve"> </w:t>
      </w:r>
      <w:proofErr w:type="gramStart"/>
      <w:r w:rsidRPr="00BE0836">
        <w:rPr>
          <w:rFonts w:ascii="CG Times" w:hAnsi="CG Times"/>
          <w:sz w:val="24"/>
          <w:szCs w:val="24"/>
        </w:rPr>
        <w:t>score card</w:t>
      </w:r>
      <w:proofErr w:type="gramEnd"/>
      <w:r w:rsidRPr="00BE0836">
        <w:rPr>
          <w:rFonts w:ascii="CG Times" w:hAnsi="CG Times"/>
          <w:sz w:val="24"/>
          <w:szCs w:val="24"/>
        </w:rPr>
        <w:t xml:space="preserve"> is left with a gaping hole. </w:t>
      </w:r>
    </w:p>
    <w:p w14:paraId="06A64E71" w14:textId="2C6939F5" w:rsidR="00BE0836" w:rsidRPr="0050262C" w:rsidRDefault="00EE5377" w:rsidP="00EE5377">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BE0836" w:rsidRPr="0050262C">
        <w:rPr>
          <w:rFonts w:ascii="CG Times" w:hAnsi="CG Times"/>
          <w:sz w:val="24"/>
          <w:szCs w:val="24"/>
        </w:rPr>
        <w:t>Competition agencies can institute specific mechanisms to test empirically the key assumptions underlying their merger policies. First, the agencies should consider routinely reviewing any extensively investigated merger where the agency: (</w:t>
      </w:r>
      <w:proofErr w:type="spellStart"/>
      <w:r w:rsidR="00BE0836" w:rsidRPr="0050262C">
        <w:rPr>
          <w:rFonts w:ascii="CG Times" w:hAnsi="CG Times"/>
          <w:sz w:val="24"/>
          <w:szCs w:val="24"/>
        </w:rPr>
        <w:t>i</w:t>
      </w:r>
      <w:proofErr w:type="spellEnd"/>
      <w:r w:rsidR="00BE0836" w:rsidRPr="0050262C">
        <w:rPr>
          <w:rFonts w:ascii="CG Times" w:hAnsi="CG Times"/>
          <w:sz w:val="24"/>
          <w:szCs w:val="24"/>
        </w:rPr>
        <w:t>) took no enforcement action; (ii) permitted the merger in part to be consummated pursuant to a settlement; or (iii) legally challenged the merger, but lost.</w:t>
      </w:r>
      <w:r w:rsidR="00BE0836" w:rsidRPr="0050262C">
        <w:rPr>
          <w:rStyle w:val="FootnoteReference"/>
          <w:rFonts w:ascii="CG Times" w:hAnsi="CG Times"/>
          <w:sz w:val="24"/>
          <w:szCs w:val="24"/>
        </w:rPr>
        <w:footnoteReference w:id="45"/>
      </w:r>
      <w:r w:rsidR="00BE0836" w:rsidRPr="0050262C">
        <w:rPr>
          <w:rFonts w:ascii="CG Times" w:hAnsi="CG Times"/>
          <w:sz w:val="24"/>
          <w:szCs w:val="24"/>
        </w:rPr>
        <w:t xml:space="preserve"> </w:t>
      </w:r>
    </w:p>
    <w:p w14:paraId="351C06C4" w14:textId="77777777" w:rsidR="00BE0836" w:rsidRPr="0050262C" w:rsidRDefault="00BE0836" w:rsidP="00BE0836">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Pr="0050262C">
        <w:rPr>
          <w:rFonts w:ascii="CG Times" w:hAnsi="CG Times"/>
          <w:sz w:val="24"/>
          <w:szCs w:val="24"/>
        </w:rPr>
        <w:t>The agency’s aim is to test its predictions when it originally reviewed the merger. The agency’s predictions and assumptions are often discussed in the agency’s internal closing memoranda. When ending a merger investigation, the agency typically discusses why the merger was unlikely to substantially lessen competition. The closing memorandum consequently offers testable predictions (such as whether an entrant or big buyer would defeat the exercise of market power or consumers would shift to another product or geographic area) for the subsequent post-merger review. The agency, two to five years after the merger was consummated, should examine the state of competition in that industry, including pricing levels and non-price components such as innovation, productivity, services, and quality, to the extent observable.</w:t>
      </w:r>
    </w:p>
    <w:p w14:paraId="0F3C4C25" w14:textId="77777777" w:rsidR="00BE0836" w:rsidRPr="0050262C" w:rsidRDefault="00BE0836" w:rsidP="00BE0836">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Pr="0050262C">
        <w:rPr>
          <w:rFonts w:ascii="CG Times" w:hAnsi="CG Times"/>
          <w:sz w:val="24"/>
          <w:szCs w:val="24"/>
        </w:rPr>
        <w:t xml:space="preserve">Merger retrospectives can be expensive.  One issue confronting the competition agency is how it can maximize the usefulness of this exercise while keeping costs down and not tying up enforcement resources for other </w:t>
      </w:r>
      <w:r w:rsidRPr="0050262C">
        <w:rPr>
          <w:rFonts w:ascii="CG Times" w:hAnsi="CG Times"/>
          <w:sz w:val="24"/>
          <w:szCs w:val="24"/>
        </w:rPr>
        <w:lastRenderedPageBreak/>
        <w:t xml:space="preserve">purposes.  To mitigate the burden on the agency and market participants, the agency can develop a two-stage post-merger review. In the first stage, the agency staff would do a quick-look review of post-merger competition in that industry. The staff would interview a small but representative sample of industry participants (for example, in a merger involving household consumer products, the staff would interview buyers from food, drug, and mass merchandiser retailers) about the competition and request from the merged entity a limited quantity of data, including price data. If the quick-look review suggests that competition significantly diminished, the agency would undertake an in-depth review and </w:t>
      </w:r>
      <w:proofErr w:type="spellStart"/>
      <w:r w:rsidRPr="0050262C">
        <w:rPr>
          <w:rFonts w:ascii="CG Times" w:hAnsi="CG Times"/>
          <w:sz w:val="24"/>
          <w:szCs w:val="24"/>
        </w:rPr>
        <w:t>analyze</w:t>
      </w:r>
      <w:proofErr w:type="spellEnd"/>
      <w:r w:rsidRPr="0050262C">
        <w:rPr>
          <w:rFonts w:ascii="CG Times" w:hAnsi="CG Times"/>
          <w:sz w:val="24"/>
          <w:szCs w:val="24"/>
        </w:rPr>
        <w:t xml:space="preserve"> its predictions. The agency would report whether other factors, besides the merger, might explain the increase in prices or reduction in innovation, productivity, services, and quality. For companies identified as potential entrants in the original merger review, the reviewing agency would </w:t>
      </w:r>
      <w:proofErr w:type="spellStart"/>
      <w:r w:rsidRPr="0050262C">
        <w:rPr>
          <w:rFonts w:ascii="CG Times" w:hAnsi="CG Times"/>
          <w:sz w:val="24"/>
          <w:szCs w:val="24"/>
        </w:rPr>
        <w:t>analyze</w:t>
      </w:r>
      <w:proofErr w:type="spellEnd"/>
      <w:r w:rsidRPr="0050262C">
        <w:rPr>
          <w:rFonts w:ascii="CG Times" w:hAnsi="CG Times"/>
          <w:sz w:val="24"/>
          <w:szCs w:val="24"/>
        </w:rPr>
        <w:t xml:space="preserve">, based on its interviews with these identified entrants, why they chose not to enter, or if they did enter, why they were ineffectual. </w:t>
      </w:r>
    </w:p>
    <w:p w14:paraId="1741F119" w14:textId="77777777" w:rsidR="00BE0836" w:rsidRPr="0050262C" w:rsidRDefault="00BE0836" w:rsidP="00BE0836">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Pr="0050262C">
        <w:rPr>
          <w:rFonts w:ascii="CG Times" w:hAnsi="CG Times"/>
          <w:sz w:val="24"/>
          <w:szCs w:val="24"/>
        </w:rPr>
        <w:t xml:space="preserve">The reviewing agency would describe which, if any, of the merging parties’ efficiencies it could verify post-merger, the magnitude of the efficiencies, and the extent consumers directly benefited from such efficiencies. The agency can require that any publicly held company that relies on an efficiency </w:t>
      </w:r>
      <w:proofErr w:type="spellStart"/>
      <w:r w:rsidRPr="0050262C">
        <w:rPr>
          <w:rFonts w:ascii="CG Times" w:hAnsi="CG Times"/>
          <w:sz w:val="24"/>
          <w:szCs w:val="24"/>
        </w:rPr>
        <w:t>defense</w:t>
      </w:r>
      <w:proofErr w:type="spellEnd"/>
      <w:r w:rsidRPr="0050262C">
        <w:rPr>
          <w:rFonts w:ascii="CG Times" w:hAnsi="CG Times"/>
          <w:sz w:val="24"/>
          <w:szCs w:val="24"/>
        </w:rPr>
        <w:t xml:space="preserve"> to report publicly its claimed efficiencies in its public securities filings. If such disclosure would divulge a trade secret or other confidential commercially sensitive information, then the antitrust agency may excuse the public disclosure of such information. For each year post-merger that the merging parties claim the efficiencies will be realized, the company should report the actual amount of efficiencies realized versus the projected amount. This should temper the company executives from inflating the claimed efficiencies and hold them accountable to the </w:t>
      </w:r>
      <w:r w:rsidRPr="0050262C">
        <w:rPr>
          <w:rFonts w:ascii="CG Times" w:hAnsi="CG Times"/>
          <w:sz w:val="24"/>
          <w:szCs w:val="24"/>
        </w:rPr>
        <w:lastRenderedPageBreak/>
        <w:t>shareholders for pursuing a growth-by-acquisition strategy, while informing the agencies on those efficiencies for particular industries that are more likely to be cognizable and substantial.</w:t>
      </w:r>
    </w:p>
    <w:p w14:paraId="108D4866" w14:textId="16AC90B3" w:rsidR="00652224" w:rsidRDefault="00593F00" w:rsidP="00995E3B">
      <w:pPr>
        <w:pStyle w:val="Num-DocParagraph"/>
        <w:tabs>
          <w:tab w:val="left" w:pos="432"/>
          <w:tab w:val="left" w:pos="720"/>
        </w:tabs>
        <w:spacing w:line="360" w:lineRule="auto"/>
        <w:rPr>
          <w:rFonts w:ascii="CG Times" w:hAnsi="CG Times"/>
          <w:sz w:val="24"/>
          <w:szCs w:val="24"/>
        </w:rPr>
      </w:pPr>
      <w:r>
        <w:rPr>
          <w:rFonts w:ascii="CG Times" w:hAnsi="CG Times"/>
          <w:sz w:val="24"/>
          <w:szCs w:val="24"/>
        </w:rPr>
        <w:t xml:space="preserve"> </w:t>
      </w:r>
      <w:r w:rsidR="00BE0836">
        <w:rPr>
          <w:rFonts w:ascii="CG Times" w:hAnsi="CG Times"/>
          <w:sz w:val="24"/>
          <w:szCs w:val="24"/>
        </w:rPr>
        <w:tab/>
      </w:r>
      <w:r w:rsidR="001607AF">
        <w:rPr>
          <w:rFonts w:ascii="CG Times" w:hAnsi="CG Times"/>
          <w:sz w:val="24"/>
          <w:szCs w:val="24"/>
        </w:rPr>
        <w:t xml:space="preserve">Given </w:t>
      </w:r>
      <w:r>
        <w:rPr>
          <w:rFonts w:ascii="CG Times" w:hAnsi="CG Times"/>
          <w:sz w:val="24"/>
          <w:szCs w:val="24"/>
        </w:rPr>
        <w:t xml:space="preserve">the </w:t>
      </w:r>
      <w:r w:rsidR="001607AF">
        <w:rPr>
          <w:rFonts w:ascii="CG Times" w:hAnsi="CG Times"/>
          <w:sz w:val="24"/>
          <w:szCs w:val="24"/>
        </w:rPr>
        <w:t xml:space="preserve">costs, time, and </w:t>
      </w:r>
      <w:r w:rsidR="001607AF">
        <w:rPr>
          <w:rFonts w:ascii="CG Times" w:hAnsi="CG Times" w:hint="eastAsia"/>
          <w:sz w:val="24"/>
          <w:szCs w:val="24"/>
        </w:rPr>
        <w:t>manpower</w:t>
      </w:r>
      <w:r w:rsidR="001607AF">
        <w:rPr>
          <w:rFonts w:ascii="CG Times" w:hAnsi="CG Times"/>
          <w:sz w:val="24"/>
          <w:szCs w:val="24"/>
        </w:rPr>
        <w:t xml:space="preserve"> </w:t>
      </w:r>
      <w:r>
        <w:rPr>
          <w:rFonts w:ascii="CG Times" w:hAnsi="CG Times"/>
          <w:sz w:val="24"/>
          <w:szCs w:val="24"/>
        </w:rPr>
        <w:t>requirements</w:t>
      </w:r>
      <w:r w:rsidR="001607AF">
        <w:rPr>
          <w:rFonts w:ascii="CG Times" w:hAnsi="CG Times"/>
          <w:sz w:val="24"/>
          <w:szCs w:val="24"/>
        </w:rPr>
        <w:t>, the federal competition agencies cannot review every merger</w:t>
      </w:r>
      <w:r>
        <w:rPr>
          <w:rFonts w:ascii="CG Times" w:hAnsi="CG Times"/>
          <w:sz w:val="24"/>
          <w:szCs w:val="24"/>
        </w:rPr>
        <w:t>;</w:t>
      </w:r>
      <w:r w:rsidR="00683022">
        <w:rPr>
          <w:rFonts w:ascii="CG Times" w:hAnsi="CG Times"/>
          <w:sz w:val="24"/>
          <w:szCs w:val="24"/>
        </w:rPr>
        <w:t xml:space="preserve"> nor </w:t>
      </w:r>
      <w:r>
        <w:rPr>
          <w:rFonts w:ascii="CG Times" w:hAnsi="CG Times"/>
          <w:sz w:val="24"/>
          <w:szCs w:val="24"/>
        </w:rPr>
        <w:t xml:space="preserve">can they </w:t>
      </w:r>
      <w:r w:rsidR="00683022">
        <w:rPr>
          <w:rFonts w:ascii="CG Times" w:hAnsi="CG Times"/>
          <w:sz w:val="24"/>
          <w:szCs w:val="24"/>
        </w:rPr>
        <w:t>assess the competitive effects of every merger that went unchallenged</w:t>
      </w:r>
      <w:r w:rsidR="001607AF">
        <w:rPr>
          <w:rFonts w:ascii="CG Times" w:hAnsi="CG Times"/>
          <w:sz w:val="24"/>
          <w:szCs w:val="24"/>
        </w:rPr>
        <w:t xml:space="preserve">.  </w:t>
      </w:r>
      <w:r w:rsidR="00683022">
        <w:rPr>
          <w:rFonts w:ascii="CG Times" w:hAnsi="CG Times"/>
          <w:sz w:val="24"/>
          <w:szCs w:val="24"/>
        </w:rPr>
        <w:t xml:space="preserve">But </w:t>
      </w:r>
      <w:proofErr w:type="spellStart"/>
      <w:r w:rsidR="00683022">
        <w:rPr>
          <w:rFonts w:ascii="CG Times" w:hAnsi="CG Times"/>
          <w:sz w:val="24"/>
          <w:szCs w:val="24"/>
        </w:rPr>
        <w:t>behavioral</w:t>
      </w:r>
      <w:proofErr w:type="spellEnd"/>
      <w:r w:rsidR="00683022">
        <w:rPr>
          <w:rFonts w:ascii="CG Times" w:hAnsi="CG Times"/>
          <w:sz w:val="24"/>
          <w:szCs w:val="24"/>
        </w:rPr>
        <w:t xml:space="preserve"> economics under Level II can </w:t>
      </w:r>
      <w:r w:rsidR="009971D7">
        <w:rPr>
          <w:rFonts w:ascii="CG Times" w:hAnsi="CG Times"/>
          <w:sz w:val="24"/>
          <w:szCs w:val="24"/>
        </w:rPr>
        <w:t xml:space="preserve">increase accountability. Although the </w:t>
      </w:r>
      <w:r w:rsidR="009971D7">
        <w:rPr>
          <w:rFonts w:ascii="CG Times" w:hAnsi="CG Times" w:hint="eastAsia"/>
          <w:sz w:val="24"/>
          <w:szCs w:val="24"/>
        </w:rPr>
        <w:t>behavioural</w:t>
      </w:r>
      <w:r w:rsidR="009971D7">
        <w:rPr>
          <w:rFonts w:ascii="CG Times" w:hAnsi="CG Times"/>
          <w:sz w:val="24"/>
          <w:szCs w:val="24"/>
        </w:rPr>
        <w:t xml:space="preserve"> </w:t>
      </w:r>
      <w:r w:rsidR="009971D7">
        <w:rPr>
          <w:rFonts w:ascii="CG Times" w:hAnsi="CG Times" w:hint="eastAsia"/>
          <w:sz w:val="24"/>
          <w:szCs w:val="24"/>
        </w:rPr>
        <w:t>literature</w:t>
      </w:r>
      <w:r w:rsidR="009971D7">
        <w:rPr>
          <w:rFonts w:ascii="CG Times" w:hAnsi="CG Times"/>
          <w:sz w:val="24"/>
          <w:szCs w:val="24"/>
        </w:rPr>
        <w:t xml:space="preserve"> on firms is less developed than on consumers, the emerging </w:t>
      </w:r>
      <w:r w:rsidR="009971D7">
        <w:rPr>
          <w:rFonts w:ascii="CG Times" w:hAnsi="CG Times" w:hint="eastAsia"/>
          <w:sz w:val="24"/>
          <w:szCs w:val="24"/>
        </w:rPr>
        <w:t>behavioural</w:t>
      </w:r>
      <w:r w:rsidR="009971D7">
        <w:rPr>
          <w:rFonts w:ascii="CG Times" w:hAnsi="CG Times"/>
          <w:sz w:val="24"/>
          <w:szCs w:val="24"/>
        </w:rPr>
        <w:t xml:space="preserve"> finance literature on mergers and the extent to which they yield significant efficiencies and benefit shareholders can inform the risk and costs of false positives.  The </w:t>
      </w:r>
      <w:r w:rsidR="009971D7">
        <w:rPr>
          <w:rFonts w:ascii="CG Times" w:hAnsi="CG Times" w:hint="eastAsia"/>
          <w:sz w:val="24"/>
          <w:szCs w:val="24"/>
        </w:rPr>
        <w:t>behavioural</w:t>
      </w:r>
      <w:r w:rsidR="009971D7">
        <w:rPr>
          <w:rFonts w:ascii="CG Times" w:hAnsi="CG Times"/>
          <w:sz w:val="24"/>
          <w:szCs w:val="24"/>
        </w:rPr>
        <w:t xml:space="preserve"> literature can also prompt more ex post merger review.  Given the selection bias and limited number of post-merger reviews, one cannot conclude from the current empirical literature that the agencies often predict correctly. </w:t>
      </w:r>
    </w:p>
    <w:p w14:paraId="4BAC7B98" w14:textId="6B07EF3C" w:rsidR="00BE0836" w:rsidRPr="00BE0836" w:rsidRDefault="00EE5377" w:rsidP="00BE0836">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BE0836" w:rsidRPr="00BE0836">
        <w:rPr>
          <w:rFonts w:ascii="CG Times" w:hAnsi="CG Times"/>
          <w:sz w:val="24"/>
          <w:szCs w:val="24"/>
        </w:rPr>
        <w:t>After critically reassessing the assumptions underlying their merger policies, the competition authority likely will want to assess their neoclassical economic theories</w:t>
      </w:r>
      <w:r w:rsidR="00BE0836" w:rsidRPr="00BE0836">
        <w:rPr>
          <w:rFonts w:ascii="CG Times" w:hAnsi="CG Times" w:hint="eastAsia"/>
          <w:sz w:val="24"/>
          <w:szCs w:val="24"/>
        </w:rPr>
        <w:t>’</w:t>
      </w:r>
      <w:r w:rsidR="00BE0836" w:rsidRPr="00BE0836">
        <w:rPr>
          <w:rFonts w:ascii="CG Times" w:hAnsi="CG Times"/>
          <w:sz w:val="24"/>
          <w:szCs w:val="24"/>
        </w:rPr>
        <w:t xml:space="preserve"> predictive strengths and shortcomings. The </w:t>
      </w:r>
      <w:proofErr w:type="spellStart"/>
      <w:r w:rsidR="00BE0836" w:rsidRPr="00BE0836">
        <w:rPr>
          <w:rFonts w:ascii="CG Times" w:hAnsi="CG Times"/>
          <w:sz w:val="24"/>
          <w:szCs w:val="24"/>
        </w:rPr>
        <w:t>behavioral</w:t>
      </w:r>
      <w:proofErr w:type="spellEnd"/>
      <w:r w:rsidR="00BE0836" w:rsidRPr="00BE0836">
        <w:rPr>
          <w:rFonts w:ascii="CG Times" w:hAnsi="CG Times"/>
          <w:sz w:val="24"/>
          <w:szCs w:val="24"/>
        </w:rPr>
        <w:t xml:space="preserve"> economics can help inform the agency</w:t>
      </w:r>
      <w:r w:rsidR="00BE0836" w:rsidRPr="00BE0836">
        <w:rPr>
          <w:rFonts w:ascii="CG Times" w:hAnsi="CG Times" w:hint="eastAsia"/>
          <w:sz w:val="24"/>
          <w:szCs w:val="24"/>
        </w:rPr>
        <w:t>’</w:t>
      </w:r>
      <w:r w:rsidR="00BE0836" w:rsidRPr="00BE0836">
        <w:rPr>
          <w:rFonts w:ascii="CG Times" w:hAnsi="CG Times"/>
          <w:sz w:val="24"/>
          <w:szCs w:val="24"/>
        </w:rPr>
        <w:t xml:space="preserve">s empirical research agenda. Whatever its label, </w:t>
      </w:r>
      <w:proofErr w:type="spellStart"/>
      <w:r w:rsidR="00BE0836" w:rsidRPr="00BE0836">
        <w:rPr>
          <w:rFonts w:ascii="CG Times" w:hAnsi="CG Times"/>
          <w:sz w:val="24"/>
          <w:szCs w:val="24"/>
        </w:rPr>
        <w:t>behavioral</w:t>
      </w:r>
      <w:proofErr w:type="spellEnd"/>
      <w:r w:rsidR="00BE0836" w:rsidRPr="00BE0836">
        <w:rPr>
          <w:rFonts w:ascii="CG Times" w:hAnsi="CG Times"/>
          <w:sz w:val="24"/>
          <w:szCs w:val="24"/>
        </w:rPr>
        <w:t xml:space="preserve"> economics is essentially empirical. The literature first identifies assumptions underlying prevailing economic theories; second, empirically tests these assumptions and considers alternative explanations; and third, uses the anomalies to create new theories that are further empirically tested. </w:t>
      </w:r>
    </w:p>
    <w:p w14:paraId="2A71C563" w14:textId="5979C12C" w:rsidR="00EE5377" w:rsidRDefault="00EE5377" w:rsidP="00EE5377">
      <w:pPr>
        <w:pStyle w:val="Heading3"/>
      </w:pPr>
      <w:r>
        <w:t>Informing Merger Review</w:t>
      </w:r>
    </w:p>
    <w:p w14:paraId="340B2476" w14:textId="764BEF81" w:rsidR="0050262C" w:rsidRPr="0050262C" w:rsidRDefault="00652224" w:rsidP="00995E3B">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proofErr w:type="gramStart"/>
      <w:r w:rsidR="009971D7">
        <w:rPr>
          <w:rFonts w:ascii="CG Times" w:hAnsi="CG Times"/>
          <w:sz w:val="24"/>
          <w:szCs w:val="24"/>
        </w:rPr>
        <w:t>Beside</w:t>
      </w:r>
      <w:proofErr w:type="gramEnd"/>
      <w:r w:rsidR="009971D7">
        <w:rPr>
          <w:rFonts w:ascii="CG Times" w:hAnsi="CG Times"/>
          <w:sz w:val="24"/>
          <w:szCs w:val="24"/>
        </w:rPr>
        <w:t xml:space="preserve"> inducing the agencies to do what many have suggested them doing, namely more post-merger reviews, </w:t>
      </w:r>
      <w:r w:rsidR="009971D7">
        <w:rPr>
          <w:rFonts w:ascii="CG Times" w:hAnsi="CG Times" w:hint="eastAsia"/>
          <w:sz w:val="24"/>
          <w:szCs w:val="24"/>
        </w:rPr>
        <w:t>behavioural</w:t>
      </w:r>
      <w:r w:rsidR="009971D7">
        <w:rPr>
          <w:rFonts w:ascii="CG Times" w:hAnsi="CG Times"/>
          <w:sz w:val="24"/>
          <w:szCs w:val="24"/>
        </w:rPr>
        <w:t xml:space="preserve"> economics can assist the </w:t>
      </w:r>
      <w:r w:rsidR="00EE5377">
        <w:rPr>
          <w:rFonts w:ascii="CG Times" w:hAnsi="CG Times"/>
          <w:sz w:val="24"/>
          <w:szCs w:val="24"/>
        </w:rPr>
        <w:t xml:space="preserve">courts </w:t>
      </w:r>
      <w:r w:rsidR="009971D7">
        <w:rPr>
          <w:rFonts w:ascii="CG Times" w:hAnsi="CG Times"/>
          <w:sz w:val="24"/>
          <w:szCs w:val="24"/>
        </w:rPr>
        <w:t xml:space="preserve">and agencies during the merger review. </w:t>
      </w:r>
      <w:r w:rsidR="0050262C" w:rsidRPr="0050262C">
        <w:rPr>
          <w:rFonts w:ascii="CG Times" w:hAnsi="CG Times"/>
          <w:sz w:val="24"/>
          <w:szCs w:val="24"/>
        </w:rPr>
        <w:t xml:space="preserve">To illustrate, </w:t>
      </w:r>
      <w:r w:rsidR="009971D7">
        <w:rPr>
          <w:rFonts w:ascii="CG Times" w:hAnsi="CG Times"/>
          <w:sz w:val="24"/>
          <w:szCs w:val="24"/>
        </w:rPr>
        <w:t xml:space="preserve">let us </w:t>
      </w:r>
      <w:r w:rsidR="009971D7">
        <w:rPr>
          <w:rFonts w:ascii="CG Times" w:hAnsi="CG Times"/>
          <w:sz w:val="24"/>
          <w:szCs w:val="24"/>
        </w:rPr>
        <w:lastRenderedPageBreak/>
        <w:t>examine market definition, which is often outcome determinative.</w:t>
      </w:r>
      <w:r w:rsidR="0050262C" w:rsidRPr="0050262C">
        <w:rPr>
          <w:rFonts w:ascii="CG Times" w:hAnsi="CG Times"/>
          <w:sz w:val="24"/>
          <w:szCs w:val="24"/>
        </w:rPr>
        <w:t xml:space="preserve"> </w:t>
      </w:r>
      <w:r w:rsidR="009971D7">
        <w:rPr>
          <w:rFonts w:ascii="CG Times" w:hAnsi="CG Times"/>
          <w:sz w:val="24"/>
          <w:szCs w:val="24"/>
        </w:rPr>
        <w:t xml:space="preserve"> </w:t>
      </w:r>
      <w:r w:rsidR="00E671AE">
        <w:rPr>
          <w:rFonts w:ascii="CG Times" w:hAnsi="CG Times"/>
          <w:sz w:val="24"/>
          <w:szCs w:val="24"/>
        </w:rPr>
        <w:t xml:space="preserve">The broader </w:t>
      </w:r>
      <w:r w:rsidR="009971D7">
        <w:rPr>
          <w:rFonts w:ascii="CG Times" w:hAnsi="CG Times"/>
          <w:sz w:val="24"/>
          <w:szCs w:val="24"/>
        </w:rPr>
        <w:t xml:space="preserve">the </w:t>
      </w:r>
      <w:r w:rsidR="00E671AE">
        <w:rPr>
          <w:rFonts w:ascii="CG Times" w:hAnsi="CG Times"/>
          <w:sz w:val="24"/>
          <w:szCs w:val="24"/>
        </w:rPr>
        <w:t xml:space="preserve">product or geographic </w:t>
      </w:r>
      <w:r w:rsidR="009971D7">
        <w:rPr>
          <w:rFonts w:ascii="CG Times" w:hAnsi="CG Times"/>
          <w:sz w:val="24"/>
          <w:szCs w:val="24"/>
        </w:rPr>
        <w:t>market</w:t>
      </w:r>
      <w:r w:rsidR="00E671AE">
        <w:rPr>
          <w:rFonts w:ascii="CG Times" w:hAnsi="CG Times"/>
          <w:sz w:val="24"/>
          <w:szCs w:val="24"/>
        </w:rPr>
        <w:t>s</w:t>
      </w:r>
      <w:r w:rsidR="009971D7">
        <w:rPr>
          <w:rFonts w:ascii="CG Times" w:hAnsi="CG Times"/>
          <w:sz w:val="24"/>
          <w:szCs w:val="24"/>
        </w:rPr>
        <w:t xml:space="preserve"> </w:t>
      </w:r>
      <w:r w:rsidR="00E671AE">
        <w:rPr>
          <w:rFonts w:ascii="CG Times" w:hAnsi="CG Times"/>
          <w:sz w:val="24"/>
          <w:szCs w:val="24"/>
        </w:rPr>
        <w:t xml:space="preserve">are </w:t>
      </w:r>
      <w:r w:rsidR="009971D7">
        <w:rPr>
          <w:rFonts w:ascii="CG Times" w:hAnsi="CG Times"/>
          <w:sz w:val="24"/>
          <w:szCs w:val="24"/>
        </w:rPr>
        <w:t xml:space="preserve">defined, </w:t>
      </w:r>
      <w:r w:rsidR="00E671AE">
        <w:rPr>
          <w:rFonts w:ascii="CG Times" w:hAnsi="CG Times"/>
          <w:sz w:val="24"/>
          <w:szCs w:val="24"/>
        </w:rPr>
        <w:t>the lower the merging parties</w:t>
      </w:r>
      <w:r w:rsidR="00E671AE">
        <w:rPr>
          <w:rFonts w:ascii="CG Times" w:hAnsi="CG Times" w:hint="eastAsia"/>
          <w:sz w:val="24"/>
          <w:szCs w:val="24"/>
        </w:rPr>
        <w:t>’</w:t>
      </w:r>
      <w:r w:rsidR="00E671AE">
        <w:rPr>
          <w:rFonts w:ascii="CG Times" w:hAnsi="CG Times"/>
          <w:sz w:val="24"/>
          <w:szCs w:val="24"/>
        </w:rPr>
        <w:t xml:space="preserve"> market shares.  </w:t>
      </w:r>
      <w:r w:rsidR="00E671AE" w:rsidRPr="0050262C">
        <w:rPr>
          <w:rFonts w:ascii="CG Times" w:hAnsi="CG Times"/>
          <w:sz w:val="24"/>
          <w:szCs w:val="24"/>
        </w:rPr>
        <w:t xml:space="preserve">The key question the agencies pose to the merging companies’ customers is what would happen if the prices of the merging companies’ products increased by a small but significant </w:t>
      </w:r>
      <w:proofErr w:type="spellStart"/>
      <w:r w:rsidR="00E671AE" w:rsidRPr="0050262C">
        <w:rPr>
          <w:rFonts w:ascii="CG Times" w:hAnsi="CG Times"/>
          <w:sz w:val="24"/>
          <w:szCs w:val="24"/>
        </w:rPr>
        <w:t>nontransitory</w:t>
      </w:r>
      <w:proofErr w:type="spellEnd"/>
      <w:r w:rsidR="00E671AE" w:rsidRPr="0050262C">
        <w:rPr>
          <w:rFonts w:ascii="CG Times" w:hAnsi="CG Times"/>
          <w:sz w:val="24"/>
          <w:szCs w:val="24"/>
        </w:rPr>
        <w:t xml:space="preserve"> amount (SSNIP), generally five to 10 </w:t>
      </w:r>
      <w:proofErr w:type="spellStart"/>
      <w:r w:rsidR="00E671AE" w:rsidRPr="0050262C">
        <w:rPr>
          <w:rFonts w:ascii="CG Times" w:hAnsi="CG Times"/>
          <w:sz w:val="24"/>
          <w:szCs w:val="24"/>
        </w:rPr>
        <w:t>percent</w:t>
      </w:r>
      <w:proofErr w:type="spellEnd"/>
      <w:r w:rsidR="00E671AE" w:rsidRPr="0050262C">
        <w:rPr>
          <w:rFonts w:ascii="CG Times" w:hAnsi="CG Times"/>
          <w:sz w:val="24"/>
          <w:szCs w:val="24"/>
        </w:rPr>
        <w:t>.</w:t>
      </w:r>
      <w:r w:rsidR="00E671AE" w:rsidRPr="0050262C">
        <w:rPr>
          <w:rStyle w:val="FootnoteReference"/>
          <w:rFonts w:ascii="CG Times" w:hAnsi="CG Times"/>
          <w:color w:val="000000"/>
          <w:sz w:val="24"/>
          <w:szCs w:val="24"/>
        </w:rPr>
        <w:footnoteReference w:id="46"/>
      </w:r>
      <w:r w:rsidR="00E671AE">
        <w:rPr>
          <w:rFonts w:ascii="CG Times" w:hAnsi="CG Times"/>
          <w:sz w:val="24"/>
          <w:szCs w:val="24"/>
        </w:rPr>
        <w:t xml:space="preserve">  The agencies ask</w:t>
      </w:r>
      <w:r w:rsidR="00E671AE" w:rsidRPr="0050262C">
        <w:rPr>
          <w:rFonts w:ascii="CG Times" w:hAnsi="CG Times"/>
          <w:sz w:val="24"/>
          <w:szCs w:val="24"/>
        </w:rPr>
        <w:t xml:space="preserve"> the SSNIP question to define the relevant market, which assists the agency in tackling the ultimate issue of whether the merger facilitates the exercise of market power. If the SSNIP inquiry suggests a broad product or geographic market, then the merging parties’ market shares and the industry concentration levels are likely to be lower, and the agency will unlikely challenge the merger.</w:t>
      </w:r>
    </w:p>
    <w:p w14:paraId="49C34A34" w14:textId="2765D96A" w:rsidR="0050262C" w:rsidRPr="0050262C" w:rsidRDefault="0050262C" w:rsidP="002623D1">
      <w:pPr>
        <w:pStyle w:val="Num-DocParagraph"/>
        <w:tabs>
          <w:tab w:val="left" w:pos="432"/>
          <w:tab w:val="left" w:pos="720"/>
        </w:tabs>
        <w:spacing w:line="360" w:lineRule="auto"/>
        <w:rPr>
          <w:rFonts w:ascii="CG Times" w:hAnsi="CG Times"/>
          <w:sz w:val="24"/>
          <w:szCs w:val="24"/>
        </w:rPr>
      </w:pPr>
      <w:r w:rsidRPr="0050262C">
        <w:rPr>
          <w:rFonts w:ascii="CG Times" w:hAnsi="CG Times"/>
          <w:sz w:val="24"/>
          <w:szCs w:val="24"/>
        </w:rPr>
        <w:tab/>
      </w:r>
      <w:r w:rsidR="00865852">
        <w:rPr>
          <w:rFonts w:ascii="CG Times" w:hAnsi="CG Times"/>
          <w:sz w:val="24"/>
          <w:szCs w:val="24"/>
        </w:rPr>
        <w:t xml:space="preserve">At times, the agencies or merging parties rely on consumer survey data on consumer </w:t>
      </w:r>
      <w:r w:rsidR="00865852">
        <w:rPr>
          <w:rFonts w:ascii="CG Times" w:hAnsi="CG Times" w:hint="eastAsia"/>
          <w:sz w:val="24"/>
          <w:szCs w:val="24"/>
        </w:rPr>
        <w:t>behaviour</w:t>
      </w:r>
      <w:r w:rsidR="00865852">
        <w:rPr>
          <w:rFonts w:ascii="CG Times" w:hAnsi="CG Times"/>
          <w:sz w:val="24"/>
          <w:szCs w:val="24"/>
        </w:rPr>
        <w:t xml:space="preserve"> on a SSNIP.  </w:t>
      </w:r>
      <w:r w:rsidRPr="0050262C">
        <w:rPr>
          <w:rFonts w:ascii="CG Times" w:hAnsi="CG Times"/>
          <w:sz w:val="24"/>
          <w:szCs w:val="24"/>
        </w:rPr>
        <w:t>Under neoclassical economic theory, the way the choice is framed should not affect the rational profit-</w:t>
      </w:r>
      <w:proofErr w:type="spellStart"/>
      <w:r w:rsidRPr="0050262C">
        <w:rPr>
          <w:rFonts w:ascii="CG Times" w:hAnsi="CG Times"/>
          <w:sz w:val="24"/>
          <w:szCs w:val="24"/>
        </w:rPr>
        <w:t>maximizer’s</w:t>
      </w:r>
      <w:proofErr w:type="spellEnd"/>
      <w:r w:rsidRPr="0050262C">
        <w:rPr>
          <w:rFonts w:ascii="CG Times" w:hAnsi="CG Times"/>
          <w:sz w:val="24"/>
          <w:szCs w:val="24"/>
        </w:rPr>
        <w:t xml:space="preserve"> response. </w:t>
      </w:r>
      <w:r w:rsidR="00865852">
        <w:rPr>
          <w:rFonts w:ascii="CG Times" w:hAnsi="CG Times"/>
          <w:sz w:val="24"/>
          <w:szCs w:val="24"/>
        </w:rPr>
        <w:t>Consumers should not differentiate between a price increase (say the merging parties increasing the widget</w:t>
      </w:r>
      <w:r w:rsidR="00865852">
        <w:rPr>
          <w:rFonts w:ascii="CG Times" w:hAnsi="CG Times" w:hint="eastAsia"/>
          <w:sz w:val="24"/>
          <w:szCs w:val="24"/>
        </w:rPr>
        <w:t>’</w:t>
      </w:r>
      <w:r w:rsidR="00865852">
        <w:rPr>
          <w:rFonts w:ascii="CG Times" w:hAnsi="CG Times"/>
          <w:sz w:val="24"/>
          <w:szCs w:val="24"/>
        </w:rPr>
        <w:t xml:space="preserve">s price from $8 to $10) and a price decrease (say firms post-merger halting the price erosion and maintaining price at $10 rather than the competitive level of $8).  </w:t>
      </w:r>
      <w:r w:rsidRPr="0050262C">
        <w:rPr>
          <w:rFonts w:ascii="CG Times" w:hAnsi="CG Times"/>
          <w:sz w:val="24"/>
          <w:szCs w:val="24"/>
        </w:rPr>
        <w:t>This leads to the following puzzle:</w:t>
      </w:r>
    </w:p>
    <w:p w14:paraId="64029C15" w14:textId="77777777" w:rsidR="0050262C" w:rsidRPr="0050262C" w:rsidRDefault="0050262C" w:rsidP="002623D1">
      <w:pPr>
        <w:pStyle w:val="Citation"/>
        <w:tabs>
          <w:tab w:val="left" w:pos="432"/>
          <w:tab w:val="left" w:pos="720"/>
        </w:tabs>
        <w:ind w:left="432" w:right="432"/>
        <w:jc w:val="both"/>
        <w:rPr>
          <w:rFonts w:ascii="CG Times" w:hAnsi="CG Times"/>
          <w:i/>
          <w:iCs/>
          <w:sz w:val="24"/>
          <w:szCs w:val="24"/>
        </w:rPr>
      </w:pPr>
      <w:r w:rsidRPr="0050262C">
        <w:rPr>
          <w:rFonts w:ascii="CG Times" w:hAnsi="CG Times"/>
          <w:i/>
          <w:iCs/>
          <w:sz w:val="24"/>
          <w:szCs w:val="24"/>
        </w:rPr>
        <w:t xml:space="preserve">One of the pieces of evidence that is commonly cited by farmers as evidence of buyer power is that </w:t>
      </w:r>
      <w:r w:rsidRPr="0050262C">
        <w:rPr>
          <w:rFonts w:ascii="CG Times" w:hAnsi="CG Times"/>
          <w:i/>
          <w:iCs/>
          <w:spacing w:val="-2"/>
          <w:sz w:val="24"/>
          <w:szCs w:val="24"/>
        </w:rPr>
        <w:t xml:space="preserve">there is an asymmetric price response of retail products to </w:t>
      </w:r>
      <w:proofErr w:type="spellStart"/>
      <w:r w:rsidRPr="0050262C">
        <w:rPr>
          <w:rFonts w:ascii="CG Times" w:hAnsi="CG Times"/>
          <w:i/>
          <w:iCs/>
          <w:spacing w:val="-2"/>
          <w:sz w:val="24"/>
          <w:szCs w:val="24"/>
        </w:rPr>
        <w:t>farmgate</w:t>
      </w:r>
      <w:proofErr w:type="spellEnd"/>
      <w:r w:rsidRPr="0050262C">
        <w:rPr>
          <w:rFonts w:ascii="CG Times" w:hAnsi="CG Times"/>
          <w:i/>
          <w:iCs/>
          <w:spacing w:val="-2"/>
          <w:sz w:val="24"/>
          <w:szCs w:val="24"/>
        </w:rPr>
        <w:t xml:space="preserve"> price changes. This means, for example, that when there is a supply shortage that raises </w:t>
      </w:r>
      <w:proofErr w:type="spellStart"/>
      <w:r w:rsidRPr="0050262C">
        <w:rPr>
          <w:rFonts w:ascii="CG Times" w:hAnsi="CG Times"/>
          <w:i/>
          <w:iCs/>
          <w:spacing w:val="-2"/>
          <w:sz w:val="24"/>
          <w:szCs w:val="24"/>
        </w:rPr>
        <w:t>farmgate</w:t>
      </w:r>
      <w:proofErr w:type="spellEnd"/>
      <w:r w:rsidRPr="0050262C">
        <w:rPr>
          <w:rFonts w:ascii="CG Times" w:hAnsi="CG Times"/>
          <w:i/>
          <w:iCs/>
          <w:spacing w:val="-2"/>
          <w:sz w:val="24"/>
          <w:szCs w:val="24"/>
        </w:rPr>
        <w:t xml:space="preserve"> prices, the increase is immediately passed on to consumers, while when there is a decrease in </w:t>
      </w:r>
      <w:proofErr w:type="spellStart"/>
      <w:r w:rsidRPr="0050262C">
        <w:rPr>
          <w:rFonts w:ascii="CG Times" w:hAnsi="CG Times"/>
          <w:i/>
          <w:iCs/>
          <w:spacing w:val="-2"/>
          <w:sz w:val="24"/>
          <w:szCs w:val="24"/>
        </w:rPr>
        <w:t>farmgate</w:t>
      </w:r>
      <w:proofErr w:type="spellEnd"/>
      <w:r w:rsidRPr="0050262C">
        <w:rPr>
          <w:rFonts w:ascii="CG Times" w:hAnsi="CG Times"/>
          <w:i/>
          <w:iCs/>
          <w:spacing w:val="-2"/>
          <w:sz w:val="24"/>
          <w:szCs w:val="24"/>
        </w:rPr>
        <w:t xml:space="preserve"> prices, the expected decrease in retail prices appears gradually and results in </w:t>
      </w:r>
      <w:r w:rsidRPr="0050262C">
        <w:rPr>
          <w:rFonts w:ascii="CG Times" w:hAnsi="CG Times"/>
          <w:i/>
          <w:iCs/>
          <w:spacing w:val="-2"/>
          <w:sz w:val="24"/>
          <w:szCs w:val="24"/>
        </w:rPr>
        <w:lastRenderedPageBreak/>
        <w:t>high profits to intermediaries during the period in which prices are unusually high. While there is substantial evidence of price asymmetry, it is not clear that this arises from buyer power. An alternative explanation is that such asymmetry arises from different search patterns by consumers when they face increasing prices compared to decreasing prices. In particular, they may search more aggressively for alternative suppliers when prices increase, but less aggressively when prices are stable or slowly decreasing.</w:t>
      </w:r>
      <w:r w:rsidRPr="0050262C">
        <w:rPr>
          <w:rStyle w:val="FootnoteReference"/>
          <w:rFonts w:ascii="CG Times" w:hAnsi="CG Times"/>
          <w:color w:val="000000"/>
          <w:spacing w:val="-2"/>
          <w:sz w:val="24"/>
          <w:szCs w:val="24"/>
        </w:rPr>
        <w:footnoteReference w:id="47"/>
      </w:r>
    </w:p>
    <w:p w14:paraId="532AC0BF" w14:textId="61DCD1D8" w:rsidR="0050262C" w:rsidRPr="0050262C" w:rsidRDefault="0050262C" w:rsidP="002623D1">
      <w:pPr>
        <w:pStyle w:val="Num-DocParagraph"/>
        <w:tabs>
          <w:tab w:val="left" w:pos="432"/>
          <w:tab w:val="left" w:pos="720"/>
        </w:tabs>
        <w:spacing w:after="200" w:line="360" w:lineRule="auto"/>
        <w:rPr>
          <w:rFonts w:ascii="CG Times" w:hAnsi="CG Times"/>
          <w:sz w:val="24"/>
          <w:szCs w:val="24"/>
        </w:rPr>
      </w:pPr>
      <w:r>
        <w:rPr>
          <w:rFonts w:ascii="CG Times" w:hAnsi="CG Times"/>
          <w:sz w:val="24"/>
          <w:szCs w:val="24"/>
        </w:rPr>
        <w:tab/>
      </w:r>
      <w:r w:rsidRPr="0050262C">
        <w:rPr>
          <w:rFonts w:ascii="CG Times" w:hAnsi="CG Times"/>
          <w:sz w:val="24"/>
          <w:szCs w:val="24"/>
        </w:rPr>
        <w:t xml:space="preserve">The </w:t>
      </w:r>
      <w:proofErr w:type="spellStart"/>
      <w:r w:rsidRPr="0050262C">
        <w:rPr>
          <w:rFonts w:ascii="CG Times" w:hAnsi="CG Times"/>
          <w:sz w:val="24"/>
          <w:szCs w:val="24"/>
        </w:rPr>
        <w:t>behavioral</w:t>
      </w:r>
      <w:proofErr w:type="spellEnd"/>
      <w:r w:rsidRPr="0050262C">
        <w:rPr>
          <w:rFonts w:ascii="CG Times" w:hAnsi="CG Times"/>
          <w:sz w:val="24"/>
          <w:szCs w:val="24"/>
        </w:rPr>
        <w:t xml:space="preserve"> economics literature suggests that “framing effects” (how the issue is worded or framed) do matter.</w:t>
      </w:r>
      <w:bookmarkStart w:id="4" w:name="_Ref199566818"/>
      <w:r w:rsidRPr="0050262C">
        <w:rPr>
          <w:rStyle w:val="FootnoteReference"/>
          <w:rFonts w:ascii="CG Times" w:hAnsi="CG Times"/>
          <w:color w:val="000000"/>
          <w:sz w:val="24"/>
          <w:szCs w:val="24"/>
        </w:rPr>
        <w:footnoteReference w:id="48"/>
      </w:r>
      <w:bookmarkEnd w:id="4"/>
      <w:r w:rsidRPr="0050262C">
        <w:rPr>
          <w:rFonts w:ascii="CG Times" w:hAnsi="CG Times"/>
          <w:sz w:val="24"/>
          <w:szCs w:val="24"/>
        </w:rPr>
        <w:t xml:space="preserve"> Consumers typically base a deal’s “value” on the deviation from an established reference point (for example, a sale of twenty </w:t>
      </w:r>
      <w:proofErr w:type="spellStart"/>
      <w:r w:rsidRPr="0050262C">
        <w:rPr>
          <w:rFonts w:ascii="CG Times" w:hAnsi="CG Times"/>
          <w:sz w:val="24"/>
          <w:szCs w:val="24"/>
        </w:rPr>
        <w:t>percent</w:t>
      </w:r>
      <w:proofErr w:type="spellEnd"/>
      <w:r w:rsidRPr="0050262C">
        <w:rPr>
          <w:rFonts w:ascii="CG Times" w:hAnsi="CG Times"/>
          <w:sz w:val="24"/>
          <w:szCs w:val="24"/>
        </w:rPr>
        <w:t xml:space="preserve"> off the regular price). Consumers may be less concerned when a discount is eliminated than when prices increase (although both have the same net effect). Thus deviations from the perceived reference point are marked by asymmetric price elasticity: consumers are angrier about, and more sensitive to, price increases than when the manufacturer eliminates a discount or does not reduce prices during periods of deflation.</w:t>
      </w:r>
      <w:bookmarkStart w:id="5" w:name="_Ref199575785"/>
      <w:r w:rsidRPr="0050262C">
        <w:rPr>
          <w:rStyle w:val="FootnoteReference"/>
          <w:rFonts w:ascii="CG Times" w:hAnsi="CG Times"/>
          <w:color w:val="000000"/>
          <w:sz w:val="24"/>
          <w:szCs w:val="24"/>
        </w:rPr>
        <w:footnoteReference w:id="49"/>
      </w:r>
      <w:bookmarkEnd w:id="5"/>
    </w:p>
    <w:p w14:paraId="2A31478A" w14:textId="57938E22" w:rsidR="0050262C" w:rsidRPr="0050262C" w:rsidRDefault="0050262C" w:rsidP="002623D1">
      <w:pPr>
        <w:pStyle w:val="Num-DocParagraph"/>
        <w:tabs>
          <w:tab w:val="left" w:pos="432"/>
          <w:tab w:val="left" w:pos="720"/>
        </w:tabs>
        <w:spacing w:after="200" w:line="360" w:lineRule="auto"/>
        <w:rPr>
          <w:rFonts w:ascii="CG Times" w:hAnsi="CG Times"/>
          <w:sz w:val="24"/>
          <w:szCs w:val="24"/>
        </w:rPr>
      </w:pPr>
      <w:r>
        <w:rPr>
          <w:rFonts w:ascii="CG Times" w:hAnsi="CG Times"/>
          <w:sz w:val="24"/>
          <w:szCs w:val="24"/>
        </w:rPr>
        <w:tab/>
      </w:r>
      <w:r w:rsidRPr="0050262C">
        <w:rPr>
          <w:rFonts w:ascii="CG Times" w:hAnsi="CG Times"/>
          <w:sz w:val="24"/>
          <w:szCs w:val="24"/>
        </w:rPr>
        <w:t xml:space="preserve">For example, the majority of people, in one survey, indicated that a car dealer’s elimination of a $200 discount off the list price for a popular vehicle was acceptable, whereas seventy-one </w:t>
      </w:r>
      <w:proofErr w:type="spellStart"/>
      <w:r w:rsidRPr="0050262C">
        <w:rPr>
          <w:rFonts w:ascii="CG Times" w:hAnsi="CG Times"/>
          <w:sz w:val="24"/>
          <w:szCs w:val="24"/>
        </w:rPr>
        <w:t>percent</w:t>
      </w:r>
      <w:proofErr w:type="spellEnd"/>
      <w:r w:rsidRPr="0050262C">
        <w:rPr>
          <w:rFonts w:ascii="CG Times" w:hAnsi="CG Times"/>
          <w:sz w:val="24"/>
          <w:szCs w:val="24"/>
        </w:rPr>
        <w:t xml:space="preserve"> viewed selling the vehicle $200 above the list price as unfair.</w:t>
      </w:r>
      <w:r w:rsidRPr="0050262C">
        <w:rPr>
          <w:rStyle w:val="FootnoteReference"/>
          <w:rFonts w:ascii="CG Times" w:hAnsi="CG Times"/>
          <w:color w:val="000000"/>
          <w:sz w:val="24"/>
          <w:szCs w:val="24"/>
        </w:rPr>
        <w:footnoteReference w:id="50"/>
      </w:r>
      <w:r w:rsidRPr="0050262C">
        <w:rPr>
          <w:rFonts w:ascii="CG Times" w:hAnsi="CG Times"/>
          <w:sz w:val="24"/>
          <w:szCs w:val="24"/>
        </w:rPr>
        <w:t xml:space="preserve"> </w:t>
      </w:r>
      <w:r w:rsidR="00523AFE">
        <w:rPr>
          <w:rFonts w:ascii="CG Times" w:hAnsi="CG Times"/>
          <w:sz w:val="24"/>
          <w:szCs w:val="24"/>
        </w:rPr>
        <w:t xml:space="preserve"> </w:t>
      </w:r>
      <w:r w:rsidRPr="0050262C">
        <w:rPr>
          <w:rFonts w:ascii="CG Times" w:hAnsi="CG Times"/>
          <w:sz w:val="24"/>
          <w:szCs w:val="24"/>
        </w:rPr>
        <w:t xml:space="preserve">Both produce the same </w:t>
      </w:r>
      <w:r w:rsidRPr="0050262C">
        <w:rPr>
          <w:rFonts w:ascii="CG Times" w:hAnsi="CG Times"/>
          <w:sz w:val="24"/>
          <w:szCs w:val="24"/>
        </w:rPr>
        <w:lastRenderedPageBreak/>
        <w:t>effect—a higher net retail price—but the direction of the deviation to or from the established reference point differed. Rather than provoke consumer anger by increasing the list price, the merging parties may cancel or reduce the level or size of discounts, which may face less consumer resistance.</w:t>
      </w:r>
      <w:r w:rsidR="00523AFE">
        <w:rPr>
          <w:rFonts w:ascii="CG Times" w:hAnsi="CG Times"/>
          <w:sz w:val="24"/>
          <w:szCs w:val="24"/>
        </w:rPr>
        <w:t xml:space="preserve">  Consequently, the agencies and courts should scrutinize consumer survey data that many consumers would switch to alternatives if the price increased by 5%.  This is equivocal, especially in industries where prices have been trending downward, since the operative question is whether consumers would discipline firms for not lowering prices as much as they would otherwise do absent the merger. </w:t>
      </w:r>
    </w:p>
    <w:p w14:paraId="6F89E96A" w14:textId="77777777" w:rsidR="00107AE0" w:rsidRDefault="0050262C" w:rsidP="00523AFE">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23AFE">
        <w:rPr>
          <w:rFonts w:ascii="CG Times" w:hAnsi="CG Times"/>
          <w:sz w:val="24"/>
          <w:szCs w:val="24"/>
        </w:rPr>
        <w:t xml:space="preserve">Besides framing effects other biases may skew responses to the SSNIP question.  The SSNIP inquiry is fairly transparent:  holding everything else equal, how would the consumer respond to a product with a single, simple price. One insight from the </w:t>
      </w:r>
      <w:r w:rsidR="00523AFE">
        <w:rPr>
          <w:rFonts w:ascii="CG Times" w:hAnsi="CG Times" w:hint="eastAsia"/>
          <w:sz w:val="24"/>
          <w:szCs w:val="24"/>
        </w:rPr>
        <w:t>behavioural</w:t>
      </w:r>
      <w:r w:rsidR="00523AFE">
        <w:rPr>
          <w:rFonts w:ascii="CG Times" w:hAnsi="CG Times"/>
          <w:sz w:val="24"/>
          <w:szCs w:val="24"/>
        </w:rPr>
        <w:t xml:space="preserve"> </w:t>
      </w:r>
      <w:r w:rsidR="00523AFE">
        <w:rPr>
          <w:rFonts w:ascii="CG Times" w:hAnsi="CG Times" w:hint="eastAsia"/>
          <w:sz w:val="24"/>
          <w:szCs w:val="24"/>
        </w:rPr>
        <w:t>literature</w:t>
      </w:r>
      <w:r w:rsidR="00523AFE">
        <w:rPr>
          <w:rFonts w:ascii="CG Times" w:hAnsi="CG Times"/>
          <w:sz w:val="24"/>
          <w:szCs w:val="24"/>
        </w:rPr>
        <w:t xml:space="preserve"> is that firms may </w:t>
      </w:r>
      <w:r w:rsidR="00107AE0">
        <w:rPr>
          <w:rFonts w:ascii="CG Times" w:hAnsi="CG Times"/>
          <w:sz w:val="24"/>
          <w:szCs w:val="24"/>
        </w:rPr>
        <w:t xml:space="preserve">shroud </w:t>
      </w:r>
      <w:r w:rsidR="00523AFE">
        <w:rPr>
          <w:rFonts w:ascii="CG Times" w:hAnsi="CG Times"/>
          <w:sz w:val="24"/>
          <w:szCs w:val="24"/>
        </w:rPr>
        <w:t xml:space="preserve">price increases by </w:t>
      </w:r>
      <w:r w:rsidR="00523AFE" w:rsidRPr="0050262C">
        <w:rPr>
          <w:rFonts w:ascii="CG Times" w:hAnsi="CG Times"/>
          <w:sz w:val="24"/>
          <w:szCs w:val="24"/>
        </w:rPr>
        <w:t>making the price terms more complex.</w:t>
      </w:r>
      <w:bookmarkStart w:id="6" w:name="_Ref199567250"/>
      <w:r w:rsidR="00523AFE" w:rsidRPr="0050262C">
        <w:rPr>
          <w:rStyle w:val="FootnoteReference"/>
          <w:rFonts w:ascii="CG Times" w:hAnsi="CG Times"/>
          <w:color w:val="000000"/>
          <w:sz w:val="24"/>
          <w:szCs w:val="24"/>
        </w:rPr>
        <w:footnoteReference w:id="51"/>
      </w:r>
      <w:bookmarkEnd w:id="6"/>
      <w:r w:rsidR="00523AFE" w:rsidRPr="0050262C">
        <w:rPr>
          <w:rFonts w:ascii="CG Times" w:hAnsi="CG Times"/>
          <w:sz w:val="24"/>
          <w:szCs w:val="24"/>
        </w:rPr>
        <w:t xml:space="preserve"> The U.K.’s Office of Fair Trading</w:t>
      </w:r>
      <w:r w:rsidR="00107AE0">
        <w:rPr>
          <w:rFonts w:ascii="CG Times" w:hAnsi="CG Times"/>
          <w:sz w:val="24"/>
          <w:szCs w:val="24"/>
        </w:rPr>
        <w:t>,</w:t>
      </w:r>
      <w:r w:rsidR="00523AFE" w:rsidRPr="0050262C">
        <w:rPr>
          <w:rFonts w:ascii="CG Times" w:hAnsi="CG Times"/>
          <w:sz w:val="24"/>
          <w:szCs w:val="24"/>
        </w:rPr>
        <w:t xml:space="preserve"> </w:t>
      </w:r>
      <w:r w:rsidR="00107AE0">
        <w:rPr>
          <w:rFonts w:ascii="CG Times" w:hAnsi="CG Times"/>
          <w:sz w:val="24"/>
          <w:szCs w:val="24"/>
        </w:rPr>
        <w:t xml:space="preserve">for example, </w:t>
      </w:r>
      <w:r w:rsidR="00523AFE" w:rsidRPr="0050262C">
        <w:rPr>
          <w:rFonts w:ascii="CG Times" w:hAnsi="CG Times"/>
          <w:sz w:val="24"/>
          <w:szCs w:val="24"/>
        </w:rPr>
        <w:t>experimented with five common price frames: (</w:t>
      </w:r>
      <w:proofErr w:type="spellStart"/>
      <w:r w:rsidR="00523AFE" w:rsidRPr="0050262C">
        <w:rPr>
          <w:rFonts w:ascii="CG Times" w:hAnsi="CG Times"/>
          <w:sz w:val="24"/>
          <w:szCs w:val="24"/>
        </w:rPr>
        <w:t>i</w:t>
      </w:r>
      <w:proofErr w:type="spellEnd"/>
      <w:r w:rsidR="00523AFE" w:rsidRPr="0050262C">
        <w:rPr>
          <w:rFonts w:ascii="CG Times" w:hAnsi="CG Times"/>
          <w:sz w:val="24"/>
          <w:szCs w:val="24"/>
        </w:rPr>
        <w:t>) “drip pricing,” where a lower price is initially disclosed to the consumer and additional charges are added as the sale progresses; (ii) “sales,” where the “sales” price is referenced off an inflated regular price (e.g., was $2, now $1); (iii) “complex pricing” (e.g., three-for-two offers), where the unit price requires some computation; (iv) “baiting,” where sellers promote special deals with only a limited number of goods available at the discounted price; and (v) “time limited offers,” where the special price is available for a short period.</w:t>
      </w:r>
      <w:r w:rsidR="00523AFE" w:rsidRPr="0050262C">
        <w:rPr>
          <w:rStyle w:val="FootnoteReference"/>
          <w:rFonts w:ascii="CG Times" w:hAnsi="CG Times"/>
          <w:color w:val="000000"/>
          <w:sz w:val="24"/>
          <w:szCs w:val="24"/>
        </w:rPr>
        <w:footnoteReference w:id="52"/>
      </w:r>
      <w:r w:rsidR="00523AFE" w:rsidRPr="0050262C">
        <w:rPr>
          <w:rFonts w:ascii="CG Times" w:hAnsi="CG Times"/>
          <w:sz w:val="24"/>
          <w:szCs w:val="24"/>
        </w:rPr>
        <w:t xml:space="preserve"> </w:t>
      </w:r>
    </w:p>
    <w:p w14:paraId="3F923F0B" w14:textId="02F47206" w:rsidR="0050262C" w:rsidRPr="0050262C" w:rsidRDefault="00107AE0"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lastRenderedPageBreak/>
        <w:tab/>
      </w:r>
      <w:r w:rsidR="00523AFE" w:rsidRPr="0050262C">
        <w:rPr>
          <w:rFonts w:ascii="CG Times" w:hAnsi="CG Times"/>
          <w:sz w:val="24"/>
          <w:szCs w:val="24"/>
        </w:rPr>
        <w:t>For the rational profit-</w:t>
      </w:r>
      <w:proofErr w:type="spellStart"/>
      <w:r w:rsidR="00523AFE" w:rsidRPr="0050262C">
        <w:rPr>
          <w:rFonts w:ascii="CG Times" w:hAnsi="CG Times"/>
          <w:sz w:val="24"/>
          <w:szCs w:val="24"/>
        </w:rPr>
        <w:t>maximizer</w:t>
      </w:r>
      <w:proofErr w:type="spellEnd"/>
      <w:r w:rsidR="00523AFE" w:rsidRPr="0050262C">
        <w:rPr>
          <w:rFonts w:ascii="CG Times" w:hAnsi="CG Times"/>
          <w:sz w:val="24"/>
          <w:szCs w:val="24"/>
        </w:rPr>
        <w:t xml:space="preserve">, a price increase is a price increase. </w:t>
      </w:r>
      <w:r>
        <w:rPr>
          <w:rFonts w:ascii="CG Times" w:hAnsi="CG Times"/>
          <w:sz w:val="24"/>
          <w:szCs w:val="24"/>
        </w:rPr>
        <w:t>W</w:t>
      </w:r>
      <w:r w:rsidR="00523AFE" w:rsidRPr="0050262C">
        <w:rPr>
          <w:rFonts w:ascii="CG Times" w:hAnsi="CG Times"/>
          <w:sz w:val="24"/>
          <w:szCs w:val="24"/>
        </w:rPr>
        <w:t xml:space="preserve">hether the company </w:t>
      </w:r>
      <w:r>
        <w:rPr>
          <w:rFonts w:ascii="CG Times" w:hAnsi="CG Times"/>
          <w:sz w:val="24"/>
          <w:szCs w:val="24"/>
        </w:rPr>
        <w:t xml:space="preserve">displays initially a low price, and marks it gradually over the course of the transaction should not matter. </w:t>
      </w:r>
      <w:r w:rsidR="00523AFE" w:rsidRPr="0050262C">
        <w:rPr>
          <w:rFonts w:ascii="CG Times" w:hAnsi="CG Times"/>
          <w:sz w:val="24"/>
          <w:szCs w:val="24"/>
        </w:rPr>
        <w:t xml:space="preserve">But as the OFT experiment found, firms can manipulate consumer consumption </w:t>
      </w:r>
      <w:proofErr w:type="spellStart"/>
      <w:r w:rsidR="00523AFE" w:rsidRPr="0050262C">
        <w:rPr>
          <w:rFonts w:ascii="CG Times" w:hAnsi="CG Times"/>
          <w:sz w:val="24"/>
          <w:szCs w:val="24"/>
        </w:rPr>
        <w:t>behavior</w:t>
      </w:r>
      <w:proofErr w:type="spellEnd"/>
      <w:r w:rsidR="00523AFE" w:rsidRPr="0050262C">
        <w:rPr>
          <w:rFonts w:ascii="CG Times" w:hAnsi="CG Times"/>
          <w:sz w:val="24"/>
          <w:szCs w:val="24"/>
        </w:rPr>
        <w:t xml:space="preserve"> and leave them worse off, especially under drip pricing and time-limited offers.</w:t>
      </w:r>
      <w:r>
        <w:rPr>
          <w:rFonts w:ascii="CG Times" w:hAnsi="CG Times"/>
          <w:sz w:val="24"/>
          <w:szCs w:val="24"/>
        </w:rPr>
        <w:t xml:space="preserve">  </w:t>
      </w:r>
      <w:r w:rsidR="0050262C" w:rsidRPr="0050262C">
        <w:rPr>
          <w:rFonts w:ascii="CG Times" w:hAnsi="CG Times"/>
          <w:sz w:val="24"/>
          <w:szCs w:val="24"/>
        </w:rPr>
        <w:t>Alternatively companies may reduce the salience of the price increase, such as reducing product quality or quantity. For example, ice cream in the U.S. was once sold in half-gallon containers. Some companies maintained the price, but shrank the quantity. As one ice cream producer observed:</w:t>
      </w:r>
    </w:p>
    <w:p w14:paraId="68894E87" w14:textId="77777777" w:rsidR="0050262C" w:rsidRPr="0050262C" w:rsidRDefault="0050262C" w:rsidP="002623D1">
      <w:pPr>
        <w:pStyle w:val="Citation"/>
        <w:tabs>
          <w:tab w:val="left" w:pos="432"/>
          <w:tab w:val="left" w:pos="720"/>
        </w:tabs>
        <w:ind w:left="432" w:right="432"/>
        <w:jc w:val="both"/>
        <w:rPr>
          <w:rFonts w:ascii="CG Times" w:hAnsi="CG Times"/>
          <w:i/>
          <w:iCs/>
          <w:color w:val="000000"/>
          <w:sz w:val="24"/>
          <w:szCs w:val="24"/>
        </w:rPr>
      </w:pPr>
      <w:r w:rsidRPr="0050262C">
        <w:rPr>
          <w:rFonts w:ascii="CG Times" w:hAnsi="CG Times"/>
          <w:i/>
          <w:iCs/>
          <w:sz w:val="24"/>
          <w:szCs w:val="24"/>
        </w:rPr>
        <w:t xml:space="preserve">Many companies are now offering only 48 oz. of ice cream in each container. A true </w:t>
      </w:r>
      <w:proofErr w:type="gramStart"/>
      <w:r w:rsidRPr="0050262C">
        <w:rPr>
          <w:rFonts w:ascii="CG Times" w:hAnsi="CG Times"/>
          <w:i/>
          <w:iCs/>
          <w:sz w:val="24"/>
          <w:szCs w:val="24"/>
        </w:rPr>
        <w:t>half gallon</w:t>
      </w:r>
      <w:proofErr w:type="gramEnd"/>
      <w:r w:rsidRPr="0050262C">
        <w:rPr>
          <w:rFonts w:ascii="CG Times" w:hAnsi="CG Times"/>
          <w:i/>
          <w:iCs/>
          <w:sz w:val="24"/>
          <w:szCs w:val="24"/>
        </w:rPr>
        <w:t xml:space="preserve"> contains 64 fluid oz. of ice cream (measured by volume). That is a difference of a full pint of ice cream. Consumers get 33% more ice cream from Blue Bell than most of its competitors.</w:t>
      </w:r>
      <w:r w:rsidRPr="0050262C">
        <w:rPr>
          <w:rStyle w:val="FootnoteReference"/>
          <w:rFonts w:ascii="CG Times" w:hAnsi="CG Times"/>
          <w:color w:val="000000"/>
          <w:sz w:val="24"/>
          <w:szCs w:val="24"/>
        </w:rPr>
        <w:footnoteReference w:id="53"/>
      </w:r>
    </w:p>
    <w:p w14:paraId="36AC72FB" w14:textId="042105DB" w:rsidR="0050262C" w:rsidRDefault="0050262C"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Pr="0050262C">
        <w:rPr>
          <w:rFonts w:ascii="CG Times" w:hAnsi="CG Times"/>
          <w:sz w:val="24"/>
          <w:szCs w:val="24"/>
        </w:rPr>
        <w:t xml:space="preserve"> Consequently, the agenc</w:t>
      </w:r>
      <w:r w:rsidR="00107AE0">
        <w:rPr>
          <w:rFonts w:ascii="CG Times" w:hAnsi="CG Times"/>
          <w:sz w:val="24"/>
          <w:szCs w:val="24"/>
        </w:rPr>
        <w:t xml:space="preserve">ies and courts </w:t>
      </w:r>
      <w:r w:rsidRPr="0050262C">
        <w:rPr>
          <w:rFonts w:ascii="CG Times" w:hAnsi="CG Times"/>
          <w:sz w:val="24"/>
          <w:szCs w:val="24"/>
        </w:rPr>
        <w:t xml:space="preserve">should be </w:t>
      </w:r>
      <w:r w:rsidR="00107AE0">
        <w:rPr>
          <w:rFonts w:ascii="CG Times" w:hAnsi="CG Times"/>
          <w:sz w:val="24"/>
          <w:szCs w:val="24"/>
        </w:rPr>
        <w:t xml:space="preserve">more </w:t>
      </w:r>
      <w:r w:rsidRPr="0050262C">
        <w:rPr>
          <w:rFonts w:ascii="CG Times" w:hAnsi="CG Times"/>
          <w:sz w:val="24"/>
          <w:szCs w:val="24"/>
        </w:rPr>
        <w:t xml:space="preserve">cautious </w:t>
      </w:r>
      <w:r w:rsidR="00107AE0">
        <w:rPr>
          <w:rFonts w:ascii="CG Times" w:hAnsi="CG Times"/>
          <w:sz w:val="24"/>
          <w:szCs w:val="24"/>
        </w:rPr>
        <w:t xml:space="preserve">than neoclassical theory suggests </w:t>
      </w:r>
      <w:r w:rsidRPr="0050262C">
        <w:rPr>
          <w:rFonts w:ascii="CG Times" w:hAnsi="CG Times"/>
          <w:sz w:val="24"/>
          <w:szCs w:val="24"/>
        </w:rPr>
        <w:t xml:space="preserve">about customer surveys prepared for the merger review on consumer reactions to a 5 to 10 </w:t>
      </w:r>
      <w:proofErr w:type="spellStart"/>
      <w:r w:rsidRPr="0050262C">
        <w:rPr>
          <w:rFonts w:ascii="CG Times" w:hAnsi="CG Times"/>
          <w:sz w:val="24"/>
          <w:szCs w:val="24"/>
        </w:rPr>
        <w:t>percent</w:t>
      </w:r>
      <w:proofErr w:type="spellEnd"/>
      <w:r w:rsidRPr="0050262C">
        <w:rPr>
          <w:rFonts w:ascii="CG Times" w:hAnsi="CG Times"/>
          <w:sz w:val="24"/>
          <w:szCs w:val="24"/>
        </w:rPr>
        <w:t xml:space="preserve"> price increase of the merging parties’ product or service. </w:t>
      </w:r>
      <w:r w:rsidR="005B2331">
        <w:rPr>
          <w:rFonts w:ascii="CG Times" w:hAnsi="CG Times"/>
          <w:sz w:val="24"/>
          <w:szCs w:val="24"/>
        </w:rPr>
        <w:t xml:space="preserve"> </w:t>
      </w:r>
      <w:proofErr w:type="spellStart"/>
      <w:r w:rsidRPr="0050262C">
        <w:rPr>
          <w:rFonts w:ascii="CG Times" w:hAnsi="CG Times"/>
          <w:sz w:val="24"/>
          <w:szCs w:val="24"/>
        </w:rPr>
        <w:t>Kahneman</w:t>
      </w:r>
      <w:proofErr w:type="spellEnd"/>
      <w:r w:rsidRPr="0050262C">
        <w:rPr>
          <w:rFonts w:ascii="CG Times" w:hAnsi="CG Times"/>
          <w:sz w:val="24"/>
          <w:szCs w:val="24"/>
        </w:rPr>
        <w:t xml:space="preserve"> and </w:t>
      </w:r>
      <w:proofErr w:type="spellStart"/>
      <w:r w:rsidRPr="0050262C">
        <w:rPr>
          <w:rFonts w:ascii="CG Times" w:hAnsi="CG Times"/>
          <w:sz w:val="24"/>
          <w:szCs w:val="24"/>
        </w:rPr>
        <w:t>Tversky’s</w:t>
      </w:r>
      <w:proofErr w:type="spellEnd"/>
      <w:r w:rsidRPr="0050262C">
        <w:rPr>
          <w:rFonts w:ascii="CG Times" w:hAnsi="CG Times"/>
          <w:sz w:val="24"/>
          <w:szCs w:val="24"/>
        </w:rPr>
        <w:t xml:space="preserve"> prospect theory predicts that consumers will likely be </w:t>
      </w:r>
      <w:proofErr w:type="gramStart"/>
      <w:r w:rsidRPr="0050262C">
        <w:rPr>
          <w:rFonts w:ascii="CG Times" w:hAnsi="CG Times"/>
          <w:sz w:val="24"/>
          <w:szCs w:val="24"/>
        </w:rPr>
        <w:t>risk-seeking</w:t>
      </w:r>
      <w:proofErr w:type="gramEnd"/>
      <w:r w:rsidRPr="0050262C">
        <w:rPr>
          <w:rFonts w:ascii="CG Times" w:hAnsi="CG Times"/>
          <w:sz w:val="24"/>
          <w:szCs w:val="24"/>
        </w:rPr>
        <w:t xml:space="preserve"> when avoiding a loss, and thus more willing to switch to alternative products. The survey should inquire the consumers’ response if the hypothetical monopolist maintained the price of the merging parties’ products, but prices of possible substitutes fell by a small but significant non-transitory amount. If many </w:t>
      </w:r>
      <w:r w:rsidRPr="0050262C">
        <w:rPr>
          <w:rFonts w:ascii="CG Times" w:hAnsi="CG Times"/>
          <w:sz w:val="24"/>
          <w:szCs w:val="24"/>
        </w:rPr>
        <w:lastRenderedPageBreak/>
        <w:t>consumers would switch because of a price increase, but not a price decrease, then framing effects are likely at play.</w:t>
      </w:r>
      <w:r w:rsidRPr="0050262C">
        <w:rPr>
          <w:rStyle w:val="FootnoteReference"/>
          <w:rFonts w:ascii="CG Times" w:hAnsi="CG Times"/>
          <w:sz w:val="24"/>
          <w:szCs w:val="24"/>
        </w:rPr>
        <w:footnoteReference w:id="54"/>
      </w:r>
      <w:r w:rsidRPr="0050262C">
        <w:rPr>
          <w:rFonts w:ascii="CG Times" w:hAnsi="CG Times"/>
          <w:sz w:val="24"/>
          <w:szCs w:val="24"/>
        </w:rPr>
        <w:t xml:space="preserve"> </w:t>
      </w:r>
    </w:p>
    <w:p w14:paraId="01EA4C26" w14:textId="59BF2560" w:rsidR="005B2331" w:rsidRDefault="005B2331"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Pr="00107AE0">
        <w:rPr>
          <w:rFonts w:ascii="CG Times" w:hAnsi="CG Times"/>
          <w:sz w:val="24"/>
          <w:szCs w:val="24"/>
        </w:rPr>
        <w:t xml:space="preserve">Another reason to be cautious, or even </w:t>
      </w:r>
      <w:proofErr w:type="spellStart"/>
      <w:r w:rsidRPr="00107AE0">
        <w:rPr>
          <w:rFonts w:ascii="CG Times" w:hAnsi="CG Times"/>
          <w:sz w:val="24"/>
          <w:szCs w:val="24"/>
        </w:rPr>
        <w:t>skeptical</w:t>
      </w:r>
      <w:proofErr w:type="spellEnd"/>
      <w:r w:rsidRPr="00107AE0">
        <w:rPr>
          <w:rFonts w:ascii="CG Times" w:hAnsi="CG Times"/>
          <w:sz w:val="24"/>
          <w:szCs w:val="24"/>
        </w:rPr>
        <w:t xml:space="preserve">, about surveys is that they may not adequately capture consumer </w:t>
      </w:r>
      <w:proofErr w:type="spellStart"/>
      <w:r w:rsidRPr="00107AE0">
        <w:rPr>
          <w:rFonts w:ascii="CG Times" w:hAnsi="CG Times"/>
          <w:sz w:val="24"/>
          <w:szCs w:val="24"/>
        </w:rPr>
        <w:t>behavior</w:t>
      </w:r>
      <w:proofErr w:type="spellEnd"/>
      <w:r w:rsidRPr="00107AE0">
        <w:rPr>
          <w:rFonts w:ascii="CG Times" w:hAnsi="CG Times"/>
          <w:sz w:val="24"/>
          <w:szCs w:val="24"/>
        </w:rPr>
        <w:t xml:space="preserve">.  Consumers, when asked an abstract question like their response to a ten </w:t>
      </w:r>
      <w:proofErr w:type="spellStart"/>
      <w:r w:rsidRPr="00107AE0">
        <w:rPr>
          <w:rFonts w:ascii="CG Times" w:hAnsi="CG Times"/>
          <w:sz w:val="24"/>
          <w:szCs w:val="24"/>
        </w:rPr>
        <w:t>percent</w:t>
      </w:r>
      <w:proofErr w:type="spellEnd"/>
      <w:r w:rsidRPr="00107AE0">
        <w:rPr>
          <w:rFonts w:ascii="CG Times" w:hAnsi="CG Times"/>
          <w:sz w:val="24"/>
          <w:szCs w:val="24"/>
        </w:rPr>
        <w:t xml:space="preserve"> price increase, may instead answer a simpler question, such as how much do they like or value the merging parties</w:t>
      </w:r>
      <w:r w:rsidRPr="00107AE0">
        <w:rPr>
          <w:rFonts w:ascii="CG Times" w:hAnsi="CG Times" w:hint="eastAsia"/>
          <w:sz w:val="24"/>
          <w:szCs w:val="24"/>
        </w:rPr>
        <w:t>’</w:t>
      </w:r>
      <w:r w:rsidRPr="00107AE0">
        <w:rPr>
          <w:rFonts w:ascii="CG Times" w:hAnsi="CG Times"/>
          <w:sz w:val="24"/>
          <w:szCs w:val="24"/>
        </w:rPr>
        <w:t xml:space="preserve"> products or services.</w:t>
      </w:r>
    </w:p>
    <w:p w14:paraId="1509AE04" w14:textId="0C0AA00B" w:rsidR="005B2331" w:rsidRPr="0050262C" w:rsidRDefault="005B2331"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t xml:space="preserve">Finally, for mergers involving ordinary household goods, such as bread or facial tissue, data of past consumer </w:t>
      </w:r>
      <w:r>
        <w:rPr>
          <w:rFonts w:ascii="CG Times" w:hAnsi="CG Times" w:hint="eastAsia"/>
          <w:sz w:val="24"/>
          <w:szCs w:val="24"/>
        </w:rPr>
        <w:t>behaviour</w:t>
      </w:r>
      <w:r>
        <w:rPr>
          <w:rFonts w:ascii="CG Times" w:hAnsi="CG Times"/>
          <w:sz w:val="24"/>
          <w:szCs w:val="24"/>
          <w:lang w:val="en-US"/>
        </w:rPr>
        <w:t xml:space="preserve"> in response to relative changes of price will often be superior to survey data. The agency can examine how relative changes in the price of white bread affect demand for white bread and other types of bread.  But in industries where firms</w:t>
      </w:r>
      <w:r>
        <w:rPr>
          <w:rFonts w:ascii="CG Times" w:hAnsi="CG Times" w:hint="eastAsia"/>
          <w:sz w:val="24"/>
          <w:szCs w:val="24"/>
          <w:lang w:val="en-US"/>
        </w:rPr>
        <w:t xml:space="preserve"> shroud price increases by </w:t>
      </w:r>
      <w:r w:rsidR="00BE0836">
        <w:rPr>
          <w:rFonts w:ascii="CG Times" w:hAnsi="CG Times"/>
          <w:sz w:val="24"/>
          <w:szCs w:val="24"/>
          <w:lang w:val="en-US"/>
        </w:rPr>
        <w:t xml:space="preserve">needlessly </w:t>
      </w:r>
      <w:r>
        <w:rPr>
          <w:rFonts w:ascii="CG Times" w:hAnsi="CG Times" w:hint="eastAsia"/>
          <w:sz w:val="24"/>
          <w:szCs w:val="24"/>
          <w:lang w:val="en-US"/>
        </w:rPr>
        <w:t xml:space="preserve">increasing the complexity of price terms, </w:t>
      </w:r>
      <w:r w:rsidR="00BE0836">
        <w:rPr>
          <w:rFonts w:ascii="CG Times" w:hAnsi="CG Times"/>
          <w:sz w:val="24"/>
          <w:szCs w:val="24"/>
          <w:lang w:val="en-US"/>
        </w:rPr>
        <w:t>then that suggests consumers are already harmed in this market, and competition is not working in a way to deter such exploitation.</w:t>
      </w:r>
      <w:r w:rsidR="00BE0836">
        <w:rPr>
          <w:rStyle w:val="FootnoteReference"/>
          <w:rFonts w:ascii="CG Times" w:hAnsi="CG Times"/>
          <w:sz w:val="24"/>
          <w:szCs w:val="24"/>
          <w:lang w:val="en-US"/>
        </w:rPr>
        <w:footnoteReference w:id="55"/>
      </w:r>
      <w:r w:rsidR="00BE0836">
        <w:rPr>
          <w:rFonts w:ascii="CG Times" w:hAnsi="CG Times"/>
          <w:sz w:val="24"/>
          <w:szCs w:val="24"/>
          <w:lang w:val="en-US"/>
        </w:rPr>
        <w:t xml:space="preserve">  Asking how consumers would respond to a SSNIP is less relevant.</w:t>
      </w:r>
    </w:p>
    <w:p w14:paraId="10C3DC28" w14:textId="20409ADE" w:rsidR="0050262C" w:rsidRPr="0050262C" w:rsidRDefault="0050262C" w:rsidP="002623D1">
      <w:pPr>
        <w:pStyle w:val="Heading2"/>
        <w:tabs>
          <w:tab w:val="left" w:pos="432"/>
        </w:tabs>
      </w:pPr>
      <w:r w:rsidRPr="0050262C">
        <w:t>Prosecution of Cartels</w:t>
      </w:r>
    </w:p>
    <w:p w14:paraId="070A4D91" w14:textId="020BA9D8" w:rsidR="00FA3589" w:rsidRDefault="00EE5377" w:rsidP="00EE5377">
      <w:pPr>
        <w:pStyle w:val="Num-DocParagraph"/>
        <w:tabs>
          <w:tab w:val="left" w:pos="432"/>
          <w:tab w:val="left" w:pos="720"/>
        </w:tabs>
        <w:spacing w:line="360" w:lineRule="auto"/>
        <w:rPr>
          <w:rFonts w:ascii="CG Times" w:hAnsi="CG Times"/>
          <w:sz w:val="24"/>
          <w:szCs w:val="24"/>
          <w:lang w:val="en-US"/>
        </w:rPr>
      </w:pPr>
      <w:r>
        <w:rPr>
          <w:rFonts w:ascii="CG Times" w:hAnsi="CG Times"/>
          <w:sz w:val="24"/>
          <w:szCs w:val="24"/>
        </w:rPr>
        <w:tab/>
        <w:t xml:space="preserve">Unlike merger review, the agencies and courts often do not have to predict the competitive effects of an agreement among competitors to fix prices, allocate bids, or allocate markets.  </w:t>
      </w:r>
      <w:r>
        <w:rPr>
          <w:rFonts w:ascii="CG Times" w:hAnsi="CG Times" w:hint="eastAsia"/>
          <w:sz w:val="24"/>
          <w:szCs w:val="24"/>
        </w:rPr>
        <w:t>Deemed “</w:t>
      </w:r>
      <w:r>
        <w:rPr>
          <w:rFonts w:ascii="CG Times" w:hAnsi="CG Times"/>
          <w:sz w:val="24"/>
          <w:szCs w:val="24"/>
          <w:lang w:val="en-US"/>
        </w:rPr>
        <w:t>naked</w:t>
      </w:r>
      <w:r>
        <w:rPr>
          <w:rFonts w:ascii="CG Times" w:hAnsi="CG Times" w:hint="eastAsia"/>
          <w:sz w:val="24"/>
          <w:szCs w:val="24"/>
          <w:lang w:val="en-US"/>
        </w:rPr>
        <w:t>”</w:t>
      </w:r>
      <w:r>
        <w:rPr>
          <w:rFonts w:ascii="CG Times" w:hAnsi="CG Times"/>
          <w:sz w:val="24"/>
          <w:szCs w:val="24"/>
          <w:lang w:val="en-US"/>
        </w:rPr>
        <w:t xml:space="preserve"> constraints of trade, such horizontal agreement are condemned as per se illegal, without regard to whether the cartel members were successful or unsuccessful.  The illegality inheres in the agreement.  </w:t>
      </w:r>
      <w:r w:rsidR="00FA3589">
        <w:rPr>
          <w:rFonts w:ascii="CG Times" w:hAnsi="CG Times"/>
          <w:sz w:val="24"/>
          <w:szCs w:val="24"/>
          <w:lang w:val="en-US"/>
        </w:rPr>
        <w:t xml:space="preserve">Courts and agencies have long ago rejected as defenses that the fixed prices were reasonable or whether competition was fair.  </w:t>
      </w:r>
      <w:r>
        <w:rPr>
          <w:rFonts w:ascii="CG Times" w:hAnsi="CG Times"/>
          <w:sz w:val="24"/>
          <w:szCs w:val="24"/>
          <w:lang w:val="en-US"/>
        </w:rPr>
        <w:t xml:space="preserve">Because the agencies and court </w:t>
      </w:r>
      <w:r w:rsidR="00FA3589">
        <w:rPr>
          <w:rFonts w:ascii="CG Times" w:hAnsi="CG Times"/>
          <w:sz w:val="24"/>
          <w:szCs w:val="24"/>
          <w:lang w:val="en-US"/>
        </w:rPr>
        <w:t xml:space="preserve">do not </w:t>
      </w:r>
      <w:r>
        <w:rPr>
          <w:rFonts w:ascii="CG Times" w:hAnsi="CG Times"/>
          <w:sz w:val="24"/>
          <w:szCs w:val="24"/>
          <w:lang w:val="en-US"/>
        </w:rPr>
        <w:t xml:space="preserve">predict the </w:t>
      </w:r>
      <w:r w:rsidR="00FA3589">
        <w:rPr>
          <w:rFonts w:ascii="CG Times" w:hAnsi="CG Times"/>
          <w:sz w:val="24"/>
          <w:szCs w:val="24"/>
          <w:lang w:val="en-US"/>
        </w:rPr>
        <w:lastRenderedPageBreak/>
        <w:t>cartel</w:t>
      </w:r>
      <w:r w:rsidR="00FA3589">
        <w:rPr>
          <w:rFonts w:ascii="CG Times" w:hAnsi="CG Times" w:hint="eastAsia"/>
          <w:sz w:val="24"/>
          <w:szCs w:val="24"/>
          <w:lang w:val="en-US"/>
        </w:rPr>
        <w:t>’</w:t>
      </w:r>
      <w:r w:rsidR="00FA3589">
        <w:rPr>
          <w:rFonts w:ascii="CG Times" w:hAnsi="CG Times"/>
          <w:sz w:val="24"/>
          <w:szCs w:val="24"/>
          <w:lang w:val="en-US"/>
        </w:rPr>
        <w:t xml:space="preserve">s </w:t>
      </w:r>
      <w:r>
        <w:rPr>
          <w:rFonts w:ascii="CG Times" w:hAnsi="CG Times"/>
          <w:sz w:val="24"/>
          <w:szCs w:val="24"/>
          <w:lang w:val="en-US"/>
        </w:rPr>
        <w:t>competitive effects, economic theory</w:t>
      </w:r>
      <w:r w:rsidR="00FA3589">
        <w:rPr>
          <w:rFonts w:ascii="CG Times" w:hAnsi="CG Times"/>
          <w:sz w:val="24"/>
          <w:szCs w:val="24"/>
          <w:lang w:val="en-US"/>
        </w:rPr>
        <w:t xml:space="preserve"> generally does not play a significant role in criminal price-fixing trials. </w:t>
      </w:r>
    </w:p>
    <w:p w14:paraId="44E19D42" w14:textId="1F3EAC9E" w:rsidR="0050262C" w:rsidRPr="00EE5377" w:rsidRDefault="00FA3589" w:rsidP="00EE5377">
      <w:pPr>
        <w:pStyle w:val="Num-DocParagraph"/>
        <w:tabs>
          <w:tab w:val="left" w:pos="432"/>
          <w:tab w:val="left" w:pos="720"/>
        </w:tabs>
        <w:spacing w:line="360" w:lineRule="auto"/>
        <w:rPr>
          <w:rFonts w:ascii="CG Times" w:hAnsi="CG Times"/>
          <w:sz w:val="24"/>
          <w:szCs w:val="24"/>
          <w:lang w:val="en-US"/>
        </w:rPr>
      </w:pPr>
      <w:r>
        <w:rPr>
          <w:rFonts w:ascii="CG Times" w:hAnsi="CG Times"/>
          <w:sz w:val="24"/>
          <w:szCs w:val="24"/>
          <w:lang w:val="en-US"/>
        </w:rPr>
        <w:tab/>
        <w:t>Nonetheless, s</w:t>
      </w:r>
      <w:proofErr w:type="spellStart"/>
      <w:r w:rsidR="0050262C" w:rsidRPr="0050262C">
        <w:rPr>
          <w:rFonts w:ascii="CG Times" w:hAnsi="CG Times"/>
          <w:sz w:val="24"/>
          <w:szCs w:val="24"/>
        </w:rPr>
        <w:t>everal</w:t>
      </w:r>
      <w:proofErr w:type="spellEnd"/>
      <w:r w:rsidR="0050262C" w:rsidRPr="0050262C">
        <w:rPr>
          <w:rFonts w:ascii="CG Times" w:hAnsi="CG Times"/>
          <w:sz w:val="24"/>
          <w:szCs w:val="24"/>
        </w:rPr>
        <w:t xml:space="preserve"> assumptions underlie the neoclassical economic thinking on cartel prosecutions</w:t>
      </w:r>
      <w:r>
        <w:rPr>
          <w:rFonts w:ascii="CG Times" w:hAnsi="CG Times"/>
          <w:sz w:val="24"/>
          <w:szCs w:val="24"/>
        </w:rPr>
        <w:t>, which in turn affect antitrust policy</w:t>
      </w:r>
      <w:r w:rsidR="0050262C" w:rsidRPr="0050262C">
        <w:rPr>
          <w:rFonts w:ascii="CG Times" w:hAnsi="CG Times"/>
          <w:sz w:val="24"/>
          <w:szCs w:val="24"/>
        </w:rPr>
        <w:t>:</w:t>
      </w:r>
    </w:p>
    <w:p w14:paraId="1E5AC5B2"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0262C">
        <w:rPr>
          <w:rFonts w:ascii="CG Times" w:hAnsi="CG Times"/>
          <w:sz w:val="24"/>
          <w:szCs w:val="24"/>
        </w:rPr>
        <w:t>First, general deterrence of cartels (rather than specific deterrence, retribution, incapacitation, and rehabilitation) is the aim for competition authorities.</w:t>
      </w:r>
    </w:p>
    <w:p w14:paraId="1B5EF38A"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0262C">
        <w:rPr>
          <w:rFonts w:ascii="CG Times" w:hAnsi="CG Times"/>
          <w:sz w:val="24"/>
          <w:szCs w:val="24"/>
        </w:rPr>
        <w:t>Second, executives behave as rational, profit-</w:t>
      </w:r>
      <w:proofErr w:type="spellStart"/>
      <w:r w:rsidRPr="0050262C">
        <w:rPr>
          <w:rFonts w:ascii="CG Times" w:hAnsi="CG Times"/>
          <w:sz w:val="24"/>
          <w:szCs w:val="24"/>
        </w:rPr>
        <w:t>maximizers</w:t>
      </w:r>
      <w:proofErr w:type="spellEnd"/>
      <w:r w:rsidRPr="0050262C">
        <w:rPr>
          <w:rFonts w:ascii="CG Times" w:hAnsi="CG Times"/>
          <w:sz w:val="24"/>
          <w:szCs w:val="24"/>
        </w:rPr>
        <w:t>, in conducting a cost–benefit analysis to see if the expected gains from participating in the cartel are worth the costs, which include the magnitude of likely punishment discounted by the probability of cartel prosecution.</w:t>
      </w:r>
    </w:p>
    <w:p w14:paraId="24B1BF9D" w14:textId="77777777" w:rsidR="0050262C" w:rsidRPr="0050262C" w:rsidRDefault="0050262C" w:rsidP="002623D1">
      <w:pPr>
        <w:pStyle w:val="ListBullet"/>
        <w:tabs>
          <w:tab w:val="clear" w:pos="850"/>
          <w:tab w:val="left" w:pos="432"/>
          <w:tab w:val="left" w:pos="720"/>
          <w:tab w:val="num" w:pos="1258"/>
        </w:tabs>
        <w:ind w:left="408"/>
        <w:rPr>
          <w:rFonts w:ascii="CG Times" w:hAnsi="CG Times"/>
          <w:sz w:val="24"/>
          <w:szCs w:val="24"/>
        </w:rPr>
      </w:pPr>
      <w:r w:rsidRPr="0050262C">
        <w:rPr>
          <w:rFonts w:ascii="CG Times" w:hAnsi="CG Times"/>
          <w:sz w:val="24"/>
          <w:szCs w:val="24"/>
        </w:rPr>
        <w:t>Third, to optimally deter cartels, a rational prosecutor would seek, and the court would impose, the optimal penalty, which equals the violation’s expected net harm to others (plus enforcement costs) divided by the probability of detection and successful prosecution.</w:t>
      </w:r>
    </w:p>
    <w:p w14:paraId="5210B2A4" w14:textId="62F836B9" w:rsidR="0050262C" w:rsidRPr="0050262C" w:rsidRDefault="0050262C"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Pr="0050262C">
        <w:rPr>
          <w:rFonts w:ascii="CG Times" w:hAnsi="CG Times"/>
          <w:sz w:val="24"/>
          <w:szCs w:val="24"/>
        </w:rPr>
        <w:t>Setting the antitrust fine at the optimal level, neoclassical theory predicts, would result in the socially optimal level of price-fixing. Despite (</w:t>
      </w:r>
      <w:proofErr w:type="spellStart"/>
      <w:r w:rsidRPr="0050262C">
        <w:rPr>
          <w:rFonts w:ascii="CG Times" w:hAnsi="CG Times"/>
          <w:sz w:val="24"/>
          <w:szCs w:val="24"/>
        </w:rPr>
        <w:t>i</w:t>
      </w:r>
      <w:proofErr w:type="spellEnd"/>
      <w:r w:rsidRPr="0050262C">
        <w:rPr>
          <w:rFonts w:ascii="CG Times" w:hAnsi="CG Times"/>
          <w:sz w:val="24"/>
          <w:szCs w:val="24"/>
        </w:rPr>
        <w:t xml:space="preserve">) escalating criminal and civil fines in the U.S. (and abroad); (ii) treble private civil damages; (iii) longer jail sentences; and </w:t>
      </w:r>
      <w:proofErr w:type="gramStart"/>
      <w:r w:rsidRPr="0050262C">
        <w:rPr>
          <w:rFonts w:ascii="CG Times" w:hAnsi="CG Times"/>
          <w:sz w:val="24"/>
          <w:szCs w:val="24"/>
        </w:rPr>
        <w:t>(iv) a</w:t>
      </w:r>
      <w:proofErr w:type="gramEnd"/>
      <w:r w:rsidRPr="0050262C">
        <w:rPr>
          <w:rFonts w:ascii="CG Times" w:hAnsi="CG Times"/>
          <w:sz w:val="24"/>
          <w:szCs w:val="24"/>
        </w:rPr>
        <w:t xml:space="preserve"> generous leniency program, the U.S. has not reached optimal deterrence.</w:t>
      </w:r>
      <w:r w:rsidRPr="0050262C">
        <w:rPr>
          <w:rStyle w:val="FootnoteReference"/>
          <w:rFonts w:ascii="CG Times" w:hAnsi="CG Times"/>
          <w:sz w:val="24"/>
          <w:szCs w:val="24"/>
        </w:rPr>
        <w:footnoteReference w:id="56"/>
      </w:r>
      <w:r w:rsidRPr="0050262C">
        <w:rPr>
          <w:rFonts w:ascii="CG Times" w:hAnsi="CG Times"/>
          <w:sz w:val="24"/>
          <w:szCs w:val="24"/>
        </w:rPr>
        <w:t xml:space="preserve"> Therefore, before the U.S. responds with greater fines and jail sentences, it makes sense to evaluate the assumptions underlying optimal deterrence theory, and consider how the </w:t>
      </w:r>
      <w:proofErr w:type="spellStart"/>
      <w:r w:rsidRPr="0050262C">
        <w:rPr>
          <w:rFonts w:ascii="CG Times" w:hAnsi="CG Times"/>
          <w:sz w:val="24"/>
          <w:szCs w:val="24"/>
        </w:rPr>
        <w:t>behavioral</w:t>
      </w:r>
      <w:proofErr w:type="spellEnd"/>
      <w:r w:rsidRPr="0050262C">
        <w:rPr>
          <w:rFonts w:ascii="CG Times" w:hAnsi="CG Times"/>
          <w:sz w:val="24"/>
          <w:szCs w:val="24"/>
        </w:rPr>
        <w:t xml:space="preserve"> economics literature might shed light on achieving general deterrence.</w:t>
      </w:r>
      <w:r w:rsidRPr="0050262C">
        <w:rPr>
          <w:rStyle w:val="FootnoteReference"/>
          <w:rFonts w:ascii="CG Times" w:hAnsi="CG Times"/>
          <w:sz w:val="24"/>
          <w:szCs w:val="24"/>
        </w:rPr>
        <w:footnoteReference w:id="57"/>
      </w:r>
    </w:p>
    <w:p w14:paraId="65A217CA" w14:textId="3D8C68F6" w:rsidR="0050262C" w:rsidRPr="0050262C" w:rsidRDefault="0050262C"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lastRenderedPageBreak/>
        <w:tab/>
      </w:r>
      <w:r w:rsidRPr="0050262C">
        <w:rPr>
          <w:rFonts w:ascii="CG Times" w:hAnsi="CG Times"/>
          <w:sz w:val="24"/>
          <w:szCs w:val="24"/>
        </w:rPr>
        <w:t>Both dispositional traits and situational factors can affect the decision to join and remain in a price-fixing cartel. Dispositional factors refer to “inherent personal qualities that lead to the action: genetic makeup, personality traits, character, free will, and other dispositions.”</w:t>
      </w:r>
      <w:bookmarkStart w:id="7" w:name="_Ref199566620"/>
      <w:r w:rsidRPr="0050262C">
        <w:rPr>
          <w:rStyle w:val="FootnoteReference"/>
          <w:rFonts w:ascii="CG Times" w:hAnsi="CG Times"/>
          <w:sz w:val="24"/>
          <w:szCs w:val="24"/>
        </w:rPr>
        <w:footnoteReference w:id="58"/>
      </w:r>
      <w:bookmarkEnd w:id="7"/>
      <w:r w:rsidRPr="0050262C">
        <w:rPr>
          <w:rFonts w:ascii="CG Times" w:hAnsi="CG Times"/>
          <w:sz w:val="24"/>
          <w:szCs w:val="24"/>
        </w:rPr>
        <w:t xml:space="preserve"> Several biases and heuristics skew the price-fixer’s cost-benefit analysis. Under neoclassical theory, sunk costs should not affect the profit-</w:t>
      </w:r>
      <w:proofErr w:type="spellStart"/>
      <w:r w:rsidRPr="0050262C">
        <w:rPr>
          <w:rFonts w:ascii="CG Times" w:hAnsi="CG Times"/>
          <w:sz w:val="24"/>
          <w:szCs w:val="24"/>
        </w:rPr>
        <w:t>maximiser’s</w:t>
      </w:r>
      <w:proofErr w:type="spellEnd"/>
      <w:r w:rsidRPr="0050262C">
        <w:rPr>
          <w:rFonts w:ascii="CG Times" w:hAnsi="CG Times"/>
          <w:sz w:val="24"/>
          <w:szCs w:val="24"/>
        </w:rPr>
        <w:t xml:space="preserve"> decisions (such as feeling obligated to go to the theatre on a particular night, after purchasing a season subscription). Sunk costs, however, do influence decision-making.</w:t>
      </w:r>
      <w:bookmarkStart w:id="8" w:name="_Ref199566652"/>
      <w:r w:rsidRPr="0050262C">
        <w:rPr>
          <w:rStyle w:val="FootnoteReference"/>
          <w:rFonts w:ascii="CG Times" w:hAnsi="CG Times"/>
          <w:sz w:val="24"/>
          <w:szCs w:val="24"/>
        </w:rPr>
        <w:footnoteReference w:id="59"/>
      </w:r>
      <w:bookmarkEnd w:id="8"/>
      <w:r w:rsidRPr="0050262C">
        <w:rPr>
          <w:rFonts w:ascii="CG Times" w:hAnsi="CG Times"/>
          <w:sz w:val="24"/>
          <w:szCs w:val="24"/>
        </w:rPr>
        <w:t xml:space="preserve"> Thus the cost–benefit analysis may differ when an executive decides to (a) join, versus (b) continue in, the price-fixing cartel. Criminals, at times, suffer bounded willpower and knowingly, and contrary to their long-term interests, seek an immediate benefit with deferred costs. Another issue is overconfidence bias, whereby price-fixers overestimate their skills and ability to avoid detection. Price-fixers may suffer from the availability heuristic. Executives, like ordinary citizens, may overestimate the likelihood of incidents that come readily to mind (like homicides) and underestimate the likelihood of less salient events (like deaths from diabetes and stomach cancer or cartel prosecutions).</w:t>
      </w:r>
    </w:p>
    <w:p w14:paraId="167794E6" w14:textId="72E09413" w:rsidR="0050262C" w:rsidRPr="0050262C" w:rsidRDefault="0050262C"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Pr="0050262C">
        <w:rPr>
          <w:rFonts w:ascii="CG Times" w:hAnsi="CG Times"/>
          <w:sz w:val="24"/>
          <w:szCs w:val="24"/>
        </w:rPr>
        <w:t xml:space="preserve">Second, situational factors, which refer to factors outside the actor that generate the </w:t>
      </w:r>
      <w:proofErr w:type="spellStart"/>
      <w:r w:rsidRPr="0050262C">
        <w:rPr>
          <w:rFonts w:ascii="CG Times" w:hAnsi="CG Times"/>
          <w:sz w:val="24"/>
          <w:szCs w:val="24"/>
        </w:rPr>
        <w:t>behavior</w:t>
      </w:r>
      <w:proofErr w:type="spellEnd"/>
      <w:r w:rsidRPr="0050262C">
        <w:rPr>
          <w:rFonts w:ascii="CG Times" w:hAnsi="CG Times"/>
          <w:sz w:val="24"/>
          <w:szCs w:val="24"/>
        </w:rPr>
        <w:t xml:space="preserve">, may foster or impede an executive’s willingness to join a price-fixing conspiracy. One observed bias is the fundamental attribution error, when one over-values dispositional or personality-based </w:t>
      </w:r>
      <w:proofErr w:type="gramStart"/>
      <w:r w:rsidRPr="0050262C">
        <w:rPr>
          <w:rFonts w:ascii="CG Times" w:hAnsi="CG Times"/>
          <w:sz w:val="24"/>
          <w:szCs w:val="24"/>
        </w:rPr>
        <w:t>explanations</w:t>
      </w:r>
      <w:proofErr w:type="gramEnd"/>
      <w:r w:rsidRPr="0050262C">
        <w:rPr>
          <w:rFonts w:ascii="CG Times" w:hAnsi="CG Times"/>
          <w:sz w:val="24"/>
          <w:szCs w:val="24"/>
        </w:rPr>
        <w:t xml:space="preserve"> for other people’s observed </w:t>
      </w:r>
      <w:proofErr w:type="spellStart"/>
      <w:r w:rsidRPr="0050262C">
        <w:rPr>
          <w:rFonts w:ascii="CG Times" w:hAnsi="CG Times"/>
          <w:sz w:val="24"/>
          <w:szCs w:val="24"/>
        </w:rPr>
        <w:t>behavior</w:t>
      </w:r>
      <w:proofErr w:type="spellEnd"/>
      <w:r w:rsidRPr="0050262C">
        <w:rPr>
          <w:rFonts w:ascii="CG Times" w:hAnsi="CG Times"/>
          <w:sz w:val="24"/>
          <w:szCs w:val="24"/>
        </w:rPr>
        <w:t xml:space="preserve"> while undervaluing situational explanations for the </w:t>
      </w:r>
      <w:proofErr w:type="spellStart"/>
      <w:r w:rsidRPr="0050262C">
        <w:rPr>
          <w:rFonts w:ascii="CG Times" w:hAnsi="CG Times"/>
          <w:sz w:val="24"/>
          <w:szCs w:val="24"/>
        </w:rPr>
        <w:t>behavior</w:t>
      </w:r>
      <w:proofErr w:type="spellEnd"/>
      <w:r w:rsidRPr="0050262C">
        <w:rPr>
          <w:rFonts w:ascii="CG Times" w:hAnsi="CG Times"/>
          <w:sz w:val="24"/>
          <w:szCs w:val="24"/>
        </w:rPr>
        <w:t xml:space="preserve">. People make “decision errors that not only harm others, but are inconsistent with their own consciously </w:t>
      </w:r>
      <w:r w:rsidRPr="0050262C">
        <w:rPr>
          <w:rFonts w:ascii="CG Times" w:hAnsi="CG Times"/>
          <w:sz w:val="24"/>
          <w:szCs w:val="24"/>
        </w:rPr>
        <w:lastRenderedPageBreak/>
        <w:t>espoused beliefs and preferences—decisions they would condemn upon further reflection or greater awareness.”</w:t>
      </w:r>
      <w:r w:rsidRPr="0050262C">
        <w:rPr>
          <w:rStyle w:val="FootnoteReference"/>
          <w:rFonts w:ascii="CG Times" w:hAnsi="CG Times"/>
          <w:sz w:val="24"/>
          <w:szCs w:val="24"/>
        </w:rPr>
        <w:footnoteReference w:id="60"/>
      </w:r>
      <w:r w:rsidRPr="0050262C">
        <w:rPr>
          <w:rFonts w:ascii="CG Times" w:hAnsi="CG Times"/>
          <w:sz w:val="24"/>
          <w:szCs w:val="24"/>
        </w:rPr>
        <w:t xml:space="preserve"> Do we largely attribute criminal </w:t>
      </w:r>
      <w:proofErr w:type="spellStart"/>
      <w:r w:rsidRPr="0050262C">
        <w:rPr>
          <w:rFonts w:ascii="CG Times" w:hAnsi="CG Times"/>
          <w:sz w:val="24"/>
          <w:szCs w:val="24"/>
        </w:rPr>
        <w:t>behavior</w:t>
      </w:r>
      <w:proofErr w:type="spellEnd"/>
      <w:r w:rsidRPr="0050262C">
        <w:rPr>
          <w:rFonts w:ascii="CG Times" w:hAnsi="CG Times"/>
          <w:sz w:val="24"/>
          <w:szCs w:val="24"/>
        </w:rPr>
        <w:t xml:space="preserve"> to some dispositional flaw, which fortunately neither you nor I have?</w:t>
      </w:r>
    </w:p>
    <w:p w14:paraId="04980058" w14:textId="36925BB1" w:rsidR="0050262C" w:rsidRPr="0050262C" w:rsidRDefault="0050262C"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Pr="0050262C">
        <w:rPr>
          <w:rFonts w:ascii="CG Times" w:hAnsi="CG Times"/>
          <w:sz w:val="24"/>
          <w:szCs w:val="24"/>
        </w:rPr>
        <w:t>One situational factor that fosters criminality is to begin with a “small, seemingly insignificant first step, the easy ‘foot in the door’ that swings open subsequent greater compliance pressures, and leads down a slippery slope.”</w:t>
      </w:r>
      <w:r w:rsidRPr="0050262C">
        <w:rPr>
          <w:rStyle w:val="FootnoteReference"/>
          <w:rFonts w:ascii="CG Times" w:hAnsi="CG Times"/>
          <w:sz w:val="24"/>
          <w:szCs w:val="24"/>
        </w:rPr>
        <w:footnoteReference w:id="61"/>
      </w:r>
      <w:r w:rsidRPr="0050262C">
        <w:rPr>
          <w:rFonts w:ascii="CG Times" w:hAnsi="CG Times"/>
          <w:sz w:val="24"/>
          <w:szCs w:val="24"/>
        </w:rPr>
        <w:t xml:space="preserve"> In Stanley </w:t>
      </w:r>
      <w:proofErr w:type="spellStart"/>
      <w:r w:rsidRPr="0050262C">
        <w:rPr>
          <w:rFonts w:ascii="CG Times" w:hAnsi="CG Times"/>
          <w:sz w:val="24"/>
          <w:szCs w:val="24"/>
        </w:rPr>
        <w:t>Milgram’s</w:t>
      </w:r>
      <w:proofErr w:type="spellEnd"/>
      <w:r w:rsidRPr="0050262C">
        <w:rPr>
          <w:rFonts w:ascii="CG Times" w:hAnsi="CG Times"/>
          <w:sz w:val="24"/>
          <w:szCs w:val="24"/>
        </w:rPr>
        <w:t xml:space="preserve"> famous experiment, the first steps were seemingly innocuous: a supposed mild 15 volt shock, which was less than the slight tingly pain from the 45 volt sample shock each teacher-participant received.</w:t>
      </w:r>
      <w:r w:rsidRPr="0050262C">
        <w:rPr>
          <w:rStyle w:val="FootnoteReference"/>
          <w:rFonts w:ascii="CG Times" w:hAnsi="CG Times"/>
          <w:sz w:val="24"/>
          <w:szCs w:val="24"/>
        </w:rPr>
        <w:footnoteReference w:id="62"/>
      </w:r>
    </w:p>
    <w:p w14:paraId="5651D9B4" w14:textId="1C90200E" w:rsidR="0050262C" w:rsidRPr="0050262C" w:rsidRDefault="0050262C"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Pr="0050262C">
        <w:rPr>
          <w:rFonts w:ascii="CG Times" w:hAnsi="CG Times"/>
          <w:sz w:val="24"/>
          <w:szCs w:val="24"/>
        </w:rPr>
        <w:t>The competition agencies typically do not report how cartels originated, so it is unknown what percentage of cartels originated in smoke-filled rooms versus gradually out of social networks.</w:t>
      </w:r>
      <w:r w:rsidRPr="0050262C">
        <w:rPr>
          <w:rStyle w:val="FootnoteReference"/>
          <w:rFonts w:ascii="CG Times" w:hAnsi="CG Times"/>
          <w:sz w:val="24"/>
          <w:szCs w:val="24"/>
        </w:rPr>
        <w:footnoteReference w:id="63"/>
      </w:r>
      <w:r w:rsidRPr="0050262C">
        <w:rPr>
          <w:rFonts w:ascii="CG Times" w:hAnsi="CG Times"/>
          <w:sz w:val="24"/>
          <w:szCs w:val="24"/>
        </w:rPr>
        <w:t xml:space="preserve"> A price fixing conspiracy can begin with friends sharing helpful pieces of </w:t>
      </w:r>
      <w:proofErr w:type="gramStart"/>
      <w:r w:rsidRPr="0050262C">
        <w:rPr>
          <w:rFonts w:ascii="CG Times" w:hAnsi="CG Times"/>
          <w:sz w:val="24"/>
          <w:szCs w:val="24"/>
        </w:rPr>
        <w:t>competitively-sensitive</w:t>
      </w:r>
      <w:proofErr w:type="gramEnd"/>
      <w:r w:rsidRPr="0050262C">
        <w:rPr>
          <w:rFonts w:ascii="CG Times" w:hAnsi="CG Times"/>
          <w:sz w:val="24"/>
          <w:szCs w:val="24"/>
        </w:rPr>
        <w:t xml:space="preserve"> information. For example, managers in the Sydney hotel industry, as part of their friendships, regularly shared competitive information about price and occupancy.</w:t>
      </w:r>
      <w:r w:rsidRPr="0050262C">
        <w:rPr>
          <w:rStyle w:val="FootnoteReference"/>
          <w:rFonts w:ascii="CG Times" w:hAnsi="CG Times"/>
          <w:sz w:val="24"/>
          <w:szCs w:val="24"/>
        </w:rPr>
        <w:footnoteReference w:id="64"/>
      </w:r>
      <w:r w:rsidRPr="0050262C">
        <w:rPr>
          <w:rFonts w:ascii="CG Times" w:hAnsi="CG Times"/>
          <w:sz w:val="24"/>
          <w:szCs w:val="24"/>
        </w:rPr>
        <w:t xml:space="preserve"> Although the authors did not find any evidence of </w:t>
      </w:r>
      <w:r w:rsidRPr="0050262C">
        <w:rPr>
          <w:rFonts w:ascii="CG Times" w:hAnsi="CG Times"/>
          <w:sz w:val="24"/>
          <w:szCs w:val="24"/>
        </w:rPr>
        <w:lastRenderedPageBreak/>
        <w:t xml:space="preserve">explicit collusion, they did find a norm within this social group against </w:t>
      </w:r>
      <w:proofErr w:type="gramStart"/>
      <w:r w:rsidRPr="0050262C">
        <w:rPr>
          <w:rFonts w:ascii="CG Times" w:hAnsi="CG Times"/>
          <w:sz w:val="24"/>
          <w:szCs w:val="24"/>
        </w:rPr>
        <w:t>price cutting</w:t>
      </w:r>
      <w:proofErr w:type="gramEnd"/>
      <w:r w:rsidRPr="0050262C">
        <w:rPr>
          <w:rFonts w:ascii="CG Times" w:hAnsi="CG Times"/>
          <w:sz w:val="24"/>
          <w:szCs w:val="24"/>
        </w:rPr>
        <w:t>.</w:t>
      </w:r>
    </w:p>
    <w:p w14:paraId="1D19AEE7" w14:textId="562F0682" w:rsidR="0050262C" w:rsidRPr="0050262C" w:rsidRDefault="0050262C"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Pr="0050262C">
        <w:rPr>
          <w:rFonts w:ascii="CG Times" w:hAnsi="CG Times"/>
          <w:sz w:val="24"/>
          <w:szCs w:val="24"/>
        </w:rPr>
        <w:t>Besides considering situational and dispositional factors that foster price-fixing, the competition authorities can consider the factors that promote the cartel’s durability. Many conspiracies, including those with eleven or more conspirators, can last years, if not decades.</w:t>
      </w:r>
      <w:bookmarkStart w:id="9" w:name="_Ref199566709"/>
      <w:r w:rsidRPr="0050262C">
        <w:rPr>
          <w:rStyle w:val="FootnoteReference"/>
          <w:rFonts w:ascii="CG Times" w:hAnsi="CG Times"/>
          <w:sz w:val="24"/>
          <w:szCs w:val="24"/>
        </w:rPr>
        <w:footnoteReference w:id="65"/>
      </w:r>
      <w:bookmarkEnd w:id="9"/>
      <w:r w:rsidRPr="0050262C">
        <w:rPr>
          <w:rFonts w:ascii="CG Times" w:hAnsi="CG Times"/>
          <w:sz w:val="24"/>
          <w:szCs w:val="24"/>
        </w:rPr>
        <w:t xml:space="preserve"> The average duration of international cartels successfully prosecuted between 1983 and 1994 was approximately 90 months; the average duration declined below 80 months for the period 1995 to 1999, and trended upward to nearly 90 months for the period 2005 to 2008.</w:t>
      </w:r>
      <w:r w:rsidRPr="0050262C">
        <w:rPr>
          <w:rStyle w:val="FootnoteReference"/>
          <w:rFonts w:ascii="CG Times" w:hAnsi="CG Times"/>
          <w:sz w:val="24"/>
          <w:szCs w:val="24"/>
        </w:rPr>
        <w:footnoteReference w:id="66"/>
      </w:r>
      <w:r w:rsidRPr="0050262C">
        <w:rPr>
          <w:rFonts w:ascii="CG Times" w:hAnsi="CG Times"/>
          <w:sz w:val="24"/>
          <w:szCs w:val="24"/>
        </w:rPr>
        <w:t xml:space="preserve"> </w:t>
      </w:r>
    </w:p>
    <w:p w14:paraId="7D578598" w14:textId="2312E351" w:rsidR="0050262C" w:rsidRPr="0050262C" w:rsidRDefault="0050262C" w:rsidP="002623D1">
      <w:pPr>
        <w:pStyle w:val="Num-DocParagraph"/>
        <w:tabs>
          <w:tab w:val="left" w:pos="432"/>
          <w:tab w:val="left" w:pos="720"/>
        </w:tabs>
        <w:spacing w:line="360" w:lineRule="auto"/>
        <w:rPr>
          <w:rFonts w:ascii="CG Times" w:hAnsi="CG Times"/>
          <w:color w:val="000000"/>
          <w:sz w:val="24"/>
          <w:szCs w:val="24"/>
        </w:rPr>
      </w:pPr>
      <w:r>
        <w:rPr>
          <w:rFonts w:ascii="CG Times" w:hAnsi="CG Times"/>
          <w:sz w:val="24"/>
          <w:szCs w:val="24"/>
        </w:rPr>
        <w:tab/>
      </w:r>
      <w:r w:rsidRPr="0050262C">
        <w:rPr>
          <w:rFonts w:ascii="CG Times" w:hAnsi="CG Times"/>
          <w:sz w:val="24"/>
          <w:szCs w:val="24"/>
        </w:rPr>
        <w:t xml:space="preserve">Why are cartels more durable than neoclassical economic theory predicts? One answer may lie in the </w:t>
      </w:r>
      <w:proofErr w:type="spellStart"/>
      <w:r w:rsidRPr="0050262C">
        <w:rPr>
          <w:rFonts w:ascii="CG Times" w:hAnsi="CG Times"/>
          <w:sz w:val="24"/>
          <w:szCs w:val="24"/>
        </w:rPr>
        <w:t>behavioral</w:t>
      </w:r>
      <w:proofErr w:type="spellEnd"/>
      <w:r w:rsidRPr="0050262C">
        <w:rPr>
          <w:rFonts w:ascii="CG Times" w:hAnsi="CG Times"/>
          <w:sz w:val="24"/>
          <w:szCs w:val="24"/>
        </w:rPr>
        <w:t xml:space="preserve"> economics research: namely, price fixers, like the test subjects in other experiments, may be more trusting and co-operative than neoclassical theory predicts. As the </w:t>
      </w:r>
      <w:proofErr w:type="spellStart"/>
      <w:r w:rsidRPr="0050262C">
        <w:rPr>
          <w:rFonts w:ascii="CG Times" w:hAnsi="CG Times"/>
          <w:sz w:val="24"/>
          <w:szCs w:val="24"/>
        </w:rPr>
        <w:t>behavioral</w:t>
      </w:r>
      <w:proofErr w:type="spellEnd"/>
      <w:r w:rsidRPr="0050262C">
        <w:rPr>
          <w:rFonts w:ascii="CG Times" w:hAnsi="CG Times"/>
          <w:sz w:val="24"/>
          <w:szCs w:val="24"/>
        </w:rPr>
        <w:t xml:space="preserve"> experiments show, where trust will lead to more </w:t>
      </w:r>
      <w:proofErr w:type="spellStart"/>
      <w:r w:rsidRPr="0050262C">
        <w:rPr>
          <w:rFonts w:ascii="CG Times" w:hAnsi="CG Times"/>
          <w:sz w:val="24"/>
          <w:szCs w:val="24"/>
        </w:rPr>
        <w:t>favorable</w:t>
      </w:r>
      <w:proofErr w:type="spellEnd"/>
      <w:r w:rsidRPr="0050262C">
        <w:rPr>
          <w:rFonts w:ascii="CG Times" w:hAnsi="CG Times"/>
          <w:sz w:val="24"/>
          <w:szCs w:val="24"/>
        </w:rPr>
        <w:t xml:space="preserve"> outcomes, people tend to trust at a higher level than if all are operating under a traditional game theory.</w:t>
      </w:r>
      <w:r w:rsidRPr="0050262C">
        <w:rPr>
          <w:rStyle w:val="FootnoteReference"/>
          <w:rFonts w:ascii="CG Times" w:hAnsi="CG Times"/>
          <w:sz w:val="24"/>
          <w:szCs w:val="24"/>
        </w:rPr>
        <w:footnoteReference w:id="67"/>
      </w:r>
      <w:r w:rsidRPr="0050262C">
        <w:rPr>
          <w:rFonts w:ascii="CG Times" w:hAnsi="CG Times"/>
          <w:sz w:val="24"/>
          <w:szCs w:val="24"/>
        </w:rPr>
        <w:t xml:space="preserve"> Recent studies of cartels have found the </w:t>
      </w:r>
      <w:r w:rsidRPr="0050262C">
        <w:rPr>
          <w:rFonts w:ascii="CG Times" w:hAnsi="CG Times"/>
          <w:sz w:val="24"/>
          <w:szCs w:val="24"/>
        </w:rPr>
        <w:lastRenderedPageBreak/>
        <w:t>striking sophistication of their organizational structure, including compensation schemes to handle variations in demand for each cartel member’s products.</w:t>
      </w:r>
      <w:r w:rsidRPr="0050262C">
        <w:rPr>
          <w:rStyle w:val="FootnoteReference"/>
          <w:rFonts w:ascii="CG Times" w:hAnsi="CG Times"/>
          <w:sz w:val="24"/>
          <w:szCs w:val="24"/>
        </w:rPr>
        <w:footnoteReference w:id="68"/>
      </w:r>
      <w:r w:rsidRPr="0050262C">
        <w:rPr>
          <w:rFonts w:ascii="CG Times" w:hAnsi="CG Times"/>
          <w:sz w:val="24"/>
          <w:szCs w:val="24"/>
        </w:rPr>
        <w:t xml:space="preserve"> Such compensation schemes reflect “the level of organizational trust and cohesion necessary to implement such a scheme.”</w:t>
      </w:r>
      <w:r w:rsidRPr="0050262C">
        <w:rPr>
          <w:rStyle w:val="FootnoteReference"/>
          <w:rFonts w:ascii="CG Times" w:hAnsi="CG Times"/>
          <w:sz w:val="24"/>
          <w:szCs w:val="24"/>
        </w:rPr>
        <w:footnoteReference w:id="69"/>
      </w:r>
      <w:r w:rsidRPr="0050262C">
        <w:rPr>
          <w:rFonts w:ascii="CG Times" w:hAnsi="CG Times"/>
          <w:color w:val="000000"/>
          <w:sz w:val="24"/>
          <w:szCs w:val="24"/>
        </w:rPr>
        <w:t xml:space="preserve"> Trust then can be either socially beneficial or detrimental, and each individual’s level of trust may vary.</w:t>
      </w:r>
    </w:p>
    <w:p w14:paraId="189E5438" w14:textId="2B58B985" w:rsidR="0050262C" w:rsidRPr="0050262C" w:rsidRDefault="0050262C" w:rsidP="002623D1">
      <w:pPr>
        <w:pStyle w:val="Heading3"/>
        <w:tabs>
          <w:tab w:val="left" w:pos="432"/>
        </w:tabs>
      </w:pPr>
      <w:r w:rsidRPr="0050262C">
        <w:t>Post-Prosecution Review for Cartels</w:t>
      </w:r>
    </w:p>
    <w:p w14:paraId="0D11A5B7" w14:textId="64683383" w:rsidR="0050262C" w:rsidRPr="0050262C" w:rsidRDefault="0050262C"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Pr="0050262C">
        <w:rPr>
          <w:rFonts w:ascii="CG Times" w:hAnsi="CG Times"/>
          <w:sz w:val="24"/>
          <w:szCs w:val="24"/>
        </w:rPr>
        <w:t xml:space="preserve">After prosecuting a cartel, the agency, by itself or through a pilot program with social scientists, should interview the price fixers and publicly report the following: </w:t>
      </w:r>
    </w:p>
    <w:p w14:paraId="790F07E3"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0262C">
        <w:rPr>
          <w:rFonts w:ascii="CG Times" w:hAnsi="CG Times"/>
          <w:sz w:val="24"/>
          <w:szCs w:val="24"/>
        </w:rPr>
        <w:t xml:space="preserve">How were the cartels (including those with many members) formed and enforced? </w:t>
      </w:r>
    </w:p>
    <w:p w14:paraId="50AE8853"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0262C">
        <w:rPr>
          <w:rFonts w:ascii="CG Times" w:hAnsi="CG Times"/>
          <w:sz w:val="24"/>
          <w:szCs w:val="24"/>
        </w:rPr>
        <w:t>Were the cartel participants more trusting and co-operative than neoclassical theory predicts? If so, why?</w:t>
      </w:r>
    </w:p>
    <w:p w14:paraId="52B0B18A"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0262C">
        <w:rPr>
          <w:rFonts w:ascii="CG Times" w:hAnsi="CG Times"/>
          <w:sz w:val="24"/>
          <w:szCs w:val="24"/>
        </w:rPr>
        <w:t xml:space="preserve">As the number of conspirators increased, were there other specific factors that enabled them to collude? </w:t>
      </w:r>
    </w:p>
    <w:p w14:paraId="5F97EFB8"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0262C">
        <w:rPr>
          <w:rFonts w:ascii="CG Times" w:hAnsi="CG Times"/>
          <w:sz w:val="24"/>
          <w:szCs w:val="24"/>
        </w:rPr>
        <w:t xml:space="preserve">Why did certain companies repeatedly violate the antitrust laws? </w:t>
      </w:r>
    </w:p>
    <w:p w14:paraId="62D457F5" w14:textId="77777777" w:rsidR="0050262C" w:rsidRPr="0050262C" w:rsidRDefault="0050262C" w:rsidP="002623D1">
      <w:pPr>
        <w:pStyle w:val="ListBullet"/>
        <w:tabs>
          <w:tab w:val="clear" w:pos="850"/>
          <w:tab w:val="left" w:pos="432"/>
          <w:tab w:val="left" w:pos="720"/>
          <w:tab w:val="num" w:pos="1258"/>
        </w:tabs>
        <w:ind w:left="408"/>
        <w:rPr>
          <w:rFonts w:ascii="CG Times" w:hAnsi="CG Times"/>
          <w:sz w:val="24"/>
          <w:szCs w:val="24"/>
        </w:rPr>
      </w:pPr>
      <w:r w:rsidRPr="0050262C">
        <w:rPr>
          <w:rFonts w:ascii="CG Times" w:hAnsi="CG Times"/>
          <w:sz w:val="24"/>
          <w:szCs w:val="24"/>
        </w:rPr>
        <w:t>What steps did the company take after its earlier conviction to increase antitrust compliance, and why were they unsuccessful?</w:t>
      </w:r>
    </w:p>
    <w:p w14:paraId="073F4459" w14:textId="217032EC" w:rsidR="0050262C" w:rsidRPr="0050262C" w:rsidRDefault="008C1A2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The agency also should make available a computerized database identifying all civil and criminal antitrust consent decrees, pleas, or litigated actions involving cartel activity. The database should include certain industry characteristics, such as:</w:t>
      </w:r>
    </w:p>
    <w:p w14:paraId="212DC4DA"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t>the</w:t>
      </w:r>
      <w:proofErr w:type="gramEnd"/>
      <w:r w:rsidRPr="0050262C">
        <w:rPr>
          <w:rFonts w:ascii="CG Times" w:hAnsi="CG Times"/>
          <w:sz w:val="24"/>
          <w:szCs w:val="24"/>
        </w:rPr>
        <w:t xml:space="preserve"> number of conspirators; </w:t>
      </w:r>
    </w:p>
    <w:p w14:paraId="73E5B3B6"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t>the</w:t>
      </w:r>
      <w:proofErr w:type="gramEnd"/>
      <w:r w:rsidRPr="0050262C">
        <w:rPr>
          <w:rFonts w:ascii="CG Times" w:hAnsi="CG Times"/>
          <w:sz w:val="24"/>
          <w:szCs w:val="24"/>
        </w:rPr>
        <w:t xml:space="preserve"> best estimate of their market shares; </w:t>
      </w:r>
    </w:p>
    <w:p w14:paraId="4E2C491F"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lastRenderedPageBreak/>
        <w:t>the</w:t>
      </w:r>
      <w:proofErr w:type="gramEnd"/>
      <w:r w:rsidRPr="0050262C">
        <w:rPr>
          <w:rFonts w:ascii="CG Times" w:hAnsi="CG Times"/>
          <w:sz w:val="24"/>
          <w:szCs w:val="24"/>
        </w:rPr>
        <w:t xml:space="preserve"> length of the conspiracy; </w:t>
      </w:r>
    </w:p>
    <w:p w14:paraId="13FE1BC8"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t>the</w:t>
      </w:r>
      <w:proofErr w:type="gramEnd"/>
      <w:r w:rsidRPr="0050262C">
        <w:rPr>
          <w:rFonts w:ascii="CG Times" w:hAnsi="CG Times"/>
          <w:sz w:val="24"/>
          <w:szCs w:val="24"/>
        </w:rPr>
        <w:t xml:space="preserve"> product or services market in which collusion occurred; </w:t>
      </w:r>
    </w:p>
    <w:p w14:paraId="167C8241"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t>the</w:t>
      </w:r>
      <w:proofErr w:type="gramEnd"/>
      <w:r w:rsidRPr="0050262C">
        <w:rPr>
          <w:rFonts w:ascii="CG Times" w:hAnsi="CG Times"/>
          <w:sz w:val="24"/>
          <w:szCs w:val="24"/>
        </w:rPr>
        <w:t xml:space="preserve"> number of competitors who were not formerly alleged to be part of the conspiracy and their market shares; </w:t>
      </w:r>
    </w:p>
    <w:p w14:paraId="419DACBD"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t>the</w:t>
      </w:r>
      <w:proofErr w:type="gramEnd"/>
      <w:r w:rsidRPr="0050262C">
        <w:rPr>
          <w:rFonts w:ascii="CG Times" w:hAnsi="CG Times"/>
          <w:sz w:val="24"/>
          <w:szCs w:val="24"/>
        </w:rPr>
        <w:t xml:space="preserve"> number of entrants and their market shares during the period of the conspiracy; and</w:t>
      </w:r>
    </w:p>
    <w:p w14:paraId="58F8A02E" w14:textId="77777777" w:rsidR="0050262C" w:rsidRPr="0050262C" w:rsidRDefault="0050262C" w:rsidP="002623D1">
      <w:pPr>
        <w:pStyle w:val="ListBullet"/>
        <w:tabs>
          <w:tab w:val="clear" w:pos="850"/>
          <w:tab w:val="left" w:pos="432"/>
          <w:tab w:val="left" w:pos="720"/>
          <w:tab w:val="num" w:pos="1258"/>
        </w:tabs>
        <w:ind w:left="408"/>
        <w:rPr>
          <w:rFonts w:ascii="CG Times" w:hAnsi="CG Times"/>
          <w:sz w:val="24"/>
          <w:szCs w:val="24"/>
        </w:rPr>
      </w:pPr>
      <w:proofErr w:type="gramStart"/>
      <w:r w:rsidRPr="0050262C">
        <w:rPr>
          <w:rFonts w:ascii="CG Times" w:hAnsi="CG Times"/>
          <w:sz w:val="24"/>
          <w:szCs w:val="24"/>
        </w:rPr>
        <w:t>the</w:t>
      </w:r>
      <w:proofErr w:type="gramEnd"/>
      <w:r w:rsidRPr="0050262C">
        <w:rPr>
          <w:rFonts w:ascii="CG Times" w:hAnsi="CG Times"/>
          <w:sz w:val="24"/>
          <w:szCs w:val="24"/>
        </w:rPr>
        <w:t xml:space="preserve"> nature of the conspiracy.</w:t>
      </w:r>
    </w:p>
    <w:p w14:paraId="5525F687" w14:textId="0AAA32BD" w:rsidR="0050262C" w:rsidRPr="0050262C" w:rsidRDefault="005D796C" w:rsidP="002623D1">
      <w:pPr>
        <w:pStyle w:val="Num-DocParagraph"/>
        <w:tabs>
          <w:tab w:val="left" w:pos="432"/>
          <w:tab w:val="left" w:pos="720"/>
        </w:tabs>
        <w:spacing w:after="200"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The aim of collecting the data is to understand why and how the cartel started, why the executives were apart of the conspiracy, what did they consider, and what factors contributed to the cartel’s durability (or instability).</w:t>
      </w:r>
    </w:p>
    <w:p w14:paraId="2C6F6F83" w14:textId="43ED0B88" w:rsidR="0050262C" w:rsidRPr="0050262C" w:rsidRDefault="002623D1" w:rsidP="00FA3589">
      <w:pPr>
        <w:pStyle w:val="Heading1"/>
        <w:tabs>
          <w:tab w:val="left" w:pos="432"/>
        </w:tabs>
      </w:pPr>
      <w:r>
        <w:t xml:space="preserve">III. </w:t>
      </w:r>
      <w:r w:rsidR="00FA3589">
        <w:t xml:space="preserve"> </w:t>
      </w:r>
      <w:r w:rsidR="0050262C" w:rsidRPr="0050262C">
        <w:t>Level III: Reconsider Fundamental Assumptions of Competition Theory</w:t>
      </w:r>
    </w:p>
    <w:p w14:paraId="4A15BF98" w14:textId="1D3E6E29" w:rsidR="0050262C" w:rsidRPr="0050262C" w:rsidRDefault="008C1A24" w:rsidP="002623D1">
      <w:pPr>
        <w:pStyle w:val="Num-DocParagraph"/>
        <w:tabs>
          <w:tab w:val="left" w:pos="432"/>
          <w:tab w:val="left" w:pos="720"/>
        </w:tabs>
        <w:spacing w:after="200" w:line="360" w:lineRule="auto"/>
        <w:rPr>
          <w:rFonts w:ascii="CG Times" w:hAnsi="CG Times"/>
          <w:sz w:val="24"/>
          <w:szCs w:val="24"/>
        </w:rPr>
      </w:pPr>
      <w:r>
        <w:rPr>
          <w:rFonts w:ascii="CG Times" w:hAnsi="CG Times"/>
          <w:sz w:val="24"/>
          <w:szCs w:val="24"/>
        </w:rPr>
        <w:tab/>
      </w:r>
      <w:r w:rsidR="00FA3589">
        <w:rPr>
          <w:rFonts w:ascii="CG Times" w:hAnsi="CG Times"/>
          <w:sz w:val="24"/>
          <w:szCs w:val="24"/>
        </w:rPr>
        <w:t xml:space="preserve">In </w:t>
      </w:r>
      <w:r w:rsidR="0050262C" w:rsidRPr="0050262C">
        <w:rPr>
          <w:rFonts w:ascii="CG Times" w:hAnsi="CG Times"/>
          <w:sz w:val="24"/>
          <w:szCs w:val="24"/>
        </w:rPr>
        <w:t xml:space="preserve">Level II, competition authorities consider the implications of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on the assumptions underlying specific antitrust policies (such as merger review and cartel enforcement). </w:t>
      </w:r>
      <w:r w:rsidR="00147997">
        <w:rPr>
          <w:rFonts w:ascii="CG Times" w:hAnsi="CG Times"/>
          <w:sz w:val="24"/>
          <w:szCs w:val="24"/>
        </w:rPr>
        <w:t xml:space="preserve"> </w:t>
      </w:r>
      <w:r w:rsidR="0050262C" w:rsidRPr="0050262C">
        <w:rPr>
          <w:rFonts w:ascii="CG Times" w:hAnsi="CG Times"/>
          <w:sz w:val="24"/>
          <w:szCs w:val="24"/>
        </w:rPr>
        <w:t xml:space="preserve">In Level III, authorities consider the implications of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on three fundamental issues, namely (</w:t>
      </w:r>
      <w:proofErr w:type="spellStart"/>
      <w:r w:rsidR="0050262C" w:rsidRPr="0050262C">
        <w:rPr>
          <w:rFonts w:ascii="CG Times" w:hAnsi="CG Times"/>
          <w:sz w:val="24"/>
          <w:szCs w:val="24"/>
        </w:rPr>
        <w:t>i</w:t>
      </w:r>
      <w:proofErr w:type="spellEnd"/>
      <w:r w:rsidR="0050262C" w:rsidRPr="0050262C">
        <w:rPr>
          <w:rFonts w:ascii="CG Times" w:hAnsi="CG Times"/>
          <w:sz w:val="24"/>
          <w:szCs w:val="24"/>
        </w:rPr>
        <w:t>) what is competition, (ii) what are the goals of competition law, and (iii) what should be the legal standards to promote those goals.</w:t>
      </w:r>
    </w:p>
    <w:p w14:paraId="3F63FD3D" w14:textId="6A21CB15" w:rsidR="0050262C" w:rsidRPr="0050262C" w:rsidRDefault="0050262C" w:rsidP="002623D1">
      <w:pPr>
        <w:pStyle w:val="Heading2"/>
        <w:tabs>
          <w:tab w:val="left" w:pos="432"/>
        </w:tabs>
      </w:pPr>
      <w:r w:rsidRPr="0050262C">
        <w:t>Reconsidering Competition</w:t>
      </w:r>
    </w:p>
    <w:p w14:paraId="79F6F0E3" w14:textId="7F14E692" w:rsidR="0050262C" w:rsidRPr="0050262C" w:rsidRDefault="008C1A24" w:rsidP="002623D1">
      <w:pPr>
        <w:pStyle w:val="Num-DocParagraph"/>
        <w:tabs>
          <w:tab w:val="left" w:pos="432"/>
          <w:tab w:val="left" w:pos="720"/>
        </w:tabs>
        <w:spacing w:after="200"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Although the concept of competition is central to competition policy and economic thinking in general, defining an “effective competitive process” remains elusive.</w:t>
      </w:r>
      <w:bookmarkStart w:id="10" w:name="_Ref199567220"/>
      <w:r w:rsidR="0050262C" w:rsidRPr="0050262C">
        <w:rPr>
          <w:rStyle w:val="FootnoteReference"/>
          <w:rFonts w:ascii="CG Times" w:hAnsi="CG Times"/>
          <w:color w:val="000000"/>
          <w:sz w:val="24"/>
          <w:szCs w:val="24"/>
        </w:rPr>
        <w:footnoteReference w:id="70"/>
      </w:r>
      <w:bookmarkEnd w:id="10"/>
      <w:r w:rsidR="0050262C" w:rsidRPr="0050262C">
        <w:rPr>
          <w:rFonts w:ascii="CG Times" w:hAnsi="CG Times"/>
          <w:sz w:val="24"/>
          <w:szCs w:val="24"/>
        </w:rPr>
        <w:t xml:space="preserve"> </w:t>
      </w:r>
      <w:r w:rsidR="00147997">
        <w:rPr>
          <w:rFonts w:ascii="CG Times" w:hAnsi="CG Times"/>
          <w:sz w:val="24"/>
          <w:szCs w:val="24"/>
        </w:rPr>
        <w:t xml:space="preserve"> </w:t>
      </w:r>
      <w:r w:rsidR="0050262C" w:rsidRPr="0050262C">
        <w:rPr>
          <w:rFonts w:ascii="CG Times" w:hAnsi="CG Times"/>
          <w:sz w:val="24"/>
          <w:szCs w:val="24"/>
        </w:rPr>
        <w:t xml:space="preserve">Competition authorities can agree that antitrust policy should promote an effective competitive process, competition on the </w:t>
      </w:r>
      <w:r w:rsidR="0050262C" w:rsidRPr="0050262C">
        <w:rPr>
          <w:rFonts w:ascii="CG Times" w:hAnsi="CG Times"/>
          <w:sz w:val="24"/>
          <w:szCs w:val="24"/>
        </w:rPr>
        <w:lastRenderedPageBreak/>
        <w:t>merits, and fair competition. They can agree on some parameters of an effective competitive process, such as a free-market economy, where private actors provide many, if not most, goods and services. They can agree on the desired competitive effects, such as “low prices, high quality products, a wide selection of goods and services, and innovation.”</w:t>
      </w:r>
      <w:r w:rsidR="0050262C" w:rsidRPr="0050262C">
        <w:rPr>
          <w:rStyle w:val="FootnoteReference"/>
          <w:rFonts w:ascii="CG Times" w:hAnsi="CG Times"/>
          <w:color w:val="000000"/>
          <w:sz w:val="24"/>
          <w:szCs w:val="24"/>
        </w:rPr>
        <w:footnoteReference w:id="71"/>
      </w:r>
      <w:r w:rsidR="0050262C" w:rsidRPr="0050262C">
        <w:rPr>
          <w:rFonts w:ascii="CG Times" w:hAnsi="CG Times"/>
          <w:sz w:val="24"/>
          <w:szCs w:val="24"/>
        </w:rPr>
        <w:t xml:space="preserve"> </w:t>
      </w:r>
    </w:p>
    <w:p w14:paraId="11842B9B" w14:textId="703F5338" w:rsidR="0050262C" w:rsidRPr="0050262C" w:rsidRDefault="008C1A24" w:rsidP="002623D1">
      <w:pPr>
        <w:pStyle w:val="Num-DocParagraph"/>
        <w:tabs>
          <w:tab w:val="left" w:pos="432"/>
          <w:tab w:val="left" w:pos="720"/>
        </w:tabs>
        <w:spacing w:after="200"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But the authorities are not necessarily referring to the same theory of competit</w:t>
      </w:r>
      <w:r w:rsidR="00147997">
        <w:rPr>
          <w:rFonts w:ascii="CG Times" w:hAnsi="CG Times"/>
          <w:sz w:val="24"/>
          <w:szCs w:val="24"/>
        </w:rPr>
        <w:t>ion. For example, the Chicago, P</w:t>
      </w:r>
      <w:r w:rsidR="0050262C" w:rsidRPr="0050262C">
        <w:rPr>
          <w:rFonts w:ascii="CG Times" w:hAnsi="CG Times"/>
          <w:sz w:val="24"/>
          <w:szCs w:val="24"/>
        </w:rPr>
        <w:t>ost-Chicago, and Populist antitrust schools agree on the desired competitive effects. Yet they have different theories of competition. Moreover even the desired competitive effects do not supply a theory of competition, as the desired effects can conflict. The U.S. Supreme Court, for example, stressed the importance of price competition.</w:t>
      </w:r>
      <w:r w:rsidR="0050262C" w:rsidRPr="0050262C">
        <w:rPr>
          <w:rStyle w:val="FootnoteReference"/>
          <w:rFonts w:ascii="CG Times" w:hAnsi="CG Times"/>
          <w:color w:val="000000"/>
          <w:sz w:val="24"/>
          <w:szCs w:val="24"/>
        </w:rPr>
        <w:footnoteReference w:id="72"/>
      </w:r>
      <w:r w:rsidR="0050262C" w:rsidRPr="0050262C">
        <w:rPr>
          <w:rFonts w:ascii="CG Times" w:hAnsi="CG Times"/>
          <w:sz w:val="24"/>
          <w:szCs w:val="24"/>
        </w:rPr>
        <w:t xml:space="preserve"> Yet the Court accepted higher prices for more services and less intra-brand competition for potentially more inter-brand competition.</w:t>
      </w:r>
      <w:r w:rsidR="0050262C" w:rsidRPr="0050262C">
        <w:rPr>
          <w:rStyle w:val="FootnoteReference"/>
          <w:rFonts w:ascii="CG Times" w:hAnsi="CG Times"/>
          <w:color w:val="000000"/>
          <w:sz w:val="24"/>
          <w:szCs w:val="24"/>
        </w:rPr>
        <w:footnoteReference w:id="73"/>
      </w:r>
      <w:r w:rsidR="0050262C" w:rsidRPr="0050262C">
        <w:rPr>
          <w:rFonts w:ascii="CG Times" w:hAnsi="CG Times"/>
          <w:sz w:val="24"/>
          <w:szCs w:val="24"/>
        </w:rPr>
        <w:t xml:space="preserve"> Higher prices at times are needed for innovation.</w:t>
      </w:r>
      <w:r w:rsidR="0050262C" w:rsidRPr="0050262C">
        <w:rPr>
          <w:rStyle w:val="FootnoteReference"/>
          <w:rFonts w:ascii="CG Times" w:hAnsi="CG Times"/>
          <w:color w:val="000000"/>
          <w:sz w:val="24"/>
          <w:szCs w:val="24"/>
        </w:rPr>
        <w:footnoteReference w:id="74"/>
      </w:r>
    </w:p>
    <w:p w14:paraId="16898598" w14:textId="32ECFD38" w:rsidR="0050262C" w:rsidRPr="0050262C" w:rsidRDefault="008C1A24" w:rsidP="002623D1">
      <w:pPr>
        <w:pStyle w:val="Num-DocParagraph"/>
        <w:tabs>
          <w:tab w:val="left" w:pos="432"/>
          <w:tab w:val="left" w:pos="720"/>
        </w:tabs>
        <w:spacing w:after="200" w:line="360" w:lineRule="auto"/>
        <w:rPr>
          <w:rFonts w:ascii="CG Times" w:hAnsi="CG Times"/>
          <w:sz w:val="24"/>
          <w:szCs w:val="24"/>
        </w:rPr>
      </w:pPr>
      <w:r>
        <w:rPr>
          <w:rFonts w:ascii="CG Times" w:hAnsi="CG Times"/>
          <w:sz w:val="24"/>
          <w:szCs w:val="24"/>
        </w:rPr>
        <w:lastRenderedPageBreak/>
        <w:tab/>
      </w:r>
      <w:r w:rsidR="0050262C" w:rsidRPr="0050262C">
        <w:rPr>
          <w:rFonts w:ascii="CG Times" w:hAnsi="CG Times"/>
          <w:sz w:val="24"/>
          <w:szCs w:val="24"/>
        </w:rPr>
        <w:t>Consequently, although neoclassical economic theory has informed our theory of competition, no consensus exists in the U.S. or worldwide on a theory of an effective competition process or “competition on the merits.”</w:t>
      </w:r>
      <w:r w:rsidR="0050262C" w:rsidRPr="0050262C">
        <w:rPr>
          <w:rStyle w:val="FootnoteReference"/>
          <w:rFonts w:ascii="CG Times" w:hAnsi="CG Times"/>
          <w:color w:val="000000"/>
          <w:sz w:val="24"/>
          <w:szCs w:val="24"/>
        </w:rPr>
        <w:footnoteReference w:id="75"/>
      </w:r>
      <w:r w:rsidR="0050262C" w:rsidRPr="0050262C">
        <w:rPr>
          <w:rFonts w:ascii="CG Times" w:hAnsi="CG Times"/>
          <w:sz w:val="24"/>
          <w:szCs w:val="24"/>
        </w:rPr>
        <w:t xml:space="preserve"> Some consider competition as static price competition migrating toward an idealized end state (the economic model of perfect competition). Others view competition as a dynamic process. Although dynamic competition is generally recognized as more important, antitrust agencies and courts generally avoid dynamic efficiency analysis; they focus instead on static price competition and productive efficiencies.</w:t>
      </w:r>
      <w:r w:rsidR="0050262C" w:rsidRPr="0050262C">
        <w:rPr>
          <w:rStyle w:val="FootnoteReference"/>
          <w:rFonts w:ascii="CG Times" w:hAnsi="CG Times"/>
          <w:sz w:val="24"/>
          <w:szCs w:val="24"/>
        </w:rPr>
        <w:footnoteReference w:id="76"/>
      </w:r>
      <w:r w:rsidR="0050262C" w:rsidRPr="0050262C">
        <w:rPr>
          <w:rFonts w:ascii="CG Times" w:hAnsi="CG Times"/>
          <w:sz w:val="24"/>
          <w:szCs w:val="24"/>
        </w:rPr>
        <w:t xml:space="preserve"> </w:t>
      </w:r>
    </w:p>
    <w:p w14:paraId="34D6D91C" w14:textId="721FCBF2" w:rsidR="0050262C" w:rsidRPr="0050262C" w:rsidRDefault="008C1A24" w:rsidP="002623D1">
      <w:pPr>
        <w:pStyle w:val="Num-DocParagraph"/>
        <w:tabs>
          <w:tab w:val="left" w:pos="432"/>
          <w:tab w:val="left" w:pos="720"/>
        </w:tabs>
        <w:spacing w:after="200"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Why hasn’t there been greater convergence on the basic issue, </w:t>
      </w:r>
      <w:r w:rsidR="0050262C" w:rsidRPr="0050262C">
        <w:rPr>
          <w:rFonts w:ascii="CG Times" w:hAnsi="CG Times"/>
          <w:i/>
          <w:sz w:val="24"/>
          <w:szCs w:val="24"/>
        </w:rPr>
        <w:t>what is competition</w:t>
      </w:r>
      <w:r w:rsidR="0050262C" w:rsidRPr="0050262C">
        <w:rPr>
          <w:rFonts w:ascii="CG Times" w:hAnsi="CG Times"/>
          <w:sz w:val="24"/>
          <w:szCs w:val="24"/>
        </w:rPr>
        <w:t>? One reason is the divergence over the premises of any theory of competition. Competition, like any theory, depends on its premises, the validity of which may not hold true across industries, countr</w:t>
      </w:r>
      <w:r w:rsidR="00147997">
        <w:rPr>
          <w:rFonts w:ascii="CG Times" w:hAnsi="CG Times"/>
          <w:sz w:val="24"/>
          <w:szCs w:val="24"/>
        </w:rPr>
        <w:t>ies, and time. The Chicago and P</w:t>
      </w:r>
      <w:r w:rsidR="0050262C" w:rsidRPr="0050262C">
        <w:rPr>
          <w:rFonts w:ascii="CG Times" w:hAnsi="CG Times"/>
          <w:sz w:val="24"/>
          <w:szCs w:val="24"/>
        </w:rPr>
        <w:t>ost-Chicago Schools start with the premise that market participants are rational profit-</w:t>
      </w:r>
      <w:proofErr w:type="spellStart"/>
      <w:r w:rsidR="0050262C" w:rsidRPr="0050262C">
        <w:rPr>
          <w:rFonts w:ascii="CG Times" w:hAnsi="CG Times"/>
          <w:sz w:val="24"/>
          <w:szCs w:val="24"/>
        </w:rPr>
        <w:t>maximizers</w:t>
      </w:r>
      <w:proofErr w:type="spellEnd"/>
      <w:r w:rsidR="0050262C" w:rsidRPr="0050262C">
        <w:rPr>
          <w:rFonts w:ascii="CG Times" w:hAnsi="CG Times"/>
          <w:sz w:val="24"/>
          <w:szCs w:val="24"/>
        </w:rPr>
        <w:t xml:space="preserve"> with willpower. Others start with a different premise: many consumers </w:t>
      </w:r>
      <w:r w:rsidR="00147997">
        <w:rPr>
          <w:rFonts w:ascii="CG Times" w:hAnsi="CG Times"/>
          <w:sz w:val="24"/>
          <w:szCs w:val="24"/>
        </w:rPr>
        <w:t>have biases and heuristics</w:t>
      </w:r>
      <w:r w:rsidR="0050262C" w:rsidRPr="0050262C">
        <w:rPr>
          <w:rFonts w:ascii="CG Times" w:hAnsi="CG Times"/>
          <w:color w:val="000000"/>
          <w:sz w:val="24"/>
          <w:szCs w:val="24"/>
        </w:rPr>
        <w:t xml:space="preserve">, have limited willpower, are concerned about fairness, and are willing to punish unfair </w:t>
      </w:r>
      <w:proofErr w:type="spellStart"/>
      <w:r w:rsidR="0050262C" w:rsidRPr="0050262C">
        <w:rPr>
          <w:rFonts w:ascii="CG Times" w:hAnsi="CG Times"/>
          <w:color w:val="000000"/>
          <w:sz w:val="24"/>
          <w:szCs w:val="24"/>
        </w:rPr>
        <w:t>behavior</w:t>
      </w:r>
      <w:proofErr w:type="spellEnd"/>
      <w:r w:rsidR="0050262C" w:rsidRPr="0050262C">
        <w:rPr>
          <w:rFonts w:ascii="CG Times" w:hAnsi="CG Times"/>
          <w:color w:val="000000"/>
          <w:sz w:val="24"/>
          <w:szCs w:val="24"/>
        </w:rPr>
        <w:t xml:space="preserve"> even when not in their economic self-interest. </w:t>
      </w:r>
      <w:r w:rsidR="00147997">
        <w:rPr>
          <w:rFonts w:ascii="CG Times" w:hAnsi="CG Times"/>
          <w:color w:val="000000"/>
          <w:sz w:val="24"/>
          <w:szCs w:val="24"/>
        </w:rPr>
        <w:t xml:space="preserve"> </w:t>
      </w:r>
      <w:r w:rsidR="0050262C" w:rsidRPr="0050262C">
        <w:rPr>
          <w:rFonts w:ascii="CG Times" w:hAnsi="CG Times"/>
          <w:color w:val="000000"/>
          <w:sz w:val="24"/>
          <w:szCs w:val="24"/>
        </w:rPr>
        <w:t xml:space="preserve">Their </w:t>
      </w:r>
      <w:r w:rsidR="0050262C" w:rsidRPr="0050262C">
        <w:rPr>
          <w:rFonts w:ascii="CG Times" w:hAnsi="CG Times"/>
          <w:sz w:val="24"/>
          <w:szCs w:val="24"/>
        </w:rPr>
        <w:t xml:space="preserve">theory of competition accordingly will differ. Issues of systemic risk,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exploitation, herding, overconfidence bias, the importance of maintaining trial-and-error feedback loops, and competitive diversity increase in importance.</w:t>
      </w:r>
    </w:p>
    <w:p w14:paraId="3153C630" w14:textId="52B13536" w:rsidR="0050262C" w:rsidRPr="0050262C" w:rsidRDefault="008C1A24" w:rsidP="002623D1">
      <w:pPr>
        <w:pStyle w:val="Num-DocParagraph"/>
        <w:tabs>
          <w:tab w:val="left" w:pos="432"/>
          <w:tab w:val="left" w:pos="720"/>
        </w:tabs>
        <w:spacing w:after="200" w:line="360" w:lineRule="auto"/>
        <w:rPr>
          <w:rFonts w:ascii="CG Times" w:hAnsi="CG Times"/>
          <w:sz w:val="24"/>
          <w:szCs w:val="24"/>
        </w:rPr>
      </w:pPr>
      <w:r>
        <w:rPr>
          <w:rFonts w:ascii="CG Times" w:hAnsi="CG Times"/>
          <w:color w:val="000000"/>
          <w:sz w:val="24"/>
          <w:szCs w:val="24"/>
        </w:rPr>
        <w:lastRenderedPageBreak/>
        <w:tab/>
      </w:r>
      <w:r w:rsidR="00CD5C28">
        <w:rPr>
          <w:rFonts w:ascii="CG Times" w:hAnsi="CG Times"/>
          <w:color w:val="000000"/>
          <w:sz w:val="24"/>
          <w:szCs w:val="24"/>
        </w:rPr>
        <w:t xml:space="preserve">Financial regulators are increasingly concerned </w:t>
      </w:r>
      <w:r w:rsidR="00147997">
        <w:rPr>
          <w:rFonts w:ascii="CG Times" w:hAnsi="CG Times"/>
          <w:color w:val="000000"/>
          <w:sz w:val="24"/>
          <w:szCs w:val="24"/>
        </w:rPr>
        <w:t xml:space="preserve">after the economic crisis </w:t>
      </w:r>
      <w:r w:rsidR="00CD5C28">
        <w:rPr>
          <w:rFonts w:ascii="CG Times" w:hAnsi="CG Times"/>
          <w:color w:val="000000"/>
          <w:sz w:val="24"/>
          <w:szCs w:val="24"/>
        </w:rPr>
        <w:t xml:space="preserve">how </w:t>
      </w:r>
      <w:r w:rsidR="00147997">
        <w:rPr>
          <w:rFonts w:ascii="CG Times" w:hAnsi="CG Times"/>
          <w:color w:val="000000"/>
          <w:sz w:val="24"/>
          <w:szCs w:val="24"/>
        </w:rPr>
        <w:t xml:space="preserve">consumer biases, heuristics and imperfect willpower can distort competition. </w:t>
      </w:r>
      <w:r w:rsidR="0050262C" w:rsidRPr="0050262C">
        <w:rPr>
          <w:rFonts w:ascii="CG Times" w:hAnsi="CG Times"/>
          <w:sz w:val="24"/>
          <w:szCs w:val="24"/>
        </w:rPr>
        <w:t xml:space="preserve">Firms, for example, can be </w:t>
      </w:r>
      <w:r w:rsidR="0050262C" w:rsidRPr="0050262C">
        <w:rPr>
          <w:rFonts w:ascii="CG Times" w:hAnsi="CG Times"/>
          <w:color w:val="000000"/>
          <w:sz w:val="24"/>
          <w:szCs w:val="24"/>
        </w:rPr>
        <w:t xml:space="preserve">relatively more or less rational than </w:t>
      </w:r>
      <w:r w:rsidR="0050262C" w:rsidRPr="0050262C">
        <w:rPr>
          <w:rFonts w:ascii="CG Times" w:hAnsi="CG Times"/>
          <w:sz w:val="24"/>
          <w:szCs w:val="24"/>
        </w:rPr>
        <w:t xml:space="preserve">consumers in displaying the biases and heuristics identified in the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literature. Accordingly, the </w:t>
      </w:r>
      <w:r w:rsidR="0050262C" w:rsidRPr="0050262C">
        <w:rPr>
          <w:rFonts w:ascii="CG Times" w:hAnsi="CG Times"/>
          <w:color w:val="000000"/>
          <w:sz w:val="24"/>
          <w:szCs w:val="24"/>
        </w:rPr>
        <w:t>conception of competition can vary under the following four scenarios:</w:t>
      </w:r>
    </w:p>
    <w:tbl>
      <w:tblPr>
        <w:tblW w:w="5000" w:type="pct"/>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465"/>
        <w:gridCol w:w="2209"/>
        <w:gridCol w:w="2958"/>
      </w:tblGrid>
      <w:tr w:rsidR="0050262C" w:rsidRPr="0050262C" w14:paraId="4A4CE8EB" w14:textId="77777777" w:rsidTr="0050262C">
        <w:trPr>
          <w:jc w:val="center"/>
        </w:trPr>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75E6F00F" w14:textId="77777777" w:rsidR="0050262C" w:rsidRPr="0050262C" w:rsidRDefault="0050262C" w:rsidP="002623D1">
            <w:pPr>
              <w:tabs>
                <w:tab w:val="left" w:pos="432"/>
                <w:tab w:val="left" w:pos="720"/>
              </w:tabs>
              <w:jc w:val="center"/>
              <w:rPr>
                <w:szCs w:val="24"/>
              </w:rPr>
            </w:pP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37945A5F" w14:textId="77777777" w:rsidR="0050262C" w:rsidRPr="0050262C" w:rsidRDefault="0050262C" w:rsidP="002623D1">
            <w:pPr>
              <w:tabs>
                <w:tab w:val="left" w:pos="432"/>
                <w:tab w:val="left" w:pos="720"/>
              </w:tabs>
              <w:jc w:val="center"/>
              <w:rPr>
                <w:szCs w:val="24"/>
              </w:rPr>
            </w:pPr>
            <w:r w:rsidRPr="0050262C">
              <w:rPr>
                <w:b/>
                <w:bCs/>
                <w:szCs w:val="24"/>
              </w:rPr>
              <w:t>Rational Consumers</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515BD024" w14:textId="77777777" w:rsidR="0050262C" w:rsidRPr="0050262C" w:rsidRDefault="0050262C" w:rsidP="002623D1">
            <w:pPr>
              <w:tabs>
                <w:tab w:val="left" w:pos="432"/>
                <w:tab w:val="left" w:pos="720"/>
              </w:tabs>
              <w:jc w:val="center"/>
              <w:rPr>
                <w:szCs w:val="24"/>
              </w:rPr>
            </w:pPr>
            <w:r w:rsidRPr="0050262C">
              <w:rPr>
                <w:b/>
                <w:bCs/>
                <w:i/>
                <w:iCs/>
                <w:szCs w:val="24"/>
              </w:rPr>
              <w:t xml:space="preserve">Bounded Rational </w:t>
            </w:r>
            <w:r w:rsidRPr="0050262C">
              <w:rPr>
                <w:b/>
                <w:bCs/>
                <w:szCs w:val="24"/>
              </w:rPr>
              <w:t>Consumers</w:t>
            </w:r>
          </w:p>
        </w:tc>
      </w:tr>
      <w:tr w:rsidR="0050262C" w:rsidRPr="0050262C" w14:paraId="072DB699" w14:textId="77777777" w:rsidTr="0050262C">
        <w:trPr>
          <w:jc w:val="center"/>
        </w:trPr>
        <w:tc>
          <w:tcPr>
            <w:tcW w:w="0" w:type="auto"/>
            <w:tcBorders>
              <w:top w:val="single" w:sz="4" w:space="0" w:color="auto"/>
            </w:tcBorders>
            <w:shd w:val="clear" w:color="auto" w:fill="auto"/>
            <w:tcMar>
              <w:top w:w="72" w:type="dxa"/>
              <w:left w:w="144" w:type="dxa"/>
              <w:bottom w:w="72" w:type="dxa"/>
              <w:right w:w="144" w:type="dxa"/>
            </w:tcMar>
            <w:hideMark/>
          </w:tcPr>
          <w:p w14:paraId="0390522C" w14:textId="77777777" w:rsidR="0050262C" w:rsidRPr="0050262C" w:rsidRDefault="0050262C" w:rsidP="002623D1">
            <w:pPr>
              <w:tabs>
                <w:tab w:val="left" w:pos="432"/>
                <w:tab w:val="left" w:pos="720"/>
              </w:tabs>
              <w:ind w:firstLine="0"/>
              <w:rPr>
                <w:szCs w:val="24"/>
              </w:rPr>
            </w:pPr>
            <w:r w:rsidRPr="0050262C">
              <w:rPr>
                <w:b/>
                <w:bCs/>
                <w:szCs w:val="24"/>
              </w:rPr>
              <w:t xml:space="preserve">Rational Firms </w:t>
            </w:r>
          </w:p>
        </w:tc>
        <w:tc>
          <w:tcPr>
            <w:tcW w:w="0" w:type="auto"/>
            <w:tcBorders>
              <w:top w:val="single" w:sz="4" w:space="0" w:color="auto"/>
            </w:tcBorders>
            <w:shd w:val="clear" w:color="auto" w:fill="auto"/>
            <w:tcMar>
              <w:top w:w="72" w:type="dxa"/>
              <w:left w:w="144" w:type="dxa"/>
              <w:bottom w:w="72" w:type="dxa"/>
              <w:right w:w="144" w:type="dxa"/>
            </w:tcMar>
            <w:hideMark/>
          </w:tcPr>
          <w:p w14:paraId="52AD0A72" w14:textId="77777777" w:rsidR="0050262C" w:rsidRPr="0050262C" w:rsidRDefault="0050262C" w:rsidP="002623D1">
            <w:pPr>
              <w:tabs>
                <w:tab w:val="left" w:pos="432"/>
                <w:tab w:val="left" w:pos="720"/>
              </w:tabs>
              <w:jc w:val="center"/>
              <w:rPr>
                <w:szCs w:val="24"/>
              </w:rPr>
            </w:pPr>
            <w:r w:rsidRPr="0050262C">
              <w:rPr>
                <w:b/>
                <w:bCs/>
                <w:szCs w:val="24"/>
              </w:rPr>
              <w:t>I.</w:t>
            </w:r>
          </w:p>
        </w:tc>
        <w:tc>
          <w:tcPr>
            <w:tcW w:w="0" w:type="auto"/>
            <w:tcBorders>
              <w:top w:val="single" w:sz="4" w:space="0" w:color="auto"/>
            </w:tcBorders>
            <w:shd w:val="clear" w:color="auto" w:fill="auto"/>
            <w:tcMar>
              <w:top w:w="72" w:type="dxa"/>
              <w:left w:w="144" w:type="dxa"/>
              <w:bottom w:w="72" w:type="dxa"/>
              <w:right w:w="144" w:type="dxa"/>
            </w:tcMar>
            <w:hideMark/>
          </w:tcPr>
          <w:p w14:paraId="5376948D" w14:textId="77777777" w:rsidR="0050262C" w:rsidRPr="0050262C" w:rsidRDefault="0050262C" w:rsidP="002623D1">
            <w:pPr>
              <w:tabs>
                <w:tab w:val="left" w:pos="432"/>
                <w:tab w:val="left" w:pos="720"/>
              </w:tabs>
              <w:jc w:val="center"/>
              <w:rPr>
                <w:szCs w:val="24"/>
              </w:rPr>
            </w:pPr>
            <w:r w:rsidRPr="0050262C">
              <w:rPr>
                <w:b/>
                <w:bCs/>
                <w:szCs w:val="24"/>
              </w:rPr>
              <w:t>II.</w:t>
            </w:r>
          </w:p>
        </w:tc>
      </w:tr>
      <w:tr w:rsidR="0050262C" w:rsidRPr="0050262C" w14:paraId="618DAA23" w14:textId="77777777" w:rsidTr="0050262C">
        <w:trPr>
          <w:jc w:val="center"/>
        </w:trPr>
        <w:tc>
          <w:tcPr>
            <w:tcW w:w="0" w:type="auto"/>
            <w:shd w:val="clear" w:color="auto" w:fill="auto"/>
            <w:tcMar>
              <w:top w:w="72" w:type="dxa"/>
              <w:left w:w="144" w:type="dxa"/>
              <w:bottom w:w="72" w:type="dxa"/>
              <w:right w:w="144" w:type="dxa"/>
            </w:tcMar>
            <w:hideMark/>
          </w:tcPr>
          <w:p w14:paraId="7FC2C918" w14:textId="1425E647" w:rsidR="0050262C" w:rsidRPr="0050262C" w:rsidRDefault="005E7EE2" w:rsidP="002623D1">
            <w:pPr>
              <w:tabs>
                <w:tab w:val="left" w:pos="432"/>
                <w:tab w:val="left" w:pos="720"/>
              </w:tabs>
              <w:ind w:firstLine="0"/>
              <w:rPr>
                <w:szCs w:val="24"/>
              </w:rPr>
            </w:pPr>
            <w:r>
              <w:rPr>
                <w:b/>
                <w:bCs/>
                <w:i/>
                <w:iCs/>
                <w:szCs w:val="24"/>
              </w:rPr>
              <w:t xml:space="preserve">Bounded </w:t>
            </w:r>
            <w:r w:rsidR="0050262C" w:rsidRPr="0050262C">
              <w:rPr>
                <w:b/>
                <w:bCs/>
                <w:i/>
                <w:iCs/>
                <w:szCs w:val="24"/>
              </w:rPr>
              <w:t xml:space="preserve">Rational </w:t>
            </w:r>
            <w:r w:rsidR="0050262C" w:rsidRPr="0050262C">
              <w:rPr>
                <w:b/>
                <w:bCs/>
                <w:szCs w:val="24"/>
              </w:rPr>
              <w:t xml:space="preserve">Firms </w:t>
            </w:r>
          </w:p>
        </w:tc>
        <w:tc>
          <w:tcPr>
            <w:tcW w:w="0" w:type="auto"/>
            <w:shd w:val="clear" w:color="auto" w:fill="auto"/>
            <w:tcMar>
              <w:top w:w="72" w:type="dxa"/>
              <w:left w:w="144" w:type="dxa"/>
              <w:bottom w:w="72" w:type="dxa"/>
              <w:right w:w="144" w:type="dxa"/>
            </w:tcMar>
            <w:hideMark/>
          </w:tcPr>
          <w:p w14:paraId="6EA9A2CA" w14:textId="77777777" w:rsidR="0050262C" w:rsidRPr="0050262C" w:rsidRDefault="0050262C" w:rsidP="002623D1">
            <w:pPr>
              <w:tabs>
                <w:tab w:val="left" w:pos="432"/>
                <w:tab w:val="left" w:pos="720"/>
              </w:tabs>
              <w:jc w:val="center"/>
              <w:rPr>
                <w:szCs w:val="24"/>
              </w:rPr>
            </w:pPr>
            <w:r w:rsidRPr="0050262C">
              <w:rPr>
                <w:b/>
                <w:bCs/>
                <w:szCs w:val="24"/>
              </w:rPr>
              <w:t>III.</w:t>
            </w:r>
          </w:p>
        </w:tc>
        <w:tc>
          <w:tcPr>
            <w:tcW w:w="0" w:type="auto"/>
            <w:shd w:val="clear" w:color="auto" w:fill="auto"/>
            <w:tcMar>
              <w:top w:w="72" w:type="dxa"/>
              <w:left w:w="144" w:type="dxa"/>
              <w:bottom w:w="72" w:type="dxa"/>
              <w:right w:w="144" w:type="dxa"/>
            </w:tcMar>
            <w:hideMark/>
          </w:tcPr>
          <w:p w14:paraId="7CD70FFF" w14:textId="77777777" w:rsidR="0050262C" w:rsidRPr="0050262C" w:rsidRDefault="0050262C" w:rsidP="002623D1">
            <w:pPr>
              <w:tabs>
                <w:tab w:val="left" w:pos="432"/>
                <w:tab w:val="left" w:pos="720"/>
              </w:tabs>
              <w:jc w:val="center"/>
              <w:rPr>
                <w:szCs w:val="24"/>
              </w:rPr>
            </w:pPr>
            <w:r w:rsidRPr="0050262C">
              <w:rPr>
                <w:b/>
                <w:bCs/>
                <w:szCs w:val="24"/>
              </w:rPr>
              <w:t>IV.</w:t>
            </w:r>
          </w:p>
        </w:tc>
      </w:tr>
    </w:tbl>
    <w:p w14:paraId="12C4EE57" w14:textId="77777777" w:rsidR="0050262C" w:rsidRPr="0050262C" w:rsidRDefault="0050262C" w:rsidP="002623D1">
      <w:pPr>
        <w:pStyle w:val="BodyText"/>
        <w:tabs>
          <w:tab w:val="left" w:pos="432"/>
          <w:tab w:val="left" w:pos="720"/>
        </w:tabs>
        <w:spacing w:after="0" w:line="360" w:lineRule="auto"/>
        <w:rPr>
          <w:rFonts w:ascii="CG Times" w:hAnsi="CG Times"/>
          <w:sz w:val="24"/>
          <w:szCs w:val="24"/>
        </w:rPr>
      </w:pPr>
      <w:bookmarkStart w:id="11" w:name="_Toc285486449"/>
    </w:p>
    <w:p w14:paraId="27F8291E" w14:textId="669D01EA" w:rsidR="0050262C" w:rsidRPr="0050262C" w:rsidRDefault="008C1A24" w:rsidP="002623D1">
      <w:pPr>
        <w:pStyle w:val="Num-DocParagraph"/>
        <w:tabs>
          <w:tab w:val="left" w:pos="432"/>
          <w:tab w:val="left" w:pos="720"/>
        </w:tabs>
        <w:spacing w:after="200"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One can extend the analysis to the rationality of intermediaries (e.g., suppliers, wholesalers, and retailers), and firms as buyers and consumers as sellers of services. For each Scenario, one can also examine the government’s rationality relative to private firms and consumers.</w:t>
      </w:r>
      <w:bookmarkEnd w:id="11"/>
      <w:r w:rsidR="0050262C" w:rsidRPr="0050262C">
        <w:rPr>
          <w:rFonts w:ascii="CG Times" w:hAnsi="CG Times"/>
          <w:sz w:val="24"/>
          <w:szCs w:val="24"/>
        </w:rPr>
        <w:t xml:space="preserve"> Several caveats apply.</w:t>
      </w:r>
      <w:r w:rsidR="0050262C" w:rsidRPr="0050262C">
        <w:rPr>
          <w:rStyle w:val="FootnoteReference"/>
          <w:rFonts w:ascii="CG Times" w:hAnsi="CG Times"/>
          <w:sz w:val="24"/>
          <w:szCs w:val="24"/>
        </w:rPr>
        <w:footnoteReference w:id="77"/>
      </w:r>
      <w:r w:rsidR="0050262C" w:rsidRPr="0050262C">
        <w:rPr>
          <w:rFonts w:ascii="CG Times" w:hAnsi="CG Times"/>
          <w:sz w:val="24"/>
          <w:szCs w:val="24"/>
        </w:rPr>
        <w:t xml:space="preserve"> But the exercise nonetheless can prompt additional questions to inform competition policy.</w:t>
      </w:r>
    </w:p>
    <w:p w14:paraId="764E2F80" w14:textId="5CA68A9B" w:rsidR="0050262C" w:rsidRPr="0050262C" w:rsidRDefault="008C1A24" w:rsidP="002623D1">
      <w:pPr>
        <w:pStyle w:val="Num-DocParagraph"/>
        <w:tabs>
          <w:tab w:val="left" w:pos="432"/>
          <w:tab w:val="left" w:pos="720"/>
        </w:tabs>
        <w:spacing w:after="200"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To illustrate how our theory of competition changes once we relax our assumptions of the market participants’ rationality and willpower, consider Scenario II where firms are relatively more rational than consumers. Here </w:t>
      </w:r>
      <w:r w:rsidR="0050262C" w:rsidRPr="0050262C">
        <w:rPr>
          <w:rFonts w:ascii="CG Times" w:hAnsi="CG Times"/>
          <w:sz w:val="24"/>
          <w:szCs w:val="24"/>
        </w:rPr>
        <w:lastRenderedPageBreak/>
        <w:t>rational firms can compete either to (</w:t>
      </w:r>
      <w:proofErr w:type="spellStart"/>
      <w:r w:rsidR="0050262C" w:rsidRPr="0050262C">
        <w:rPr>
          <w:rFonts w:ascii="CG Times" w:hAnsi="CG Times"/>
          <w:sz w:val="24"/>
          <w:szCs w:val="24"/>
        </w:rPr>
        <w:t>i</w:t>
      </w:r>
      <w:proofErr w:type="spellEnd"/>
      <w:r w:rsidR="0050262C" w:rsidRPr="0050262C">
        <w:rPr>
          <w:rFonts w:ascii="CG Times" w:hAnsi="CG Times"/>
          <w:sz w:val="24"/>
          <w:szCs w:val="24"/>
        </w:rPr>
        <w:t>) help consumers find solutions for their bounded rationality and willpower or (ii) exploit consumers’ bounded rationality or willpower. Firms can manipulate consumption decisions by:</w:t>
      </w:r>
    </w:p>
    <w:p w14:paraId="308125E8"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t>using</w:t>
      </w:r>
      <w:proofErr w:type="gramEnd"/>
      <w:r w:rsidRPr="0050262C">
        <w:rPr>
          <w:rFonts w:ascii="CG Times" w:hAnsi="CG Times"/>
          <w:sz w:val="24"/>
          <w:szCs w:val="24"/>
        </w:rPr>
        <w:t xml:space="preserve"> framing effects and changing the reference point, such that the price change is viewed as a discount, rather than a surcharge;</w:t>
      </w:r>
      <w:r w:rsidRPr="0050262C">
        <w:rPr>
          <w:rStyle w:val="FootnoteReference"/>
          <w:rFonts w:ascii="CG Times" w:hAnsi="CG Times"/>
          <w:sz w:val="24"/>
          <w:szCs w:val="24"/>
        </w:rPr>
        <w:footnoteReference w:id="78"/>
      </w:r>
    </w:p>
    <w:p w14:paraId="6597F80A" w14:textId="77777777" w:rsidR="0050262C" w:rsidRPr="0050262C" w:rsidRDefault="0050262C" w:rsidP="002623D1">
      <w:pPr>
        <w:pStyle w:val="ListBullet"/>
        <w:tabs>
          <w:tab w:val="clear" w:pos="850"/>
          <w:tab w:val="left" w:pos="432"/>
          <w:tab w:val="left" w:pos="720"/>
          <w:tab w:val="num" w:pos="1258"/>
        </w:tabs>
        <w:spacing w:after="80"/>
        <w:ind w:left="408"/>
        <w:rPr>
          <w:rFonts w:ascii="CG Times" w:hAnsi="CG Times"/>
          <w:sz w:val="24"/>
          <w:szCs w:val="24"/>
        </w:rPr>
      </w:pPr>
      <w:proofErr w:type="gramStart"/>
      <w:r w:rsidRPr="0050262C">
        <w:rPr>
          <w:rFonts w:ascii="CG Times" w:hAnsi="CG Times"/>
          <w:sz w:val="24"/>
          <w:szCs w:val="24"/>
        </w:rPr>
        <w:t>anchoring</w:t>
      </w:r>
      <w:proofErr w:type="gramEnd"/>
      <w:r w:rsidRPr="0050262C">
        <w:rPr>
          <w:rFonts w:ascii="CG Times" w:hAnsi="CG Times"/>
          <w:sz w:val="24"/>
          <w:szCs w:val="24"/>
        </w:rPr>
        <w:t xml:space="preserve"> consumers to an artificially high suggested retail price, from which bounded rational consumers negotiate;</w:t>
      </w:r>
      <w:bookmarkStart w:id="13" w:name="_Ref199566894"/>
      <w:r w:rsidRPr="0050262C">
        <w:rPr>
          <w:rStyle w:val="FootnoteReference"/>
          <w:rFonts w:ascii="CG Times" w:hAnsi="CG Times"/>
          <w:sz w:val="24"/>
          <w:szCs w:val="24"/>
        </w:rPr>
        <w:footnoteReference w:id="79"/>
      </w:r>
      <w:bookmarkEnd w:id="13"/>
    </w:p>
    <w:p w14:paraId="121391C5"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t>adding</w:t>
      </w:r>
      <w:proofErr w:type="gramEnd"/>
      <w:r w:rsidRPr="0050262C">
        <w:rPr>
          <w:rFonts w:ascii="CG Times" w:hAnsi="CG Times"/>
          <w:sz w:val="24"/>
          <w:szCs w:val="24"/>
        </w:rPr>
        <w:t xml:space="preserve"> decoy options (such as restaurant’s adding higher priced wine) to steer consumers to higher margin goods and services;</w:t>
      </w:r>
      <w:r w:rsidRPr="0050262C">
        <w:rPr>
          <w:rStyle w:val="FootnoteReference"/>
          <w:rFonts w:ascii="CG Times" w:hAnsi="CG Times"/>
          <w:sz w:val="24"/>
          <w:szCs w:val="24"/>
        </w:rPr>
        <w:footnoteReference w:id="80"/>
      </w:r>
    </w:p>
    <w:p w14:paraId="13CBE8E4" w14:textId="52F21CDC"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t>using</w:t>
      </w:r>
      <w:proofErr w:type="gramEnd"/>
      <w:r w:rsidRPr="0050262C">
        <w:rPr>
          <w:rFonts w:ascii="CG Times" w:hAnsi="CG Times"/>
          <w:sz w:val="24"/>
          <w:szCs w:val="24"/>
        </w:rPr>
        <w:t xml:space="preserve"> the sunk cost fallacy to remind consumers of the financial commitment they already made to induce them to continue paying </w:t>
      </w:r>
      <w:r w:rsidR="005D796C" w:rsidRPr="0050262C">
        <w:rPr>
          <w:rFonts w:ascii="CG Times" w:hAnsi="CG Times"/>
          <w:sz w:val="24"/>
          <w:szCs w:val="24"/>
        </w:rPr>
        <w:t>instalments</w:t>
      </w:r>
      <w:r w:rsidRPr="0050262C">
        <w:rPr>
          <w:rFonts w:ascii="CG Times" w:hAnsi="CG Times"/>
          <w:sz w:val="24"/>
          <w:szCs w:val="24"/>
        </w:rPr>
        <w:t xml:space="preserve"> on items, whose value is less than the remainder of payments;</w:t>
      </w:r>
    </w:p>
    <w:p w14:paraId="10B240C2"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t>using</w:t>
      </w:r>
      <w:proofErr w:type="gramEnd"/>
      <w:r w:rsidRPr="0050262C">
        <w:rPr>
          <w:rFonts w:ascii="CG Times" w:hAnsi="CG Times"/>
          <w:sz w:val="24"/>
          <w:szCs w:val="24"/>
        </w:rPr>
        <w:t xml:space="preserve"> the availability heuristic</w:t>
      </w:r>
      <w:r w:rsidRPr="0050262C">
        <w:rPr>
          <w:rStyle w:val="FootnoteReference"/>
          <w:rFonts w:ascii="CG Times" w:hAnsi="CG Times"/>
          <w:sz w:val="24"/>
          <w:szCs w:val="24"/>
        </w:rPr>
        <w:footnoteReference w:id="81"/>
      </w:r>
      <w:r w:rsidRPr="0050262C">
        <w:rPr>
          <w:rFonts w:ascii="CG Times" w:hAnsi="CG Times"/>
          <w:sz w:val="24"/>
          <w:szCs w:val="24"/>
        </w:rPr>
        <w:t xml:space="preserve"> to drive purchases, such as an airline travel insurer using an emotionally salient death (from “terrorist acts”) rather than a death from “all possible causes”;</w:t>
      </w:r>
      <w:r w:rsidRPr="0050262C">
        <w:rPr>
          <w:rStyle w:val="FootnoteReference"/>
          <w:rFonts w:ascii="CG Times" w:hAnsi="CG Times"/>
          <w:sz w:val="24"/>
          <w:szCs w:val="24"/>
        </w:rPr>
        <w:footnoteReference w:id="82"/>
      </w:r>
    </w:p>
    <w:p w14:paraId="216B025C"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pacing w:val="-2"/>
          <w:sz w:val="24"/>
          <w:szCs w:val="24"/>
        </w:rPr>
      </w:pPr>
      <w:proofErr w:type="gramStart"/>
      <w:r w:rsidRPr="0050262C">
        <w:rPr>
          <w:rFonts w:ascii="CG Times" w:hAnsi="CG Times"/>
          <w:spacing w:val="-2"/>
          <w:sz w:val="24"/>
          <w:szCs w:val="24"/>
        </w:rPr>
        <w:lastRenderedPageBreak/>
        <w:t>using</w:t>
      </w:r>
      <w:proofErr w:type="gramEnd"/>
      <w:r w:rsidRPr="0050262C">
        <w:rPr>
          <w:rFonts w:ascii="CG Times" w:hAnsi="CG Times"/>
          <w:spacing w:val="-2"/>
          <w:sz w:val="24"/>
          <w:szCs w:val="24"/>
        </w:rPr>
        <w:t xml:space="preserve"> the focusing illusion in advertisements (i.e., c</w:t>
      </w:r>
      <w:r w:rsidRPr="0050262C">
        <w:rPr>
          <w:rFonts w:ascii="CG Times" w:hAnsi="CG Times"/>
          <w:spacing w:val="-3"/>
          <w:sz w:val="24"/>
          <w:szCs w:val="24"/>
        </w:rPr>
        <w:t>onsumers predicting greater personal happiness from consumption of the advertised good and not accounting one’s adaptation to the new product);</w:t>
      </w:r>
      <w:r w:rsidRPr="0050262C">
        <w:rPr>
          <w:rStyle w:val="FootnoteReference"/>
          <w:rFonts w:ascii="CG Times" w:hAnsi="CG Times"/>
          <w:spacing w:val="-3"/>
          <w:sz w:val="24"/>
          <w:szCs w:val="24"/>
        </w:rPr>
        <w:footnoteReference w:id="83"/>
      </w:r>
    </w:p>
    <w:p w14:paraId="21463986"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t>giving</w:t>
      </w:r>
      <w:proofErr w:type="gramEnd"/>
      <w:r w:rsidRPr="0050262C">
        <w:rPr>
          <w:rFonts w:ascii="CG Times" w:hAnsi="CG Times"/>
          <w:sz w:val="24"/>
          <w:szCs w:val="24"/>
        </w:rPr>
        <w:t xml:space="preserve"> the impression that their goods and services are of better quality because they are higher priced</w:t>
      </w:r>
      <w:r w:rsidRPr="0050262C">
        <w:rPr>
          <w:rStyle w:val="FootnoteReference"/>
          <w:rFonts w:ascii="CG Times" w:hAnsi="CG Times"/>
          <w:sz w:val="24"/>
          <w:szCs w:val="24"/>
        </w:rPr>
        <w:footnoteReference w:id="84"/>
      </w:r>
      <w:r w:rsidRPr="0050262C">
        <w:rPr>
          <w:rFonts w:ascii="CG Times" w:hAnsi="CG Times"/>
          <w:sz w:val="24"/>
          <w:szCs w:val="24"/>
        </w:rPr>
        <w:t xml:space="preserve"> or based on one advertised dimension;</w:t>
      </w:r>
      <w:r w:rsidRPr="0050262C">
        <w:rPr>
          <w:rStyle w:val="FootnoteReference"/>
          <w:rFonts w:ascii="CG Times" w:hAnsi="CG Times"/>
          <w:sz w:val="24"/>
          <w:szCs w:val="24"/>
        </w:rPr>
        <w:footnoteReference w:id="85"/>
      </w:r>
      <w:r w:rsidRPr="0050262C">
        <w:rPr>
          <w:rFonts w:ascii="CG Times" w:hAnsi="CG Times"/>
          <w:sz w:val="24"/>
          <w:szCs w:val="24"/>
        </w:rPr>
        <w:t xml:space="preserve"> and</w:t>
      </w:r>
    </w:p>
    <w:p w14:paraId="1E1982B4" w14:textId="77777777" w:rsidR="0050262C" w:rsidRPr="0050262C" w:rsidRDefault="0050262C" w:rsidP="002623D1">
      <w:pPr>
        <w:pStyle w:val="ListBullet"/>
        <w:tabs>
          <w:tab w:val="clear" w:pos="850"/>
          <w:tab w:val="left" w:pos="432"/>
          <w:tab w:val="left" w:pos="720"/>
          <w:tab w:val="num" w:pos="1258"/>
        </w:tabs>
        <w:spacing w:after="120"/>
        <w:ind w:left="408"/>
        <w:rPr>
          <w:rFonts w:ascii="CG Times" w:hAnsi="CG Times"/>
          <w:sz w:val="24"/>
          <w:szCs w:val="24"/>
        </w:rPr>
      </w:pPr>
      <w:proofErr w:type="gramStart"/>
      <w:r w:rsidRPr="0050262C">
        <w:rPr>
          <w:rFonts w:ascii="CG Times" w:hAnsi="CG Times"/>
          <w:sz w:val="24"/>
          <w:szCs w:val="24"/>
        </w:rPr>
        <w:t>seeking</w:t>
      </w:r>
      <w:proofErr w:type="gramEnd"/>
      <w:r w:rsidRPr="0050262C">
        <w:rPr>
          <w:rFonts w:ascii="CG Times" w:hAnsi="CG Times"/>
          <w:sz w:val="24"/>
          <w:szCs w:val="24"/>
        </w:rPr>
        <w:t xml:space="preserve"> to avoid price competition through complex price terms</w:t>
      </w:r>
      <w:r w:rsidRPr="0050262C">
        <w:rPr>
          <w:rStyle w:val="FootnoteReference"/>
          <w:rFonts w:ascii="CG Times" w:hAnsi="CG Times"/>
          <w:sz w:val="24"/>
          <w:szCs w:val="24"/>
        </w:rPr>
        <w:footnoteReference w:id="86"/>
      </w:r>
      <w:r w:rsidRPr="0050262C">
        <w:rPr>
          <w:rFonts w:ascii="CG Times" w:hAnsi="CG Times"/>
          <w:sz w:val="24"/>
          <w:szCs w:val="24"/>
        </w:rPr>
        <w:t xml:space="preserve"> or branding.</w:t>
      </w:r>
      <w:r w:rsidRPr="0050262C">
        <w:rPr>
          <w:rStyle w:val="FootnoteReference"/>
          <w:rFonts w:ascii="CG Times" w:hAnsi="CG Times"/>
          <w:sz w:val="24"/>
          <w:szCs w:val="24"/>
        </w:rPr>
        <w:footnoteReference w:id="87"/>
      </w:r>
    </w:p>
    <w:p w14:paraId="53B7EFA2" w14:textId="7C42B088" w:rsidR="0050262C" w:rsidRPr="0050262C" w:rsidRDefault="008C1A2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Scenario II competition depends in part on </w:t>
      </w:r>
      <w:r w:rsidR="0050262C" w:rsidRPr="0050262C">
        <w:rPr>
          <w:rFonts w:ascii="CG Times" w:eastAsia="MS Mincho" w:hAnsi="CG Times"/>
          <w:sz w:val="24"/>
          <w:szCs w:val="24"/>
        </w:rPr>
        <w:t>firms’ ability to identify and exploit (or help) consumers.</w:t>
      </w:r>
      <w:r w:rsidR="0050262C" w:rsidRPr="0050262C">
        <w:rPr>
          <w:rFonts w:ascii="CG Times" w:hAnsi="CG Times"/>
          <w:sz w:val="24"/>
          <w:szCs w:val="24"/>
        </w:rPr>
        <w:t xml:space="preserve"> Firms may be unable to identify consumers whose biases, heuristics, and willpower make them particularly vulnerable. But rational firms, even after identifying bounded rational consumers, cannot always exploit them. Many markets, unlike prediction markets, lack </w:t>
      </w:r>
      <w:r w:rsidR="0050262C" w:rsidRPr="0050262C">
        <w:rPr>
          <w:rFonts w:ascii="CG Times" w:hAnsi="CG Times"/>
          <w:sz w:val="24"/>
          <w:szCs w:val="24"/>
        </w:rPr>
        <w:lastRenderedPageBreak/>
        <w:t>a defined end-point. A rational investor could “short” a company’s stock to profit when the stock price declines. But rational traders do not know when the speculative bubble will burst. Rational traders, due to investor pressure, can be subject to short-term horizons, and follow the herd for short-term gains.</w:t>
      </w:r>
      <w:r w:rsidR="0050262C" w:rsidRPr="0050262C">
        <w:rPr>
          <w:rStyle w:val="FootnoteReference"/>
          <w:rFonts w:ascii="CG Times" w:hAnsi="CG Times"/>
          <w:sz w:val="24"/>
          <w:szCs w:val="24"/>
        </w:rPr>
        <w:footnoteReference w:id="88"/>
      </w:r>
      <w:r w:rsidR="0050262C" w:rsidRPr="0050262C">
        <w:rPr>
          <w:rFonts w:ascii="CG Times" w:hAnsi="CG Times"/>
          <w:sz w:val="24"/>
          <w:szCs w:val="24"/>
        </w:rPr>
        <w:t xml:space="preserve"> Rational traders may also make more money by creating products that encourage, rather than deter, speculation.</w:t>
      </w:r>
      <w:r w:rsidR="0050262C" w:rsidRPr="0050262C">
        <w:rPr>
          <w:rStyle w:val="FootnoteReference"/>
          <w:rFonts w:ascii="CG Times" w:hAnsi="CG Times"/>
          <w:sz w:val="24"/>
          <w:szCs w:val="24"/>
        </w:rPr>
        <w:footnoteReference w:id="89"/>
      </w:r>
    </w:p>
    <w:p w14:paraId="5270F530" w14:textId="067DE4DB" w:rsidR="0050262C" w:rsidRPr="0050262C" w:rsidRDefault="008C1A2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Alternatively, consumers, recognizing their bounded rationality, can turn for some decisions to more rational advisors or consumer advocates (such as Which? and Consumers Union). Moreover the window for exploitation can be short-lived. Consumers can make better decisions when they gain experience, quickly receive feedback on their earlier errors, discover their biases and heuristics in their earlier decisions, and take steps to </w:t>
      </w:r>
      <w:proofErr w:type="spellStart"/>
      <w:r w:rsidR="0050262C" w:rsidRPr="0050262C">
        <w:rPr>
          <w:rFonts w:ascii="CG Times" w:hAnsi="CG Times"/>
          <w:sz w:val="24"/>
          <w:szCs w:val="24"/>
        </w:rPr>
        <w:t>debias</w:t>
      </w:r>
      <w:proofErr w:type="spellEnd"/>
      <w:r w:rsidR="0050262C" w:rsidRPr="0050262C">
        <w:rPr>
          <w:rFonts w:ascii="CG Times" w:hAnsi="CG Times"/>
          <w:sz w:val="24"/>
          <w:szCs w:val="24"/>
        </w:rPr>
        <w:t>.</w:t>
      </w:r>
      <w:r w:rsidR="0050262C" w:rsidRPr="0050262C">
        <w:rPr>
          <w:rStyle w:val="FootnoteReference"/>
          <w:rFonts w:ascii="CG Times" w:hAnsi="CG Times"/>
          <w:sz w:val="24"/>
          <w:szCs w:val="24"/>
        </w:rPr>
        <w:footnoteReference w:id="90"/>
      </w:r>
    </w:p>
    <w:p w14:paraId="527B1C63" w14:textId="60ACF505" w:rsidR="0050262C" w:rsidRPr="0050262C" w:rsidRDefault="008C1A2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Scenario II competition raises several policy issues. The first is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exploitation as a market failure. In competitive markets, one expects rational firms to inform bounded rational consumers of other firms’ attempts to exploit them. Providing this information is another facet of competition—trust us, we will not exploit you.</w:t>
      </w:r>
      <w:r w:rsidR="0050262C" w:rsidRPr="0050262C">
        <w:rPr>
          <w:rStyle w:val="FootnoteReference"/>
          <w:rFonts w:ascii="CG Times" w:hAnsi="CG Times"/>
          <w:sz w:val="24"/>
          <w:szCs w:val="24"/>
        </w:rPr>
        <w:footnoteReference w:id="91"/>
      </w:r>
      <w:r w:rsidR="0050262C" w:rsidRPr="0050262C">
        <w:rPr>
          <w:rFonts w:ascii="CG Times" w:hAnsi="CG Times"/>
          <w:sz w:val="24"/>
          <w:szCs w:val="24"/>
        </w:rPr>
        <w:t xml:space="preserve"> But too frequently, rather than compete to build consumers’ trust in their business, competitors </w:t>
      </w:r>
      <w:r w:rsidR="0050262C" w:rsidRPr="0050262C">
        <w:rPr>
          <w:rFonts w:ascii="CG Times" w:hAnsi="CG Times"/>
          <w:sz w:val="24"/>
          <w:szCs w:val="24"/>
        </w:rPr>
        <w:lastRenderedPageBreak/>
        <w:t>engage in similar exploitation.</w:t>
      </w:r>
      <w:r w:rsidR="0050262C" w:rsidRPr="0050262C">
        <w:rPr>
          <w:rStyle w:val="FootnoteReference"/>
          <w:rFonts w:ascii="CG Times" w:hAnsi="CG Times"/>
          <w:sz w:val="24"/>
          <w:szCs w:val="24"/>
        </w:rPr>
        <w:footnoteReference w:id="92"/>
      </w:r>
      <w:r w:rsidR="0050262C" w:rsidRPr="0050262C">
        <w:rPr>
          <w:rFonts w:ascii="CG Times" w:hAnsi="CG Times"/>
          <w:sz w:val="24"/>
          <w:szCs w:val="24"/>
        </w:rPr>
        <w:t xml:space="preserve"> Rational firms can compete in finding cleverer ways to attract and exploit bounded rational consumers. To exploit consumers, rational firms can compete in ways to reduce price transparency and increase the complexity of their products or product terms.</w:t>
      </w:r>
      <w:r w:rsidR="0050262C" w:rsidRPr="0050262C">
        <w:rPr>
          <w:rStyle w:val="FootnoteReference"/>
          <w:rFonts w:ascii="CG Times" w:hAnsi="CG Times"/>
          <w:sz w:val="24"/>
          <w:szCs w:val="24"/>
        </w:rPr>
        <w:footnoteReference w:id="93"/>
      </w:r>
      <w:r w:rsidR="0050262C" w:rsidRPr="0050262C">
        <w:rPr>
          <w:rFonts w:ascii="CG Times" w:hAnsi="CG Times"/>
          <w:sz w:val="24"/>
          <w:szCs w:val="24"/>
        </w:rPr>
        <w:t xml:space="preserve"> Rational companies can exploit consumers’ optimism bias.</w:t>
      </w:r>
      <w:r w:rsidR="0050262C" w:rsidRPr="0050262C">
        <w:rPr>
          <w:rStyle w:val="FootnoteReference"/>
          <w:rFonts w:ascii="CG Times" w:hAnsi="CG Times"/>
          <w:sz w:val="24"/>
          <w:szCs w:val="24"/>
        </w:rPr>
        <w:footnoteReference w:id="94"/>
      </w:r>
      <w:r w:rsidR="0050262C" w:rsidRPr="0050262C">
        <w:rPr>
          <w:rFonts w:ascii="CG Times" w:hAnsi="CG Times"/>
          <w:sz w:val="24"/>
          <w:szCs w:val="24"/>
        </w:rPr>
        <w:t xml:space="preserve"> One former CEO, for example, explained how his credit card company targeted low-income customers “by offering ‘free’ credit cards that carried heavy hidden fees.”</w:t>
      </w:r>
      <w:r w:rsidR="0050262C" w:rsidRPr="0050262C">
        <w:rPr>
          <w:rStyle w:val="FootnoteReference"/>
          <w:rFonts w:ascii="CG Times" w:hAnsi="CG Times"/>
          <w:sz w:val="24"/>
          <w:szCs w:val="24"/>
        </w:rPr>
        <w:footnoteReference w:id="95"/>
      </w:r>
      <w:r w:rsidR="0050262C" w:rsidRPr="0050262C">
        <w:rPr>
          <w:rFonts w:ascii="CG Times" w:hAnsi="CG Times"/>
          <w:sz w:val="24"/>
          <w:szCs w:val="24"/>
        </w:rPr>
        <w:t xml:space="preserve"> The former CEO explained how these ads targeted consumers’ optimism: “When people make the buying decision, they don’t look at the penalty fees because they never believe they’ll be late. They never believe they’ll be over limit, right?”</w:t>
      </w:r>
      <w:r w:rsidR="0050262C" w:rsidRPr="0050262C">
        <w:rPr>
          <w:rStyle w:val="FootnoteReference"/>
          <w:rFonts w:ascii="CG Times" w:hAnsi="CG Times"/>
          <w:sz w:val="24"/>
          <w:szCs w:val="24"/>
        </w:rPr>
        <w:footnoteReference w:id="96"/>
      </w:r>
      <w:r w:rsidR="0050262C" w:rsidRPr="0050262C">
        <w:rPr>
          <w:rFonts w:ascii="CG Times" w:hAnsi="CG Times"/>
          <w:sz w:val="24"/>
          <w:szCs w:val="24"/>
        </w:rPr>
        <w:t xml:space="preserve"> Consumers are overoptimistic on their ability and willpower to pay the credit card purchases timely. They underestimate the costs of their future borrowings. So the optimistic consumers choose credit cards with lower annual fees (but higher financing fees and penalties) over </w:t>
      </w:r>
      <w:proofErr w:type="gramStart"/>
      <w:r w:rsidR="0050262C" w:rsidRPr="0050262C">
        <w:rPr>
          <w:rFonts w:ascii="CG Times" w:hAnsi="CG Times"/>
          <w:sz w:val="24"/>
          <w:szCs w:val="24"/>
        </w:rPr>
        <w:t>better suited</w:t>
      </w:r>
      <w:proofErr w:type="gramEnd"/>
      <w:r w:rsidR="0050262C" w:rsidRPr="0050262C">
        <w:rPr>
          <w:rFonts w:ascii="CG Times" w:hAnsi="CG Times"/>
          <w:sz w:val="24"/>
          <w:szCs w:val="24"/>
        </w:rPr>
        <w:t xml:space="preserve"> products (e.g., credit cards with higher annual fees but lower interest rates and late payment penalties).</w:t>
      </w:r>
      <w:r w:rsidR="0050262C" w:rsidRPr="0050262C">
        <w:rPr>
          <w:rStyle w:val="FootnoteReference"/>
          <w:rFonts w:ascii="CG Times" w:hAnsi="CG Times"/>
          <w:sz w:val="24"/>
          <w:szCs w:val="24"/>
        </w:rPr>
        <w:footnoteReference w:id="97"/>
      </w:r>
    </w:p>
    <w:p w14:paraId="57FCD5A9" w14:textId="78C3C9C7" w:rsidR="0050262C" w:rsidRPr="0050262C" w:rsidRDefault="008C1A2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lastRenderedPageBreak/>
        <w:tab/>
      </w:r>
      <w:r w:rsidR="0050262C" w:rsidRPr="0050262C">
        <w:rPr>
          <w:rFonts w:ascii="CG Times" w:hAnsi="CG Times"/>
          <w:sz w:val="24"/>
          <w:szCs w:val="24"/>
        </w:rPr>
        <w:t xml:space="preserve">For other competitors, it may make sense to exploit consumer biases rather than incur the costs to </w:t>
      </w:r>
      <w:proofErr w:type="spellStart"/>
      <w:r w:rsidR="0050262C" w:rsidRPr="0050262C">
        <w:rPr>
          <w:rFonts w:ascii="CG Times" w:hAnsi="CG Times"/>
          <w:sz w:val="24"/>
          <w:szCs w:val="24"/>
        </w:rPr>
        <w:t>debias</w:t>
      </w:r>
      <w:proofErr w:type="spellEnd"/>
      <w:r w:rsidR="0050262C" w:rsidRPr="0050262C">
        <w:rPr>
          <w:rFonts w:ascii="CG Times" w:hAnsi="CG Times"/>
          <w:sz w:val="24"/>
          <w:szCs w:val="24"/>
        </w:rPr>
        <w:t>.</w:t>
      </w:r>
      <w:r w:rsidR="0050262C" w:rsidRPr="0050262C">
        <w:rPr>
          <w:rStyle w:val="FootnoteReference"/>
          <w:rFonts w:ascii="CG Times" w:hAnsi="CG Times"/>
          <w:sz w:val="24"/>
          <w:szCs w:val="24"/>
        </w:rPr>
        <w:footnoteReference w:id="98"/>
      </w:r>
      <w:r w:rsidR="0050262C" w:rsidRPr="0050262C">
        <w:rPr>
          <w:rFonts w:ascii="CG Times" w:hAnsi="CG Times"/>
          <w:sz w:val="24"/>
          <w:szCs w:val="24"/>
        </w:rPr>
        <w:t xml:space="preserve"> Suppose a credit card issuer incurs the cost to educate consumers of their bounded willpower and overconfidence. Other competitors can </w:t>
      </w:r>
      <w:proofErr w:type="gramStart"/>
      <w:r w:rsidR="0050262C" w:rsidRPr="0050262C">
        <w:rPr>
          <w:rFonts w:ascii="CG Times" w:hAnsi="CG Times"/>
          <w:sz w:val="24"/>
          <w:szCs w:val="24"/>
        </w:rPr>
        <w:t>free-ride</w:t>
      </w:r>
      <w:proofErr w:type="gramEnd"/>
      <w:r w:rsidR="0050262C" w:rsidRPr="0050262C">
        <w:rPr>
          <w:rFonts w:ascii="CG Times" w:hAnsi="CG Times"/>
          <w:sz w:val="24"/>
          <w:szCs w:val="24"/>
        </w:rPr>
        <w:t xml:space="preserve"> on the company’s educational efforts and quickly offer similar credit cards with lower annual fees. Alternatively other firms continue to exploit the overconfident consumers with bounded willpower, who subsidize in part the better terms for the sophisticated consumers.</w:t>
      </w:r>
      <w:r w:rsidR="0050262C" w:rsidRPr="0050262C">
        <w:rPr>
          <w:rStyle w:val="FootnoteReference"/>
          <w:rFonts w:ascii="CG Times" w:hAnsi="CG Times"/>
          <w:sz w:val="24"/>
          <w:szCs w:val="24"/>
        </w:rPr>
        <w:footnoteReference w:id="99"/>
      </w:r>
      <w:r w:rsidR="0050262C" w:rsidRPr="0050262C">
        <w:rPr>
          <w:rFonts w:ascii="CG Times" w:hAnsi="CG Times"/>
          <w:sz w:val="24"/>
          <w:szCs w:val="24"/>
        </w:rPr>
        <w:t xml:space="preserve"> Ultimately, </w:t>
      </w:r>
      <w:proofErr w:type="spellStart"/>
      <w:r w:rsidR="0050262C" w:rsidRPr="0050262C">
        <w:rPr>
          <w:rFonts w:ascii="CG Times" w:hAnsi="CG Times"/>
          <w:sz w:val="24"/>
          <w:szCs w:val="24"/>
        </w:rPr>
        <w:t>debiasing</w:t>
      </w:r>
      <w:proofErr w:type="spellEnd"/>
      <w:r w:rsidR="0050262C" w:rsidRPr="0050262C">
        <w:rPr>
          <w:rFonts w:ascii="CG Times" w:hAnsi="CG Times"/>
          <w:sz w:val="24"/>
          <w:szCs w:val="24"/>
        </w:rPr>
        <w:t xml:space="preserve"> reduces the credit card companies’ profits, without offering any lasting competitive advantage to the first-mover. Consequently, the industry makes more money exploiting consumers’ bounded rationality. Consumers, overconfident in their financial prowess, will not demand better-suited products. Firms have little financial incentive to help consumers make better choices.</w:t>
      </w:r>
      <w:r w:rsidR="0050262C" w:rsidRPr="0050262C">
        <w:rPr>
          <w:rStyle w:val="FootnoteReference"/>
          <w:rFonts w:ascii="CG Times" w:hAnsi="CG Times"/>
          <w:sz w:val="24"/>
          <w:szCs w:val="24"/>
        </w:rPr>
        <w:footnoteReference w:id="100"/>
      </w:r>
      <w:r w:rsidR="0050262C" w:rsidRPr="0050262C">
        <w:rPr>
          <w:rFonts w:ascii="CG Times" w:hAnsi="CG Times"/>
          <w:sz w:val="24"/>
          <w:szCs w:val="24"/>
        </w:rPr>
        <w:t xml:space="preserve"> Market demand, accordingly, will skew toward products and services that exploit or reinforce consumers’ bounded willpower and rationality.</w:t>
      </w:r>
    </w:p>
    <w:p w14:paraId="199D8A1D" w14:textId="26B34F02" w:rsidR="0050262C" w:rsidRPr="0050262C" w:rsidRDefault="008C1A2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A second policy issue under Scenario II is distinguishing between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exploitation and firms’ helping bounded rational consumers. Customers under Scenario II may reign supreme (e.g., choosing commitment devices to address their bounded willpower) or be exploited. So the government under Scenario II faces three difficulties. One difficulty is that the government cannot necessarily rely on consumers’ choices to infer their utility. If heuristics and biases systematically affect consumer </w:t>
      </w:r>
      <w:r w:rsidR="0050262C" w:rsidRPr="0050262C">
        <w:rPr>
          <w:rFonts w:ascii="CG Times" w:hAnsi="CG Times"/>
          <w:sz w:val="24"/>
          <w:szCs w:val="24"/>
        </w:rPr>
        <w:lastRenderedPageBreak/>
        <w:t xml:space="preserve">decision-making, then </w:t>
      </w:r>
      <w:r w:rsidR="0050262C" w:rsidRPr="0050262C">
        <w:rPr>
          <w:rFonts w:ascii="CG Times" w:hAnsi="CG Times"/>
          <w:color w:val="000000"/>
          <w:sz w:val="24"/>
          <w:szCs w:val="24"/>
        </w:rPr>
        <w:t xml:space="preserve">consumer choices do not necessarily reflect actual preferences. </w:t>
      </w:r>
      <w:r w:rsidR="0050262C" w:rsidRPr="0050262C">
        <w:rPr>
          <w:rFonts w:ascii="CG Times" w:hAnsi="CG Times"/>
          <w:sz w:val="24"/>
          <w:szCs w:val="24"/>
        </w:rPr>
        <w:t xml:space="preserve">A second difficulty is that some sophisticated consumers, aware of their bounded willpower, will purchase commitment devices that can appear exploitive to the government. A third difficulty is distinguishing when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exploitation benefits or harms society. At times, exploiting irrationality benefits society.</w:t>
      </w:r>
      <w:r w:rsidR="0050262C" w:rsidRPr="0050262C">
        <w:rPr>
          <w:rStyle w:val="FootnoteReference"/>
          <w:rFonts w:ascii="CG Times" w:hAnsi="CG Times"/>
          <w:sz w:val="24"/>
          <w:szCs w:val="24"/>
        </w:rPr>
        <w:footnoteReference w:id="101"/>
      </w:r>
      <w:r w:rsidR="0050262C" w:rsidRPr="0050262C">
        <w:rPr>
          <w:rFonts w:ascii="CG Times" w:hAnsi="CG Times"/>
          <w:sz w:val="24"/>
          <w:szCs w:val="24"/>
        </w:rPr>
        <w:t xml:space="preserve"> </w:t>
      </w:r>
    </w:p>
    <w:p w14:paraId="4BC84C95" w14:textId="16E8CA04" w:rsidR="0050262C" w:rsidRPr="0050262C" w:rsidRDefault="008C1A2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Finally, how does the agency respond to sustained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exploitation? If many consumers choose poorly, one danger is creeping authoritarianism, whereby the government by default decides for consumers. In displacing individual autonomy, the government does not help consumers improve their willpower or rationality, which in turn reduces consumer sovereignty and liberty. But a laissez-faire approach, whereby the government renounces any intention to regulate, raises another anti-democratic outcome, namely corporate autocracy. </w:t>
      </w:r>
    </w:p>
    <w:p w14:paraId="5E2EC5FF" w14:textId="7946C5D8" w:rsidR="0050262C" w:rsidRPr="0050262C" w:rsidRDefault="008C1A2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Since consumers under Scenario II can be worse off when the government acts or fails to act, what should the government do?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provides the government with additional remedies, some less paternalistic than others, to deter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exploitation while preserving economic liberty and leaving room for innovation that benefits consumers. The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remedies include:</w:t>
      </w:r>
    </w:p>
    <w:p w14:paraId="57650DAA" w14:textId="77777777" w:rsidR="005D796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0262C">
        <w:rPr>
          <w:rFonts w:ascii="CG Times" w:hAnsi="CG Times"/>
          <w:sz w:val="24"/>
          <w:szCs w:val="24"/>
        </w:rPr>
        <w:t xml:space="preserve">Altering existing, or create new, default rules. </w:t>
      </w:r>
    </w:p>
    <w:p w14:paraId="383DD732" w14:textId="77777777" w:rsidR="005D796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D796C">
        <w:rPr>
          <w:rFonts w:ascii="CG Times" w:hAnsi="CG Times"/>
          <w:sz w:val="24"/>
          <w:szCs w:val="24"/>
        </w:rPr>
        <w:lastRenderedPageBreak/>
        <w:t>Requiring consumers to choose among the options.</w:t>
      </w:r>
      <w:r w:rsidRPr="0050262C">
        <w:rPr>
          <w:rStyle w:val="FootnoteReference"/>
          <w:rFonts w:ascii="CG Times" w:hAnsi="CG Times"/>
          <w:sz w:val="24"/>
          <w:szCs w:val="24"/>
        </w:rPr>
        <w:footnoteReference w:id="102"/>
      </w:r>
      <w:r w:rsidRPr="005D796C">
        <w:rPr>
          <w:rFonts w:ascii="CG Times" w:hAnsi="CG Times"/>
          <w:sz w:val="24"/>
          <w:szCs w:val="24"/>
        </w:rPr>
        <w:t xml:space="preserve"> </w:t>
      </w:r>
    </w:p>
    <w:p w14:paraId="6D7E4762" w14:textId="77777777" w:rsidR="005D796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D796C">
        <w:rPr>
          <w:rFonts w:ascii="CG Times" w:hAnsi="CG Times"/>
          <w:sz w:val="24"/>
          <w:szCs w:val="24"/>
        </w:rPr>
        <w:t>Educating the consumers using framing under prospect theory and the availability heuristic.</w:t>
      </w:r>
      <w:bookmarkStart w:id="14" w:name="_Ref199573223"/>
      <w:r w:rsidRPr="0050262C">
        <w:rPr>
          <w:rStyle w:val="FootnoteReference"/>
          <w:rFonts w:ascii="CG Times" w:hAnsi="CG Times"/>
          <w:sz w:val="24"/>
          <w:szCs w:val="24"/>
        </w:rPr>
        <w:footnoteReference w:id="103"/>
      </w:r>
      <w:bookmarkEnd w:id="14"/>
      <w:r w:rsidRPr="005D796C">
        <w:rPr>
          <w:rFonts w:ascii="CG Times" w:hAnsi="CG Times"/>
          <w:sz w:val="24"/>
          <w:szCs w:val="24"/>
        </w:rPr>
        <w:t xml:space="preserve"> At times, better disclosures entail providing less, but more important, information.</w:t>
      </w:r>
    </w:p>
    <w:p w14:paraId="7255123D" w14:textId="77777777" w:rsidR="005D796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D796C">
        <w:rPr>
          <w:rFonts w:ascii="CG Times" w:hAnsi="CG Times"/>
          <w:sz w:val="24"/>
          <w:szCs w:val="24"/>
        </w:rPr>
        <w:t>Setting one option as the default but impose procedural constraints on opting out.</w:t>
      </w:r>
    </w:p>
    <w:p w14:paraId="68F96ECE" w14:textId="77777777" w:rsidR="005D796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D796C">
        <w:rPr>
          <w:rFonts w:ascii="CG Times" w:hAnsi="CG Times"/>
          <w:sz w:val="24"/>
          <w:szCs w:val="24"/>
        </w:rPr>
        <w:t>Affording purchasers a cooling-off period.</w:t>
      </w:r>
      <w:r w:rsidRPr="0050262C">
        <w:rPr>
          <w:rStyle w:val="FootnoteReference"/>
          <w:rFonts w:ascii="CG Times" w:hAnsi="CG Times"/>
          <w:sz w:val="24"/>
          <w:szCs w:val="24"/>
        </w:rPr>
        <w:footnoteReference w:id="104"/>
      </w:r>
      <w:r w:rsidRPr="005D796C">
        <w:rPr>
          <w:rFonts w:ascii="CG Times" w:hAnsi="CG Times"/>
          <w:sz w:val="24"/>
          <w:szCs w:val="24"/>
        </w:rPr>
        <w:t xml:space="preserve"> </w:t>
      </w:r>
    </w:p>
    <w:p w14:paraId="756BE429" w14:textId="77777777" w:rsidR="005D796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D796C">
        <w:rPr>
          <w:rFonts w:ascii="CG Times" w:hAnsi="CG Times"/>
          <w:sz w:val="24"/>
          <w:szCs w:val="24"/>
        </w:rPr>
        <w:t xml:space="preserve">Imposing a </w:t>
      </w:r>
      <w:proofErr w:type="spellStart"/>
      <w:r w:rsidRPr="005D796C">
        <w:rPr>
          <w:rFonts w:ascii="CG Times" w:hAnsi="CG Times"/>
          <w:sz w:val="24"/>
          <w:szCs w:val="24"/>
        </w:rPr>
        <w:t>behavioral</w:t>
      </w:r>
      <w:proofErr w:type="spellEnd"/>
      <w:r w:rsidRPr="005D796C">
        <w:rPr>
          <w:rFonts w:ascii="CG Times" w:hAnsi="CG Times"/>
          <w:sz w:val="24"/>
          <w:szCs w:val="24"/>
        </w:rPr>
        <w:t xml:space="preserve"> exploitation tax on the rational firm.</w:t>
      </w:r>
      <w:r w:rsidRPr="0050262C">
        <w:rPr>
          <w:rStyle w:val="FootnoteReference"/>
          <w:rFonts w:ascii="CG Times" w:hAnsi="CG Times"/>
          <w:sz w:val="24"/>
          <w:szCs w:val="24"/>
        </w:rPr>
        <w:footnoteReference w:id="105"/>
      </w:r>
    </w:p>
    <w:p w14:paraId="585AD9C1" w14:textId="77777777" w:rsidR="005D796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D796C">
        <w:rPr>
          <w:rFonts w:ascii="CG Times" w:hAnsi="CG Times"/>
          <w:sz w:val="24"/>
          <w:szCs w:val="24"/>
        </w:rPr>
        <w:lastRenderedPageBreak/>
        <w:t xml:space="preserve">Take preventive measures to help consumers </w:t>
      </w:r>
      <w:proofErr w:type="spellStart"/>
      <w:r w:rsidRPr="005D796C">
        <w:rPr>
          <w:rFonts w:ascii="CG Times" w:hAnsi="CG Times"/>
          <w:sz w:val="24"/>
          <w:szCs w:val="24"/>
        </w:rPr>
        <w:t>debias</w:t>
      </w:r>
      <w:proofErr w:type="spellEnd"/>
      <w:r w:rsidRPr="005D796C">
        <w:rPr>
          <w:rFonts w:ascii="CG Times" w:hAnsi="CG Times"/>
          <w:sz w:val="24"/>
          <w:szCs w:val="24"/>
        </w:rPr>
        <w:t xml:space="preserve"> themselves and improve their willpower, including increasing (</w:t>
      </w:r>
      <w:proofErr w:type="spellStart"/>
      <w:r w:rsidRPr="005D796C">
        <w:rPr>
          <w:rFonts w:ascii="CG Times" w:hAnsi="CG Times"/>
          <w:sz w:val="24"/>
          <w:szCs w:val="24"/>
        </w:rPr>
        <w:t>i</w:t>
      </w:r>
      <w:proofErr w:type="spellEnd"/>
      <w:r w:rsidRPr="005D796C">
        <w:rPr>
          <w:rFonts w:ascii="CG Times" w:hAnsi="CG Times"/>
          <w:sz w:val="24"/>
          <w:szCs w:val="24"/>
        </w:rPr>
        <w:t xml:space="preserve">) the supply of </w:t>
      </w:r>
      <w:proofErr w:type="spellStart"/>
      <w:r w:rsidRPr="005D796C">
        <w:rPr>
          <w:rFonts w:ascii="CG Times" w:hAnsi="CG Times"/>
          <w:sz w:val="24"/>
          <w:szCs w:val="24"/>
        </w:rPr>
        <w:t>debiasing</w:t>
      </w:r>
      <w:proofErr w:type="spellEnd"/>
      <w:r w:rsidRPr="005D796C">
        <w:rPr>
          <w:rFonts w:ascii="CG Times" w:hAnsi="CG Times"/>
          <w:sz w:val="24"/>
          <w:szCs w:val="24"/>
        </w:rPr>
        <w:t xml:space="preserve"> methods</w:t>
      </w:r>
      <w:r w:rsidRPr="0050262C">
        <w:rPr>
          <w:rStyle w:val="FootnoteReference"/>
          <w:rFonts w:ascii="CG Times" w:hAnsi="CG Times"/>
          <w:sz w:val="24"/>
          <w:szCs w:val="24"/>
        </w:rPr>
        <w:footnoteReference w:id="106"/>
      </w:r>
      <w:r w:rsidRPr="005D796C">
        <w:rPr>
          <w:rFonts w:ascii="CG Times" w:hAnsi="CG Times"/>
          <w:sz w:val="24"/>
          <w:szCs w:val="24"/>
        </w:rPr>
        <w:t xml:space="preserve">; (ii) the demand for </w:t>
      </w:r>
      <w:proofErr w:type="spellStart"/>
      <w:r w:rsidRPr="005D796C">
        <w:rPr>
          <w:rFonts w:ascii="CG Times" w:hAnsi="CG Times"/>
          <w:sz w:val="24"/>
          <w:szCs w:val="24"/>
        </w:rPr>
        <w:t>debiasing</w:t>
      </w:r>
      <w:proofErr w:type="spellEnd"/>
      <w:r w:rsidRPr="005D796C">
        <w:rPr>
          <w:rFonts w:ascii="CG Times" w:hAnsi="CG Times"/>
          <w:sz w:val="24"/>
          <w:szCs w:val="24"/>
        </w:rPr>
        <w:t xml:space="preserve"> (such as imposing procedural constraints on consumer participation in high risk areas of </w:t>
      </w:r>
      <w:proofErr w:type="spellStart"/>
      <w:r w:rsidRPr="005D796C">
        <w:rPr>
          <w:rFonts w:ascii="CG Times" w:hAnsi="CG Times"/>
          <w:sz w:val="24"/>
          <w:szCs w:val="24"/>
        </w:rPr>
        <w:t>behavioral</w:t>
      </w:r>
      <w:proofErr w:type="spellEnd"/>
      <w:r w:rsidRPr="005D796C">
        <w:rPr>
          <w:rFonts w:ascii="CG Times" w:hAnsi="CG Times"/>
          <w:sz w:val="24"/>
          <w:szCs w:val="24"/>
        </w:rPr>
        <w:t xml:space="preserve"> exploitation, such as subprime lending, unless the consumer participated in an approved online course that outlines the mortgages’ risks); and (iii) the opportunities to </w:t>
      </w:r>
      <w:proofErr w:type="spellStart"/>
      <w:r w:rsidRPr="005D796C">
        <w:rPr>
          <w:rFonts w:ascii="CG Times" w:hAnsi="CG Times"/>
          <w:sz w:val="24"/>
          <w:szCs w:val="24"/>
        </w:rPr>
        <w:t>debias</w:t>
      </w:r>
      <w:proofErr w:type="spellEnd"/>
      <w:r w:rsidRPr="005D796C">
        <w:rPr>
          <w:rFonts w:ascii="CG Times" w:hAnsi="CG Times"/>
          <w:sz w:val="24"/>
          <w:szCs w:val="24"/>
        </w:rPr>
        <w:t>, such as facilitating timely feedback mechanisms to make consumers become aware of their errors and the costs of their poor choices, and strategies to avoid errors (e.g., providing employees who have not enrolled into a retirement plan a monthly reminder of how much money they lost to date in matching funds by not contributing to the 401(k), and an easy method to opt-in).</w:t>
      </w:r>
    </w:p>
    <w:p w14:paraId="7E55D56B" w14:textId="77777777" w:rsidR="005D796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D796C">
        <w:rPr>
          <w:rFonts w:ascii="CG Times" w:hAnsi="CG Times"/>
          <w:sz w:val="24"/>
          <w:szCs w:val="24"/>
        </w:rPr>
        <w:t>Provide consumers, if the market has not, commitment devices.</w:t>
      </w:r>
    </w:p>
    <w:p w14:paraId="69552DC6" w14:textId="3DE95578" w:rsidR="0050262C" w:rsidRPr="005D796C" w:rsidRDefault="0050262C" w:rsidP="002623D1">
      <w:pPr>
        <w:pStyle w:val="ListBullet"/>
        <w:tabs>
          <w:tab w:val="clear" w:pos="850"/>
          <w:tab w:val="left" w:pos="432"/>
          <w:tab w:val="left" w:pos="720"/>
          <w:tab w:val="num" w:pos="1258"/>
        </w:tabs>
        <w:spacing w:after="120"/>
        <w:ind w:left="408"/>
        <w:rPr>
          <w:rFonts w:ascii="CG Times" w:hAnsi="CG Times"/>
          <w:sz w:val="24"/>
          <w:szCs w:val="24"/>
        </w:rPr>
      </w:pPr>
      <w:r w:rsidRPr="005D796C">
        <w:rPr>
          <w:rFonts w:ascii="CG Times" w:hAnsi="CG Times"/>
          <w:sz w:val="24"/>
          <w:szCs w:val="24"/>
        </w:rPr>
        <w:t>Increase the firms’ search costs of identifying potential victims.</w:t>
      </w:r>
      <w:r w:rsidRPr="0050262C">
        <w:rPr>
          <w:rStyle w:val="FootnoteReference"/>
          <w:rFonts w:ascii="CG Times" w:hAnsi="CG Times"/>
          <w:sz w:val="24"/>
          <w:szCs w:val="24"/>
        </w:rPr>
        <w:footnoteReference w:id="107"/>
      </w:r>
    </w:p>
    <w:p w14:paraId="03C9F39A" w14:textId="285B3975" w:rsidR="0050262C" w:rsidRPr="0050262C" w:rsidRDefault="008C1A2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Consequently, one can have different conceptions of competition with different policy implications by altering one set of assumptions, namely, the relative rationality of firms and consumers. </w:t>
      </w:r>
      <w:r w:rsidR="0050262C" w:rsidRPr="0050262C">
        <w:rPr>
          <w:rFonts w:ascii="CG Times" w:hAnsi="CG Times"/>
          <w:color w:val="000000"/>
          <w:sz w:val="24"/>
          <w:szCs w:val="24"/>
        </w:rPr>
        <w:t xml:space="preserve">Thus, the agency likely will want to undertake more empirical work to understand better the competitive </w:t>
      </w:r>
      <w:r w:rsidR="0050262C" w:rsidRPr="0050262C">
        <w:rPr>
          <w:rFonts w:ascii="CG Times" w:hAnsi="CG Times"/>
          <w:color w:val="000000"/>
          <w:sz w:val="24"/>
          <w:szCs w:val="24"/>
        </w:rPr>
        <w:lastRenderedPageBreak/>
        <w:t xml:space="preserve">dynamics of particular markets and how legal and informal norms interact to influence </w:t>
      </w:r>
      <w:proofErr w:type="spellStart"/>
      <w:r w:rsidR="0050262C" w:rsidRPr="0050262C">
        <w:rPr>
          <w:rFonts w:ascii="CG Times" w:hAnsi="CG Times"/>
          <w:color w:val="000000"/>
          <w:sz w:val="24"/>
          <w:szCs w:val="24"/>
        </w:rPr>
        <w:t>behavior</w:t>
      </w:r>
      <w:proofErr w:type="spellEnd"/>
      <w:r w:rsidR="0050262C" w:rsidRPr="0050262C">
        <w:rPr>
          <w:rFonts w:ascii="CG Times" w:hAnsi="CG Times"/>
          <w:color w:val="000000"/>
          <w:sz w:val="24"/>
          <w:szCs w:val="24"/>
        </w:rPr>
        <w:t xml:space="preserve"> and competition generally.</w:t>
      </w:r>
    </w:p>
    <w:p w14:paraId="75931948" w14:textId="4EB816D1" w:rsidR="0050262C" w:rsidRPr="0050262C" w:rsidRDefault="0050262C" w:rsidP="002623D1">
      <w:pPr>
        <w:pStyle w:val="Heading2"/>
        <w:tabs>
          <w:tab w:val="left" w:pos="432"/>
        </w:tabs>
      </w:pPr>
      <w:r w:rsidRPr="0050262C">
        <w:t>Reconsidering the Goals of Competition Law</w:t>
      </w:r>
    </w:p>
    <w:p w14:paraId="273DE428" w14:textId="29F25D21" w:rsidR="0050262C" w:rsidRPr="0050262C" w:rsidRDefault="008C1A24" w:rsidP="002623D1">
      <w:pPr>
        <w:pStyle w:val="Num-DocParagraph"/>
        <w:tabs>
          <w:tab w:val="left" w:pos="432"/>
          <w:tab w:val="left" w:pos="720"/>
        </w:tabs>
        <w:spacing w:line="360" w:lineRule="auto"/>
        <w:rPr>
          <w:rFonts w:ascii="CG Times" w:hAnsi="CG Times"/>
          <w:color w:val="000000"/>
          <w:sz w:val="24"/>
          <w:szCs w:val="24"/>
        </w:rPr>
      </w:pPr>
      <w:r>
        <w:rPr>
          <w:rFonts w:ascii="CG Times" w:hAnsi="CG Times"/>
          <w:sz w:val="24"/>
          <w:szCs w:val="24"/>
        </w:rPr>
        <w:tab/>
      </w:r>
      <w:r w:rsidR="0050262C" w:rsidRPr="0050262C">
        <w:rPr>
          <w:rFonts w:ascii="CG Times" w:hAnsi="CG Times"/>
          <w:sz w:val="24"/>
          <w:szCs w:val="24"/>
        </w:rPr>
        <w:t xml:space="preserve">Besides </w:t>
      </w:r>
      <w:r w:rsidRPr="0050262C">
        <w:rPr>
          <w:rFonts w:ascii="CG Times" w:hAnsi="CG Times"/>
          <w:sz w:val="24"/>
          <w:szCs w:val="24"/>
        </w:rPr>
        <w:t>re-examining</w:t>
      </w:r>
      <w:r w:rsidR="0050262C" w:rsidRPr="0050262C">
        <w:rPr>
          <w:rFonts w:ascii="CG Times" w:hAnsi="CG Times"/>
          <w:sz w:val="24"/>
          <w:szCs w:val="24"/>
        </w:rPr>
        <w:t xml:space="preserve"> the assumptions underlying their theory of competition, competition authorities can reconsider their antitrust goals. </w:t>
      </w:r>
      <w:r w:rsidR="0050262C" w:rsidRPr="0050262C">
        <w:rPr>
          <w:rFonts w:ascii="CG Times" w:hAnsi="CG Times"/>
          <w:color w:val="000000"/>
          <w:sz w:val="24"/>
          <w:szCs w:val="24"/>
        </w:rPr>
        <w:t>The ICN recently completed three surveys of its member competition authorities to identify their countries’ antitrust objectives. Thirty of thirty-three countries in a 2007 ICN survey identified promoting consumer welfare as an objective for their monopolization statutes.</w:t>
      </w:r>
      <w:bookmarkStart w:id="15" w:name="_Ref199566979"/>
      <w:r w:rsidR="0050262C" w:rsidRPr="0050262C">
        <w:rPr>
          <w:rStyle w:val="FootnoteReference"/>
          <w:rFonts w:ascii="CG Times" w:hAnsi="CG Times"/>
          <w:color w:val="000000"/>
          <w:sz w:val="24"/>
          <w:szCs w:val="24"/>
        </w:rPr>
        <w:footnoteReference w:id="108"/>
      </w:r>
      <w:bookmarkEnd w:id="15"/>
      <w:r w:rsidR="0050262C" w:rsidRPr="0050262C">
        <w:rPr>
          <w:rFonts w:ascii="CG Times" w:hAnsi="CG Times"/>
          <w:color w:val="000000"/>
          <w:sz w:val="24"/>
          <w:szCs w:val="24"/>
        </w:rPr>
        <w:t xml:space="preserve"> The European Commission noted how “over the past two decades, the Commission’s antitrust and merger policy more effectively placed the emphasis on consumer welfare, notably through an increasingly refined economic analysis.”</w:t>
      </w:r>
      <w:r w:rsidR="0050262C" w:rsidRPr="0050262C">
        <w:rPr>
          <w:rStyle w:val="FootnoteReference"/>
          <w:rFonts w:ascii="CG Times" w:hAnsi="CG Times"/>
          <w:color w:val="000000"/>
          <w:sz w:val="24"/>
          <w:szCs w:val="24"/>
        </w:rPr>
        <w:footnoteReference w:id="109"/>
      </w:r>
    </w:p>
    <w:p w14:paraId="0C6695E5" w14:textId="54D08529" w:rsidR="0050262C" w:rsidRPr="0050262C" w:rsidRDefault="008C1A24" w:rsidP="002623D1">
      <w:pPr>
        <w:pStyle w:val="Num-DocParagraph"/>
        <w:tabs>
          <w:tab w:val="left" w:pos="432"/>
          <w:tab w:val="left" w:pos="720"/>
        </w:tabs>
        <w:spacing w:line="360" w:lineRule="auto"/>
        <w:rPr>
          <w:rFonts w:ascii="CG Times" w:hAnsi="CG Times"/>
          <w:color w:val="000000"/>
          <w:sz w:val="24"/>
          <w:szCs w:val="24"/>
        </w:rPr>
      </w:pPr>
      <w:r>
        <w:rPr>
          <w:rFonts w:ascii="CG Times" w:hAnsi="CG Times"/>
          <w:sz w:val="24"/>
          <w:szCs w:val="24"/>
        </w:rPr>
        <w:tab/>
      </w:r>
      <w:r w:rsidR="0050262C" w:rsidRPr="0050262C">
        <w:rPr>
          <w:rFonts w:ascii="CG Times" w:hAnsi="CG Times"/>
          <w:sz w:val="24"/>
          <w:szCs w:val="24"/>
        </w:rPr>
        <w:t>But the convergence is limited. Despite the push for a single economic antitrust goal, there is no consensus in the U.S. or worldwide on any well-defined goal.</w:t>
      </w:r>
      <w:r w:rsidR="0050262C" w:rsidRPr="0050262C">
        <w:rPr>
          <w:rStyle w:val="FootnoteReference"/>
          <w:rFonts w:ascii="CG Times" w:hAnsi="CG Times"/>
          <w:sz w:val="24"/>
          <w:szCs w:val="24"/>
        </w:rPr>
        <w:footnoteReference w:id="110"/>
      </w:r>
      <w:r w:rsidR="0050262C" w:rsidRPr="0050262C">
        <w:rPr>
          <w:rFonts w:ascii="CG Times" w:hAnsi="CG Times"/>
          <w:sz w:val="24"/>
          <w:szCs w:val="24"/>
        </w:rPr>
        <w:t xml:space="preserve"> Four oft-cited economic goals (ensuring an effective competitive process, promoting consumer welfare, maximizing efficiency, and ensuring economic freedom</w:t>
      </w:r>
      <w:r w:rsidR="0050262C" w:rsidRPr="0050262C">
        <w:rPr>
          <w:rStyle w:val="FootnoteReference"/>
          <w:rFonts w:ascii="CG Times" w:hAnsi="CG Times"/>
          <w:color w:val="000000"/>
          <w:sz w:val="24"/>
          <w:szCs w:val="24"/>
        </w:rPr>
        <w:footnoteReference w:id="111"/>
      </w:r>
      <w:r w:rsidR="0050262C" w:rsidRPr="0050262C">
        <w:rPr>
          <w:rFonts w:ascii="CG Times" w:hAnsi="CG Times"/>
          <w:sz w:val="24"/>
          <w:szCs w:val="24"/>
        </w:rPr>
        <w:t xml:space="preserve">) have failed to unify antitrust analysis. No consensus exists on what the four goals mean or how they are achieved. For example, </w:t>
      </w:r>
      <w:r w:rsidR="0050262C" w:rsidRPr="0050262C">
        <w:rPr>
          <w:rFonts w:ascii="CG Times" w:hAnsi="CG Times"/>
          <w:color w:val="000000"/>
          <w:sz w:val="24"/>
          <w:szCs w:val="24"/>
        </w:rPr>
        <w:t xml:space="preserve">the objective of </w:t>
      </w:r>
      <w:r w:rsidR="0050262C" w:rsidRPr="0050262C">
        <w:rPr>
          <w:rFonts w:ascii="CG Times" w:hAnsi="CG Times"/>
          <w:i/>
          <w:color w:val="000000"/>
          <w:sz w:val="24"/>
          <w:szCs w:val="24"/>
        </w:rPr>
        <w:t>an</w:t>
      </w:r>
      <w:r w:rsidR="0050262C" w:rsidRPr="0050262C">
        <w:rPr>
          <w:rFonts w:ascii="CG Times" w:hAnsi="CG Times"/>
          <w:color w:val="000000"/>
          <w:sz w:val="24"/>
          <w:szCs w:val="24"/>
        </w:rPr>
        <w:t xml:space="preserve"> </w:t>
      </w:r>
      <w:r w:rsidR="0050262C" w:rsidRPr="0050262C">
        <w:rPr>
          <w:rFonts w:ascii="CG Times" w:hAnsi="CG Times"/>
          <w:i/>
          <w:color w:val="000000"/>
          <w:sz w:val="24"/>
          <w:szCs w:val="24"/>
        </w:rPr>
        <w:t>effective competitive process</w:t>
      </w:r>
      <w:r w:rsidR="0050262C" w:rsidRPr="0050262C">
        <w:rPr>
          <w:rFonts w:ascii="CG Times" w:hAnsi="CG Times"/>
          <w:color w:val="000000"/>
          <w:sz w:val="24"/>
          <w:szCs w:val="24"/>
        </w:rPr>
        <w:t xml:space="preserve"> is simply a </w:t>
      </w:r>
      <w:r w:rsidR="0050262C" w:rsidRPr="0050262C">
        <w:rPr>
          <w:rFonts w:ascii="CG Times" w:hAnsi="CG Times"/>
          <w:color w:val="000000"/>
          <w:sz w:val="24"/>
          <w:szCs w:val="24"/>
        </w:rPr>
        <w:lastRenderedPageBreak/>
        <w:t xml:space="preserve">belief in other objectives, which can conflict. </w:t>
      </w:r>
      <w:r w:rsidR="0050262C" w:rsidRPr="0050262C">
        <w:rPr>
          <w:rFonts w:ascii="CG Times" w:hAnsi="CG Times"/>
          <w:sz w:val="24"/>
          <w:szCs w:val="24"/>
        </w:rPr>
        <w:t xml:space="preserve">The objective of </w:t>
      </w:r>
      <w:r w:rsidR="0050262C" w:rsidRPr="0050262C">
        <w:rPr>
          <w:rFonts w:ascii="CG Times" w:hAnsi="CG Times"/>
          <w:i/>
          <w:sz w:val="24"/>
          <w:szCs w:val="24"/>
        </w:rPr>
        <w:t>promoting consumer welfare</w:t>
      </w:r>
      <w:r w:rsidR="0050262C" w:rsidRPr="0050262C">
        <w:rPr>
          <w:rFonts w:ascii="CG Times" w:hAnsi="CG Times"/>
          <w:sz w:val="24"/>
          <w:szCs w:val="24"/>
        </w:rPr>
        <w:t xml:space="preserve">, </w:t>
      </w:r>
      <w:r w:rsidR="0050262C" w:rsidRPr="0050262C">
        <w:rPr>
          <w:rFonts w:ascii="CG Times" w:hAnsi="CG Times"/>
          <w:color w:val="000000"/>
          <w:sz w:val="24"/>
          <w:szCs w:val="24"/>
        </w:rPr>
        <w:t>the ICN surveys reflect,</w:t>
      </w:r>
      <w:r w:rsidR="0050262C" w:rsidRPr="0050262C">
        <w:rPr>
          <w:rFonts w:ascii="CG Times" w:hAnsi="CG Times"/>
          <w:sz w:val="24"/>
          <w:szCs w:val="24"/>
        </w:rPr>
        <w:t xml:space="preserve"> provides little guidance.</w:t>
      </w:r>
      <w:bookmarkStart w:id="16" w:name="_Ref199573428"/>
      <w:r w:rsidR="0050262C" w:rsidRPr="0050262C">
        <w:rPr>
          <w:rStyle w:val="FootnoteReference"/>
          <w:rFonts w:ascii="CG Times" w:hAnsi="CG Times"/>
          <w:sz w:val="24"/>
          <w:szCs w:val="24"/>
        </w:rPr>
        <w:footnoteReference w:id="112"/>
      </w:r>
      <w:bookmarkEnd w:id="16"/>
      <w:r w:rsidR="0050262C" w:rsidRPr="0050262C">
        <w:rPr>
          <w:rFonts w:ascii="CG Times" w:hAnsi="CG Times"/>
          <w:sz w:val="24"/>
          <w:szCs w:val="24"/>
        </w:rPr>
        <w:t xml:space="preserve"> </w:t>
      </w:r>
      <w:r w:rsidR="0050262C" w:rsidRPr="0050262C">
        <w:rPr>
          <w:rFonts w:ascii="CG Times" w:hAnsi="CG Times"/>
          <w:color w:val="000000"/>
          <w:sz w:val="24"/>
          <w:szCs w:val="24"/>
        </w:rPr>
        <w:t>Most countries, the ICN found, did “not specifically define consumer welfare and appear[</w:t>
      </w:r>
      <w:proofErr w:type="spellStart"/>
      <w:r w:rsidR="0050262C" w:rsidRPr="0050262C">
        <w:rPr>
          <w:rFonts w:ascii="CG Times" w:hAnsi="CG Times"/>
          <w:color w:val="000000"/>
          <w:sz w:val="24"/>
          <w:szCs w:val="24"/>
        </w:rPr>
        <w:t>ed</w:t>
      </w:r>
      <w:proofErr w:type="spellEnd"/>
      <w:r w:rsidR="0050262C" w:rsidRPr="0050262C">
        <w:rPr>
          <w:rFonts w:ascii="CG Times" w:hAnsi="CG Times"/>
          <w:color w:val="000000"/>
          <w:sz w:val="24"/>
          <w:szCs w:val="24"/>
        </w:rPr>
        <w:t>] to have different economic understandings of the term.”</w:t>
      </w:r>
      <w:r w:rsidR="0050262C" w:rsidRPr="0050262C">
        <w:rPr>
          <w:rStyle w:val="FootnoteReference"/>
          <w:rFonts w:ascii="CG Times" w:hAnsi="CG Times"/>
          <w:color w:val="000000"/>
          <w:sz w:val="24"/>
          <w:szCs w:val="24"/>
        </w:rPr>
        <w:footnoteReference w:id="113"/>
      </w:r>
      <w:r w:rsidR="0050262C" w:rsidRPr="0050262C">
        <w:rPr>
          <w:rFonts w:ascii="CG Times" w:hAnsi="CG Times"/>
          <w:color w:val="000000"/>
          <w:sz w:val="24"/>
          <w:szCs w:val="24"/>
        </w:rPr>
        <w:t xml:space="preserve"> </w:t>
      </w:r>
      <w:r w:rsidR="0050262C" w:rsidRPr="0050262C">
        <w:rPr>
          <w:rFonts w:ascii="CG Times" w:hAnsi="CG Times"/>
          <w:sz w:val="24"/>
          <w:szCs w:val="24"/>
        </w:rPr>
        <w:t xml:space="preserve">No consensus exists on what </w:t>
      </w:r>
      <w:r w:rsidR="0050262C" w:rsidRPr="0050262C">
        <w:rPr>
          <w:rFonts w:ascii="CG Times" w:hAnsi="CG Times"/>
          <w:i/>
          <w:sz w:val="24"/>
          <w:szCs w:val="24"/>
        </w:rPr>
        <w:t>consumer welfare</w:t>
      </w:r>
      <w:r w:rsidR="0050262C" w:rsidRPr="0050262C">
        <w:rPr>
          <w:rFonts w:ascii="CG Times" w:hAnsi="CG Times"/>
          <w:sz w:val="24"/>
          <w:szCs w:val="24"/>
        </w:rPr>
        <w:t xml:space="preserve"> means, </w:t>
      </w:r>
      <w:proofErr w:type="gramStart"/>
      <w:r w:rsidR="0050262C" w:rsidRPr="0050262C">
        <w:rPr>
          <w:rFonts w:ascii="CG Times" w:hAnsi="CG Times"/>
          <w:sz w:val="24"/>
          <w:szCs w:val="24"/>
        </w:rPr>
        <w:t>who</w:t>
      </w:r>
      <w:proofErr w:type="gramEnd"/>
      <w:r w:rsidR="0050262C" w:rsidRPr="0050262C">
        <w:rPr>
          <w:rFonts w:ascii="CG Times" w:hAnsi="CG Times"/>
          <w:sz w:val="24"/>
          <w:szCs w:val="24"/>
        </w:rPr>
        <w:t xml:space="preserve"> the consumers are, how to measure consumer welfare, or designing legal standards to further this goal. </w:t>
      </w:r>
      <w:r w:rsidR="0050262C" w:rsidRPr="0050262C">
        <w:rPr>
          <w:rFonts w:ascii="CG Times" w:hAnsi="CG Times"/>
          <w:color w:val="000000"/>
          <w:sz w:val="24"/>
          <w:szCs w:val="24"/>
        </w:rPr>
        <w:t xml:space="preserve">Consequently, as the ICN found, the “objectives of competition laws vary widely from one jurisdiction to </w:t>
      </w:r>
      <w:proofErr w:type="gramStart"/>
      <w:r w:rsidR="0050262C" w:rsidRPr="0050262C">
        <w:rPr>
          <w:rFonts w:ascii="CG Times" w:hAnsi="CG Times"/>
          <w:color w:val="000000"/>
          <w:sz w:val="24"/>
          <w:szCs w:val="24"/>
        </w:rPr>
        <w:t>another.</w:t>
      </w:r>
      <w:proofErr w:type="gramEnd"/>
      <w:r w:rsidR="0050262C" w:rsidRPr="0050262C">
        <w:rPr>
          <w:rFonts w:ascii="CG Times" w:hAnsi="CG Times"/>
          <w:color w:val="000000"/>
          <w:sz w:val="24"/>
          <w:szCs w:val="24"/>
        </w:rPr>
        <w:t xml:space="preserve"> . . . [</w:t>
      </w:r>
      <w:proofErr w:type="gramStart"/>
      <w:r w:rsidR="0050262C" w:rsidRPr="0050262C">
        <w:rPr>
          <w:rFonts w:ascii="CG Times" w:hAnsi="CG Times"/>
          <w:color w:val="000000"/>
          <w:sz w:val="24"/>
          <w:szCs w:val="24"/>
        </w:rPr>
        <w:t>P]</w:t>
      </w:r>
      <w:proofErr w:type="spellStart"/>
      <w:r w:rsidR="0050262C" w:rsidRPr="0050262C">
        <w:rPr>
          <w:rFonts w:ascii="CG Times" w:hAnsi="CG Times"/>
          <w:color w:val="000000"/>
          <w:sz w:val="24"/>
          <w:szCs w:val="24"/>
        </w:rPr>
        <w:t>arallel</w:t>
      </w:r>
      <w:proofErr w:type="spellEnd"/>
      <w:proofErr w:type="gramEnd"/>
      <w:r w:rsidR="0050262C" w:rsidRPr="0050262C">
        <w:rPr>
          <w:rFonts w:ascii="CG Times" w:hAnsi="CG Times"/>
          <w:color w:val="000000"/>
          <w:sz w:val="24"/>
          <w:szCs w:val="24"/>
        </w:rPr>
        <w:t xml:space="preserve"> objectives, possibly conflicting with that of economic efficiency or consumer welfare, are present in many competition laws.”</w:t>
      </w:r>
      <w:bookmarkStart w:id="17" w:name="_Ref173836479"/>
      <w:r w:rsidR="0050262C" w:rsidRPr="0050262C">
        <w:rPr>
          <w:rStyle w:val="FootnoteReference"/>
          <w:rFonts w:ascii="CG Times" w:hAnsi="CG Times"/>
          <w:color w:val="000000"/>
          <w:sz w:val="24"/>
          <w:szCs w:val="24"/>
        </w:rPr>
        <w:footnoteReference w:id="114"/>
      </w:r>
      <w:bookmarkEnd w:id="17"/>
    </w:p>
    <w:p w14:paraId="569130FB" w14:textId="0BA36352" w:rsidR="0050262C" w:rsidRPr="0050262C" w:rsidRDefault="008C1A2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So how can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inform policymakers on the goals of antitrust? As an initial premise, competition policy ultimately must improve the citizens’ </w:t>
      </w:r>
      <w:proofErr w:type="gramStart"/>
      <w:r w:rsidR="0050262C" w:rsidRPr="0050262C">
        <w:rPr>
          <w:rFonts w:ascii="CG Times" w:hAnsi="CG Times"/>
          <w:sz w:val="24"/>
          <w:szCs w:val="24"/>
        </w:rPr>
        <w:t>well-being</w:t>
      </w:r>
      <w:proofErr w:type="gramEnd"/>
      <w:r w:rsidR="0050262C" w:rsidRPr="0050262C">
        <w:rPr>
          <w:rFonts w:ascii="CG Times" w:hAnsi="CG Times"/>
          <w:sz w:val="24"/>
          <w:szCs w:val="24"/>
        </w:rPr>
        <w:t xml:space="preserve">. If, as a result of a country’s competition policy, its citizens’ physical and mental health deteriorates, their isolation and distrust increase, and their freedom, self-determination and well-being decrease, then the policy is not worthwhile. So one’s theory of competition (as defined in part by one’s competition policy) must promote--or at least not impede--overall </w:t>
      </w:r>
      <w:proofErr w:type="gramStart"/>
      <w:r w:rsidR="0050262C" w:rsidRPr="0050262C">
        <w:rPr>
          <w:rFonts w:ascii="CG Times" w:hAnsi="CG Times"/>
          <w:sz w:val="24"/>
          <w:szCs w:val="24"/>
        </w:rPr>
        <w:t>well-being</w:t>
      </w:r>
      <w:proofErr w:type="gramEnd"/>
      <w:r w:rsidR="0050262C" w:rsidRPr="0050262C">
        <w:rPr>
          <w:rFonts w:ascii="CG Times" w:hAnsi="CG Times"/>
          <w:sz w:val="24"/>
          <w:szCs w:val="24"/>
        </w:rPr>
        <w:t>.</w:t>
      </w:r>
    </w:p>
    <w:p w14:paraId="7023B00C" w14:textId="77777777" w:rsidR="005D796C" w:rsidRDefault="008C1A2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Accordingly, the issue is how antitrust law (along with other laws and informal ethical, moral, and social norms) can promote overall </w:t>
      </w:r>
      <w:proofErr w:type="gramStart"/>
      <w:r w:rsidR="0050262C" w:rsidRPr="0050262C">
        <w:rPr>
          <w:rFonts w:ascii="CG Times" w:hAnsi="CG Times"/>
          <w:sz w:val="24"/>
          <w:szCs w:val="24"/>
        </w:rPr>
        <w:t>well-being</w:t>
      </w:r>
      <w:proofErr w:type="gramEnd"/>
      <w:r w:rsidR="0050262C" w:rsidRPr="0050262C">
        <w:rPr>
          <w:rFonts w:ascii="CG Times" w:hAnsi="CG Times"/>
          <w:sz w:val="24"/>
          <w:szCs w:val="24"/>
        </w:rPr>
        <w:t xml:space="preserve">. On the one hand, part of antitrust law’s institutional soundness is its </w:t>
      </w:r>
      <w:r w:rsidR="0050262C" w:rsidRPr="0050262C">
        <w:rPr>
          <w:rFonts w:ascii="CG Times" w:hAnsi="CG Times"/>
          <w:sz w:val="24"/>
          <w:szCs w:val="24"/>
        </w:rPr>
        <w:lastRenderedPageBreak/>
        <w:t xml:space="preserve">recognition that antitrust cannot cure all societal ills. Antitrust law is at its strongest when it focuses on preserving an effective competitive process and enforcing norms of free, fair, and open competition. On the other hand, antitrust policy is not divorced from subjective </w:t>
      </w:r>
      <w:proofErr w:type="gramStart"/>
      <w:r w:rsidR="0050262C" w:rsidRPr="0050262C">
        <w:rPr>
          <w:rFonts w:ascii="CG Times" w:hAnsi="CG Times"/>
          <w:sz w:val="24"/>
          <w:szCs w:val="24"/>
        </w:rPr>
        <w:t>well-being</w:t>
      </w:r>
      <w:proofErr w:type="gramEnd"/>
      <w:r w:rsidR="0050262C" w:rsidRPr="0050262C">
        <w:rPr>
          <w:rFonts w:ascii="CG Times" w:hAnsi="CG Times"/>
          <w:sz w:val="24"/>
          <w:szCs w:val="24"/>
        </w:rPr>
        <w:t>. First, competition does not exist independently of legal and informal norms. Competition is defined in part by the prevailing legal and informal social, ethical, and moral norms.</w:t>
      </w:r>
      <w:bookmarkStart w:id="18" w:name="_Ref173862654"/>
      <w:r w:rsidR="0050262C" w:rsidRPr="0050262C">
        <w:rPr>
          <w:rStyle w:val="FootnoteReference"/>
          <w:rFonts w:ascii="CG Times" w:hAnsi="CG Times"/>
          <w:color w:val="000000"/>
          <w:sz w:val="24"/>
          <w:szCs w:val="24"/>
        </w:rPr>
        <w:footnoteReference w:id="115"/>
      </w:r>
      <w:bookmarkEnd w:id="18"/>
      <w:r w:rsidR="0050262C" w:rsidRPr="0050262C">
        <w:rPr>
          <w:rFonts w:ascii="CG Times" w:hAnsi="CG Times"/>
          <w:sz w:val="24"/>
          <w:szCs w:val="24"/>
        </w:rPr>
        <w:t xml:space="preserve"> The legal and informal norms provide the rules of the game necessary for that type of competition to function effectively and affect the market participants’ incentives.</w:t>
      </w:r>
      <w:r w:rsidR="0050262C" w:rsidRPr="0050262C">
        <w:rPr>
          <w:rStyle w:val="FootnoteReference"/>
          <w:rFonts w:ascii="CG Times" w:hAnsi="CG Times"/>
          <w:sz w:val="24"/>
          <w:szCs w:val="24"/>
        </w:rPr>
        <w:footnoteReference w:id="116"/>
      </w:r>
      <w:r w:rsidR="0050262C" w:rsidRPr="0050262C">
        <w:rPr>
          <w:rFonts w:ascii="CG Times" w:hAnsi="CG Times"/>
          <w:sz w:val="24"/>
          <w:szCs w:val="24"/>
        </w:rPr>
        <w:t xml:space="preserve"> </w:t>
      </w:r>
    </w:p>
    <w:p w14:paraId="73B7D49F" w14:textId="5251B51D" w:rsidR="0050262C" w:rsidRPr="0050262C" w:rsidRDefault="005D796C"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Second some types of competition promote overall </w:t>
      </w:r>
      <w:proofErr w:type="gramStart"/>
      <w:r w:rsidR="0050262C" w:rsidRPr="0050262C">
        <w:rPr>
          <w:rFonts w:ascii="CG Times" w:hAnsi="CG Times"/>
          <w:sz w:val="24"/>
          <w:szCs w:val="24"/>
        </w:rPr>
        <w:t>well-being</w:t>
      </w:r>
      <w:proofErr w:type="gramEnd"/>
      <w:r w:rsidR="0050262C" w:rsidRPr="0050262C">
        <w:rPr>
          <w:rFonts w:ascii="CG Times" w:hAnsi="CG Times"/>
          <w:sz w:val="24"/>
          <w:szCs w:val="24"/>
        </w:rPr>
        <w:t xml:space="preserve">. Other types of competition, such as the exploitation of child </w:t>
      </w:r>
      <w:proofErr w:type="spellStart"/>
      <w:r w:rsidR="0050262C" w:rsidRPr="0050262C">
        <w:rPr>
          <w:rFonts w:ascii="CG Times" w:hAnsi="CG Times"/>
          <w:sz w:val="24"/>
          <w:szCs w:val="24"/>
        </w:rPr>
        <w:t>labor</w:t>
      </w:r>
      <w:proofErr w:type="spellEnd"/>
      <w:r w:rsidR="0050262C" w:rsidRPr="0050262C">
        <w:rPr>
          <w:rFonts w:ascii="CG Times" w:hAnsi="CG Times"/>
          <w:sz w:val="24"/>
          <w:szCs w:val="24"/>
        </w:rPr>
        <w:t xml:space="preserve">, hinder </w:t>
      </w:r>
      <w:proofErr w:type="gramStart"/>
      <w:r w:rsidR="0050262C" w:rsidRPr="0050262C">
        <w:rPr>
          <w:rFonts w:ascii="CG Times" w:hAnsi="CG Times"/>
          <w:sz w:val="24"/>
          <w:szCs w:val="24"/>
        </w:rPr>
        <w:t>well-being</w:t>
      </w:r>
      <w:proofErr w:type="gramEnd"/>
      <w:r w:rsidR="0050262C" w:rsidRPr="0050262C">
        <w:rPr>
          <w:rFonts w:ascii="CG Times" w:hAnsi="CG Times"/>
          <w:sz w:val="24"/>
          <w:szCs w:val="24"/>
        </w:rPr>
        <w:t>. The phrase “competition on the merits” invariably involves normative considerations of unfair competition.</w:t>
      </w:r>
      <w:r w:rsidR="0050262C" w:rsidRPr="0050262C">
        <w:rPr>
          <w:rStyle w:val="FootnoteReference"/>
          <w:rFonts w:ascii="CG Times" w:hAnsi="CG Times"/>
          <w:color w:val="000000"/>
          <w:sz w:val="24"/>
          <w:szCs w:val="24"/>
        </w:rPr>
        <w:footnoteReference w:id="117"/>
      </w:r>
      <w:r w:rsidR="0050262C" w:rsidRPr="0050262C">
        <w:rPr>
          <w:rFonts w:ascii="CG Times" w:hAnsi="CG Times"/>
          <w:sz w:val="24"/>
          <w:szCs w:val="24"/>
        </w:rPr>
        <w:t xml:space="preserve"> </w:t>
      </w:r>
    </w:p>
    <w:p w14:paraId="6E64DE8E" w14:textId="6E142DAE" w:rsidR="0050262C" w:rsidRPr="0050262C" w:rsidRDefault="008C1A2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Third, the stronger one’s belief in the importance of preserving and expanding fair competition to promote overall </w:t>
      </w:r>
      <w:proofErr w:type="gramStart"/>
      <w:r w:rsidR="0050262C" w:rsidRPr="0050262C">
        <w:rPr>
          <w:rFonts w:ascii="CG Times" w:hAnsi="CG Times"/>
          <w:sz w:val="24"/>
          <w:szCs w:val="24"/>
        </w:rPr>
        <w:t>well-being</w:t>
      </w:r>
      <w:proofErr w:type="gramEnd"/>
      <w:r w:rsidR="0050262C" w:rsidRPr="0050262C">
        <w:rPr>
          <w:rFonts w:ascii="CG Times" w:hAnsi="CG Times"/>
          <w:sz w:val="24"/>
          <w:szCs w:val="24"/>
        </w:rPr>
        <w:t xml:space="preserve">, the greater antitrust’s role in defining and deterring unfair competition. Thus, antitrust promotes fair competition that, in turn, promotes overall </w:t>
      </w:r>
      <w:proofErr w:type="gramStart"/>
      <w:r w:rsidR="0050262C" w:rsidRPr="0050262C">
        <w:rPr>
          <w:rFonts w:ascii="CG Times" w:hAnsi="CG Times"/>
          <w:sz w:val="24"/>
          <w:szCs w:val="24"/>
        </w:rPr>
        <w:t>well-being</w:t>
      </w:r>
      <w:proofErr w:type="gramEnd"/>
      <w:r w:rsidR="0050262C" w:rsidRPr="0050262C">
        <w:rPr>
          <w:rFonts w:ascii="CG Times" w:hAnsi="CG Times"/>
          <w:sz w:val="24"/>
          <w:szCs w:val="24"/>
        </w:rPr>
        <w:t xml:space="preserve">. </w:t>
      </w:r>
    </w:p>
    <w:p w14:paraId="2EBAE519" w14:textId="2A95B73D" w:rsidR="0050262C" w:rsidRPr="0050262C" w:rsidRDefault="008C1A2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lastRenderedPageBreak/>
        <w:tab/>
      </w:r>
      <w:r w:rsidR="0050262C" w:rsidRPr="0050262C">
        <w:rPr>
          <w:rFonts w:ascii="CG Times" w:hAnsi="CG Times"/>
          <w:sz w:val="24"/>
          <w:szCs w:val="24"/>
        </w:rPr>
        <w:t xml:space="preserve">Thus one challenge for policymakers going forward is assessing how competition policy can promote overall </w:t>
      </w:r>
      <w:proofErr w:type="gramStart"/>
      <w:r w:rsidR="0050262C" w:rsidRPr="0050262C">
        <w:rPr>
          <w:rFonts w:ascii="CG Times" w:hAnsi="CG Times"/>
          <w:sz w:val="24"/>
          <w:szCs w:val="24"/>
        </w:rPr>
        <w:t>well-being</w:t>
      </w:r>
      <w:proofErr w:type="gramEnd"/>
      <w:r w:rsidR="0050262C" w:rsidRPr="0050262C">
        <w:rPr>
          <w:rFonts w:ascii="CG Times" w:hAnsi="CG Times"/>
          <w:sz w:val="24"/>
          <w:szCs w:val="24"/>
        </w:rPr>
        <w:t xml:space="preserve">. Promoting </w:t>
      </w:r>
      <w:proofErr w:type="gramStart"/>
      <w:r w:rsidR="0050262C" w:rsidRPr="0050262C">
        <w:rPr>
          <w:rFonts w:ascii="CG Times" w:hAnsi="CG Times"/>
          <w:sz w:val="24"/>
          <w:szCs w:val="24"/>
        </w:rPr>
        <w:t>well-being</w:t>
      </w:r>
      <w:proofErr w:type="gramEnd"/>
      <w:r w:rsidR="0050262C" w:rsidRPr="0050262C">
        <w:rPr>
          <w:rFonts w:ascii="CG Times" w:hAnsi="CG Times"/>
          <w:sz w:val="24"/>
          <w:szCs w:val="24"/>
        </w:rPr>
        <w:t xml:space="preserve"> entails promoting (1) material living conditions (income and wealth, housing, and jobs and earnings) and (2) quality of life (health status, work and life balance, education and skills, social connections, civic engagement and governance, environmental quality, personal security, sustainability, and subjective well-being).</w:t>
      </w:r>
      <w:bookmarkStart w:id="19" w:name="_Ref199567156"/>
      <w:r w:rsidR="0050262C" w:rsidRPr="0050262C">
        <w:rPr>
          <w:rStyle w:val="FootnoteReference"/>
          <w:rFonts w:ascii="CG Times" w:hAnsi="CG Times"/>
          <w:sz w:val="24"/>
          <w:szCs w:val="24"/>
        </w:rPr>
        <w:footnoteReference w:id="118"/>
      </w:r>
      <w:bookmarkEnd w:id="19"/>
    </w:p>
    <w:p w14:paraId="52F3BF21" w14:textId="363AA89D" w:rsidR="0050262C" w:rsidRPr="0050262C" w:rsidRDefault="008C1A24"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In developed countries like the United States, an antitrust goal to maximize material </w:t>
      </w:r>
      <w:proofErr w:type="gramStart"/>
      <w:r w:rsidR="0050262C" w:rsidRPr="0050262C">
        <w:rPr>
          <w:rFonts w:ascii="CG Times" w:hAnsi="CG Times"/>
          <w:sz w:val="24"/>
          <w:szCs w:val="24"/>
        </w:rPr>
        <w:t>well-being</w:t>
      </w:r>
      <w:proofErr w:type="gramEnd"/>
      <w:r w:rsidR="0050262C" w:rsidRPr="0050262C">
        <w:rPr>
          <w:rFonts w:ascii="CG Times" w:hAnsi="CG Times"/>
          <w:sz w:val="24"/>
          <w:szCs w:val="24"/>
        </w:rPr>
        <w:t xml:space="preserve"> (to the exclusion of quality of life goals) will not necessarily increase (and can reduce) overall well-being. After one’s basic needs are met, the economic literature shows, increasing income and wealth does not significantly increase experienced </w:t>
      </w:r>
      <w:proofErr w:type="gramStart"/>
      <w:r w:rsidR="0050262C" w:rsidRPr="0050262C">
        <w:rPr>
          <w:rFonts w:ascii="CG Times" w:hAnsi="CG Times"/>
          <w:sz w:val="24"/>
          <w:szCs w:val="24"/>
        </w:rPr>
        <w:t>well-being</w:t>
      </w:r>
      <w:proofErr w:type="gramEnd"/>
      <w:r w:rsidR="0050262C" w:rsidRPr="0050262C">
        <w:rPr>
          <w:rFonts w:ascii="CG Times" w:hAnsi="CG Times"/>
          <w:sz w:val="24"/>
          <w:szCs w:val="24"/>
        </w:rPr>
        <w:t>.</w:t>
      </w:r>
      <w:r w:rsidR="0050262C" w:rsidRPr="0050262C">
        <w:rPr>
          <w:rStyle w:val="FootnoteReference"/>
          <w:rFonts w:ascii="CG Times" w:hAnsi="CG Times"/>
          <w:sz w:val="24"/>
          <w:szCs w:val="24"/>
        </w:rPr>
        <w:footnoteReference w:id="119"/>
      </w:r>
      <w:r w:rsidR="0050262C" w:rsidRPr="0050262C">
        <w:rPr>
          <w:rFonts w:ascii="CG Times" w:hAnsi="CG Times"/>
          <w:sz w:val="24"/>
          <w:szCs w:val="24"/>
        </w:rPr>
        <w:t xml:space="preserve"> To maximize </w:t>
      </w:r>
      <w:proofErr w:type="gramStart"/>
      <w:r w:rsidR="0050262C" w:rsidRPr="0050262C">
        <w:rPr>
          <w:rFonts w:ascii="CG Times" w:hAnsi="CG Times"/>
          <w:sz w:val="24"/>
          <w:szCs w:val="24"/>
        </w:rPr>
        <w:t>well-being</w:t>
      </w:r>
      <w:proofErr w:type="gramEnd"/>
      <w:r w:rsidR="0050262C" w:rsidRPr="0050262C">
        <w:rPr>
          <w:rFonts w:ascii="CG Times" w:hAnsi="CG Times"/>
          <w:sz w:val="24"/>
          <w:szCs w:val="24"/>
        </w:rPr>
        <w:t>, competition policy must balance material well-being and quality of life factors, such as freedom and self-determination, while not deterring the exercise of compassion and interpersonal relationships.</w:t>
      </w:r>
    </w:p>
    <w:p w14:paraId="6BF84707" w14:textId="5BA5C5C7" w:rsidR="0050262C" w:rsidRPr="0050262C" w:rsidRDefault="003B0EA2"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Such a competition policy is not difficult to imagine. Competition in dispersing political and economic power can increase economic opportunity </w:t>
      </w:r>
      <w:r w:rsidR="0050262C" w:rsidRPr="0050262C">
        <w:rPr>
          <w:rFonts w:ascii="CG Times" w:hAnsi="CG Times"/>
          <w:sz w:val="24"/>
          <w:szCs w:val="24"/>
        </w:rPr>
        <w:lastRenderedPageBreak/>
        <w:t>and personal autonomy,</w:t>
      </w:r>
      <w:r w:rsidR="0050262C" w:rsidRPr="0050262C">
        <w:rPr>
          <w:rStyle w:val="FootnoteReference"/>
          <w:rFonts w:ascii="CG Times" w:hAnsi="CG Times"/>
          <w:sz w:val="24"/>
          <w:szCs w:val="24"/>
        </w:rPr>
        <w:footnoteReference w:id="120"/>
      </w:r>
      <w:r w:rsidR="0050262C" w:rsidRPr="0050262C">
        <w:rPr>
          <w:rFonts w:ascii="CG Times" w:hAnsi="CG Times"/>
          <w:sz w:val="24"/>
          <w:szCs w:val="24"/>
        </w:rPr>
        <w:t xml:space="preserve"> a key predictor of happiness. Citizens can choose to purchase from (and work for) firms that align with their personal, religious, and ethical values. When a firm engages in exploitative, unfair </w:t>
      </w:r>
      <w:proofErr w:type="spellStart"/>
      <w:r w:rsidR="0050262C" w:rsidRPr="0050262C">
        <w:rPr>
          <w:rFonts w:ascii="CG Times" w:hAnsi="CG Times"/>
          <w:sz w:val="24"/>
          <w:szCs w:val="24"/>
        </w:rPr>
        <w:t>behavior</w:t>
      </w:r>
      <w:proofErr w:type="spellEnd"/>
      <w:r w:rsidR="0050262C" w:rsidRPr="0050262C">
        <w:rPr>
          <w:rFonts w:ascii="CG Times" w:hAnsi="CG Times"/>
          <w:sz w:val="24"/>
          <w:szCs w:val="24"/>
        </w:rPr>
        <w:t>, a competitive market provides alternatives.</w:t>
      </w:r>
      <w:r w:rsidR="0050262C" w:rsidRPr="0050262C">
        <w:rPr>
          <w:rStyle w:val="FootnoteReference"/>
          <w:rFonts w:ascii="CG Times" w:hAnsi="CG Times"/>
          <w:sz w:val="24"/>
          <w:szCs w:val="24"/>
        </w:rPr>
        <w:footnoteReference w:id="121"/>
      </w:r>
      <w:r w:rsidR="0050262C" w:rsidRPr="0050262C">
        <w:rPr>
          <w:rFonts w:ascii="CG Times" w:hAnsi="CG Times"/>
          <w:sz w:val="24"/>
          <w:szCs w:val="24"/>
        </w:rPr>
        <w:t xml:space="preserve"> Positive sum competition provides richer social connections as people use their personal “</w:t>
      </w:r>
      <w:proofErr w:type="spellStart"/>
      <w:r w:rsidR="0050262C" w:rsidRPr="0050262C">
        <w:rPr>
          <w:rFonts w:ascii="CG Times" w:hAnsi="CG Times"/>
          <w:sz w:val="24"/>
          <w:szCs w:val="24"/>
        </w:rPr>
        <w:t>vigor</w:t>
      </w:r>
      <w:proofErr w:type="spellEnd"/>
      <w:r w:rsidR="0050262C" w:rsidRPr="0050262C">
        <w:rPr>
          <w:rFonts w:ascii="CG Times" w:hAnsi="CG Times"/>
          <w:sz w:val="24"/>
          <w:szCs w:val="24"/>
        </w:rPr>
        <w:t>, imagination, devotion, and ingenuity” to help others.</w:t>
      </w:r>
      <w:r w:rsidR="0050262C" w:rsidRPr="0050262C">
        <w:rPr>
          <w:rStyle w:val="FootnoteReference"/>
          <w:rFonts w:ascii="CG Times" w:hAnsi="CG Times"/>
          <w:sz w:val="24"/>
          <w:szCs w:val="24"/>
        </w:rPr>
        <w:footnoteReference w:id="122"/>
      </w:r>
      <w:r w:rsidR="0050262C" w:rsidRPr="0050262C">
        <w:rPr>
          <w:rFonts w:ascii="CG Times" w:hAnsi="CG Times"/>
          <w:sz w:val="24"/>
          <w:szCs w:val="24"/>
        </w:rPr>
        <w:t xml:space="preserve"> In promoting productive and dynamic efficiencies, antitrust can promote sustainable consumption and production. Greater productive efficiency can increase leisure time, which employees can use to contribute their unique skills to community volunteer work. In enabling these activities, which are correlated generally with healthier and happier people, competition can promote </w:t>
      </w:r>
      <w:proofErr w:type="gramStart"/>
      <w:r w:rsidR="0050262C" w:rsidRPr="0050262C">
        <w:rPr>
          <w:rFonts w:ascii="CG Times" w:hAnsi="CG Times"/>
          <w:sz w:val="24"/>
          <w:szCs w:val="24"/>
        </w:rPr>
        <w:t>well-being</w:t>
      </w:r>
      <w:proofErr w:type="gramEnd"/>
      <w:r w:rsidR="0050262C" w:rsidRPr="0050262C">
        <w:rPr>
          <w:rFonts w:ascii="CG Times" w:hAnsi="CG Times"/>
          <w:sz w:val="24"/>
          <w:szCs w:val="24"/>
        </w:rPr>
        <w:t>.</w:t>
      </w:r>
    </w:p>
    <w:p w14:paraId="2EC9C2EB" w14:textId="24FA6D43" w:rsidR="0050262C" w:rsidRPr="0050262C" w:rsidRDefault="003B0EA2"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Going forward, competition authorities should look at the business literature that, after the financial crisis, is arguing for a “more sophisticated form of capitalism, one imbued with a social purpose.”</w:t>
      </w:r>
      <w:r w:rsidR="0050262C" w:rsidRPr="0050262C">
        <w:rPr>
          <w:rStyle w:val="FootnoteReference"/>
          <w:rFonts w:ascii="CG Times" w:hAnsi="CG Times"/>
          <w:sz w:val="24"/>
          <w:szCs w:val="24"/>
        </w:rPr>
        <w:footnoteReference w:id="123"/>
      </w:r>
      <w:r w:rsidR="0050262C" w:rsidRPr="0050262C">
        <w:rPr>
          <w:rFonts w:ascii="CG Times" w:hAnsi="CG Times"/>
          <w:sz w:val="24"/>
          <w:szCs w:val="24"/>
        </w:rPr>
        <w:t xml:space="preserve"> In the past, the </w:t>
      </w:r>
      <w:r w:rsidR="0050262C" w:rsidRPr="0050262C">
        <w:rPr>
          <w:rFonts w:ascii="CG Times" w:hAnsi="CG Times"/>
          <w:sz w:val="24"/>
          <w:szCs w:val="24"/>
        </w:rPr>
        <w:lastRenderedPageBreak/>
        <w:t>concepts of sustainability, fairness, and profitability generally were seen as conflicting. But under a shared value worldview, these concepts are reinforcing. Shared value “involves creating economic value . . . for society by addressing its needs and challenges” and “</w:t>
      </w:r>
      <w:proofErr w:type="spellStart"/>
      <w:r w:rsidR="0050262C" w:rsidRPr="0050262C">
        <w:rPr>
          <w:rFonts w:ascii="CG Times" w:hAnsi="CG Times"/>
          <w:sz w:val="24"/>
          <w:szCs w:val="24"/>
        </w:rPr>
        <w:t>enhanc</w:t>
      </w:r>
      <w:proofErr w:type="spellEnd"/>
      <w:r w:rsidR="0050262C" w:rsidRPr="0050262C">
        <w:rPr>
          <w:rFonts w:ascii="CG Times" w:hAnsi="CG Times"/>
          <w:sz w:val="24"/>
          <w:szCs w:val="24"/>
        </w:rPr>
        <w:t>[</w:t>
      </w:r>
      <w:proofErr w:type="spellStart"/>
      <w:r w:rsidR="0050262C" w:rsidRPr="0050262C">
        <w:rPr>
          <w:rFonts w:ascii="CG Times" w:hAnsi="CG Times"/>
          <w:sz w:val="24"/>
          <w:szCs w:val="24"/>
        </w:rPr>
        <w:t>ing</w:t>
      </w:r>
      <w:proofErr w:type="spellEnd"/>
      <w:r w:rsidR="0050262C" w:rsidRPr="0050262C">
        <w:rPr>
          <w:rFonts w:ascii="CG Times" w:hAnsi="CG Times"/>
          <w:sz w:val="24"/>
          <w:szCs w:val="24"/>
        </w:rPr>
        <w:t>] the competitiveness of a company while simultaneously advancing the economic and social conditions in the communities in which it operates.”</w:t>
      </w:r>
      <w:r w:rsidR="0050262C" w:rsidRPr="0050262C">
        <w:rPr>
          <w:rStyle w:val="FootnoteReference"/>
          <w:rFonts w:ascii="CG Times" w:hAnsi="CG Times"/>
          <w:sz w:val="24"/>
          <w:szCs w:val="24"/>
        </w:rPr>
        <w:footnoteReference w:id="124"/>
      </w:r>
      <w:r w:rsidR="0050262C" w:rsidRPr="0050262C">
        <w:rPr>
          <w:rFonts w:ascii="CG Times" w:hAnsi="CG Times"/>
          <w:sz w:val="24"/>
          <w:szCs w:val="24"/>
        </w:rPr>
        <w:t xml:space="preserve"> Profits can be attained, not through exploitation (e.g., creating demand for harmful or useless products), but through collaboration and trust, and in better helping consumers solve their problems. Sustainability, rather than a cost, represents an opportunity for companies to improve productivity and societal welfare. So too, important political, social, economic, and moral values can reinforce, rather than undermine, any concept of fair competition, which in turn promotes well-being.</w:t>
      </w:r>
    </w:p>
    <w:p w14:paraId="0D477017" w14:textId="288046D2" w:rsidR="0050262C" w:rsidRPr="0050262C" w:rsidRDefault="002623D1" w:rsidP="00055A31">
      <w:pPr>
        <w:pStyle w:val="Heading1"/>
        <w:tabs>
          <w:tab w:val="left" w:pos="432"/>
        </w:tabs>
      </w:pPr>
      <w:r>
        <w:t xml:space="preserve">IV. </w:t>
      </w:r>
      <w:r w:rsidR="00055A31">
        <w:t xml:space="preserve"> </w:t>
      </w:r>
      <w:r w:rsidR="0050262C" w:rsidRPr="0050262C">
        <w:t>Level IV: Considering the Implications of Behavioral Economics on Convergence</w:t>
      </w:r>
    </w:p>
    <w:p w14:paraId="2970A5CD" w14:textId="77777777" w:rsidR="005D796C" w:rsidRDefault="003B0EA2"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As more competition authorities consider the implications of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on competition policy under Levels I through III, one issue is how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will affect the degree of convergence/divergence of competition law among the over 100 jurisdictions with competition laws today. Consequently</w:t>
      </w:r>
      <w:r w:rsidR="0050262C" w:rsidRPr="0050262C">
        <w:rPr>
          <w:rFonts w:ascii="CG Times" w:hAnsi="CG Times"/>
          <w:color w:val="000000"/>
          <w:sz w:val="24"/>
          <w:szCs w:val="24"/>
        </w:rPr>
        <w:t xml:space="preserve">, agencies must assess </w:t>
      </w:r>
      <w:r w:rsidR="0050262C" w:rsidRPr="0050262C">
        <w:rPr>
          <w:rFonts w:ascii="CG Times" w:hAnsi="CG Times"/>
          <w:sz w:val="24"/>
          <w:szCs w:val="24"/>
        </w:rPr>
        <w:t xml:space="preserve">how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will play out globally.</w:t>
      </w:r>
    </w:p>
    <w:p w14:paraId="107FFBDB" w14:textId="3ADC3F49" w:rsidR="0050262C" w:rsidRPr="0050262C" w:rsidRDefault="005D796C"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color w:val="000000"/>
          <w:sz w:val="24"/>
          <w:szCs w:val="24"/>
        </w:rPr>
        <w:t xml:space="preserve">So as agencies and courts engage the analysis under Levels I-III, </w:t>
      </w:r>
      <w:r w:rsidR="0050262C" w:rsidRPr="0050262C">
        <w:rPr>
          <w:rFonts w:ascii="CG Times" w:hAnsi="CG Times"/>
          <w:sz w:val="24"/>
          <w:szCs w:val="24"/>
        </w:rPr>
        <w:t xml:space="preserve">their economic theories will be enriched with the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insights:</w:t>
      </w:r>
      <w:r w:rsidR="0050262C" w:rsidRPr="0050262C">
        <w:rPr>
          <w:rFonts w:ascii="CG Times" w:hAnsi="CG Times"/>
          <w:color w:val="000000"/>
          <w:sz w:val="24"/>
          <w:szCs w:val="24"/>
        </w:rPr>
        <w:t xml:space="preserve"> they </w:t>
      </w:r>
      <w:r w:rsidR="0050262C" w:rsidRPr="0050262C">
        <w:rPr>
          <w:rFonts w:ascii="CG Times" w:hAnsi="CG Times"/>
          <w:sz w:val="24"/>
          <w:szCs w:val="24"/>
        </w:rPr>
        <w:t xml:space="preserve">will likely acknowledge antitrust’s traditional political, social, and moral goals, and additional theories of competition, market failures, and remedies. </w:t>
      </w:r>
    </w:p>
    <w:p w14:paraId="18EDBA42" w14:textId="6DA19528" w:rsidR="0050262C" w:rsidRPr="0050262C" w:rsidRDefault="005D796C"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lastRenderedPageBreak/>
        <w:tab/>
      </w:r>
      <w:r w:rsidR="0050262C" w:rsidRPr="0050262C">
        <w:rPr>
          <w:rFonts w:ascii="CG Times" w:hAnsi="CG Times"/>
          <w:sz w:val="24"/>
          <w:szCs w:val="24"/>
        </w:rPr>
        <w:t xml:space="preserve">But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unlike neoclassical economic theory, will not provide a simple unifying principle. Dispositional and situational factors, which affect human </w:t>
      </w:r>
      <w:proofErr w:type="spellStart"/>
      <w:r w:rsidR="0050262C" w:rsidRPr="0050262C">
        <w:rPr>
          <w:rFonts w:ascii="CG Times" w:hAnsi="CG Times"/>
          <w:sz w:val="24"/>
          <w:szCs w:val="24"/>
        </w:rPr>
        <w:t>behavior</w:t>
      </w:r>
      <w:proofErr w:type="spellEnd"/>
      <w:r w:rsidR="0050262C" w:rsidRPr="0050262C">
        <w:rPr>
          <w:rFonts w:ascii="CG Times" w:hAnsi="CG Times"/>
          <w:sz w:val="24"/>
          <w:szCs w:val="24"/>
        </w:rPr>
        <w:t xml:space="preserve">, can vary across regions, time, and experience. One concern is that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increases the range of outcomes reached in an antitrust case, and thus injects more unpredictability into competition law. In relaxing the assumptions of market participants’ rationality, willpower, and self-interest, policymakers can justify anti-competitive outcomes to protect irrational consumers. </w:t>
      </w:r>
    </w:p>
    <w:p w14:paraId="730F2434" w14:textId="69E9F931" w:rsidR="0050262C" w:rsidRPr="0050262C" w:rsidRDefault="003B0EA2"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Accordingly,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ultimately represents a gambit. Adopting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entails some risk. Policymakers sacrifice the simplicity and organizing principles of rational choice theory, and risk greater divergence as enforcers predict market participants’ </w:t>
      </w:r>
      <w:proofErr w:type="spellStart"/>
      <w:r w:rsidR="0050262C" w:rsidRPr="0050262C">
        <w:rPr>
          <w:rFonts w:ascii="CG Times" w:hAnsi="CG Times"/>
          <w:sz w:val="24"/>
          <w:szCs w:val="24"/>
        </w:rPr>
        <w:t>behavior</w:t>
      </w:r>
      <w:proofErr w:type="spellEnd"/>
      <w:r w:rsidR="0050262C" w:rsidRPr="0050262C">
        <w:rPr>
          <w:rFonts w:ascii="CG Times" w:hAnsi="CG Times"/>
          <w:sz w:val="24"/>
          <w:szCs w:val="24"/>
        </w:rPr>
        <w:t xml:space="preserve"> under various situational and dispositional factors. </w:t>
      </w:r>
    </w:p>
    <w:p w14:paraId="26ECE1DE" w14:textId="219A8197" w:rsidR="0050262C" w:rsidRPr="0050262C" w:rsidRDefault="003B0EA2"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But the gambit is calculated to gain a greater advantage. In acknowledging the complexity of competition, our limited and incomplete understanding of market </w:t>
      </w:r>
      <w:proofErr w:type="spellStart"/>
      <w:r w:rsidR="0050262C" w:rsidRPr="0050262C">
        <w:rPr>
          <w:rFonts w:ascii="CG Times" w:hAnsi="CG Times"/>
          <w:sz w:val="24"/>
          <w:szCs w:val="24"/>
        </w:rPr>
        <w:t>behavior</w:t>
      </w:r>
      <w:proofErr w:type="spellEnd"/>
      <w:r w:rsidR="0050262C" w:rsidRPr="0050262C">
        <w:rPr>
          <w:rFonts w:ascii="CG Times" w:hAnsi="CG Times"/>
          <w:sz w:val="24"/>
          <w:szCs w:val="24"/>
        </w:rPr>
        <w:t xml:space="preserve"> and the competitive system, and the predictive shortcomings of price theory,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can shift policymakers’ </w:t>
      </w:r>
      <w:proofErr w:type="spellStart"/>
      <w:r w:rsidR="0050262C" w:rsidRPr="0050262C">
        <w:rPr>
          <w:rFonts w:ascii="CG Times" w:hAnsi="CG Times"/>
          <w:sz w:val="24"/>
          <w:szCs w:val="24"/>
        </w:rPr>
        <w:t>mindset</w:t>
      </w:r>
      <w:proofErr w:type="spellEnd"/>
      <w:r w:rsidR="0050262C" w:rsidRPr="0050262C">
        <w:rPr>
          <w:rFonts w:ascii="CG Times" w:hAnsi="CG Times"/>
          <w:sz w:val="24"/>
          <w:szCs w:val="24"/>
        </w:rPr>
        <w:t>. “The recognition that simple and fully deterministic rules or equations can generate dynamical patterns which are effectively indistinguishable from random noise,” observed scientist Robert M. May, “has very deep implications for science”:</w:t>
      </w:r>
    </w:p>
    <w:p w14:paraId="2199BCAD" w14:textId="37CDC6B1" w:rsidR="0050262C" w:rsidRPr="003B0EA2" w:rsidRDefault="0050262C" w:rsidP="002623D1">
      <w:pPr>
        <w:pStyle w:val="Citation"/>
        <w:tabs>
          <w:tab w:val="left" w:pos="432"/>
          <w:tab w:val="left" w:pos="720"/>
        </w:tabs>
        <w:ind w:left="432" w:right="432"/>
        <w:jc w:val="both"/>
        <w:rPr>
          <w:rFonts w:ascii="CG Times" w:hAnsi="CG Times"/>
          <w:i/>
          <w:iCs/>
          <w:sz w:val="24"/>
          <w:szCs w:val="24"/>
        </w:rPr>
      </w:pPr>
      <w:r w:rsidRPr="0050262C">
        <w:rPr>
          <w:rFonts w:ascii="CG Times" w:hAnsi="CG Times"/>
          <w:i/>
          <w:iCs/>
          <w:sz w:val="24"/>
          <w:szCs w:val="24"/>
        </w:rPr>
        <w:t>It effectively marks the end of the Newtonian dream that knowing the rules will enable prediction; predicting local weather beyond about 10-20 days is not just a problem of computational power, but of the inherent unpredictability of chaotic dynamical systems.</w:t>
      </w:r>
      <w:r w:rsidRPr="0050262C">
        <w:rPr>
          <w:rStyle w:val="FootnoteReference"/>
          <w:rFonts w:ascii="CG Times" w:hAnsi="CG Times"/>
          <w:sz w:val="24"/>
          <w:szCs w:val="24"/>
        </w:rPr>
        <w:footnoteReference w:id="125"/>
      </w:r>
      <w:r w:rsidRPr="0050262C">
        <w:rPr>
          <w:rFonts w:ascii="CG Times" w:hAnsi="CG Times"/>
          <w:sz w:val="24"/>
          <w:szCs w:val="24"/>
        </w:rPr>
        <w:t xml:space="preserve"> </w:t>
      </w:r>
    </w:p>
    <w:p w14:paraId="21E7EE93" w14:textId="2A6F0BAD" w:rsidR="0050262C" w:rsidRPr="0050262C" w:rsidRDefault="003B0EA2" w:rsidP="002623D1">
      <w:pPr>
        <w:pStyle w:val="Num-DocParagraph"/>
        <w:tabs>
          <w:tab w:val="left" w:pos="432"/>
          <w:tab w:val="left" w:pos="720"/>
        </w:tabs>
        <w:spacing w:line="360" w:lineRule="auto"/>
        <w:rPr>
          <w:rFonts w:ascii="CG Times" w:hAnsi="CG Times"/>
          <w:sz w:val="24"/>
          <w:szCs w:val="24"/>
        </w:rPr>
      </w:pPr>
      <w:r>
        <w:rPr>
          <w:rFonts w:ascii="CG Times" w:hAnsi="CG Times"/>
          <w:sz w:val="24"/>
          <w:szCs w:val="24"/>
        </w:rPr>
        <w:lastRenderedPageBreak/>
        <w:tab/>
      </w:r>
      <w:r w:rsidR="0050262C" w:rsidRPr="0050262C">
        <w:rPr>
          <w:rFonts w:ascii="CG Times" w:hAnsi="CG Times"/>
          <w:sz w:val="24"/>
          <w:szCs w:val="24"/>
        </w:rPr>
        <w:t>So the ultimate issue under Level IV is whether (</w:t>
      </w:r>
      <w:proofErr w:type="spellStart"/>
      <w:r w:rsidR="0050262C" w:rsidRPr="0050262C">
        <w:rPr>
          <w:rFonts w:ascii="CG Times" w:hAnsi="CG Times"/>
          <w:sz w:val="24"/>
          <w:szCs w:val="24"/>
        </w:rPr>
        <w:t>i</w:t>
      </w:r>
      <w:proofErr w:type="spellEnd"/>
      <w:r w:rsidR="0050262C" w:rsidRPr="0050262C">
        <w:rPr>
          <w:rFonts w:ascii="CG Times" w:hAnsi="CG Times"/>
          <w:sz w:val="24"/>
          <w:szCs w:val="24"/>
        </w:rPr>
        <w:t xml:space="preserve">) the agencies and courts should rely on an effects-based analysis, premised on a simple conception of static price competition, that seeks to promote a single well-defined economic goal; or (ii) rely on simpler rules and legal presumptions, given the inherent unpredictability of dynamic competition, and antitrust’s inherent economic, social, moral and political objectives? </w:t>
      </w:r>
    </w:p>
    <w:p w14:paraId="59B839F1" w14:textId="46223AEE" w:rsidR="0050262C" w:rsidRPr="0050262C" w:rsidRDefault="003B0EA2" w:rsidP="002623D1">
      <w:pPr>
        <w:pStyle w:val="Num-DocParagraph"/>
        <w:tabs>
          <w:tab w:val="left" w:pos="432"/>
          <w:tab w:val="left" w:pos="720"/>
        </w:tabs>
        <w:spacing w:after="260"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One cannot have, consistent with the rule of law, </w:t>
      </w:r>
      <w:proofErr w:type="gramStart"/>
      <w:r w:rsidR="0050262C" w:rsidRPr="0050262C">
        <w:rPr>
          <w:rFonts w:ascii="CG Times" w:hAnsi="CG Times"/>
          <w:sz w:val="24"/>
          <w:szCs w:val="24"/>
        </w:rPr>
        <w:t>a fact-specific effects-based legal standard (such as the rule of reason) and competing theories</w:t>
      </w:r>
      <w:proofErr w:type="gramEnd"/>
      <w:r w:rsidR="0050262C" w:rsidRPr="0050262C">
        <w:rPr>
          <w:rFonts w:ascii="CG Times" w:hAnsi="CG Times"/>
          <w:sz w:val="24"/>
          <w:szCs w:val="24"/>
        </w:rPr>
        <w:t xml:space="preserve"> of competition, policy objectives, and economic theories. An effects-based legal standard is feasible only with a single well-defined objective and a well-defined theory of competition. While jurisdictions can converge on an effects-based analysis, that will be unsatisfactory, especially as agencies engage in the analysis under Levels I through III. As a former FTC chair said,</w:t>
      </w:r>
    </w:p>
    <w:p w14:paraId="0B93C9C4" w14:textId="77777777" w:rsidR="0050262C" w:rsidRPr="0050262C" w:rsidRDefault="0050262C" w:rsidP="002623D1">
      <w:pPr>
        <w:pStyle w:val="Citation"/>
        <w:tabs>
          <w:tab w:val="left" w:pos="432"/>
          <w:tab w:val="left" w:pos="720"/>
        </w:tabs>
        <w:spacing w:after="260"/>
        <w:ind w:left="432" w:right="432"/>
        <w:jc w:val="both"/>
        <w:rPr>
          <w:rFonts w:ascii="CG Times" w:hAnsi="CG Times"/>
          <w:i/>
          <w:iCs/>
          <w:sz w:val="24"/>
          <w:szCs w:val="24"/>
        </w:rPr>
      </w:pPr>
      <w:r w:rsidRPr="0050262C">
        <w:rPr>
          <w:rFonts w:ascii="CG Times" w:hAnsi="CG Times"/>
          <w:i/>
          <w:iCs/>
          <w:sz w:val="24"/>
          <w:szCs w:val="24"/>
        </w:rPr>
        <w:t xml:space="preserve">Embedded in EU and US agency evaluations of the highly visible matters . . . are differing assumptions about the adroitness of rivals and purchasers to reposition themselves in the face of exclusionary conduct by a dominant rival, the appropriate </w:t>
      </w:r>
      <w:proofErr w:type="spellStart"/>
      <w:r w:rsidRPr="0050262C">
        <w:rPr>
          <w:rFonts w:ascii="CG Times" w:hAnsi="CG Times"/>
          <w:i/>
          <w:iCs/>
          <w:sz w:val="24"/>
          <w:szCs w:val="24"/>
        </w:rPr>
        <w:t>tradeoff</w:t>
      </w:r>
      <w:proofErr w:type="spellEnd"/>
      <w:r w:rsidRPr="0050262C">
        <w:rPr>
          <w:rFonts w:ascii="CG Times" w:hAnsi="CG Times"/>
          <w:i/>
          <w:iCs/>
          <w:sz w:val="24"/>
          <w:szCs w:val="24"/>
        </w:rPr>
        <w:t xml:space="preserve"> between short-term benefits of a challenged practice and long-term effects, and the robustness of future entry as a means for disciplining firms that presently enjoy dominance. Putting these and other critical assumptions front and </w:t>
      </w:r>
      <w:proofErr w:type="spellStart"/>
      <w:r w:rsidRPr="0050262C">
        <w:rPr>
          <w:rFonts w:ascii="CG Times" w:hAnsi="CG Times"/>
          <w:i/>
          <w:iCs/>
          <w:sz w:val="24"/>
          <w:szCs w:val="24"/>
        </w:rPr>
        <w:t>center</w:t>
      </w:r>
      <w:proofErr w:type="spellEnd"/>
      <w:r w:rsidRPr="0050262C">
        <w:rPr>
          <w:rFonts w:ascii="CG Times" w:hAnsi="CG Times"/>
          <w:i/>
          <w:iCs/>
          <w:sz w:val="24"/>
          <w:szCs w:val="24"/>
        </w:rPr>
        <w:t xml:space="preserve"> in the discussion, along with the bases for the assumptions, would advance the transatlantic relationship in the future.</w:t>
      </w:r>
      <w:r w:rsidRPr="0050262C">
        <w:rPr>
          <w:rStyle w:val="FootnoteReference"/>
          <w:rFonts w:ascii="CG Times" w:hAnsi="CG Times"/>
          <w:i/>
          <w:iCs/>
          <w:sz w:val="24"/>
          <w:szCs w:val="24"/>
        </w:rPr>
        <w:footnoteReference w:id="126"/>
      </w:r>
    </w:p>
    <w:p w14:paraId="3FB0174E" w14:textId="38C88DFB" w:rsidR="0050262C" w:rsidRPr="0050262C" w:rsidRDefault="003B0EA2" w:rsidP="002623D1">
      <w:pPr>
        <w:pStyle w:val="Num-DocParagraph"/>
        <w:tabs>
          <w:tab w:val="left" w:pos="432"/>
          <w:tab w:val="left" w:pos="720"/>
        </w:tabs>
        <w:spacing w:after="260" w:line="360" w:lineRule="auto"/>
        <w:rPr>
          <w:rFonts w:ascii="CG Times" w:hAnsi="CG Times"/>
          <w:color w:val="000000"/>
          <w:sz w:val="24"/>
          <w:szCs w:val="24"/>
        </w:rPr>
      </w:pPr>
      <w:r>
        <w:rPr>
          <w:rFonts w:ascii="CG Times" w:hAnsi="CG Times"/>
          <w:sz w:val="24"/>
          <w:szCs w:val="24"/>
        </w:rPr>
        <w:tab/>
      </w:r>
      <w:r w:rsidR="0050262C" w:rsidRPr="0050262C">
        <w:rPr>
          <w:rFonts w:ascii="CG Times" w:hAnsi="CG Times"/>
          <w:sz w:val="24"/>
          <w:szCs w:val="24"/>
        </w:rPr>
        <w:t>Continued reliance on an effects-based legal analysis will not yield greater convergence until enforcers and courts agree on the underlying assumptions of market participant rationality, markets’ capacity to self-</w:t>
      </w:r>
      <w:r w:rsidR="0050262C" w:rsidRPr="0050262C">
        <w:rPr>
          <w:rFonts w:ascii="CG Times" w:hAnsi="CG Times"/>
          <w:sz w:val="24"/>
          <w:szCs w:val="24"/>
        </w:rPr>
        <w:lastRenderedPageBreak/>
        <w:t xml:space="preserve">correct quickly, and the benefits and risks of governmental enforcement. This convergence is unlikely. Some jurisdictions, like the U.K.’s Office of Fair Trading, are already trending toward more accurate assumptions of market participant </w:t>
      </w:r>
      <w:proofErr w:type="spellStart"/>
      <w:r w:rsidR="0050262C" w:rsidRPr="0050262C">
        <w:rPr>
          <w:rFonts w:ascii="CG Times" w:hAnsi="CG Times"/>
          <w:sz w:val="24"/>
          <w:szCs w:val="24"/>
        </w:rPr>
        <w:t>behavior</w:t>
      </w:r>
      <w:proofErr w:type="spellEnd"/>
      <w:r w:rsidR="0050262C" w:rsidRPr="0050262C">
        <w:rPr>
          <w:rFonts w:ascii="CG Times" w:hAnsi="CG Times"/>
          <w:sz w:val="24"/>
          <w:szCs w:val="24"/>
        </w:rPr>
        <w:t>.</w:t>
      </w:r>
    </w:p>
    <w:p w14:paraId="617AE087" w14:textId="510D19D4" w:rsidR="0050262C" w:rsidRPr="0050262C" w:rsidRDefault="003B0EA2" w:rsidP="002623D1">
      <w:pPr>
        <w:pStyle w:val="Num-DocParagraph"/>
        <w:tabs>
          <w:tab w:val="left" w:pos="432"/>
          <w:tab w:val="left" w:pos="720"/>
        </w:tabs>
        <w:spacing w:after="260" w:line="360" w:lineRule="auto"/>
        <w:rPr>
          <w:rFonts w:ascii="CG Times" w:hAnsi="CG Times"/>
          <w:sz w:val="24"/>
          <w:szCs w:val="24"/>
        </w:rPr>
      </w:pPr>
      <w:r>
        <w:rPr>
          <w:rFonts w:ascii="CG Times" w:hAnsi="CG Times"/>
          <w:sz w:val="24"/>
          <w:szCs w:val="24"/>
        </w:rPr>
        <w:tab/>
      </w:r>
      <w:r w:rsidR="0050262C" w:rsidRPr="0050262C">
        <w:rPr>
          <w:rFonts w:ascii="CG Times" w:hAnsi="CG Times"/>
          <w:sz w:val="24"/>
          <w:szCs w:val="24"/>
        </w:rPr>
        <w:t xml:space="preserve">Thus the implication of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antitrust in Level IV is greater self-actualization. It can pull antitrust from its current effects-based legal analysis toward simpler ex ante legal rules and presumptions designed to foster a competitive process. </w:t>
      </w:r>
    </w:p>
    <w:p w14:paraId="4B889DEF" w14:textId="77777777" w:rsidR="00C254AE" w:rsidRDefault="003B0EA2" w:rsidP="002623D1">
      <w:pPr>
        <w:pStyle w:val="Num-DocParagraph"/>
        <w:tabs>
          <w:tab w:val="left" w:pos="432"/>
          <w:tab w:val="left" w:pos="720"/>
        </w:tabs>
        <w:spacing w:after="260" w:line="360" w:lineRule="auto"/>
        <w:rPr>
          <w:rFonts w:ascii="CG Times" w:hAnsi="CG Times"/>
          <w:color w:val="000000"/>
          <w:sz w:val="24"/>
          <w:szCs w:val="24"/>
        </w:rPr>
      </w:pPr>
      <w:r>
        <w:rPr>
          <w:rFonts w:ascii="CG Times" w:hAnsi="CG Times"/>
          <w:sz w:val="24"/>
          <w:szCs w:val="24"/>
        </w:rPr>
        <w:tab/>
      </w:r>
      <w:r w:rsidR="0050262C" w:rsidRPr="0050262C">
        <w:rPr>
          <w:rFonts w:ascii="CG Times" w:hAnsi="CG Times"/>
          <w:sz w:val="24"/>
          <w:szCs w:val="24"/>
        </w:rPr>
        <w:t xml:space="preserve">The promise of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under Level IV is as an impetus for clearer rules that market participants can internalize and follow.</w:t>
      </w:r>
      <w:r w:rsidR="0050262C" w:rsidRPr="0050262C">
        <w:rPr>
          <w:rFonts w:ascii="CG Times" w:hAnsi="CG Times"/>
          <w:color w:val="000000"/>
          <w:sz w:val="24"/>
          <w:szCs w:val="24"/>
        </w:rPr>
        <w:t xml:space="preserve"> </w:t>
      </w:r>
      <w:r w:rsidR="0050262C" w:rsidRPr="0050262C">
        <w:rPr>
          <w:rFonts w:ascii="CG Times" w:hAnsi="CG Times"/>
          <w:sz w:val="24"/>
          <w:szCs w:val="24"/>
        </w:rPr>
        <w:t xml:space="preserve">Meaningful convergence will come from increasing the transparency of antitrust’s legal standards and bringing them closer to the rule-of-law ideals. </w:t>
      </w:r>
      <w:r w:rsidR="0050262C" w:rsidRPr="0050262C">
        <w:rPr>
          <w:rFonts w:ascii="CG Times" w:hAnsi="CG Times"/>
          <w:color w:val="000000"/>
          <w:sz w:val="24"/>
          <w:szCs w:val="24"/>
        </w:rPr>
        <w:t>By acknowledging the descriptive limitations of static price competition and the incompleteness of any single competition goal, competition officials can recognize that whatever the conception of competition or antitrust goals the first order of convergence is greater transparency and objectivity of the legal standards.</w:t>
      </w:r>
      <w:r w:rsidR="00C254AE">
        <w:rPr>
          <w:rFonts w:ascii="CG Times" w:hAnsi="CG Times"/>
          <w:color w:val="000000"/>
          <w:sz w:val="24"/>
          <w:szCs w:val="24"/>
        </w:rPr>
        <w:t xml:space="preserve"> </w:t>
      </w:r>
    </w:p>
    <w:p w14:paraId="0F22CF11" w14:textId="1CE80780" w:rsidR="00C254AE" w:rsidRDefault="005D796C" w:rsidP="002623D1">
      <w:pPr>
        <w:pStyle w:val="Num-DocParagraph"/>
        <w:tabs>
          <w:tab w:val="left" w:pos="432"/>
          <w:tab w:val="left" w:pos="720"/>
        </w:tabs>
        <w:spacing w:after="260" w:line="360" w:lineRule="auto"/>
        <w:rPr>
          <w:rFonts w:ascii="CG Times" w:hAnsi="CG Times"/>
          <w:color w:val="000000"/>
          <w:sz w:val="24"/>
          <w:szCs w:val="24"/>
        </w:rPr>
      </w:pPr>
      <w:r>
        <w:rPr>
          <w:rFonts w:ascii="CG Times" w:hAnsi="CG Times"/>
          <w:color w:val="000000"/>
          <w:sz w:val="24"/>
          <w:szCs w:val="24"/>
        </w:rPr>
        <w:tab/>
      </w:r>
      <w:r w:rsidR="0050262C" w:rsidRPr="0050262C">
        <w:rPr>
          <w:rFonts w:ascii="CG Times" w:hAnsi="CG Times"/>
          <w:sz w:val="24"/>
          <w:szCs w:val="24"/>
        </w:rPr>
        <w:t xml:space="preserve">This is not to say that neoclassical thinking falls to the wayside. One potential concern is that the codification of rules and legal presumptions can take on a life of their own irrespective of their economic effects. The legal rules and presumptions, while transparent, can be counterproductive. Legal reform is often a complex arduous process that is not guaranteed to deliver significant improvements. Tension may well arise between a system's ability to accommodate new knowledge and to provide legal certainty. The more criteria the enforcer has the harder it is to evaluate whether the conduct is illegal. Consequently, the agencies should use the available </w:t>
      </w:r>
      <w:r w:rsidR="0050262C" w:rsidRPr="0050262C">
        <w:rPr>
          <w:rFonts w:ascii="CG Times" w:hAnsi="CG Times"/>
          <w:sz w:val="24"/>
          <w:szCs w:val="24"/>
        </w:rPr>
        <w:lastRenderedPageBreak/>
        <w:t>empirical economic literature to fashion presumptions of legal or illegal conduct and specific exceptions for the common antitrust restraints, while leaving the effects-based rule of reason for the exceptional cases.</w:t>
      </w:r>
      <w:r w:rsidR="00C254AE">
        <w:rPr>
          <w:rFonts w:ascii="CG Times" w:hAnsi="CG Times"/>
          <w:sz w:val="24"/>
          <w:szCs w:val="24"/>
        </w:rPr>
        <w:t xml:space="preserve"> </w:t>
      </w:r>
    </w:p>
    <w:p w14:paraId="743A70E8" w14:textId="3956A0A9" w:rsidR="0050262C" w:rsidRPr="00C254AE" w:rsidRDefault="00C254AE" w:rsidP="002623D1">
      <w:pPr>
        <w:pStyle w:val="Num-DocParagraph"/>
        <w:tabs>
          <w:tab w:val="left" w:pos="432"/>
          <w:tab w:val="left" w:pos="720"/>
        </w:tabs>
        <w:spacing w:after="260" w:line="360" w:lineRule="auto"/>
        <w:rPr>
          <w:rFonts w:ascii="CG Times" w:hAnsi="CG Times"/>
          <w:color w:val="000000"/>
          <w:sz w:val="24"/>
          <w:szCs w:val="24"/>
        </w:rPr>
      </w:pPr>
      <w:r>
        <w:rPr>
          <w:rFonts w:ascii="CG Times" w:hAnsi="CG Times"/>
          <w:color w:val="000000"/>
          <w:sz w:val="24"/>
          <w:szCs w:val="24"/>
        </w:rPr>
        <w:tab/>
      </w:r>
      <w:r w:rsidR="0050262C" w:rsidRPr="0050262C">
        <w:rPr>
          <w:rFonts w:ascii="CG Times" w:hAnsi="CG Times"/>
          <w:sz w:val="24"/>
          <w:szCs w:val="24"/>
        </w:rPr>
        <w:t xml:space="preserve">Indeed, with or without </w:t>
      </w:r>
      <w:proofErr w:type="spellStart"/>
      <w:r w:rsidR="0050262C" w:rsidRPr="0050262C">
        <w:rPr>
          <w:rFonts w:ascii="CG Times" w:hAnsi="CG Times"/>
          <w:sz w:val="24"/>
          <w:szCs w:val="24"/>
        </w:rPr>
        <w:t>behavioral</w:t>
      </w:r>
      <w:proofErr w:type="spellEnd"/>
      <w:r w:rsidR="0050262C" w:rsidRPr="0050262C">
        <w:rPr>
          <w:rFonts w:ascii="CG Times" w:hAnsi="CG Times"/>
          <w:sz w:val="24"/>
          <w:szCs w:val="24"/>
        </w:rPr>
        <w:t xml:space="preserve"> economics, we are moving in this direction.</w:t>
      </w:r>
      <w:r w:rsidR="0050262C" w:rsidRPr="0050262C">
        <w:rPr>
          <w:rStyle w:val="FootnoteReference"/>
          <w:rFonts w:ascii="CG Times" w:hAnsi="CG Times"/>
          <w:sz w:val="24"/>
          <w:szCs w:val="24"/>
        </w:rPr>
        <w:footnoteReference w:id="127"/>
      </w:r>
      <w:r w:rsidR="0050262C" w:rsidRPr="0050262C">
        <w:rPr>
          <w:rFonts w:ascii="CG Times" w:hAnsi="CG Times"/>
          <w:sz w:val="24"/>
          <w:szCs w:val="24"/>
        </w:rPr>
        <w:t xml:space="preserve"> Faced with resource constraints,</w:t>
      </w:r>
      <w:r w:rsidR="0050262C" w:rsidRPr="0050262C">
        <w:rPr>
          <w:rStyle w:val="FootnoteReference"/>
          <w:rFonts w:ascii="CG Times" w:hAnsi="CG Times"/>
          <w:sz w:val="24"/>
          <w:szCs w:val="24"/>
        </w:rPr>
        <w:footnoteReference w:id="128"/>
      </w:r>
      <w:r w:rsidR="0050262C" w:rsidRPr="0050262C">
        <w:rPr>
          <w:rFonts w:ascii="CG Times" w:hAnsi="CG Times"/>
          <w:sz w:val="24"/>
          <w:szCs w:val="24"/>
        </w:rPr>
        <w:t xml:space="preserve"> the United States, like other jurisdictions, will find it harder to justify the protracted, costly rule of reason. Companies will demand legal standards that provide greater transparency, objectivity, accuracy, and predictability than the effects-based standard. They increasingly will demand clearer rules that their employees can easily internalize (and reduce compliance costs), that will bind them and their competitors, and that will enable them to reasonably anticipate what actions would be prosecuted so they can channel their </w:t>
      </w:r>
      <w:proofErr w:type="spellStart"/>
      <w:r w:rsidR="0050262C" w:rsidRPr="0050262C">
        <w:rPr>
          <w:rFonts w:ascii="CG Times" w:hAnsi="CG Times"/>
          <w:sz w:val="24"/>
          <w:szCs w:val="24"/>
        </w:rPr>
        <w:t>behavior</w:t>
      </w:r>
      <w:proofErr w:type="spellEnd"/>
      <w:r w:rsidR="0050262C" w:rsidRPr="0050262C">
        <w:rPr>
          <w:rFonts w:ascii="CG Times" w:hAnsi="CG Times"/>
          <w:sz w:val="24"/>
          <w:szCs w:val="24"/>
        </w:rPr>
        <w:t xml:space="preserve"> in welfare-enhan</w:t>
      </w:r>
      <w:r w:rsidR="003B0EA2">
        <w:rPr>
          <w:rFonts w:ascii="CG Times" w:hAnsi="CG Times"/>
          <w:sz w:val="24"/>
          <w:szCs w:val="24"/>
        </w:rPr>
        <w:t>cing directions.</w:t>
      </w:r>
    </w:p>
    <w:p w14:paraId="2A3B97CD" w14:textId="3E87AE25" w:rsidR="003B0EA2" w:rsidRDefault="003B0EA2" w:rsidP="002623D1">
      <w:pPr>
        <w:pStyle w:val="Heading1"/>
        <w:tabs>
          <w:tab w:val="left" w:pos="432"/>
          <w:tab w:val="left" w:pos="720"/>
        </w:tabs>
      </w:pPr>
      <w:r>
        <w:t>Conclusion</w:t>
      </w:r>
    </w:p>
    <w:p w14:paraId="08BFE0EF" w14:textId="5ABD306D" w:rsidR="000702AB" w:rsidRDefault="003B0EA2" w:rsidP="000702AB">
      <w:pPr>
        <w:tabs>
          <w:tab w:val="left" w:pos="432"/>
          <w:tab w:val="left" w:pos="720"/>
        </w:tabs>
        <w:spacing w:line="360" w:lineRule="auto"/>
        <w:ind w:firstLine="720"/>
        <w:rPr>
          <w:szCs w:val="24"/>
        </w:rPr>
      </w:pPr>
      <w:r w:rsidRPr="0050262C">
        <w:rPr>
          <w:szCs w:val="24"/>
        </w:rPr>
        <w:t xml:space="preserve">Behavioral economics no doubt adds complexity to the theory of competition. </w:t>
      </w:r>
      <w:r w:rsidR="00BE11AA">
        <w:rPr>
          <w:szCs w:val="24"/>
        </w:rPr>
        <w:t xml:space="preserve">But one potential </w:t>
      </w:r>
      <w:r w:rsidR="00BE11AA">
        <w:rPr>
          <w:rFonts w:hint="eastAsia"/>
          <w:szCs w:val="24"/>
        </w:rPr>
        <w:t>dividend</w:t>
      </w:r>
      <w:r w:rsidR="00BE11AA">
        <w:rPr>
          <w:szCs w:val="24"/>
        </w:rPr>
        <w:t xml:space="preserve"> from behavioral economics </w:t>
      </w:r>
      <w:proofErr w:type="gramStart"/>
      <w:r w:rsidR="00B14475">
        <w:rPr>
          <w:szCs w:val="24"/>
        </w:rPr>
        <w:t>are</w:t>
      </w:r>
      <w:proofErr w:type="gramEnd"/>
      <w:r w:rsidR="00B14475">
        <w:rPr>
          <w:szCs w:val="24"/>
        </w:rPr>
        <w:t xml:space="preserve"> </w:t>
      </w:r>
      <w:r w:rsidR="00BE11AA">
        <w:rPr>
          <w:szCs w:val="24"/>
        </w:rPr>
        <w:t xml:space="preserve">clearer legal standards than the current rule of reason.  </w:t>
      </w:r>
      <w:r w:rsidRPr="0050262C">
        <w:rPr>
          <w:szCs w:val="24"/>
        </w:rPr>
        <w:t xml:space="preserve">Ultimately, </w:t>
      </w:r>
      <w:r w:rsidR="00513C8B">
        <w:rPr>
          <w:szCs w:val="24"/>
        </w:rPr>
        <w:t xml:space="preserve">with </w:t>
      </w:r>
      <w:r w:rsidRPr="0050262C">
        <w:rPr>
          <w:szCs w:val="24"/>
        </w:rPr>
        <w:t xml:space="preserve">the rise of behavioral economics, policymakers will acknowledge the shortcomings in relying on an effects-based legal standard built on faulty assumptions to promote an ill-defined consumer welfare goal. They will recognize that antitrust enforcers and courts, taken all together, still would </w:t>
      </w:r>
      <w:r w:rsidRPr="0050262C">
        <w:rPr>
          <w:szCs w:val="24"/>
        </w:rPr>
        <w:lastRenderedPageBreak/>
        <w:t xml:space="preserve">not know how to maximize dynamic, </w:t>
      </w:r>
      <w:proofErr w:type="spellStart"/>
      <w:r w:rsidRPr="0050262C">
        <w:rPr>
          <w:szCs w:val="24"/>
        </w:rPr>
        <w:t>allocative</w:t>
      </w:r>
      <w:proofErr w:type="spellEnd"/>
      <w:r w:rsidRPr="0050262C">
        <w:rPr>
          <w:szCs w:val="24"/>
        </w:rPr>
        <w:t xml:space="preserve">, and productive efficiencies or economic welfare in the long run. As a German </w:t>
      </w:r>
      <w:proofErr w:type="spellStart"/>
      <w:r w:rsidRPr="0050262C">
        <w:rPr>
          <w:szCs w:val="24"/>
        </w:rPr>
        <w:t>Bundeskartellamt</w:t>
      </w:r>
      <w:proofErr w:type="spellEnd"/>
      <w:r w:rsidRPr="0050262C">
        <w:rPr>
          <w:szCs w:val="24"/>
        </w:rPr>
        <w:t xml:space="preserve"> official said, we cannot pretend to know what in fact cannot be known.</w:t>
      </w:r>
      <w:r w:rsidRPr="0050262C">
        <w:rPr>
          <w:rStyle w:val="FootnoteReference"/>
          <w:color w:val="000000"/>
          <w:szCs w:val="24"/>
        </w:rPr>
        <w:footnoteReference w:id="129"/>
      </w:r>
      <w:r w:rsidR="000702AB">
        <w:rPr>
          <w:szCs w:val="24"/>
        </w:rPr>
        <w:t xml:space="preserve"> </w:t>
      </w:r>
    </w:p>
    <w:p w14:paraId="7514AF5A" w14:textId="77777777" w:rsidR="00513C8B" w:rsidRDefault="006611BF" w:rsidP="00513C8B">
      <w:pPr>
        <w:tabs>
          <w:tab w:val="left" w:pos="432"/>
          <w:tab w:val="left" w:pos="720"/>
        </w:tabs>
        <w:spacing w:line="360" w:lineRule="auto"/>
        <w:ind w:firstLine="720"/>
        <w:rPr>
          <w:rFonts w:ascii="Times New Roman" w:hAnsi="Times New Roman"/>
          <w:szCs w:val="24"/>
        </w:rPr>
      </w:pPr>
      <w:r>
        <w:rPr>
          <w:szCs w:val="24"/>
        </w:rPr>
        <w:t>The good news is th</w:t>
      </w:r>
      <w:r w:rsidR="00513C8B">
        <w:rPr>
          <w:szCs w:val="24"/>
        </w:rPr>
        <w:t xml:space="preserve">e antitrust community is </w:t>
      </w:r>
      <w:r>
        <w:rPr>
          <w:szCs w:val="24"/>
        </w:rPr>
        <w:t xml:space="preserve">exploring the implications of behavioral economics. </w:t>
      </w:r>
      <w:r w:rsidR="00513C8B">
        <w:rPr>
          <w:rFonts w:ascii="Times New Roman" w:hAnsi="Times New Roman"/>
          <w:color w:val="000000"/>
          <w:szCs w:val="24"/>
        </w:rPr>
        <w:t>O</w:t>
      </w:r>
      <w:r w:rsidR="00513C8B" w:rsidRPr="000A30F3">
        <w:rPr>
          <w:rFonts w:ascii="Times New Roman" w:hAnsi="Times New Roman"/>
          <w:color w:val="000000"/>
          <w:szCs w:val="24"/>
        </w:rPr>
        <w:t>rganizations, including the American Bar Association’s Section of Antitrust Law,</w:t>
      </w:r>
      <w:r w:rsidR="00513C8B" w:rsidRPr="000A30F3">
        <w:rPr>
          <w:rStyle w:val="FootnoteReference"/>
          <w:rFonts w:ascii="Times New Roman" w:hAnsi="Times New Roman"/>
          <w:color w:val="000000"/>
          <w:szCs w:val="24"/>
        </w:rPr>
        <w:footnoteReference w:id="130"/>
      </w:r>
      <w:r w:rsidR="00513C8B" w:rsidRPr="000A30F3">
        <w:rPr>
          <w:rFonts w:ascii="Times New Roman" w:hAnsi="Times New Roman"/>
          <w:color w:val="000000"/>
          <w:szCs w:val="24"/>
        </w:rPr>
        <w:t xml:space="preserve"> Canada’s </w:t>
      </w:r>
      <w:r w:rsidR="00513C8B" w:rsidRPr="000A30F3">
        <w:rPr>
          <w:szCs w:val="24"/>
        </w:rPr>
        <w:t>International Development Research Centre,</w:t>
      </w:r>
      <w:r w:rsidR="00513C8B" w:rsidRPr="000A30F3">
        <w:rPr>
          <w:rStyle w:val="FootnoteReference"/>
          <w:rFonts w:ascii="Times New Roman" w:hAnsi="Times New Roman"/>
          <w:color w:val="000000"/>
          <w:szCs w:val="24"/>
        </w:rPr>
        <w:footnoteReference w:id="131"/>
      </w:r>
      <w:r w:rsidR="00513C8B" w:rsidRPr="000A30F3">
        <w:rPr>
          <w:rFonts w:ascii="Times New Roman" w:hAnsi="Times New Roman"/>
          <w:color w:val="000000"/>
          <w:szCs w:val="24"/>
        </w:rPr>
        <w:t xml:space="preserve"> </w:t>
      </w:r>
      <w:r w:rsidR="00513C8B" w:rsidRPr="000A30F3">
        <w:rPr>
          <w:szCs w:val="24"/>
        </w:rPr>
        <w:t>the British Institute of International and Comparative Law,</w:t>
      </w:r>
      <w:r w:rsidR="00513C8B" w:rsidRPr="000A30F3">
        <w:rPr>
          <w:rStyle w:val="FootnoteReference"/>
          <w:szCs w:val="24"/>
        </w:rPr>
        <w:footnoteReference w:id="132"/>
      </w:r>
      <w:r w:rsidR="00513C8B" w:rsidRPr="000A30F3">
        <w:rPr>
          <w:szCs w:val="24"/>
        </w:rPr>
        <w:t xml:space="preserve"> and </w:t>
      </w:r>
      <w:r w:rsidR="00513C8B" w:rsidRPr="000A30F3">
        <w:rPr>
          <w:rFonts w:ascii="Times New Roman" w:hAnsi="Times New Roman"/>
          <w:color w:val="000000"/>
          <w:szCs w:val="24"/>
        </w:rPr>
        <w:t>the American Antitrust Institute,</w:t>
      </w:r>
      <w:r w:rsidR="00513C8B" w:rsidRPr="000A30F3">
        <w:rPr>
          <w:rStyle w:val="FootnoteReference"/>
          <w:rFonts w:ascii="Times New Roman" w:hAnsi="Times New Roman"/>
          <w:color w:val="000000"/>
          <w:szCs w:val="24"/>
        </w:rPr>
        <w:footnoteReference w:id="133"/>
      </w:r>
      <w:r w:rsidR="00513C8B" w:rsidRPr="000A30F3">
        <w:rPr>
          <w:rFonts w:ascii="Times New Roman" w:hAnsi="Times New Roman"/>
          <w:color w:val="000000"/>
          <w:szCs w:val="24"/>
        </w:rPr>
        <w:t xml:space="preserve"> are considering behavioral economics’ implications on antitrust policy. </w:t>
      </w:r>
      <w:r w:rsidR="00513C8B">
        <w:rPr>
          <w:rFonts w:ascii="Times New Roman" w:hAnsi="Times New Roman"/>
          <w:color w:val="000000"/>
          <w:szCs w:val="24"/>
        </w:rPr>
        <w:t xml:space="preserve"> </w:t>
      </w:r>
      <w:r w:rsidR="00513C8B" w:rsidRPr="004328B1">
        <w:rPr>
          <w:rFonts w:ascii="Times New Roman" w:hAnsi="Times New Roman"/>
          <w:color w:val="000000"/>
          <w:szCs w:val="24"/>
        </w:rPr>
        <w:t xml:space="preserve">Competition </w:t>
      </w:r>
      <w:r w:rsidR="00513C8B">
        <w:rPr>
          <w:rFonts w:ascii="Times New Roman" w:hAnsi="Times New Roman"/>
          <w:color w:val="000000"/>
          <w:szCs w:val="24"/>
        </w:rPr>
        <w:t xml:space="preserve">officials at </w:t>
      </w:r>
      <w:r w:rsidR="00513C8B" w:rsidRPr="004328B1">
        <w:rPr>
          <w:rFonts w:ascii="Times New Roman" w:hAnsi="Times New Roman"/>
          <w:color w:val="000000"/>
          <w:szCs w:val="24"/>
        </w:rPr>
        <w:t>the FTC,</w:t>
      </w:r>
      <w:r w:rsidR="00513C8B" w:rsidRPr="004328B1">
        <w:rPr>
          <w:rStyle w:val="FootnoteReference"/>
          <w:rFonts w:ascii="Times New Roman" w:hAnsi="Times New Roman"/>
          <w:color w:val="000000"/>
          <w:szCs w:val="24"/>
        </w:rPr>
        <w:footnoteReference w:id="134"/>
      </w:r>
      <w:r w:rsidR="00513C8B" w:rsidRPr="004328B1">
        <w:rPr>
          <w:rFonts w:ascii="Times New Roman" w:hAnsi="Times New Roman"/>
          <w:color w:val="000000"/>
          <w:szCs w:val="24"/>
        </w:rPr>
        <w:t xml:space="preserve"> European Commission,</w:t>
      </w:r>
      <w:r w:rsidR="00513C8B" w:rsidRPr="004328B1">
        <w:rPr>
          <w:rStyle w:val="FootnoteReference"/>
          <w:rFonts w:ascii="Times New Roman" w:hAnsi="Times New Roman"/>
          <w:color w:val="000000"/>
          <w:szCs w:val="24"/>
        </w:rPr>
        <w:footnoteReference w:id="135"/>
      </w:r>
      <w:r w:rsidR="00513C8B" w:rsidRPr="004328B1">
        <w:rPr>
          <w:rFonts w:ascii="Times New Roman" w:hAnsi="Times New Roman"/>
          <w:color w:val="000000"/>
          <w:szCs w:val="24"/>
        </w:rPr>
        <w:t xml:space="preserve"> and </w:t>
      </w:r>
      <w:r w:rsidR="00513C8B" w:rsidRPr="004328B1">
        <w:rPr>
          <w:rFonts w:ascii="Times New Roman" w:hAnsi="Times New Roman"/>
          <w:color w:val="000000"/>
          <w:szCs w:val="24"/>
        </w:rPr>
        <w:lastRenderedPageBreak/>
        <w:t>the United Kingdom’s Office of Fair Trading</w:t>
      </w:r>
      <w:r w:rsidR="00513C8B" w:rsidRPr="004328B1">
        <w:rPr>
          <w:rStyle w:val="FootnoteReference"/>
          <w:rFonts w:ascii="Times New Roman" w:hAnsi="Times New Roman"/>
          <w:color w:val="000000"/>
          <w:szCs w:val="24"/>
        </w:rPr>
        <w:footnoteReference w:id="136"/>
      </w:r>
      <w:r w:rsidR="00513C8B" w:rsidRPr="00830EE7">
        <w:rPr>
          <w:rFonts w:ascii="Times New Roman" w:hAnsi="Times New Roman"/>
          <w:color w:val="000000"/>
        </w:rPr>
        <w:t xml:space="preserve"> </w:t>
      </w:r>
      <w:r w:rsidR="00513C8B" w:rsidRPr="000A30F3">
        <w:rPr>
          <w:rFonts w:ascii="Times New Roman" w:hAnsi="Times New Roman"/>
          <w:szCs w:val="24"/>
        </w:rPr>
        <w:t>have accepted the limitations in neoclassical economic theory in depicting reality under all, or nearly all, circumstances.</w:t>
      </w:r>
      <w:r w:rsidR="00513C8B">
        <w:rPr>
          <w:rFonts w:ascii="Times New Roman" w:hAnsi="Times New Roman"/>
          <w:szCs w:val="24"/>
        </w:rPr>
        <w:t xml:space="preserve">  </w:t>
      </w:r>
    </w:p>
    <w:p w14:paraId="0CFFDFCD" w14:textId="3C7A80F5" w:rsidR="005E7EE2" w:rsidRPr="00513C8B" w:rsidRDefault="006611BF" w:rsidP="00513C8B">
      <w:pPr>
        <w:tabs>
          <w:tab w:val="left" w:pos="432"/>
          <w:tab w:val="left" w:pos="720"/>
        </w:tabs>
        <w:spacing w:line="360" w:lineRule="auto"/>
        <w:ind w:firstLine="720"/>
        <w:rPr>
          <w:rFonts w:ascii="Times New Roman" w:hAnsi="Times New Roman"/>
          <w:szCs w:val="24"/>
        </w:rPr>
      </w:pPr>
      <w:r>
        <w:rPr>
          <w:szCs w:val="24"/>
        </w:rPr>
        <w:t xml:space="preserve">The </w:t>
      </w:r>
      <w:r w:rsidR="00513C8B">
        <w:rPr>
          <w:szCs w:val="24"/>
        </w:rPr>
        <w:t xml:space="preserve">2012 </w:t>
      </w:r>
      <w:r>
        <w:rPr>
          <w:szCs w:val="24"/>
        </w:rPr>
        <w:t xml:space="preserve">OECD workshop provided </w:t>
      </w:r>
      <w:r w:rsidR="00513C8B">
        <w:rPr>
          <w:szCs w:val="24"/>
        </w:rPr>
        <w:t xml:space="preserve">another first: namely, an </w:t>
      </w:r>
      <w:r w:rsidRPr="006611BF">
        <w:rPr>
          <w:szCs w:val="24"/>
        </w:rPr>
        <w:t xml:space="preserve">in-depth discussion </w:t>
      </w:r>
      <w:r w:rsidR="00513C8B">
        <w:rPr>
          <w:szCs w:val="24"/>
        </w:rPr>
        <w:t>among competition authorities from around the globe</w:t>
      </w:r>
      <w:r w:rsidR="00513C8B" w:rsidRPr="006611BF">
        <w:rPr>
          <w:szCs w:val="24"/>
        </w:rPr>
        <w:t xml:space="preserve"> </w:t>
      </w:r>
      <w:r w:rsidRPr="006611BF">
        <w:rPr>
          <w:szCs w:val="24"/>
        </w:rPr>
        <w:t xml:space="preserve">on the </w:t>
      </w:r>
      <w:r>
        <w:rPr>
          <w:szCs w:val="24"/>
        </w:rPr>
        <w:t>implications of behavioral economics on competition policy</w:t>
      </w:r>
      <w:r w:rsidR="00513C8B">
        <w:rPr>
          <w:szCs w:val="24"/>
        </w:rPr>
        <w:t>.</w:t>
      </w:r>
      <w:r w:rsidR="00513C8B">
        <w:rPr>
          <w:rStyle w:val="FootnoteReference"/>
          <w:szCs w:val="24"/>
        </w:rPr>
        <w:footnoteReference w:id="137"/>
      </w:r>
      <w:r w:rsidR="00513C8B">
        <w:rPr>
          <w:szCs w:val="24"/>
        </w:rPr>
        <w:t xml:space="preserve"> </w:t>
      </w:r>
      <w:r>
        <w:rPr>
          <w:szCs w:val="24"/>
        </w:rPr>
        <w:t xml:space="preserve">As </w:t>
      </w:r>
      <w:r w:rsidRPr="006611BF">
        <w:rPr>
          <w:szCs w:val="24"/>
        </w:rPr>
        <w:t xml:space="preserve">the OECD's Competition Committee Chairman </w:t>
      </w:r>
      <w:proofErr w:type="spellStart"/>
      <w:r w:rsidRPr="006611BF">
        <w:rPr>
          <w:szCs w:val="24"/>
        </w:rPr>
        <w:t>Fr</w:t>
      </w:r>
      <w:r w:rsidRPr="006611BF">
        <w:rPr>
          <w:rFonts w:hint="eastAsia"/>
          <w:szCs w:val="24"/>
        </w:rPr>
        <w:t>é</w:t>
      </w:r>
      <w:r w:rsidRPr="006611BF">
        <w:rPr>
          <w:szCs w:val="24"/>
        </w:rPr>
        <w:t>d</w:t>
      </w:r>
      <w:r w:rsidRPr="006611BF">
        <w:rPr>
          <w:rFonts w:hint="eastAsia"/>
          <w:szCs w:val="24"/>
        </w:rPr>
        <w:t>é</w:t>
      </w:r>
      <w:r w:rsidRPr="006611BF">
        <w:rPr>
          <w:szCs w:val="24"/>
        </w:rPr>
        <w:t>ric</w:t>
      </w:r>
      <w:proofErr w:type="spellEnd"/>
      <w:r w:rsidRPr="006611BF">
        <w:rPr>
          <w:szCs w:val="24"/>
        </w:rPr>
        <w:t xml:space="preserve"> Jenny</w:t>
      </w:r>
      <w:r>
        <w:rPr>
          <w:szCs w:val="24"/>
        </w:rPr>
        <w:t xml:space="preserve"> remarked after the hearing, </w:t>
      </w:r>
      <w:r w:rsidRPr="006611BF">
        <w:rPr>
          <w:rFonts w:hint="eastAsia"/>
          <w:szCs w:val="24"/>
        </w:rPr>
        <w:t>“</w:t>
      </w:r>
      <w:r w:rsidRPr="006611BF">
        <w:rPr>
          <w:szCs w:val="24"/>
        </w:rPr>
        <w:t>The debate has opened new horizons for competition authorities.</w:t>
      </w:r>
      <w:r w:rsidRPr="006611BF">
        <w:rPr>
          <w:rFonts w:hint="eastAsia"/>
          <w:szCs w:val="24"/>
        </w:rPr>
        <w:t>”</w:t>
      </w:r>
      <w:r>
        <w:rPr>
          <w:rStyle w:val="FootnoteReference"/>
          <w:szCs w:val="24"/>
        </w:rPr>
        <w:footnoteReference w:id="138"/>
      </w:r>
    </w:p>
    <w:sectPr w:rsidR="005E7EE2" w:rsidRPr="00513C8B" w:rsidSect="005D796C">
      <w:headerReference w:type="even" r:id="rId8"/>
      <w:headerReference w:type="default" r:id="rId9"/>
      <w:pgSz w:w="12240" w:h="15840" w:code="1"/>
      <w:pgMar w:top="2016" w:right="2448" w:bottom="2016" w:left="2448" w:header="1512"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F3E3F" w14:textId="77777777" w:rsidR="00055A31" w:rsidRDefault="00055A31">
      <w:r>
        <w:separator/>
      </w:r>
    </w:p>
  </w:endnote>
  <w:endnote w:type="continuationSeparator" w:id="0">
    <w:p w14:paraId="1A21A2B9" w14:textId="77777777" w:rsidR="00055A31" w:rsidRDefault="0005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swiss"/>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NewCenturySchlbk LT Std">
    <w:altName w:val="Calisto MT"/>
    <w:panose1 w:val="00000000000000000000"/>
    <w:charset w:val="00"/>
    <w:family w:val="roman"/>
    <w:notTrueType/>
    <w:pitch w:val="variable"/>
    <w:sig w:usb0="00000003" w:usb1="00000000" w:usb2="00000000" w:usb3="00000000" w:csb0="00000001" w:csb1="00000000"/>
  </w:font>
  <w:font w:name="Times Ten Roman">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MS Mincho">
    <w:altName w:val="ＭＳ 明朝"/>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C600F" w14:textId="77777777" w:rsidR="00055A31" w:rsidRDefault="00055A31">
      <w:r>
        <w:separator/>
      </w:r>
    </w:p>
  </w:footnote>
  <w:footnote w:type="continuationSeparator" w:id="0">
    <w:p w14:paraId="5D74797D" w14:textId="77777777" w:rsidR="00055A31" w:rsidRDefault="00055A31">
      <w:r>
        <w:continuationSeparator/>
      </w:r>
    </w:p>
  </w:footnote>
  <w:footnote w:id="1">
    <w:p w14:paraId="4EEA8293" w14:textId="76005D69" w:rsidR="00055A31" w:rsidRDefault="00055A31">
      <w:pPr>
        <w:pStyle w:val="FootnoteText"/>
      </w:pPr>
      <w:r>
        <w:rPr>
          <w:rStyle w:val="FootnoteReference"/>
        </w:rPr>
        <w:t>*</w:t>
      </w:r>
      <w:r>
        <w:t xml:space="preserve"> </w:t>
      </w:r>
      <w:proofErr w:type="gramStart"/>
      <w:r w:rsidRPr="00DE22A2">
        <w:t>Associate Professor, University of Tennessee; Senior Fellow, American Antitrust Institute.</w:t>
      </w:r>
      <w:proofErr w:type="gramEnd"/>
      <w:r w:rsidRPr="00DE22A2">
        <w:t xml:space="preserve">   I wish to thank for their helpful comments S</w:t>
      </w:r>
      <w:r>
        <w:t xml:space="preserve">tephen Martin, Roger Noll, </w:t>
      </w:r>
      <w:proofErr w:type="spellStart"/>
      <w:r>
        <w:t>Sten</w:t>
      </w:r>
      <w:proofErr w:type="spellEnd"/>
      <w:r>
        <w:t xml:space="preserve"> </w:t>
      </w:r>
      <w:r w:rsidRPr="00DE22A2">
        <w:t xml:space="preserve">Nyberg, </w:t>
      </w:r>
      <w:r>
        <w:t xml:space="preserve">Thomas </w:t>
      </w:r>
      <w:proofErr w:type="spellStart"/>
      <w:r>
        <w:t>Rosch</w:t>
      </w:r>
      <w:proofErr w:type="spellEnd"/>
      <w:r>
        <w:t xml:space="preserve">, </w:t>
      </w:r>
      <w:r w:rsidRPr="00DE22A2">
        <w:t xml:space="preserve">Gregory Stein, </w:t>
      </w:r>
      <w:r>
        <w:t xml:space="preserve">Henry Su, </w:t>
      </w:r>
      <w:r w:rsidRPr="00DE22A2">
        <w:t>and Spencer Weber Waller.</w:t>
      </w:r>
      <w:r>
        <w:t xml:space="preserve">  A version of this paper was </w:t>
      </w:r>
      <w:r w:rsidRPr="008C1A24">
        <w:t>prepared for</w:t>
      </w:r>
      <w:r>
        <w:t xml:space="preserve">, and presented at, the </w:t>
      </w:r>
      <w:proofErr w:type="spellStart"/>
      <w:r w:rsidRPr="0099022F">
        <w:t>Organisation</w:t>
      </w:r>
      <w:proofErr w:type="spellEnd"/>
      <w:r w:rsidRPr="0099022F">
        <w:t xml:space="preserve"> for Economic Co-operation and Development</w:t>
      </w:r>
      <w:r>
        <w:rPr>
          <w:rFonts w:hint="eastAsia"/>
        </w:rPr>
        <w:t>’</w:t>
      </w:r>
      <w:r>
        <w:t xml:space="preserve">s </w:t>
      </w:r>
      <w:r w:rsidRPr="0099022F">
        <w:t xml:space="preserve">Hearing on Competition and </w:t>
      </w:r>
      <w:proofErr w:type="spellStart"/>
      <w:r w:rsidRPr="0099022F">
        <w:t>Behavioural</w:t>
      </w:r>
      <w:proofErr w:type="spellEnd"/>
      <w:r w:rsidRPr="0099022F">
        <w:t xml:space="preserve"> Economics, Paris, France (June 2012)</w:t>
      </w:r>
      <w:r>
        <w:t xml:space="preserve">, </w:t>
      </w:r>
      <w:r w:rsidRPr="00BE11AA">
        <w:t>http://www.oecd.org/document/43/0,3746,en_2649_37463_48742443_1_1_1_37463,00.html#Beh_Eco</w:t>
      </w:r>
      <w:r w:rsidRPr="0099022F">
        <w:t>.</w:t>
      </w:r>
    </w:p>
  </w:footnote>
  <w:footnote w:id="2">
    <w:p w14:paraId="0540F78B" w14:textId="77777777" w:rsidR="00055A31" w:rsidRPr="002502F9" w:rsidRDefault="00055A31" w:rsidP="0050262C">
      <w:pPr>
        <w:pStyle w:val="FootnoteText"/>
      </w:pPr>
      <w:r>
        <w:rPr>
          <w:rStyle w:val="FootnoteReference"/>
        </w:rPr>
        <w:footnoteRef/>
      </w:r>
      <w:r>
        <w:t xml:space="preserve"> </w:t>
      </w:r>
      <w:r>
        <w:tab/>
      </w:r>
      <w:proofErr w:type="gramStart"/>
      <w:r w:rsidRPr="002502F9">
        <w:t xml:space="preserve">Dan </w:t>
      </w:r>
      <w:proofErr w:type="spellStart"/>
      <w:r w:rsidRPr="002502F9">
        <w:t>Lovallo</w:t>
      </w:r>
      <w:proofErr w:type="spellEnd"/>
      <w:r w:rsidRPr="002502F9">
        <w:t xml:space="preserve"> &amp; Olivier </w:t>
      </w:r>
      <w:proofErr w:type="spellStart"/>
      <w:r w:rsidRPr="002502F9">
        <w:t>Sibony</w:t>
      </w:r>
      <w:proofErr w:type="spellEnd"/>
      <w:r w:rsidRPr="002502F9">
        <w:t xml:space="preserve">, </w:t>
      </w:r>
      <w:r w:rsidRPr="002502F9">
        <w:rPr>
          <w:i/>
        </w:rPr>
        <w:t>The Case for Behavioral Strategy</w:t>
      </w:r>
      <w:r w:rsidRPr="002502F9">
        <w:t xml:space="preserve">, </w:t>
      </w:r>
      <w:r w:rsidRPr="002502F9">
        <w:rPr>
          <w:smallCaps/>
        </w:rPr>
        <w:t>McKinsey</w:t>
      </w:r>
      <w:r w:rsidRPr="002502F9">
        <w:t xml:space="preserve"> Q. 30 (Spring 2010).</w:t>
      </w:r>
      <w:proofErr w:type="gramEnd"/>
      <w:r w:rsidRPr="002502F9">
        <w:t xml:space="preserve"> </w:t>
      </w:r>
    </w:p>
  </w:footnote>
  <w:footnote w:id="3">
    <w:p w14:paraId="28654FF0" w14:textId="77777777" w:rsidR="00055A31" w:rsidRPr="002502F9" w:rsidRDefault="00055A31" w:rsidP="0050262C">
      <w:pPr>
        <w:pStyle w:val="FootnoteText"/>
      </w:pPr>
      <w:r w:rsidRPr="002502F9">
        <w:rPr>
          <w:rStyle w:val="FootnoteReference"/>
        </w:rPr>
        <w:footnoteRef/>
      </w:r>
      <w:r w:rsidRPr="002502F9">
        <w:t xml:space="preserve"> </w:t>
      </w:r>
      <w:r>
        <w:tab/>
      </w:r>
      <w:proofErr w:type="gramStart"/>
      <w:r w:rsidRPr="002502F9">
        <w:t xml:space="preserve">OECD Secretary-General’s Strategic Orientations for 2011 and Beyond, Meeting of the OECD Council at Ministerial Level </w:t>
      </w:r>
      <w:r>
        <w:t xml:space="preserve">2 </w:t>
      </w:r>
      <w:r w:rsidRPr="002502F9">
        <w:t>(May 2011).</w:t>
      </w:r>
      <w:proofErr w:type="gramEnd"/>
    </w:p>
  </w:footnote>
  <w:footnote w:id="4">
    <w:p w14:paraId="51B87140" w14:textId="77777777" w:rsidR="00055A31" w:rsidRPr="002502F9" w:rsidRDefault="00055A31" w:rsidP="0050262C">
      <w:pPr>
        <w:pStyle w:val="FootnoteText"/>
      </w:pPr>
      <w:r w:rsidRPr="002502F9">
        <w:rPr>
          <w:rStyle w:val="FootnoteReference"/>
        </w:rPr>
        <w:footnoteRef/>
      </w:r>
      <w:r w:rsidRPr="002502F9">
        <w:t xml:space="preserve"> </w:t>
      </w:r>
      <w:r>
        <w:tab/>
      </w:r>
      <w:proofErr w:type="gramStart"/>
      <w:r w:rsidRPr="00B31084">
        <w:rPr>
          <w:i/>
        </w:rPr>
        <w:t>Id</w:t>
      </w:r>
      <w:r w:rsidRPr="00B31084">
        <w:t>.</w:t>
      </w:r>
      <w:r>
        <w:t xml:space="preserve"> at </w:t>
      </w:r>
      <w:r w:rsidRPr="002502F9">
        <w:t>2.</w:t>
      </w:r>
      <w:proofErr w:type="gramEnd"/>
    </w:p>
  </w:footnote>
  <w:footnote w:id="5">
    <w:p w14:paraId="3EF36AEA" w14:textId="612695C8" w:rsidR="00055A31" w:rsidRDefault="00055A31">
      <w:pPr>
        <w:pStyle w:val="FootnoteText"/>
      </w:pPr>
      <w:r>
        <w:rPr>
          <w:rStyle w:val="FootnoteReference"/>
        </w:rPr>
        <w:footnoteRef/>
      </w:r>
      <w:r>
        <w:rPr>
          <w:rStyle w:val="FootnoteReference"/>
        </w:rPr>
        <w:footnoteRef/>
      </w:r>
      <w:r>
        <w:t xml:space="preserve"> Kristine </w:t>
      </w:r>
      <w:proofErr w:type="spellStart"/>
      <w:r>
        <w:t>Erta</w:t>
      </w:r>
      <w:proofErr w:type="spellEnd"/>
      <w:r>
        <w:t xml:space="preserve"> et al., Financial Conduct Authority, Occasional Paper No. 1, Applying </w:t>
      </w:r>
      <w:proofErr w:type="spellStart"/>
      <w:r>
        <w:t>Behavioural</w:t>
      </w:r>
      <w:proofErr w:type="spellEnd"/>
      <w:r>
        <w:t xml:space="preserve"> Economics at the Financial Conduct Authority (Apr. 2013).</w:t>
      </w:r>
    </w:p>
  </w:footnote>
  <w:footnote w:id="6">
    <w:p w14:paraId="008FE5DA" w14:textId="5E224ABC" w:rsidR="00055A31" w:rsidRDefault="00055A31" w:rsidP="00623CEE">
      <w:pPr>
        <w:pStyle w:val="FootnoteText"/>
      </w:pPr>
      <w:r>
        <w:rPr>
          <w:rStyle w:val="FootnoteReference"/>
        </w:rPr>
        <w:footnoteRef/>
      </w:r>
      <w:r>
        <w:t xml:space="preserve"> 77 </w:t>
      </w:r>
      <w:r w:rsidRPr="00623CEE">
        <w:t>Federal Register</w:t>
      </w:r>
      <w:r>
        <w:t xml:space="preserve"> </w:t>
      </w:r>
      <w:r w:rsidRPr="00623CEE">
        <w:t xml:space="preserve">46069 </w:t>
      </w:r>
      <w:r>
        <w:t>(</w:t>
      </w:r>
      <w:r w:rsidRPr="00623CEE">
        <w:t>Aug</w:t>
      </w:r>
      <w:r>
        <w:t xml:space="preserve">. </w:t>
      </w:r>
      <w:r w:rsidRPr="00623CEE">
        <w:t>2, 2012</w:t>
      </w:r>
      <w:r>
        <w:t>)</w:t>
      </w:r>
      <w:r w:rsidRPr="00623CEE">
        <w:t xml:space="preserve"> </w:t>
      </w:r>
      <w:r>
        <w:t xml:space="preserve">(inquiring </w:t>
      </w:r>
      <w:r>
        <w:rPr>
          <w:rFonts w:hint="eastAsia"/>
        </w:rPr>
        <w:t>“</w:t>
      </w:r>
      <w:r>
        <w:t>[</w:t>
      </w:r>
      <w:proofErr w:type="gramStart"/>
      <w:r>
        <w:t>w]</w:t>
      </w:r>
      <w:r w:rsidRPr="00144014">
        <w:t>hat</w:t>
      </w:r>
      <w:proofErr w:type="gramEnd"/>
      <w:r w:rsidRPr="00144014">
        <w:t xml:space="preserve"> research in behavioral economics or other academic fields</w:t>
      </w:r>
      <w:r w:rsidRPr="00144014">
        <w:rPr>
          <w:rFonts w:hint="eastAsia"/>
        </w:rPr>
        <w:t>—</w:t>
      </w:r>
      <w:r w:rsidRPr="00144014">
        <w:t xml:space="preserve"> published or still in process</w:t>
      </w:r>
      <w:r w:rsidRPr="00144014">
        <w:rPr>
          <w:rFonts w:hint="eastAsia"/>
        </w:rPr>
        <w:t>—</w:t>
      </w:r>
      <w:r w:rsidRPr="00144014">
        <w:t>provides insight into financial education approaches that can help consumers achieve their own financial goals?</w:t>
      </w:r>
      <w:r>
        <w:rPr>
          <w:rFonts w:hint="eastAsia"/>
        </w:rPr>
        <w:t>”</w:t>
      </w:r>
      <w:r>
        <w:t xml:space="preserve">); Irene </w:t>
      </w:r>
      <w:proofErr w:type="spellStart"/>
      <w:r>
        <w:t>Skricki</w:t>
      </w:r>
      <w:proofErr w:type="spellEnd"/>
      <w:r>
        <w:t xml:space="preserve"> &amp; </w:t>
      </w:r>
      <w:proofErr w:type="spellStart"/>
      <w:r>
        <w:t>Dubis</w:t>
      </w:r>
      <w:proofErr w:type="spellEnd"/>
      <w:r>
        <w:t xml:space="preserve"> </w:t>
      </w:r>
      <w:proofErr w:type="spellStart"/>
      <w:r>
        <w:t>Correal</w:t>
      </w:r>
      <w:proofErr w:type="spellEnd"/>
      <w:r>
        <w:t xml:space="preserve">, CFPB, Our Progress on Financial Education (Mar. 25, 2013), </w:t>
      </w:r>
      <w:r w:rsidRPr="00623CEE">
        <w:t xml:space="preserve">http://www.consumerfinance.gov/blog/our-progress-on-financial-education/ </w:t>
      </w:r>
      <w:r>
        <w:t xml:space="preserve">(CFPB </w:t>
      </w:r>
      <w:r>
        <w:rPr>
          <w:rFonts w:hint="eastAsia"/>
        </w:rPr>
        <w:t>“</w:t>
      </w:r>
      <w:r w:rsidRPr="00623CEE">
        <w:t>developing and testing new financial education strategies to build on insights from the field of behavioral psychology</w:t>
      </w:r>
      <w:r>
        <w:rPr>
          <w:rFonts w:hint="eastAsia"/>
        </w:rPr>
        <w:t>”</w:t>
      </w:r>
      <w:r>
        <w:t xml:space="preserve"> and </w:t>
      </w:r>
      <w:r w:rsidRPr="00623CEE">
        <w:t xml:space="preserve">working </w:t>
      </w:r>
      <w:r>
        <w:rPr>
          <w:rFonts w:hint="eastAsia"/>
        </w:rPr>
        <w:t>“</w:t>
      </w:r>
      <w:r w:rsidRPr="00623CEE">
        <w:t>on an initiative to help consumers overcome common financial challenges they face on a regular basis</w:t>
      </w:r>
      <w:r>
        <w:rPr>
          <w:rFonts w:hint="eastAsia"/>
        </w:rPr>
        <w:t>”</w:t>
      </w:r>
      <w:r>
        <w:t>)</w:t>
      </w:r>
      <w:r w:rsidRPr="00623CEE">
        <w:t>.</w:t>
      </w:r>
    </w:p>
  </w:footnote>
  <w:footnote w:id="7">
    <w:p w14:paraId="1C0D005D" w14:textId="3791E70E" w:rsidR="00055A31" w:rsidRDefault="00055A31">
      <w:pPr>
        <w:pStyle w:val="FootnoteText"/>
      </w:pPr>
      <w:r>
        <w:rPr>
          <w:rStyle w:val="FootnoteReference"/>
        </w:rPr>
        <w:footnoteRef/>
      </w:r>
      <w:r>
        <w:t xml:space="preserve"> </w:t>
      </w:r>
      <w:proofErr w:type="spellStart"/>
      <w:r>
        <w:t>Erta</w:t>
      </w:r>
      <w:proofErr w:type="spellEnd"/>
      <w:r>
        <w:t xml:space="preserve"> et al., </w:t>
      </w:r>
      <w:r>
        <w:rPr>
          <w:rFonts w:ascii="Times New Roman" w:hAnsi="Times New Roman"/>
          <w:i/>
          <w:color w:val="000000"/>
          <w:szCs w:val="24"/>
        </w:rPr>
        <w:t>supra</w:t>
      </w:r>
      <w:r>
        <w:t xml:space="preserve"> note, at 4.</w:t>
      </w:r>
    </w:p>
  </w:footnote>
  <w:footnote w:id="8">
    <w:p w14:paraId="2DE4D20B" w14:textId="19948DA7" w:rsidR="00055A31" w:rsidRDefault="00055A31" w:rsidP="00E72F4C">
      <w:pPr>
        <w:pStyle w:val="FootnoteText"/>
      </w:pPr>
      <w:r>
        <w:rPr>
          <w:rStyle w:val="FootnoteReference"/>
        </w:rPr>
        <w:footnoteRef/>
      </w:r>
      <w:r>
        <w:t xml:space="preserve"> Eastman Kodak Co. v. Image Technical </w:t>
      </w:r>
      <w:proofErr w:type="spellStart"/>
      <w:r>
        <w:t>Servs</w:t>
      </w:r>
      <w:proofErr w:type="spellEnd"/>
      <w:proofErr w:type="gramStart"/>
      <w:r>
        <w:t>.,</w:t>
      </w:r>
      <w:proofErr w:type="gramEnd"/>
      <w:r>
        <w:t xml:space="preserve"> Inc., 504 U.S. 451, 467 (1992). </w:t>
      </w:r>
    </w:p>
  </w:footnote>
  <w:footnote w:id="9">
    <w:p w14:paraId="2BDD949B" w14:textId="77777777" w:rsidR="00055A31" w:rsidRPr="00040C46" w:rsidRDefault="00055A31" w:rsidP="0050262C">
      <w:pPr>
        <w:pStyle w:val="FootnoteText"/>
        <w:rPr>
          <w:szCs w:val="24"/>
        </w:rPr>
      </w:pPr>
      <w:r w:rsidRPr="002502F9">
        <w:rPr>
          <w:rStyle w:val="FootnoteReference"/>
        </w:rPr>
        <w:footnoteRef/>
      </w:r>
      <w:r w:rsidRPr="002502F9">
        <w:t xml:space="preserve"> </w:t>
      </w:r>
      <w:r>
        <w:tab/>
        <w:t xml:space="preserve">In </w:t>
      </w:r>
      <w:r w:rsidRPr="005930A5">
        <w:rPr>
          <w:i/>
        </w:rPr>
        <w:t>Eastman Kodak Co. v. Image Technical Serv</w:t>
      </w:r>
      <w:r>
        <w:rPr>
          <w:i/>
        </w:rPr>
        <w:t>ice</w:t>
      </w:r>
      <w:r w:rsidRPr="005930A5">
        <w:rPr>
          <w:i/>
        </w:rPr>
        <w:t>s</w:t>
      </w:r>
      <w:r>
        <w:rPr>
          <w:i/>
        </w:rPr>
        <w:t>, Inc.</w:t>
      </w:r>
      <w:r>
        <w:t xml:space="preserve">, </w:t>
      </w:r>
      <w:r w:rsidRPr="002502F9">
        <w:t>504 U.S. 451, 495 (1992)</w:t>
      </w:r>
      <w:r>
        <w:t>,</w:t>
      </w:r>
      <w:r>
        <w:rPr>
          <w:i/>
        </w:rPr>
        <w:t xml:space="preserve"> </w:t>
      </w:r>
      <w:r>
        <w:rPr>
          <w:color w:val="000000"/>
          <w:szCs w:val="24"/>
        </w:rPr>
        <w:t>d</w:t>
      </w:r>
      <w:r>
        <w:t xml:space="preserve">efendant argued as a matter of </w:t>
      </w:r>
      <w:r w:rsidRPr="00CD7746">
        <w:rPr>
          <w:color w:val="000000"/>
          <w:szCs w:val="24"/>
        </w:rPr>
        <w:t>economic theory</w:t>
      </w:r>
      <w:r>
        <w:rPr>
          <w:color w:val="000000"/>
          <w:szCs w:val="24"/>
        </w:rPr>
        <w:t xml:space="preserve"> </w:t>
      </w:r>
      <w:r w:rsidRPr="00CD7746">
        <w:rPr>
          <w:color w:val="000000"/>
          <w:szCs w:val="24"/>
        </w:rPr>
        <w:t xml:space="preserve">that, absent </w:t>
      </w:r>
      <w:proofErr w:type="spellStart"/>
      <w:r w:rsidRPr="00CD7746">
        <w:rPr>
          <w:color w:val="000000"/>
          <w:szCs w:val="24"/>
        </w:rPr>
        <w:t>interbrand</w:t>
      </w:r>
      <w:proofErr w:type="spellEnd"/>
      <w:r w:rsidRPr="00CD7746">
        <w:rPr>
          <w:color w:val="000000"/>
          <w:szCs w:val="24"/>
        </w:rPr>
        <w:t xml:space="preserve"> market power, a manufacturer c</w:t>
      </w:r>
      <w:r>
        <w:rPr>
          <w:color w:val="000000"/>
          <w:szCs w:val="24"/>
        </w:rPr>
        <w:t xml:space="preserve">ould not </w:t>
      </w:r>
      <w:r w:rsidRPr="00CD7746">
        <w:rPr>
          <w:color w:val="000000"/>
          <w:szCs w:val="24"/>
        </w:rPr>
        <w:t>raise the price for its aftermarket parts or services. Rational consumers considering the purchase of the equipment “will inevitably factor into [their] purchasing decision the expected cost of aftermarket support.”</w:t>
      </w:r>
      <w:r>
        <w:rPr>
          <w:color w:val="000000"/>
          <w:szCs w:val="24"/>
        </w:rPr>
        <w:t xml:space="preserve">  </w:t>
      </w:r>
      <w:proofErr w:type="gramStart"/>
      <w:r w:rsidRPr="005930A5">
        <w:rPr>
          <w:i/>
        </w:rPr>
        <w:t>Id</w:t>
      </w:r>
      <w:r w:rsidRPr="005930A5">
        <w:t>.</w:t>
      </w:r>
      <w:r>
        <w:t xml:space="preserve"> at </w:t>
      </w:r>
      <w:r w:rsidRPr="002502F9">
        <w:t>495 (Scalia, J., dissenting).</w:t>
      </w:r>
      <w:proofErr w:type="gramEnd"/>
      <w:r>
        <w:t xml:space="preserve">  </w:t>
      </w:r>
      <w:r>
        <w:rPr>
          <w:color w:val="000000"/>
          <w:szCs w:val="24"/>
        </w:rPr>
        <w:t xml:space="preserve">But </w:t>
      </w:r>
      <w:r>
        <w:rPr>
          <w:szCs w:val="24"/>
        </w:rPr>
        <w:t xml:space="preserve">the record in </w:t>
      </w:r>
      <w:r w:rsidRPr="00CD7746">
        <w:rPr>
          <w:i/>
          <w:szCs w:val="24"/>
        </w:rPr>
        <w:t>Kodak</w:t>
      </w:r>
      <w:r>
        <w:rPr>
          <w:szCs w:val="24"/>
        </w:rPr>
        <w:t xml:space="preserve"> did not show </w:t>
      </w:r>
      <w:r w:rsidRPr="00CD7746">
        <w:rPr>
          <w:szCs w:val="24"/>
        </w:rPr>
        <w:t>that higher prices to service and repair Kodak photocopiers did (or likely</w:t>
      </w:r>
      <w:r>
        <w:rPr>
          <w:szCs w:val="24"/>
        </w:rPr>
        <w:t xml:space="preserve"> </w:t>
      </w:r>
      <w:r w:rsidRPr="00CD7746">
        <w:rPr>
          <w:szCs w:val="24"/>
        </w:rPr>
        <w:t>would) lead to a disastrous drop in Kodak’s photocopier sales. Contrary to Kodak’s theoretical claim</w:t>
      </w:r>
      <w:r>
        <w:rPr>
          <w:szCs w:val="24"/>
        </w:rPr>
        <w:t>s</w:t>
      </w:r>
      <w:r w:rsidRPr="00CD7746">
        <w:rPr>
          <w:szCs w:val="24"/>
        </w:rPr>
        <w:t xml:space="preserve">, </w:t>
      </w:r>
      <w:r>
        <w:rPr>
          <w:szCs w:val="24"/>
        </w:rPr>
        <w:t xml:space="preserve">the evidence did not show </w:t>
      </w:r>
      <w:r w:rsidRPr="00CD7746">
        <w:rPr>
          <w:szCs w:val="24"/>
        </w:rPr>
        <w:t xml:space="preserve">that </w:t>
      </w:r>
      <w:r>
        <w:rPr>
          <w:szCs w:val="24"/>
        </w:rPr>
        <w:t>(</w:t>
      </w:r>
      <w:proofErr w:type="spellStart"/>
      <w:r>
        <w:rPr>
          <w:szCs w:val="24"/>
        </w:rPr>
        <w:t>i</w:t>
      </w:r>
      <w:proofErr w:type="spellEnd"/>
      <w:r>
        <w:rPr>
          <w:szCs w:val="24"/>
        </w:rPr>
        <w:t xml:space="preserve">) </w:t>
      </w:r>
      <w:r w:rsidRPr="00CD7746">
        <w:rPr>
          <w:szCs w:val="24"/>
        </w:rPr>
        <w:t>Kodak actually priced its equipment at below-market prices and its services at supra-competitive prices f</w:t>
      </w:r>
      <w:r>
        <w:rPr>
          <w:szCs w:val="24"/>
        </w:rPr>
        <w:t>or an overall competitive price;</w:t>
      </w:r>
      <w:r w:rsidRPr="00CD7746">
        <w:rPr>
          <w:szCs w:val="24"/>
        </w:rPr>
        <w:t xml:space="preserve"> </w:t>
      </w:r>
      <w:r>
        <w:rPr>
          <w:szCs w:val="24"/>
        </w:rPr>
        <w:t xml:space="preserve">(ii) Kodak’s customers engaged in lifecycle pricing; or (iii) </w:t>
      </w:r>
      <w:r w:rsidRPr="00CD7746">
        <w:rPr>
          <w:szCs w:val="24"/>
        </w:rPr>
        <w:t xml:space="preserve">Kodak’s competitors </w:t>
      </w:r>
      <w:r>
        <w:rPr>
          <w:szCs w:val="24"/>
        </w:rPr>
        <w:t xml:space="preserve">would </w:t>
      </w:r>
      <w:r w:rsidRPr="00CD7746">
        <w:rPr>
          <w:szCs w:val="24"/>
        </w:rPr>
        <w:t xml:space="preserve">provide </w:t>
      </w:r>
      <w:r>
        <w:rPr>
          <w:szCs w:val="24"/>
        </w:rPr>
        <w:t xml:space="preserve">this </w:t>
      </w:r>
      <w:r w:rsidRPr="00CD7746">
        <w:rPr>
          <w:szCs w:val="24"/>
        </w:rPr>
        <w:t>costly lifecycle information</w:t>
      </w:r>
      <w:r>
        <w:rPr>
          <w:szCs w:val="24"/>
        </w:rPr>
        <w:t xml:space="preserve">. </w:t>
      </w:r>
      <w:r w:rsidRPr="00CD7746">
        <w:rPr>
          <w:szCs w:val="24"/>
        </w:rPr>
        <w:t xml:space="preserve">Kodak’s claims were inconsistent:  buyers were sufficiently sophisticated to engage in accurate lifecycle pricing but </w:t>
      </w:r>
      <w:r>
        <w:rPr>
          <w:szCs w:val="24"/>
        </w:rPr>
        <w:t xml:space="preserve">too </w:t>
      </w:r>
      <w:r w:rsidRPr="00CD7746">
        <w:rPr>
          <w:szCs w:val="24"/>
        </w:rPr>
        <w:t xml:space="preserve">naïve </w:t>
      </w:r>
      <w:r>
        <w:rPr>
          <w:szCs w:val="24"/>
        </w:rPr>
        <w:t xml:space="preserve">in </w:t>
      </w:r>
      <w:r w:rsidRPr="00CD7746">
        <w:rPr>
          <w:szCs w:val="24"/>
        </w:rPr>
        <w:t>blam</w:t>
      </w:r>
      <w:r>
        <w:rPr>
          <w:szCs w:val="24"/>
        </w:rPr>
        <w:t>ing</w:t>
      </w:r>
      <w:r w:rsidRPr="00CD7746">
        <w:rPr>
          <w:szCs w:val="24"/>
        </w:rPr>
        <w:t xml:space="preserve"> Kodak for poor service of their copier machines.</w:t>
      </w:r>
      <w:r>
        <w:rPr>
          <w:szCs w:val="24"/>
        </w:rPr>
        <w:t xml:space="preserve"> </w:t>
      </w:r>
      <w:r w:rsidRPr="00040C46">
        <w:rPr>
          <w:i/>
          <w:szCs w:val="24"/>
        </w:rPr>
        <w:t>Kodak</w:t>
      </w:r>
      <w:r>
        <w:rPr>
          <w:szCs w:val="24"/>
        </w:rPr>
        <w:t xml:space="preserve"> is problematic even under neoclassical theory: e</w:t>
      </w:r>
      <w:r w:rsidRPr="00040C46">
        <w:rPr>
          <w:szCs w:val="24"/>
        </w:rPr>
        <w:t xml:space="preserve">ven if </w:t>
      </w:r>
      <w:r>
        <w:rPr>
          <w:szCs w:val="24"/>
        </w:rPr>
        <w:t xml:space="preserve">customers </w:t>
      </w:r>
      <w:r w:rsidRPr="00040C46">
        <w:rPr>
          <w:szCs w:val="24"/>
        </w:rPr>
        <w:t>possesse</w:t>
      </w:r>
      <w:r>
        <w:rPr>
          <w:szCs w:val="24"/>
        </w:rPr>
        <w:t>d</w:t>
      </w:r>
      <w:r w:rsidRPr="00040C46">
        <w:rPr>
          <w:szCs w:val="24"/>
        </w:rPr>
        <w:t xml:space="preserve"> perfect foresight, a c</w:t>
      </w:r>
      <w:r>
        <w:rPr>
          <w:szCs w:val="24"/>
        </w:rPr>
        <w:t xml:space="preserve">ustomer, after </w:t>
      </w:r>
      <w:r w:rsidRPr="00040C46">
        <w:rPr>
          <w:szCs w:val="24"/>
        </w:rPr>
        <w:t>buy</w:t>
      </w:r>
      <w:r>
        <w:rPr>
          <w:szCs w:val="24"/>
        </w:rPr>
        <w:t>ing</w:t>
      </w:r>
      <w:r w:rsidRPr="00040C46">
        <w:rPr>
          <w:szCs w:val="24"/>
        </w:rPr>
        <w:t xml:space="preserve"> a</w:t>
      </w:r>
      <w:r>
        <w:rPr>
          <w:szCs w:val="24"/>
        </w:rPr>
        <w:t xml:space="preserve"> </w:t>
      </w:r>
      <w:r w:rsidRPr="00040C46">
        <w:rPr>
          <w:szCs w:val="24"/>
        </w:rPr>
        <w:t>photocopier</w:t>
      </w:r>
      <w:r>
        <w:rPr>
          <w:szCs w:val="24"/>
        </w:rPr>
        <w:t>,</w:t>
      </w:r>
      <w:r w:rsidRPr="00040C46">
        <w:rPr>
          <w:szCs w:val="24"/>
        </w:rPr>
        <w:t xml:space="preserve"> face</w:t>
      </w:r>
      <w:r>
        <w:rPr>
          <w:szCs w:val="24"/>
        </w:rPr>
        <w:t>s</w:t>
      </w:r>
      <w:r w:rsidRPr="00040C46">
        <w:rPr>
          <w:szCs w:val="24"/>
        </w:rPr>
        <w:t xml:space="preserve"> switching costs if the supplier raises</w:t>
      </w:r>
      <w:r>
        <w:rPr>
          <w:szCs w:val="24"/>
        </w:rPr>
        <w:t xml:space="preserve"> </w:t>
      </w:r>
      <w:r w:rsidRPr="00040C46">
        <w:rPr>
          <w:szCs w:val="24"/>
        </w:rPr>
        <w:t xml:space="preserve">the price of service. </w:t>
      </w:r>
      <w:r>
        <w:rPr>
          <w:szCs w:val="24"/>
        </w:rPr>
        <w:t>As economist Roger Noll indicated to me, e</w:t>
      </w:r>
      <w:r w:rsidRPr="00040C46">
        <w:rPr>
          <w:szCs w:val="24"/>
        </w:rPr>
        <w:t>ven in a perfectly competitive market</w:t>
      </w:r>
      <w:r>
        <w:rPr>
          <w:szCs w:val="24"/>
        </w:rPr>
        <w:t xml:space="preserve"> </w:t>
      </w:r>
      <w:r w:rsidRPr="00040C46">
        <w:rPr>
          <w:szCs w:val="24"/>
        </w:rPr>
        <w:t>(which copiers were not</w:t>
      </w:r>
      <w:r>
        <w:rPr>
          <w:szCs w:val="24"/>
        </w:rPr>
        <w:t xml:space="preserve">), the equilibrium--whereby </w:t>
      </w:r>
      <w:r w:rsidRPr="00040C46">
        <w:rPr>
          <w:szCs w:val="24"/>
        </w:rPr>
        <w:t>copier prices</w:t>
      </w:r>
      <w:r>
        <w:rPr>
          <w:szCs w:val="24"/>
        </w:rPr>
        <w:t xml:space="preserve"> were </w:t>
      </w:r>
      <w:r w:rsidRPr="00040C46">
        <w:rPr>
          <w:szCs w:val="24"/>
        </w:rPr>
        <w:t xml:space="preserve">below long-run average cost and service prices </w:t>
      </w:r>
      <w:r>
        <w:rPr>
          <w:szCs w:val="24"/>
        </w:rPr>
        <w:t xml:space="preserve">were </w:t>
      </w:r>
      <w:r w:rsidRPr="00040C46">
        <w:rPr>
          <w:szCs w:val="24"/>
        </w:rPr>
        <w:t>above long</w:t>
      </w:r>
      <w:r>
        <w:rPr>
          <w:szCs w:val="24"/>
        </w:rPr>
        <w:t>-</w:t>
      </w:r>
      <w:r w:rsidRPr="00040C46">
        <w:rPr>
          <w:szCs w:val="24"/>
        </w:rPr>
        <w:t>run average cost</w:t>
      </w:r>
      <w:r>
        <w:rPr>
          <w:szCs w:val="24"/>
        </w:rPr>
        <w:t>--</w:t>
      </w:r>
      <w:r w:rsidRPr="00040C46">
        <w:rPr>
          <w:szCs w:val="24"/>
        </w:rPr>
        <w:t>creates inefficiency</w:t>
      </w:r>
      <w:r>
        <w:rPr>
          <w:szCs w:val="24"/>
        </w:rPr>
        <w:t>.  T</w:t>
      </w:r>
      <w:r w:rsidRPr="00040C46">
        <w:rPr>
          <w:szCs w:val="24"/>
        </w:rPr>
        <w:t>his</w:t>
      </w:r>
      <w:r>
        <w:rPr>
          <w:szCs w:val="24"/>
        </w:rPr>
        <w:t xml:space="preserve"> </w:t>
      </w:r>
      <w:r w:rsidRPr="00040C46">
        <w:rPr>
          <w:szCs w:val="24"/>
        </w:rPr>
        <w:t xml:space="preserve">price structure induces consumers to buy new </w:t>
      </w:r>
      <w:r>
        <w:rPr>
          <w:szCs w:val="24"/>
        </w:rPr>
        <w:t xml:space="preserve">copier </w:t>
      </w:r>
      <w:r w:rsidRPr="00040C46">
        <w:rPr>
          <w:szCs w:val="24"/>
        </w:rPr>
        <w:t xml:space="preserve">machines too frequently.  </w:t>
      </w:r>
    </w:p>
  </w:footnote>
  <w:footnote w:id="10">
    <w:p w14:paraId="3A95D80D" w14:textId="77777777" w:rsidR="00055A31" w:rsidRDefault="00055A31" w:rsidP="002D7A58">
      <w:pPr>
        <w:pStyle w:val="FootnoteText"/>
      </w:pPr>
      <w:r>
        <w:rPr>
          <w:rStyle w:val="FootnoteReference"/>
        </w:rPr>
        <w:footnoteRef/>
      </w:r>
      <w:r>
        <w:t xml:space="preserve"> </w:t>
      </w:r>
      <w:r w:rsidRPr="002D7A58">
        <w:t xml:space="preserve">Eastman Kodak Co. v. Image Technical </w:t>
      </w:r>
      <w:proofErr w:type="spellStart"/>
      <w:r w:rsidRPr="002D7A58">
        <w:t>Servs</w:t>
      </w:r>
      <w:proofErr w:type="spellEnd"/>
      <w:proofErr w:type="gramStart"/>
      <w:r w:rsidRPr="002D7A58">
        <w:t>.,</w:t>
      </w:r>
      <w:proofErr w:type="gramEnd"/>
      <w:r w:rsidRPr="002D7A58">
        <w:t xml:space="preserve"> Inc., 504 U.S. 451, 497-98 (1992)</w:t>
      </w:r>
      <w:r>
        <w:t xml:space="preserve"> (Scalia, J., dissenting).</w:t>
      </w:r>
    </w:p>
  </w:footnote>
  <w:footnote w:id="11">
    <w:p w14:paraId="155BDE0A" w14:textId="6260F50C" w:rsidR="00055A31" w:rsidRDefault="00055A31">
      <w:pPr>
        <w:pStyle w:val="FootnoteText"/>
      </w:pPr>
      <w:r>
        <w:rPr>
          <w:rStyle w:val="FootnoteReference"/>
        </w:rPr>
        <w:footnoteRef/>
      </w:r>
      <w:r>
        <w:t xml:space="preserve"> </w:t>
      </w:r>
      <w:r w:rsidRPr="002D7A58">
        <w:t xml:space="preserve">Eastman Kodak Co. v. Image Technical </w:t>
      </w:r>
      <w:proofErr w:type="spellStart"/>
      <w:r w:rsidRPr="002D7A58">
        <w:t>Servs</w:t>
      </w:r>
      <w:proofErr w:type="spellEnd"/>
      <w:proofErr w:type="gramStart"/>
      <w:r w:rsidRPr="002D7A58">
        <w:t>.,</w:t>
      </w:r>
      <w:proofErr w:type="gramEnd"/>
      <w:r w:rsidRPr="002D7A58">
        <w:t xml:space="preserve"> Inc., 504 U.S. 451, 497-98 (1992)</w:t>
      </w:r>
      <w:r>
        <w:t xml:space="preserve"> (Scalia, J., dissenting).</w:t>
      </w:r>
    </w:p>
  </w:footnote>
  <w:footnote w:id="12">
    <w:p w14:paraId="6E9AD320" w14:textId="77777777" w:rsidR="00055A31" w:rsidRPr="002502F9" w:rsidRDefault="00055A31" w:rsidP="0050262C">
      <w:pPr>
        <w:pStyle w:val="FootnoteText"/>
      </w:pPr>
      <w:r w:rsidRPr="002502F9">
        <w:rPr>
          <w:rStyle w:val="FootnoteReference"/>
        </w:rPr>
        <w:footnoteRef/>
      </w:r>
      <w:r w:rsidRPr="002502F9">
        <w:t xml:space="preserve"> </w:t>
      </w:r>
      <w:r>
        <w:tab/>
      </w:r>
      <w:r w:rsidRPr="002502F9">
        <w:t>Commission of the European Communities, Commission Decision of 24.03.2004 relating to a proceeding under Article 82 of the EC Treaty ¶ 5 (Case COMP/C-3/37.792 Microsoft (Apr. 21, 2004)</w:t>
      </w:r>
      <w:r>
        <w:t>)</w:t>
      </w:r>
      <w:r w:rsidRPr="002502F9">
        <w:t xml:space="preserve">, </w:t>
      </w:r>
      <w:hyperlink r:id="rId1" w:history="1">
        <w:r w:rsidRPr="002502F9">
          <w:rPr>
            <w:rStyle w:val="Hyperlink"/>
          </w:rPr>
          <w:t>http://ec.europa.eu/competition/elojade/isef/case_details.cfm?proc_code=1_37792</w:t>
        </w:r>
      </w:hyperlink>
      <w:r w:rsidRPr="002502F9">
        <w:t xml:space="preserve"> [hereinafter EC Microsoft] (second Statement of Objections)</w:t>
      </w:r>
      <w:r>
        <w:t>.</w:t>
      </w:r>
    </w:p>
  </w:footnote>
  <w:footnote w:id="13">
    <w:p w14:paraId="44A26424" w14:textId="77777777" w:rsidR="00055A31" w:rsidRPr="002502F9" w:rsidRDefault="00055A31" w:rsidP="0050262C">
      <w:pPr>
        <w:pStyle w:val="FootnoteText"/>
      </w:pPr>
      <w:r w:rsidRPr="002502F9">
        <w:rPr>
          <w:rStyle w:val="FootnoteReference"/>
        </w:rPr>
        <w:footnoteRef/>
      </w:r>
      <w:r w:rsidRPr="002502F9">
        <w:t xml:space="preserve"> </w:t>
      </w:r>
      <w:r>
        <w:tab/>
      </w:r>
      <w:r w:rsidRPr="002502F9">
        <w:t xml:space="preserve">Microsoft by the late 1990s accounted for more than 95% of the licensing of all Intel-compatible PC operating systems worldwide. </w:t>
      </w:r>
      <w:proofErr w:type="gramStart"/>
      <w:r w:rsidRPr="000A30F3">
        <w:t>United States v. Microsoft Corp</w:t>
      </w:r>
      <w:r w:rsidRPr="000A30F3">
        <w:rPr>
          <w:i/>
        </w:rPr>
        <w:t>.</w:t>
      </w:r>
      <w:r w:rsidRPr="000A30F3">
        <w:t xml:space="preserve">, 253 F.3d 34, </w:t>
      </w:r>
      <w:r>
        <w:t xml:space="preserve">54 </w:t>
      </w:r>
      <w:r w:rsidRPr="000A30F3">
        <w:t>(D.C. Cir. 2001)</w:t>
      </w:r>
      <w:r w:rsidRPr="002502F9">
        <w:t>.</w:t>
      </w:r>
      <w:proofErr w:type="gramEnd"/>
      <w:r w:rsidRPr="002502F9">
        <w:t xml:space="preserve"> “Operating systems perform many functions, including allocating computer memory and controlling peripherals such as printers and keyboards,” found the court, including the “function as platforms for software applications.”  </w:t>
      </w:r>
      <w:proofErr w:type="gramStart"/>
      <w:r w:rsidRPr="002502F9">
        <w:rPr>
          <w:i/>
        </w:rPr>
        <w:t>Id</w:t>
      </w:r>
      <w:r w:rsidRPr="002502F9">
        <w:t>. at 53.</w:t>
      </w:r>
      <w:proofErr w:type="gramEnd"/>
      <w:r w:rsidRPr="002502F9">
        <w:t xml:space="preserve">  As of </w:t>
      </w:r>
      <w:r>
        <w:t xml:space="preserve">April </w:t>
      </w:r>
      <w:r w:rsidRPr="002502F9">
        <w:t>201</w:t>
      </w:r>
      <w:r>
        <w:t>2</w:t>
      </w:r>
      <w:r w:rsidRPr="002502F9">
        <w:t xml:space="preserve">, Microsoft controlled over 90% of that market. </w:t>
      </w:r>
      <w:hyperlink r:id="rId2" w:history="1">
        <w:r w:rsidRPr="002502F9">
          <w:rPr>
            <w:rStyle w:val="Hyperlink"/>
          </w:rPr>
          <w:t>http://www.netmarketshare.com/operating-system-market-share.aspx?qprid=8&amp;qpcustomd=0</w:t>
        </w:r>
      </w:hyperlink>
      <w:r w:rsidRPr="002502F9">
        <w:t xml:space="preserve">.  </w:t>
      </w:r>
    </w:p>
  </w:footnote>
  <w:footnote w:id="14">
    <w:p w14:paraId="24E89A1D" w14:textId="77777777" w:rsidR="00055A31" w:rsidRPr="002502F9" w:rsidRDefault="00055A31" w:rsidP="0050262C">
      <w:pPr>
        <w:pStyle w:val="FootnoteText"/>
      </w:pPr>
      <w:r w:rsidRPr="002502F9">
        <w:rPr>
          <w:rStyle w:val="FootnoteReference"/>
        </w:rPr>
        <w:footnoteRef/>
      </w:r>
      <w:r w:rsidRPr="002502F9">
        <w:t xml:space="preserve"> </w:t>
      </w:r>
      <w:r>
        <w:tab/>
      </w:r>
      <w:r w:rsidRPr="002502F9">
        <w:t xml:space="preserve">One complaint was that with its operating systems monopoly (enforced by network effects), Microsoft could ward off potential threats by tying its imitation product. Once Microsoft added its version, the Commission found, programmers developed solutions for the Microsoft platform because it would reach automatically 90% of client PC users, and thus save the content providers the costs of supporting different technology platforms.  </w:t>
      </w:r>
      <w:proofErr w:type="gramStart"/>
      <w:r w:rsidRPr="002502F9">
        <w:t>EC Microsoft ¶ 880.</w:t>
      </w:r>
      <w:proofErr w:type="gramEnd"/>
      <w:r w:rsidRPr="002502F9">
        <w:t xml:space="preserve"> Under this positive feed-back loop, more users of a given software platform lead to a greater incentive to develop products compatible with that platform, which reinforces that platform’s popularity with end-users (and the software company’s market power).  </w:t>
      </w:r>
      <w:proofErr w:type="gramStart"/>
      <w:r w:rsidRPr="002502F9">
        <w:t>EC Microsoft ¶ 882.</w:t>
      </w:r>
      <w:proofErr w:type="gramEnd"/>
      <w:r w:rsidRPr="002502F9">
        <w:t xml:space="preserve"> Thus Microsoft chilled the incentives for potential innovators to challenge the entrenched monopolist.  </w:t>
      </w:r>
      <w:proofErr w:type="gramStart"/>
      <w:r w:rsidRPr="002502F9">
        <w:rPr>
          <w:i/>
        </w:rPr>
        <w:t>Id</w:t>
      </w:r>
      <w:r w:rsidRPr="002502F9">
        <w:t>. ¶ 891.</w:t>
      </w:r>
      <w:proofErr w:type="gramEnd"/>
    </w:p>
  </w:footnote>
  <w:footnote w:id="15">
    <w:p w14:paraId="0A6D06A2" w14:textId="77777777" w:rsidR="00055A31" w:rsidRPr="002502F9" w:rsidRDefault="00055A31" w:rsidP="0050262C">
      <w:pPr>
        <w:pStyle w:val="FootnoteText"/>
      </w:pPr>
      <w:r w:rsidRPr="002502F9">
        <w:rPr>
          <w:rStyle w:val="FootnoteReference"/>
        </w:rPr>
        <w:footnoteRef/>
      </w:r>
      <w:r w:rsidRPr="002502F9">
        <w:t xml:space="preserve"> </w:t>
      </w:r>
      <w:r>
        <w:tab/>
      </w:r>
      <w:r w:rsidRPr="00AD3785">
        <w:t xml:space="preserve">Case T-201/04, Microsoft Corp. v. </w:t>
      </w:r>
      <w:proofErr w:type="spellStart"/>
      <w:r w:rsidRPr="00AD3785">
        <w:t>Comm</w:t>
      </w:r>
      <w:r w:rsidRPr="00AD3785">
        <w:rPr>
          <w:rFonts w:hint="eastAsia"/>
        </w:rPr>
        <w:t>’</w:t>
      </w:r>
      <w:r>
        <w:t>n</w:t>
      </w:r>
      <w:proofErr w:type="spellEnd"/>
      <w:r>
        <w:t xml:space="preserve">, </w:t>
      </w:r>
      <w:proofErr w:type="gramStart"/>
      <w:r>
        <w:t>2007 E.C.R. II-3601</w:t>
      </w:r>
      <w:proofErr w:type="gramEnd"/>
      <w:r>
        <w:t xml:space="preserve"> </w:t>
      </w:r>
      <w:r w:rsidRPr="00AD3785">
        <w:t xml:space="preserve">[hereinafter </w:t>
      </w:r>
      <w:r>
        <w:t>CFI</w:t>
      </w:r>
      <w:r w:rsidRPr="00AD3785">
        <w:t xml:space="preserve"> Microsoft]</w:t>
      </w:r>
      <w:r>
        <w:t>.</w:t>
      </w:r>
    </w:p>
  </w:footnote>
  <w:footnote w:id="16">
    <w:p w14:paraId="13A41BE4" w14:textId="77777777" w:rsidR="00055A31" w:rsidRPr="002502F9" w:rsidRDefault="00055A31" w:rsidP="0050262C">
      <w:pPr>
        <w:pStyle w:val="FootnoteText"/>
        <w:spacing w:after="100"/>
      </w:pPr>
      <w:r w:rsidRPr="002502F9">
        <w:rPr>
          <w:rStyle w:val="FootnoteReference"/>
        </w:rPr>
        <w:footnoteRef/>
      </w:r>
      <w:r w:rsidRPr="002502F9">
        <w:t xml:space="preserve"> </w:t>
      </w:r>
      <w:r>
        <w:tab/>
      </w:r>
      <w:r w:rsidRPr="002502F9">
        <w:t>Press and Information, CJE/07/63, Press Release No 63/07, Judgment of the Court of First Instance in Case T-201/04, Microsoft Corp. v Commission of the European Communities (Sept. 17, 2007).</w:t>
      </w:r>
    </w:p>
  </w:footnote>
  <w:footnote w:id="17">
    <w:p w14:paraId="19CEC5A9" w14:textId="77777777" w:rsidR="00055A31" w:rsidRPr="002502F9" w:rsidRDefault="00055A31" w:rsidP="0050262C">
      <w:pPr>
        <w:pStyle w:val="FootnoteText"/>
        <w:spacing w:after="100"/>
      </w:pPr>
      <w:r w:rsidRPr="002502F9">
        <w:rPr>
          <w:rStyle w:val="FootnoteReference"/>
        </w:rPr>
        <w:footnoteRef/>
      </w:r>
      <w:r w:rsidRPr="002502F9">
        <w:t xml:space="preserve"> </w:t>
      </w:r>
      <w:r>
        <w:tab/>
      </w:r>
      <w:r w:rsidRPr="002502F9">
        <w:rPr>
          <w:i/>
        </w:rPr>
        <w:t>Id</w:t>
      </w:r>
      <w:r w:rsidRPr="002502F9">
        <w:t xml:space="preserve">. </w:t>
      </w:r>
    </w:p>
  </w:footnote>
  <w:footnote w:id="18">
    <w:p w14:paraId="2C8190FA" w14:textId="77777777" w:rsidR="00055A31" w:rsidRPr="002502F9" w:rsidRDefault="00055A31" w:rsidP="0050262C">
      <w:pPr>
        <w:pStyle w:val="FootnoteText"/>
        <w:spacing w:after="100"/>
      </w:pPr>
      <w:r w:rsidRPr="002502F9">
        <w:rPr>
          <w:rStyle w:val="FootnoteReference"/>
        </w:rPr>
        <w:footnoteRef/>
      </w:r>
      <w:r w:rsidRPr="002502F9">
        <w:t xml:space="preserve"> </w:t>
      </w:r>
      <w:r>
        <w:tab/>
      </w:r>
      <w:proofErr w:type="gramStart"/>
      <w:r w:rsidRPr="002502F9">
        <w:t>CFI Microsoft ¶ 829.</w:t>
      </w:r>
      <w:proofErr w:type="gramEnd"/>
      <w:r w:rsidRPr="002502F9">
        <w:t xml:space="preserve">  Moreover media players may be sold in retail outlets or distributed with other software products.  </w:t>
      </w:r>
      <w:proofErr w:type="gramStart"/>
      <w:r w:rsidRPr="002502F9">
        <w:t>CFI Microsoft ¶ 830.</w:t>
      </w:r>
      <w:proofErr w:type="gramEnd"/>
      <w:r w:rsidRPr="002502F9">
        <w:t xml:space="preserve">  </w:t>
      </w:r>
    </w:p>
  </w:footnote>
  <w:footnote w:id="19">
    <w:p w14:paraId="01A3A396" w14:textId="77777777" w:rsidR="00055A31" w:rsidRPr="002502F9" w:rsidRDefault="00055A31" w:rsidP="0050262C">
      <w:pPr>
        <w:pStyle w:val="FootnoteText"/>
        <w:spacing w:after="100"/>
      </w:pPr>
      <w:r w:rsidRPr="002502F9">
        <w:rPr>
          <w:rStyle w:val="FootnoteReference"/>
        </w:rPr>
        <w:footnoteRef/>
      </w:r>
      <w:r w:rsidRPr="002502F9">
        <w:t xml:space="preserve"> </w:t>
      </w:r>
      <w:r>
        <w:tab/>
      </w:r>
      <w:proofErr w:type="gramStart"/>
      <w:r w:rsidRPr="002502F9">
        <w:t>EC Microsoft ¶ 796 n. 922.</w:t>
      </w:r>
      <w:proofErr w:type="gramEnd"/>
    </w:p>
  </w:footnote>
  <w:footnote w:id="20">
    <w:p w14:paraId="7DC76005" w14:textId="77777777" w:rsidR="00055A31" w:rsidRPr="002502F9" w:rsidRDefault="00055A31" w:rsidP="0050262C">
      <w:pPr>
        <w:pStyle w:val="FootnoteText"/>
        <w:spacing w:after="100"/>
      </w:pPr>
      <w:r w:rsidRPr="002502F9">
        <w:rPr>
          <w:rStyle w:val="FootnoteReference"/>
        </w:rPr>
        <w:footnoteRef/>
      </w:r>
      <w:r w:rsidRPr="002502F9">
        <w:t xml:space="preserve"> </w:t>
      </w:r>
      <w:r>
        <w:tab/>
      </w:r>
      <w:proofErr w:type="gramStart"/>
      <w:r w:rsidRPr="002502F9">
        <w:t>CFI Microsoft ¶ 995 (no exclusivity provisions).</w:t>
      </w:r>
      <w:proofErr w:type="gramEnd"/>
    </w:p>
  </w:footnote>
  <w:footnote w:id="21">
    <w:p w14:paraId="64BB984D" w14:textId="77777777" w:rsidR="00055A31" w:rsidRPr="002502F9" w:rsidRDefault="00055A31" w:rsidP="0050262C">
      <w:pPr>
        <w:pStyle w:val="FootnoteText"/>
        <w:spacing w:after="100"/>
      </w:pPr>
      <w:r w:rsidRPr="002502F9">
        <w:rPr>
          <w:rStyle w:val="FootnoteReference"/>
        </w:rPr>
        <w:footnoteRef/>
      </w:r>
      <w:r w:rsidRPr="002502F9">
        <w:t xml:space="preserve"> </w:t>
      </w:r>
      <w:r>
        <w:tab/>
      </w:r>
      <w:proofErr w:type="gramStart"/>
      <w:r w:rsidRPr="008D5641">
        <w:rPr>
          <w:i/>
        </w:rPr>
        <w:t>Id</w:t>
      </w:r>
      <w:r w:rsidRPr="008D5641">
        <w:t>.</w:t>
      </w:r>
      <w:r>
        <w:t xml:space="preserve"> at </w:t>
      </w:r>
      <w:r w:rsidRPr="002502F9">
        <w:t>¶ 993.</w:t>
      </w:r>
      <w:proofErr w:type="gramEnd"/>
    </w:p>
  </w:footnote>
  <w:footnote w:id="22">
    <w:p w14:paraId="0BCEAA5A" w14:textId="77777777" w:rsidR="00055A31" w:rsidRPr="002502F9" w:rsidRDefault="00055A31" w:rsidP="0050262C">
      <w:pPr>
        <w:pStyle w:val="FootnoteText"/>
        <w:spacing w:after="100"/>
      </w:pPr>
      <w:r w:rsidRPr="002502F9">
        <w:rPr>
          <w:rStyle w:val="FootnoteReference"/>
        </w:rPr>
        <w:footnoteRef/>
      </w:r>
      <w:r w:rsidRPr="002502F9">
        <w:t xml:space="preserve"> </w:t>
      </w:r>
      <w:r>
        <w:tab/>
      </w:r>
      <w:proofErr w:type="gramStart"/>
      <w:r w:rsidRPr="008D5641">
        <w:rPr>
          <w:i/>
        </w:rPr>
        <w:t>Id</w:t>
      </w:r>
      <w:r w:rsidRPr="008D5641">
        <w:t>.</w:t>
      </w:r>
      <w:r>
        <w:t xml:space="preserve"> at </w:t>
      </w:r>
      <w:r w:rsidRPr="002502F9">
        <w:t>¶¶ 952 &amp; 932 (a “not insignificant number of customers continue to acquire media players from Microsoft’s competitors, separately from their client PC operating system, which shows that they regard the two products as separate”).</w:t>
      </w:r>
      <w:proofErr w:type="gramEnd"/>
    </w:p>
  </w:footnote>
  <w:footnote w:id="23">
    <w:p w14:paraId="1269F326" w14:textId="77777777" w:rsidR="00055A31" w:rsidRPr="002502F9" w:rsidRDefault="00055A31" w:rsidP="0050262C">
      <w:pPr>
        <w:pStyle w:val="FootnoteText"/>
        <w:spacing w:after="100"/>
      </w:pPr>
      <w:r w:rsidRPr="002502F9">
        <w:rPr>
          <w:rStyle w:val="FootnoteReference"/>
        </w:rPr>
        <w:footnoteRef/>
      </w:r>
      <w:r w:rsidRPr="002502F9">
        <w:t xml:space="preserve"> </w:t>
      </w:r>
      <w:r>
        <w:tab/>
      </w:r>
      <w:r w:rsidRPr="002502F9">
        <w:t xml:space="preserve">The Commission questioned the extent the media players were free. </w:t>
      </w:r>
      <w:proofErr w:type="gramStart"/>
      <w:r w:rsidRPr="002502F9">
        <w:t>EC Microsoft ¶ 847.</w:t>
      </w:r>
      <w:proofErr w:type="gramEnd"/>
      <w:r w:rsidRPr="002502F9">
        <w:t xml:space="preserve"> Consumers today can download a free copy of RealPlayer (</w:t>
      </w:r>
      <w:hyperlink r:id="rId3" w:history="1">
        <w:r w:rsidRPr="002502F9">
          <w:rPr>
            <w:rStyle w:val="Hyperlink"/>
          </w:rPr>
          <w:t>http://www.real.com/realplayer</w:t>
        </w:r>
      </w:hyperlink>
      <w:r w:rsidRPr="002502F9">
        <w:t>), QuickTime (</w:t>
      </w:r>
      <w:hyperlink r:id="rId4" w:history="1">
        <w:r w:rsidRPr="002502F9">
          <w:rPr>
            <w:rStyle w:val="Hyperlink"/>
          </w:rPr>
          <w:t>http://www.apple.com/quicktime/download/</w:t>
        </w:r>
      </w:hyperlink>
      <w:r w:rsidRPr="002502F9">
        <w:t>), and other media players (http://download.cnet.com/windows/media-players/).</w:t>
      </w:r>
    </w:p>
  </w:footnote>
  <w:footnote w:id="24">
    <w:p w14:paraId="05A1B1FB" w14:textId="77777777" w:rsidR="00055A31" w:rsidRPr="002502F9" w:rsidRDefault="00055A31" w:rsidP="0050262C">
      <w:pPr>
        <w:pStyle w:val="FootnoteText"/>
        <w:spacing w:after="100"/>
      </w:pPr>
      <w:r w:rsidRPr="002502F9">
        <w:rPr>
          <w:rStyle w:val="FootnoteReference"/>
        </w:rPr>
        <w:footnoteRef/>
      </w:r>
      <w:r w:rsidRPr="002502F9">
        <w:t xml:space="preserve"> </w:t>
      </w:r>
      <w:r>
        <w:tab/>
      </w:r>
      <w:proofErr w:type="gramStart"/>
      <w:r w:rsidRPr="002502F9">
        <w:t>EC Microsoft ¶¶ 866-67.</w:t>
      </w:r>
      <w:proofErr w:type="gramEnd"/>
      <w:r w:rsidRPr="002502F9">
        <w:t xml:space="preserve">  The scarcity of broadband Internet, slower download times, and failed downloads also may have contributed to consumers’ sticking with the default. </w:t>
      </w:r>
    </w:p>
  </w:footnote>
  <w:footnote w:id="25">
    <w:p w14:paraId="27358E00" w14:textId="77777777" w:rsidR="00055A31" w:rsidRPr="002502F9" w:rsidRDefault="00055A31" w:rsidP="0050262C">
      <w:pPr>
        <w:pStyle w:val="FootnoteText"/>
        <w:spacing w:after="100"/>
      </w:pPr>
      <w:r w:rsidRPr="002502F9">
        <w:rPr>
          <w:rStyle w:val="FootnoteReference"/>
        </w:rPr>
        <w:footnoteRef/>
      </w:r>
      <w:r w:rsidRPr="002502F9">
        <w:t xml:space="preserve"> </w:t>
      </w:r>
      <w:r>
        <w:tab/>
      </w:r>
      <w:proofErr w:type="gramStart"/>
      <w:r w:rsidRPr="002502F9">
        <w:t>CFI Microsoft ¶¶ 832, 837.</w:t>
      </w:r>
      <w:proofErr w:type="gramEnd"/>
    </w:p>
  </w:footnote>
  <w:footnote w:id="26">
    <w:p w14:paraId="4C956918" w14:textId="77777777" w:rsidR="00055A31" w:rsidRPr="002502F9" w:rsidRDefault="00055A31" w:rsidP="0050262C">
      <w:pPr>
        <w:pStyle w:val="FootnoteText"/>
      </w:pPr>
      <w:r w:rsidRPr="002502F9">
        <w:rPr>
          <w:rStyle w:val="FootnoteReference"/>
        </w:rPr>
        <w:footnoteRef/>
      </w:r>
      <w:r w:rsidRPr="002502F9">
        <w:t xml:space="preserve"> </w:t>
      </w:r>
      <w:r>
        <w:tab/>
      </w:r>
      <w:proofErr w:type="gramStart"/>
      <w:r w:rsidRPr="008D5641">
        <w:rPr>
          <w:i/>
        </w:rPr>
        <w:t>Id</w:t>
      </w:r>
      <w:r w:rsidRPr="008D5641">
        <w:t>.</w:t>
      </w:r>
      <w:r>
        <w:t xml:space="preserve"> at </w:t>
      </w:r>
      <w:r w:rsidRPr="002502F9">
        <w:t>¶ 946.</w:t>
      </w:r>
      <w:proofErr w:type="gramEnd"/>
    </w:p>
  </w:footnote>
  <w:footnote w:id="27">
    <w:p w14:paraId="1AEDA86B" w14:textId="77777777" w:rsidR="00055A31" w:rsidRPr="002502F9" w:rsidRDefault="00055A31" w:rsidP="0050262C">
      <w:pPr>
        <w:pStyle w:val="FootnoteText"/>
        <w:spacing w:after="100"/>
      </w:pPr>
      <w:r w:rsidRPr="002502F9">
        <w:rPr>
          <w:rStyle w:val="FootnoteReference"/>
        </w:rPr>
        <w:footnoteRef/>
      </w:r>
      <w:r w:rsidRPr="002502F9">
        <w:t xml:space="preserve"> </w:t>
      </w:r>
      <w:r>
        <w:tab/>
      </w:r>
      <w:proofErr w:type="gramStart"/>
      <w:r w:rsidRPr="008D5641">
        <w:rPr>
          <w:i/>
        </w:rPr>
        <w:t>Id</w:t>
      </w:r>
      <w:r w:rsidRPr="008D5641">
        <w:t>.</w:t>
      </w:r>
      <w:r>
        <w:t xml:space="preserve"> at</w:t>
      </w:r>
      <w:r w:rsidRPr="002502F9">
        <w:t xml:space="preserve"> ¶ 974.</w:t>
      </w:r>
      <w:proofErr w:type="gramEnd"/>
    </w:p>
  </w:footnote>
  <w:footnote w:id="28">
    <w:p w14:paraId="2A62DD86" w14:textId="77777777" w:rsidR="00055A31" w:rsidRPr="002502F9" w:rsidRDefault="00055A31" w:rsidP="0050262C">
      <w:pPr>
        <w:pStyle w:val="FootnoteText"/>
        <w:spacing w:after="100"/>
      </w:pPr>
      <w:r w:rsidRPr="002502F9">
        <w:rPr>
          <w:rStyle w:val="FootnoteReference"/>
        </w:rPr>
        <w:footnoteRef/>
      </w:r>
      <w:r w:rsidRPr="002502F9">
        <w:t xml:space="preserve"> </w:t>
      </w:r>
      <w:r>
        <w:tab/>
      </w:r>
      <w:proofErr w:type="gramStart"/>
      <w:r w:rsidRPr="002502F9">
        <w:t>EC Microsoft ¶¶ 847-48.</w:t>
      </w:r>
      <w:proofErr w:type="gramEnd"/>
    </w:p>
  </w:footnote>
  <w:footnote w:id="29">
    <w:p w14:paraId="2DD9308D" w14:textId="77777777" w:rsidR="00055A31" w:rsidRPr="002502F9" w:rsidRDefault="00055A31" w:rsidP="0050262C">
      <w:pPr>
        <w:pStyle w:val="FootnoteText"/>
        <w:spacing w:after="100"/>
      </w:pPr>
      <w:r w:rsidRPr="002502F9">
        <w:rPr>
          <w:rStyle w:val="FootnoteReference"/>
        </w:rPr>
        <w:footnoteRef/>
      </w:r>
      <w:r w:rsidRPr="002502F9">
        <w:t xml:space="preserve"> </w:t>
      </w:r>
      <w:r>
        <w:tab/>
      </w:r>
      <w:proofErr w:type="gramStart"/>
      <w:r w:rsidRPr="002502F9">
        <w:t>CFI Microsoft ¶ 971.</w:t>
      </w:r>
      <w:proofErr w:type="gramEnd"/>
    </w:p>
  </w:footnote>
  <w:footnote w:id="30">
    <w:p w14:paraId="00286705" w14:textId="77777777" w:rsidR="00055A31" w:rsidRPr="002502F9" w:rsidRDefault="00055A31" w:rsidP="0050262C">
      <w:pPr>
        <w:pStyle w:val="FootnoteText"/>
        <w:spacing w:after="100"/>
      </w:pPr>
      <w:r w:rsidRPr="002502F9">
        <w:rPr>
          <w:rStyle w:val="FootnoteReference"/>
        </w:rPr>
        <w:footnoteRef/>
      </w:r>
      <w:r w:rsidRPr="002502F9">
        <w:t xml:space="preserve"> </w:t>
      </w:r>
      <w:r>
        <w:tab/>
      </w:r>
      <w:proofErr w:type="gramStart"/>
      <w:r w:rsidRPr="002502F9">
        <w:t>CFI Microsoft ¶ 1057; EC Microsoft ¶ 948.</w:t>
      </w:r>
      <w:proofErr w:type="gramEnd"/>
    </w:p>
  </w:footnote>
  <w:footnote w:id="31">
    <w:p w14:paraId="2904DD78" w14:textId="77777777" w:rsidR="00055A31" w:rsidRPr="002502F9" w:rsidRDefault="00055A31" w:rsidP="0050262C">
      <w:pPr>
        <w:pStyle w:val="FootnoteText"/>
        <w:spacing w:after="100"/>
      </w:pPr>
      <w:r w:rsidRPr="002502F9">
        <w:rPr>
          <w:rStyle w:val="FootnoteReference"/>
        </w:rPr>
        <w:footnoteRef/>
      </w:r>
      <w:r w:rsidRPr="002502F9">
        <w:t xml:space="preserve"> </w:t>
      </w:r>
      <w:r>
        <w:tab/>
      </w:r>
      <w:proofErr w:type="gramStart"/>
      <w:r w:rsidRPr="002502F9">
        <w:rPr>
          <w:i/>
        </w:rPr>
        <w:t>Id</w:t>
      </w:r>
      <w:r w:rsidRPr="002502F9">
        <w:t>. ¶ 871.</w:t>
      </w:r>
      <w:proofErr w:type="gramEnd"/>
    </w:p>
  </w:footnote>
  <w:footnote w:id="32">
    <w:p w14:paraId="3AB11658" w14:textId="77777777" w:rsidR="00055A31" w:rsidRPr="002502F9" w:rsidRDefault="00055A31" w:rsidP="0050262C">
      <w:pPr>
        <w:pStyle w:val="FootnoteText"/>
        <w:spacing w:after="100"/>
      </w:pPr>
      <w:r w:rsidRPr="002502F9">
        <w:rPr>
          <w:rStyle w:val="FootnoteReference"/>
        </w:rPr>
        <w:footnoteRef/>
      </w:r>
      <w:r w:rsidRPr="002502F9">
        <w:t xml:space="preserve"> </w:t>
      </w:r>
      <w:r>
        <w:tab/>
      </w:r>
      <w:r w:rsidRPr="002502F9">
        <w:rPr>
          <w:smallCaps/>
        </w:rPr>
        <w:t xml:space="preserve">Richard H. </w:t>
      </w:r>
      <w:proofErr w:type="spellStart"/>
      <w:r w:rsidRPr="002502F9">
        <w:rPr>
          <w:smallCaps/>
        </w:rPr>
        <w:t>Thaler</w:t>
      </w:r>
      <w:proofErr w:type="spellEnd"/>
      <w:r w:rsidRPr="002502F9">
        <w:rPr>
          <w:smallCaps/>
        </w:rPr>
        <w:t xml:space="preserve"> &amp; Cass R. </w:t>
      </w:r>
      <w:proofErr w:type="spellStart"/>
      <w:proofErr w:type="gramStart"/>
      <w:r w:rsidRPr="002502F9">
        <w:rPr>
          <w:smallCaps/>
        </w:rPr>
        <w:t>Sunstein</w:t>
      </w:r>
      <w:proofErr w:type="spellEnd"/>
      <w:r w:rsidRPr="002502F9">
        <w:rPr>
          <w:smallCaps/>
        </w:rPr>
        <w:t>,</w:t>
      </w:r>
      <w:proofErr w:type="gramEnd"/>
      <w:r w:rsidRPr="002502F9">
        <w:rPr>
          <w:smallCaps/>
        </w:rPr>
        <w:t xml:space="preserve"> Nudge: Improving Decisions About Health, Wealth, and Happiness</w:t>
      </w:r>
      <w:r w:rsidRPr="002502F9">
        <w:t xml:space="preserve"> 78 (2008)</w:t>
      </w:r>
      <w:r w:rsidRPr="002502F9">
        <w:rPr>
          <w:rFonts w:eastAsia="Calibri"/>
        </w:rPr>
        <w:t>.</w:t>
      </w:r>
    </w:p>
  </w:footnote>
  <w:footnote w:id="33">
    <w:p w14:paraId="36B2F65A" w14:textId="77777777" w:rsidR="00055A31" w:rsidRPr="002502F9" w:rsidRDefault="00055A31" w:rsidP="0050262C">
      <w:pPr>
        <w:pStyle w:val="FootnoteText"/>
      </w:pPr>
      <w:r w:rsidRPr="002502F9">
        <w:rPr>
          <w:rStyle w:val="FootnoteReference"/>
        </w:rPr>
        <w:footnoteRef/>
      </w:r>
      <w:r w:rsidRPr="002502F9">
        <w:t xml:space="preserve"> </w:t>
      </w:r>
      <w:r>
        <w:tab/>
      </w:r>
      <w:r w:rsidRPr="004668A6">
        <w:rPr>
          <w:smallCaps/>
          <w:spacing w:val="-2"/>
        </w:rPr>
        <w:t>OECD, Consumer Policy Toolkit</w:t>
      </w:r>
      <w:r w:rsidRPr="004668A6">
        <w:rPr>
          <w:spacing w:val="-2"/>
        </w:rPr>
        <w:t xml:space="preserve"> 46-47 (2010); </w:t>
      </w:r>
      <w:proofErr w:type="spellStart"/>
      <w:r w:rsidRPr="004668A6">
        <w:rPr>
          <w:smallCaps/>
          <w:spacing w:val="-2"/>
        </w:rPr>
        <w:t>Thaler</w:t>
      </w:r>
      <w:proofErr w:type="spellEnd"/>
      <w:r w:rsidRPr="004668A6">
        <w:rPr>
          <w:smallCaps/>
          <w:spacing w:val="-2"/>
        </w:rPr>
        <w:t xml:space="preserve"> &amp; </w:t>
      </w:r>
      <w:proofErr w:type="spellStart"/>
      <w:r w:rsidRPr="004668A6">
        <w:rPr>
          <w:smallCaps/>
          <w:spacing w:val="-2"/>
        </w:rPr>
        <w:t>Sunstein</w:t>
      </w:r>
      <w:proofErr w:type="spellEnd"/>
      <w:r w:rsidRPr="004668A6">
        <w:rPr>
          <w:smallCaps/>
          <w:spacing w:val="-2"/>
        </w:rPr>
        <w:t xml:space="preserve">, </w:t>
      </w:r>
      <w:r w:rsidRPr="004668A6">
        <w:rPr>
          <w:i/>
          <w:spacing w:val="-2"/>
        </w:rPr>
        <w:t>supra</w:t>
      </w:r>
      <w:r w:rsidRPr="004668A6">
        <w:rPr>
          <w:spacing w:val="-2"/>
        </w:rPr>
        <w:t xml:space="preserve"> note </w:t>
      </w:r>
      <w:r>
        <w:fldChar w:fldCharType="begin"/>
      </w:r>
      <w:r>
        <w:instrText xml:space="preserve"> NOTEREF _Ref285480589 \h  \* MERGEFORMAT </w:instrText>
      </w:r>
      <w:r>
        <w:fldChar w:fldCharType="separate"/>
      </w:r>
      <w:r w:rsidRPr="000B1E12">
        <w:rPr>
          <w:spacing w:val="-2"/>
        </w:rPr>
        <w:t>25</w:t>
      </w:r>
      <w:r>
        <w:fldChar w:fldCharType="end"/>
      </w:r>
      <w:r w:rsidRPr="004668A6">
        <w:rPr>
          <w:spacing w:val="-2"/>
        </w:rPr>
        <w:t xml:space="preserve">, at 129-30; </w:t>
      </w:r>
      <w:r>
        <w:rPr>
          <w:spacing w:val="-2"/>
        </w:rPr>
        <w:br/>
      </w:r>
      <w:r w:rsidRPr="004668A6">
        <w:rPr>
          <w:spacing w:val="-2"/>
        </w:rPr>
        <w:t xml:space="preserve">Stefano </w:t>
      </w:r>
      <w:proofErr w:type="spellStart"/>
      <w:r w:rsidRPr="004668A6">
        <w:rPr>
          <w:spacing w:val="-2"/>
        </w:rPr>
        <w:t>DellaVigna</w:t>
      </w:r>
      <w:proofErr w:type="spellEnd"/>
      <w:r w:rsidRPr="004668A6">
        <w:rPr>
          <w:spacing w:val="-2"/>
        </w:rPr>
        <w:t xml:space="preserve">, </w:t>
      </w:r>
      <w:r w:rsidRPr="004668A6">
        <w:rPr>
          <w:i/>
          <w:spacing w:val="-2"/>
        </w:rPr>
        <w:t>Psychology and Economics: Evidence from the Field</w:t>
      </w:r>
      <w:r w:rsidRPr="004668A6">
        <w:rPr>
          <w:spacing w:val="-2"/>
        </w:rPr>
        <w:t xml:space="preserve">, 47 </w:t>
      </w:r>
      <w:r w:rsidRPr="004668A6">
        <w:rPr>
          <w:smallCaps/>
          <w:spacing w:val="-2"/>
        </w:rPr>
        <w:t>J. Econ. Lit.</w:t>
      </w:r>
      <w:r w:rsidRPr="004668A6">
        <w:rPr>
          <w:spacing w:val="-2"/>
        </w:rPr>
        <w:t xml:space="preserve"> 315, 322 n.11 (2009); Eric J. Johnson et al., </w:t>
      </w:r>
      <w:r w:rsidRPr="004668A6">
        <w:rPr>
          <w:i/>
          <w:spacing w:val="-2"/>
        </w:rPr>
        <w:t>Defaults, Framing and Privacy: Why Opting In-Opting Out</w:t>
      </w:r>
      <w:r w:rsidRPr="004668A6">
        <w:rPr>
          <w:spacing w:val="-2"/>
        </w:rPr>
        <w:t xml:space="preserve">, 13 </w:t>
      </w:r>
      <w:r>
        <w:rPr>
          <w:spacing w:val="-2"/>
        </w:rPr>
        <w:br/>
      </w:r>
      <w:r w:rsidRPr="004668A6">
        <w:rPr>
          <w:smallCaps/>
          <w:spacing w:val="-2"/>
        </w:rPr>
        <w:t>Marketing Letters</w:t>
      </w:r>
      <w:r w:rsidRPr="004668A6">
        <w:rPr>
          <w:spacing w:val="-2"/>
        </w:rPr>
        <w:t xml:space="preserve"> 5-15 (2003) (consent to receive e-mail marketing); C. </w:t>
      </w:r>
      <w:proofErr w:type="spellStart"/>
      <w:r w:rsidRPr="004668A6">
        <w:rPr>
          <w:spacing w:val="-2"/>
        </w:rPr>
        <w:t>Whan</w:t>
      </w:r>
      <w:proofErr w:type="spellEnd"/>
      <w:r w:rsidRPr="004668A6">
        <w:rPr>
          <w:spacing w:val="-2"/>
        </w:rPr>
        <w:t xml:space="preserve"> Park et al., </w:t>
      </w:r>
      <w:r>
        <w:rPr>
          <w:spacing w:val="-2"/>
        </w:rPr>
        <w:br/>
      </w:r>
      <w:r w:rsidRPr="004668A6">
        <w:rPr>
          <w:i/>
          <w:spacing w:val="-2"/>
        </w:rPr>
        <w:t>Choosing What I Want Versus Rejecting What I Do Not Want: An Application of Decision Framing to Product Option Choice Decisions</w:t>
      </w:r>
      <w:r w:rsidRPr="004668A6">
        <w:rPr>
          <w:spacing w:val="-2"/>
        </w:rPr>
        <w:t xml:space="preserve">, 37 </w:t>
      </w:r>
      <w:r w:rsidRPr="004668A6">
        <w:rPr>
          <w:smallCaps/>
          <w:spacing w:val="-2"/>
        </w:rPr>
        <w:t>J. Marketing Res.</w:t>
      </w:r>
      <w:r w:rsidRPr="004668A6">
        <w:rPr>
          <w:spacing w:val="-2"/>
        </w:rPr>
        <w:t xml:space="preserve"> 187-202 (2000) (car option purchases); </w:t>
      </w:r>
      <w:r>
        <w:rPr>
          <w:spacing w:val="-2"/>
        </w:rPr>
        <w:br/>
      </w:r>
      <w:r w:rsidRPr="004668A6">
        <w:rPr>
          <w:spacing w:val="-2"/>
        </w:rPr>
        <w:t xml:space="preserve">European Consumer Consultative Group, Opinion on Private Damages Actions 4 (2010), </w:t>
      </w:r>
      <w:hyperlink r:id="rId5" w:history="1">
        <w:r w:rsidRPr="004668A6">
          <w:rPr>
            <w:rStyle w:val="Hyperlink"/>
            <w:spacing w:val="-2"/>
          </w:rPr>
          <w:t>http://ec.europa.eu/consumers/empowerment/docs/ECCG_opinion_on_actions_for_damages_18112010.pdf</w:t>
        </w:r>
      </w:hyperlink>
      <w:r w:rsidRPr="004668A6">
        <w:rPr>
          <w:spacing w:val="-2"/>
        </w:rPr>
        <w:t xml:space="preserve"> (in European countries, where the default option was opt-in, so that consumers had to opt into the class,</w:t>
      </w:r>
      <w:r w:rsidRPr="002502F9">
        <w:t xml:space="preserve"> the rate of participation in class actions for consumer claims was less than one percent; whereas under opt-out regimes (where the default is that one is a class member unless one opts out), participation rates were typically very high (97% in the Netherlands and almost 100% in Portugal)).</w:t>
      </w:r>
    </w:p>
  </w:footnote>
  <w:footnote w:id="34">
    <w:p w14:paraId="0AA1A002" w14:textId="77777777" w:rsidR="00055A31" w:rsidRPr="002502F9" w:rsidRDefault="00055A31" w:rsidP="0050262C">
      <w:pPr>
        <w:pStyle w:val="FootnoteText"/>
      </w:pPr>
      <w:r w:rsidRPr="002502F9">
        <w:rPr>
          <w:rStyle w:val="FootnoteReference"/>
        </w:rPr>
        <w:footnoteRef/>
      </w:r>
      <w:r w:rsidRPr="002502F9">
        <w:t xml:space="preserve"> </w:t>
      </w:r>
      <w:r>
        <w:tab/>
      </w:r>
      <w:r w:rsidRPr="002502F9">
        <w:t xml:space="preserve">Board of Governors of the Federal Reserve System, Final rule; official staff commentary, 12 C.F.R. Part 205, </w:t>
      </w:r>
      <w:hyperlink r:id="rId6" w:history="1">
        <w:r w:rsidRPr="002502F9">
          <w:rPr>
            <w:rStyle w:val="Hyperlink"/>
          </w:rPr>
          <w:t>http://www.federalreserve.gov/newsevents/press/bcreg/bcreg20091112a1.pdf</w:t>
        </w:r>
      </w:hyperlink>
      <w:r w:rsidRPr="002502F9">
        <w:t xml:space="preserve"> (majority of surveyed participants preferred setting the default as opt-in (consumers having to opt into the bank’s overdraft program) rather than having to opt out (which many banks preferred)). </w:t>
      </w:r>
    </w:p>
  </w:footnote>
  <w:footnote w:id="35">
    <w:p w14:paraId="758420E0" w14:textId="77777777" w:rsidR="00055A31" w:rsidRPr="002502F9" w:rsidRDefault="00055A31" w:rsidP="0050262C">
      <w:pPr>
        <w:pStyle w:val="FootnoteText"/>
      </w:pPr>
      <w:r w:rsidRPr="002502F9">
        <w:rPr>
          <w:rStyle w:val="FootnoteReference"/>
        </w:rPr>
        <w:footnoteRef/>
      </w:r>
      <w:r w:rsidRPr="002502F9">
        <w:t xml:space="preserve"> </w:t>
      </w:r>
      <w:r>
        <w:tab/>
      </w:r>
      <w:proofErr w:type="gramStart"/>
      <w:r w:rsidRPr="002502F9">
        <w:t>CFI Microsoft ¶ 980.</w:t>
      </w:r>
      <w:proofErr w:type="gramEnd"/>
    </w:p>
  </w:footnote>
  <w:footnote w:id="36">
    <w:p w14:paraId="68EE1B65" w14:textId="77777777" w:rsidR="00055A31" w:rsidRPr="002502F9" w:rsidRDefault="00055A31" w:rsidP="0050262C">
      <w:pPr>
        <w:pStyle w:val="FootnoteText"/>
      </w:pPr>
      <w:r w:rsidRPr="002502F9">
        <w:rPr>
          <w:rStyle w:val="FootnoteReference"/>
        </w:rPr>
        <w:footnoteRef/>
      </w:r>
      <w:r w:rsidRPr="002502F9">
        <w:t xml:space="preserve"> </w:t>
      </w:r>
      <w:r>
        <w:tab/>
      </w:r>
      <w:proofErr w:type="gramStart"/>
      <w:r w:rsidRPr="00B31084">
        <w:rPr>
          <w:i/>
        </w:rPr>
        <w:t>Id</w:t>
      </w:r>
      <w:r w:rsidRPr="00B31084">
        <w:t>.</w:t>
      </w:r>
      <w:r>
        <w:t xml:space="preserve"> at </w:t>
      </w:r>
      <w:r w:rsidRPr="002502F9">
        <w:t>¶ 1052</w:t>
      </w:r>
      <w:r>
        <w:t xml:space="preserve"> (quoting </w:t>
      </w:r>
      <w:r w:rsidRPr="002502F9">
        <w:t>EC Microsoft ¶ 870</w:t>
      </w:r>
      <w:r>
        <w:t>)</w:t>
      </w:r>
      <w:r w:rsidRPr="002502F9">
        <w:t>.</w:t>
      </w:r>
      <w:proofErr w:type="gramEnd"/>
      <w:r>
        <w:t xml:space="preserve"> </w:t>
      </w:r>
    </w:p>
  </w:footnote>
  <w:footnote w:id="37">
    <w:p w14:paraId="119DF2CC" w14:textId="77777777" w:rsidR="00055A31" w:rsidRPr="002502F9" w:rsidRDefault="00055A31" w:rsidP="0050262C">
      <w:pPr>
        <w:pStyle w:val="FootnoteText"/>
      </w:pPr>
      <w:r w:rsidRPr="002502F9">
        <w:rPr>
          <w:rStyle w:val="FootnoteReference"/>
        </w:rPr>
        <w:footnoteRef/>
      </w:r>
      <w:r w:rsidRPr="002502F9">
        <w:t xml:space="preserve"> </w:t>
      </w:r>
      <w:r>
        <w:tab/>
      </w:r>
      <w:proofErr w:type="gramStart"/>
      <w:r w:rsidRPr="002502F9">
        <w:t>CFI Microsoft ¶ 1050.</w:t>
      </w:r>
      <w:proofErr w:type="gramEnd"/>
    </w:p>
  </w:footnote>
  <w:footnote w:id="38">
    <w:p w14:paraId="73782E4F" w14:textId="77777777" w:rsidR="00055A31" w:rsidRDefault="00055A31" w:rsidP="0050262C">
      <w:pPr>
        <w:pStyle w:val="FootnoteText"/>
      </w:pPr>
      <w:r>
        <w:rPr>
          <w:rStyle w:val="FootnoteReference"/>
        </w:rPr>
        <w:footnoteRef/>
      </w:r>
      <w:r>
        <w:t xml:space="preserve"> </w:t>
      </w:r>
      <w:r>
        <w:tab/>
      </w:r>
      <w:r w:rsidRPr="002D25CA">
        <w:rPr>
          <w:smallCaps/>
        </w:rPr>
        <w:t xml:space="preserve">Richard H. </w:t>
      </w:r>
      <w:proofErr w:type="spellStart"/>
      <w:r w:rsidRPr="002D25CA">
        <w:rPr>
          <w:smallCaps/>
        </w:rPr>
        <w:t>Thaler</w:t>
      </w:r>
      <w:proofErr w:type="spellEnd"/>
      <w:r w:rsidRPr="002D25CA">
        <w:rPr>
          <w:smallCaps/>
        </w:rPr>
        <w:t>, The Winner</w:t>
      </w:r>
      <w:r w:rsidRPr="002D25CA">
        <w:rPr>
          <w:rFonts w:hint="eastAsia"/>
          <w:smallCaps/>
        </w:rPr>
        <w:t>’</w:t>
      </w:r>
      <w:r w:rsidRPr="002D25CA">
        <w:rPr>
          <w:smallCaps/>
        </w:rPr>
        <w:t>s Curse: Paradoxes &amp; Anomalies of Economic Life</w:t>
      </w:r>
      <w:r>
        <w:t xml:space="preserve"> 68-70 (1992).</w:t>
      </w:r>
    </w:p>
  </w:footnote>
  <w:footnote w:id="39">
    <w:p w14:paraId="0CF6C9CE" w14:textId="253672AD" w:rsidR="00055A31" w:rsidRDefault="00055A31">
      <w:pPr>
        <w:pStyle w:val="FootnoteText"/>
      </w:pPr>
      <w:r>
        <w:rPr>
          <w:rStyle w:val="FootnoteReference"/>
        </w:rPr>
        <w:footnoteRef/>
      </w:r>
      <w:r>
        <w:t xml:space="preserve"> </w:t>
      </w:r>
      <w:proofErr w:type="gramStart"/>
      <w:r w:rsidRPr="00B118C3">
        <w:t>U.S. Dep</w:t>
      </w:r>
      <w:r>
        <w:t>’t of Justice &amp;</w:t>
      </w:r>
      <w:r w:rsidRPr="00B118C3">
        <w:t xml:space="preserve"> Fed</w:t>
      </w:r>
      <w:r>
        <w:t>.</w:t>
      </w:r>
      <w:proofErr w:type="gramEnd"/>
      <w:r w:rsidRPr="00B118C3">
        <w:t xml:space="preserve"> Trade </w:t>
      </w:r>
      <w:proofErr w:type="spellStart"/>
      <w:r w:rsidRPr="00B118C3">
        <w:t>Comm</w:t>
      </w:r>
      <w:r>
        <w:t>’</w:t>
      </w:r>
      <w:r w:rsidRPr="00B118C3">
        <w:t>n</w:t>
      </w:r>
      <w:proofErr w:type="spellEnd"/>
      <w:r w:rsidRPr="00B118C3">
        <w:t>, Horizontal</w:t>
      </w:r>
      <w:r>
        <w:t xml:space="preserve"> </w:t>
      </w:r>
      <w:r w:rsidRPr="00B118C3">
        <w:t xml:space="preserve">Merger Guidelines </w:t>
      </w:r>
      <w:r>
        <w:t>§ 2.1.2</w:t>
      </w:r>
      <w:r w:rsidRPr="00B118C3">
        <w:t xml:space="preserve"> (19 Aug. 2010), </w:t>
      </w:r>
      <w:hyperlink r:id="rId7" w:history="1">
        <w:r w:rsidRPr="009C450F">
          <w:rPr>
            <w:rStyle w:val="Hyperlink"/>
          </w:rPr>
          <w:t>http://www.justice.gov/atr/public/guidelines/hmg-2010.html</w:t>
        </w:r>
      </w:hyperlink>
    </w:p>
  </w:footnote>
  <w:footnote w:id="40">
    <w:p w14:paraId="6495815C" w14:textId="77777777" w:rsidR="00055A31" w:rsidRPr="002502F9" w:rsidRDefault="00055A31" w:rsidP="0050262C">
      <w:pPr>
        <w:pStyle w:val="FootnoteText"/>
      </w:pPr>
      <w:r w:rsidRPr="002502F9">
        <w:rPr>
          <w:rStyle w:val="FootnoteReference"/>
        </w:rPr>
        <w:footnoteRef/>
      </w:r>
      <w:r w:rsidRPr="002502F9">
        <w:t xml:space="preserve"> </w:t>
      </w:r>
      <w:r>
        <w:tab/>
      </w:r>
      <w:r w:rsidRPr="002502F9">
        <w:t xml:space="preserve">The </w:t>
      </w:r>
      <w:r>
        <w:t xml:space="preserve">2010 </w:t>
      </w:r>
      <w:r w:rsidRPr="002502F9">
        <w:t>U</w:t>
      </w:r>
      <w:r>
        <w:t>.</w:t>
      </w:r>
      <w:r w:rsidRPr="002502F9">
        <w:t>S</w:t>
      </w:r>
      <w:r>
        <w:t>.</w:t>
      </w:r>
      <w:r w:rsidRPr="002502F9">
        <w:t xml:space="preserve"> </w:t>
      </w:r>
      <w:r>
        <w:t xml:space="preserve">Horizontal </w:t>
      </w:r>
      <w:r w:rsidRPr="002502F9">
        <w:t>Merger Guidelines</w:t>
      </w:r>
      <w:r>
        <w:t xml:space="preserve"> are an improvement over </w:t>
      </w:r>
      <w:r w:rsidRPr="002502F9">
        <w:t xml:space="preserve">the </w:t>
      </w:r>
      <w:r>
        <w:t xml:space="preserve">earlier </w:t>
      </w:r>
      <w:r w:rsidRPr="002502F9">
        <w:t>guidelines in recognizing non-price competition</w:t>
      </w:r>
      <w:r>
        <w:t xml:space="preserve">. </w:t>
      </w:r>
      <w:proofErr w:type="gramStart"/>
      <w:r w:rsidRPr="00B118C3">
        <w:t>U.S. Dep</w:t>
      </w:r>
      <w:r>
        <w:t>’t of Justice &amp;</w:t>
      </w:r>
      <w:r w:rsidRPr="00B118C3">
        <w:t xml:space="preserve"> Fed</w:t>
      </w:r>
      <w:r>
        <w:t>.</w:t>
      </w:r>
      <w:proofErr w:type="gramEnd"/>
      <w:r w:rsidRPr="00B118C3">
        <w:t xml:space="preserve"> Trade </w:t>
      </w:r>
      <w:proofErr w:type="spellStart"/>
      <w:r w:rsidRPr="00B118C3">
        <w:t>Comm</w:t>
      </w:r>
      <w:r>
        <w:t>’</w:t>
      </w:r>
      <w:r w:rsidRPr="00B118C3">
        <w:t>n</w:t>
      </w:r>
      <w:proofErr w:type="spellEnd"/>
      <w:r w:rsidRPr="00B118C3">
        <w:t>, Horizontal</w:t>
      </w:r>
      <w:r>
        <w:t xml:space="preserve"> </w:t>
      </w:r>
      <w:r w:rsidRPr="00B118C3">
        <w:t xml:space="preserve">Merger Guidelines </w:t>
      </w:r>
      <w:r>
        <w:t>§ 1.0</w:t>
      </w:r>
      <w:r w:rsidRPr="00B118C3">
        <w:t xml:space="preserve"> (19 Aug. 2010), </w:t>
      </w:r>
      <w:hyperlink r:id="rId8" w:history="1">
        <w:r w:rsidRPr="009C450F">
          <w:rPr>
            <w:rStyle w:val="Hyperlink"/>
          </w:rPr>
          <w:t>http://www.justice.gov/atr/public/guidelines/hmg-2010.html</w:t>
        </w:r>
      </w:hyperlink>
      <w:r>
        <w:t xml:space="preserve"> (</w:t>
      </w:r>
      <w:r w:rsidRPr="00321F95">
        <w:t>ex</w:t>
      </w:r>
      <w:r>
        <w:t xml:space="preserve">plaining </w:t>
      </w:r>
      <w:r w:rsidRPr="00321F95">
        <w:t>how market power can be manifested in “non-price terms and conditions that adversely affect customers, including reduced product quality, reduced product variety, reduced service, or diminished innovation” and how such “non-price effects may coexist with price effects</w:t>
      </w:r>
      <w:r>
        <w:t>, or can arise in their absence</w:t>
      </w:r>
      <w:r w:rsidRPr="00321F95">
        <w:t>”</w:t>
      </w:r>
      <w:r>
        <w:t xml:space="preserve">). But the 2010 Guidelines </w:t>
      </w:r>
      <w:r w:rsidRPr="002502F9">
        <w:t xml:space="preserve">still </w:t>
      </w:r>
      <w:r>
        <w:t>focus o</w:t>
      </w:r>
      <w:r w:rsidRPr="002502F9">
        <w:t xml:space="preserve">n </w:t>
      </w:r>
      <w:r>
        <w:t xml:space="preserve">the merger’s </w:t>
      </w:r>
      <w:r w:rsidRPr="002502F9">
        <w:t xml:space="preserve">price effects. </w:t>
      </w:r>
      <w:r>
        <w:t xml:space="preserve">The </w:t>
      </w:r>
      <w:r w:rsidRPr="002502F9">
        <w:t>C</w:t>
      </w:r>
      <w:r>
        <w:t>ommission</w:t>
      </w:r>
      <w:r w:rsidRPr="002502F9">
        <w:t xml:space="preserve"> </w:t>
      </w:r>
      <w:r>
        <w:t xml:space="preserve">likewise </w:t>
      </w:r>
      <w:r w:rsidRPr="002502F9">
        <w:t>recogniz</w:t>
      </w:r>
      <w:r>
        <w:t xml:space="preserve">es </w:t>
      </w:r>
      <w:r w:rsidRPr="002502F9">
        <w:t>non-price anticompetitive effects</w:t>
      </w:r>
      <w:r>
        <w:t>,</w:t>
      </w:r>
      <w:r w:rsidRPr="002502F9">
        <w:t xml:space="preserve"> </w:t>
      </w:r>
      <w:r>
        <w:t xml:space="preserve">but </w:t>
      </w:r>
      <w:r w:rsidRPr="002502F9">
        <w:t>uses “the expression ‘increased prices’” as “shorthand for these various ways in which a merger may result in competitive harm.”  European</w:t>
      </w:r>
      <w:r>
        <w:t xml:space="preserve"> Commission, Guidelines on the Assessment of Horizontal M</w:t>
      </w:r>
      <w:r w:rsidRPr="002502F9">
        <w:t>ergers under</w:t>
      </w:r>
      <w:r>
        <w:t xml:space="preserve"> the Council Regulation on the Control of Concentrations between U</w:t>
      </w:r>
      <w:r w:rsidRPr="002502F9">
        <w:t>ndertakings (2004/C 31/03) § 8.</w:t>
      </w:r>
    </w:p>
  </w:footnote>
  <w:footnote w:id="41">
    <w:p w14:paraId="56909F94" w14:textId="77777777" w:rsidR="00055A31" w:rsidRPr="002502F9" w:rsidRDefault="00055A31" w:rsidP="0050262C">
      <w:pPr>
        <w:pStyle w:val="FootnoteText"/>
      </w:pPr>
      <w:r w:rsidRPr="002502F9">
        <w:rPr>
          <w:rStyle w:val="FootnoteReference"/>
        </w:rPr>
        <w:footnoteRef/>
      </w:r>
      <w:r w:rsidRPr="002502F9">
        <w:t xml:space="preserve"> </w:t>
      </w:r>
      <w:r>
        <w:tab/>
      </w:r>
      <w:r w:rsidRPr="002502F9">
        <w:rPr>
          <w:smallCaps/>
        </w:rPr>
        <w:t xml:space="preserve">Fed. Trade </w:t>
      </w:r>
      <w:proofErr w:type="spellStart"/>
      <w:r w:rsidRPr="002502F9">
        <w:rPr>
          <w:smallCaps/>
        </w:rPr>
        <w:t>Comm’n</w:t>
      </w:r>
      <w:proofErr w:type="spellEnd"/>
      <w:r w:rsidRPr="002502F9">
        <w:rPr>
          <w:smallCaps/>
        </w:rPr>
        <w:t xml:space="preserve"> &amp; </w:t>
      </w:r>
      <w:r>
        <w:rPr>
          <w:smallCaps/>
        </w:rPr>
        <w:t xml:space="preserve">U.S. </w:t>
      </w:r>
      <w:r w:rsidRPr="002502F9">
        <w:rPr>
          <w:smallCaps/>
        </w:rPr>
        <w:t>Dep</w:t>
      </w:r>
      <w:r>
        <w:rPr>
          <w:smallCaps/>
        </w:rPr>
        <w:t>’t</w:t>
      </w:r>
      <w:r w:rsidRPr="002502F9">
        <w:rPr>
          <w:smallCaps/>
        </w:rPr>
        <w:t xml:space="preserve"> of Justice, Merger Challenges Data, Fiscal Years</w:t>
      </w:r>
      <w:r w:rsidRPr="002502F9">
        <w:t xml:space="preserve"> 1999–2003</w:t>
      </w:r>
      <w:r>
        <w:t>, at 2</w:t>
      </w:r>
      <w:r w:rsidRPr="002502F9">
        <w:t xml:space="preserve"> (2003), </w:t>
      </w:r>
      <w:r w:rsidRPr="002502F9">
        <w:rPr>
          <w:i/>
        </w:rPr>
        <w:t>available at</w:t>
      </w:r>
      <w:r w:rsidRPr="002502F9">
        <w:t xml:space="preserve"> </w:t>
      </w:r>
      <w:hyperlink r:id="rId9" w:history="1">
        <w:r w:rsidRPr="002502F9">
          <w:rPr>
            <w:rStyle w:val="Hyperlink"/>
          </w:rPr>
          <w:t>http://www.usdoj.gov/atr/public/201898.htm</w:t>
        </w:r>
      </w:hyperlink>
      <w:r w:rsidRPr="002502F9">
        <w:t xml:space="preserve"> (“Although large market shares and high concentration by themselves are an insufficient basis for challenging a merger, low market shares and concentration are a sufficient basis for not challenging a merger.”); EC Merger Guidelines §§ 19-20 (Commission “unlikely to identify horizontal competition concerns in a market</w:t>
      </w:r>
      <w:r>
        <w:t xml:space="preserve"> with a post-merger HHI below 1</w:t>
      </w:r>
      <w:r w:rsidRPr="002502F9">
        <w:t>000” as such markets “normally do not require extensive analysis” and is “also unlikely to identify horizontal competition concerns in a merger w</w:t>
      </w:r>
      <w:r>
        <w:t>ith a post-merger HHI between 1000 and 2</w:t>
      </w:r>
      <w:r w:rsidRPr="002502F9">
        <w:t>000 and a delta below 250, or a merger</w:t>
      </w:r>
      <w:r>
        <w:t xml:space="preserve"> with a post-merger HHI above 2</w:t>
      </w:r>
      <w:r w:rsidRPr="002502F9">
        <w:t>000 and a delta below 150” with several exceptions).</w:t>
      </w:r>
    </w:p>
  </w:footnote>
  <w:footnote w:id="42">
    <w:p w14:paraId="0546E5F5" w14:textId="77777777" w:rsidR="00055A31" w:rsidRPr="002502F9" w:rsidRDefault="00055A31" w:rsidP="0050262C">
      <w:pPr>
        <w:pStyle w:val="FootnoteText"/>
      </w:pPr>
      <w:r w:rsidRPr="002502F9">
        <w:rPr>
          <w:rStyle w:val="FootnoteReference"/>
        </w:rPr>
        <w:footnoteRef/>
      </w:r>
      <w:r w:rsidRPr="002502F9">
        <w:t xml:space="preserve"> </w:t>
      </w:r>
      <w:r>
        <w:tab/>
      </w:r>
      <w:r w:rsidRPr="002502F9">
        <w:rPr>
          <w:i/>
        </w:rPr>
        <w:t>See, e.g</w:t>
      </w:r>
      <w:r w:rsidRPr="002502F9">
        <w:t>., EC Merger Guidelines § 64 (“Even firms with very high market shares may not be in a position, post-merger, to significantly impede effective competition, in particular by acting to an appreciable extent independently of their customers, if the latter possess countervailing</w:t>
      </w:r>
      <w:r w:rsidRPr="002502F9">
        <w:tab/>
        <w:t>buyer</w:t>
      </w:r>
      <w:r w:rsidRPr="002502F9">
        <w:tab/>
        <w:t>power.”).</w:t>
      </w:r>
    </w:p>
  </w:footnote>
  <w:footnote w:id="43">
    <w:p w14:paraId="0BF09EC8" w14:textId="77777777" w:rsidR="00055A31" w:rsidRPr="002502F9" w:rsidRDefault="00055A31" w:rsidP="0050262C">
      <w:pPr>
        <w:pStyle w:val="FootnoteText"/>
      </w:pPr>
      <w:r w:rsidRPr="002502F9">
        <w:rPr>
          <w:rStyle w:val="FootnoteReference"/>
        </w:rPr>
        <w:footnoteRef/>
      </w:r>
      <w:r w:rsidRPr="002502F9">
        <w:t xml:space="preserve"> </w:t>
      </w:r>
      <w:r>
        <w:tab/>
      </w:r>
      <w:r w:rsidRPr="002502F9">
        <w:t>EC Merger Guidelines § 68 (“When entering a market is sufficiently easy, a merger is unlikely to pose any significant anti-competitive risk. Therefore, entry analysis constitutes an important element of the overall competitive assessment.”); US Merger Guidelines § 9 (“A merger is not likely to enhance market power if entry into the market is so easy that the merged firm and its remaining rivals in the market, either unilaterally or collectively, could not profitably raise price or otherwise reduce competition compared to the level that would prevail in the absence of the merger.”).</w:t>
      </w:r>
    </w:p>
  </w:footnote>
  <w:footnote w:id="44">
    <w:p w14:paraId="290809AB" w14:textId="77777777" w:rsidR="00055A31" w:rsidRPr="00B118C3" w:rsidRDefault="00055A31" w:rsidP="0050262C">
      <w:pPr>
        <w:pStyle w:val="FootnoteText"/>
      </w:pPr>
      <w:r w:rsidRPr="002502F9">
        <w:rPr>
          <w:rStyle w:val="FootnoteReference"/>
        </w:rPr>
        <w:footnoteRef/>
      </w:r>
      <w:r w:rsidRPr="002502F9">
        <w:t xml:space="preserve"> </w:t>
      </w:r>
      <w:r>
        <w:tab/>
        <w:t xml:space="preserve">Fed. Trade </w:t>
      </w:r>
      <w:proofErr w:type="spellStart"/>
      <w:r>
        <w:t>Comm’n</w:t>
      </w:r>
      <w:proofErr w:type="spellEnd"/>
      <w:r>
        <w:t xml:space="preserve"> &amp; U.S. Dep’</w:t>
      </w:r>
      <w:r w:rsidRPr="002502F9">
        <w:t xml:space="preserve">t </w:t>
      </w:r>
      <w:r>
        <w:t>of Justice, Commentary on t</w:t>
      </w:r>
      <w:r w:rsidRPr="002502F9">
        <w:t>he Horizontal Merger Guidelines v (</w:t>
      </w:r>
      <w:r>
        <w:t xml:space="preserve">Mar. </w:t>
      </w:r>
      <w:r w:rsidRPr="002502F9">
        <w:t>2006)</w:t>
      </w:r>
      <w:r>
        <w:t xml:space="preserve">, </w:t>
      </w:r>
      <w:r w:rsidRPr="00B118C3">
        <w:t>http://www.justice.gov/atr/public/guidelines/215247.htm</w:t>
      </w:r>
      <w:r w:rsidRPr="002502F9">
        <w:t xml:space="preserve"> (“[</w:t>
      </w:r>
      <w:proofErr w:type="gramStart"/>
      <w:r w:rsidRPr="002502F9">
        <w:t>t]he</w:t>
      </w:r>
      <w:proofErr w:type="gramEnd"/>
      <w:r w:rsidRPr="002502F9">
        <w:t xml:space="preserve"> vast majority of mergers pose no harm to consumers, and many produce efficiencies that benefit consumers in the form of lower prices, higher quality goods or services, or investments in innovation”).</w:t>
      </w:r>
    </w:p>
  </w:footnote>
  <w:footnote w:id="45">
    <w:p w14:paraId="57CB14C3" w14:textId="77777777" w:rsidR="00055A31" w:rsidRDefault="00055A31" w:rsidP="00BE0836">
      <w:pPr>
        <w:pStyle w:val="FootnoteText"/>
      </w:pPr>
      <w:r>
        <w:rPr>
          <w:rStyle w:val="FootnoteReference"/>
        </w:rPr>
        <w:footnoteRef/>
      </w:r>
      <w:r>
        <w:t xml:space="preserve"> </w:t>
      </w:r>
      <w:r>
        <w:tab/>
        <w:t xml:space="preserve">For an informative analysis of published post-merger reviews, see John </w:t>
      </w:r>
      <w:proofErr w:type="spellStart"/>
      <w:r>
        <w:t>Kwoka</w:t>
      </w:r>
      <w:proofErr w:type="spellEnd"/>
      <w:r>
        <w:t xml:space="preserve"> &amp; Daniel </w:t>
      </w:r>
      <w:r w:rsidRPr="003F4002">
        <w:t xml:space="preserve">Greenfield, </w:t>
      </w:r>
      <w:r w:rsidRPr="003F4002">
        <w:rPr>
          <w:i/>
        </w:rPr>
        <w:t>Does Merger Control Work? A Retrospective on U.S. Enforcement Actions and Merger Outcomes</w:t>
      </w:r>
      <w:r w:rsidRPr="003F4002">
        <w:t xml:space="preserve"> (Nov</w:t>
      </w:r>
      <w:r>
        <w:t xml:space="preserve">. 4, 2011), </w:t>
      </w:r>
      <w:r w:rsidRPr="003F4002">
        <w:rPr>
          <w:i/>
        </w:rPr>
        <w:t>available at</w:t>
      </w:r>
      <w:r w:rsidRPr="003F4002">
        <w:t xml:space="preserve"> http://ssrn.com/abstract=1954849 or http://dx.doi.org/10.2139/ssrn.1954849</w:t>
      </w:r>
      <w:r>
        <w:t>.</w:t>
      </w:r>
    </w:p>
  </w:footnote>
  <w:footnote w:id="46">
    <w:p w14:paraId="39E69A41" w14:textId="77777777" w:rsidR="00055A31" w:rsidRDefault="00055A31" w:rsidP="00E671AE">
      <w:pPr>
        <w:pStyle w:val="FootnoteText"/>
      </w:pPr>
      <w:r>
        <w:rPr>
          <w:rStyle w:val="FootnoteReference"/>
        </w:rPr>
        <w:footnoteRef/>
      </w:r>
      <w:r>
        <w:t xml:space="preserve"> </w:t>
      </w:r>
      <w:r>
        <w:tab/>
        <w:t xml:space="preserve">U.S. Merger Guidelines, </w:t>
      </w:r>
      <w:r>
        <w:rPr>
          <w:i/>
          <w:color w:val="000000"/>
          <w:szCs w:val="24"/>
        </w:rPr>
        <w:t>supra</w:t>
      </w:r>
      <w:r>
        <w:t xml:space="preserve"> note </w:t>
      </w:r>
      <w:r>
        <w:fldChar w:fldCharType="begin"/>
      </w:r>
      <w:r>
        <w:instrText xml:space="preserve"> NOTEREF _Ref199566463 \h </w:instrText>
      </w:r>
      <w:r>
        <w:fldChar w:fldCharType="separate"/>
      </w:r>
      <w:r>
        <w:t>32</w:t>
      </w:r>
      <w:r>
        <w:fldChar w:fldCharType="end"/>
      </w:r>
      <w:r>
        <w:t xml:space="preserve">, at § 4.1.1; Commission Notice on the Definition of Relevant Market for the Purposes of Community Competition Law, </w:t>
      </w:r>
      <w:r w:rsidRPr="00094C8C">
        <w:t>OJ C 372, 9.12.1997</w:t>
      </w:r>
      <w:r>
        <w:t xml:space="preserve">, at ¶ 17. </w:t>
      </w:r>
    </w:p>
  </w:footnote>
  <w:footnote w:id="47">
    <w:p w14:paraId="06D6BF5B" w14:textId="77777777" w:rsidR="00055A31" w:rsidRDefault="00055A31" w:rsidP="0050262C">
      <w:pPr>
        <w:pStyle w:val="FootnoteText"/>
      </w:pPr>
      <w:r>
        <w:rPr>
          <w:rStyle w:val="FootnoteReference"/>
        </w:rPr>
        <w:footnoteRef/>
      </w:r>
      <w:r>
        <w:t xml:space="preserve"> </w:t>
      </w:r>
      <w:r>
        <w:tab/>
        <w:t>OECD, Executive Summary, Competition and Regulation i</w:t>
      </w:r>
      <w:r w:rsidRPr="00310450">
        <w:t>n Agriculture: Mon</w:t>
      </w:r>
      <w:r>
        <w:t xml:space="preserve">opsony Buying and Joint Selling, </w:t>
      </w:r>
      <w:r w:rsidRPr="00310450">
        <w:t>DAF/</w:t>
      </w:r>
      <w:proofErr w:type="gramStart"/>
      <w:r w:rsidRPr="00310450">
        <w:t>COMP(</w:t>
      </w:r>
      <w:proofErr w:type="gramEnd"/>
      <w:r w:rsidRPr="00310450">
        <w:t>2005)44</w:t>
      </w:r>
      <w:r>
        <w:t>, at 8 (2005).</w:t>
      </w:r>
    </w:p>
  </w:footnote>
  <w:footnote w:id="48">
    <w:p w14:paraId="7777B9C2" w14:textId="77777777" w:rsidR="00055A31" w:rsidRDefault="00055A31" w:rsidP="0050262C">
      <w:pPr>
        <w:pStyle w:val="FootnoteText"/>
      </w:pPr>
      <w:r>
        <w:rPr>
          <w:rStyle w:val="FootnoteReference"/>
        </w:rPr>
        <w:footnoteRef/>
      </w:r>
      <w:r>
        <w:t xml:space="preserve"> </w:t>
      </w:r>
      <w:r>
        <w:tab/>
      </w:r>
      <w:r w:rsidRPr="0096102D">
        <w:t xml:space="preserve">Daniel </w:t>
      </w:r>
      <w:proofErr w:type="spellStart"/>
      <w:r w:rsidRPr="0096102D">
        <w:t>Kahneman</w:t>
      </w:r>
      <w:proofErr w:type="spellEnd"/>
      <w:r w:rsidRPr="0096102D">
        <w:t xml:space="preserve"> &amp; Amos </w:t>
      </w:r>
      <w:proofErr w:type="spellStart"/>
      <w:r w:rsidRPr="0096102D">
        <w:t>Tversky</w:t>
      </w:r>
      <w:proofErr w:type="spellEnd"/>
      <w:r w:rsidRPr="0096102D">
        <w:t xml:space="preserve">, </w:t>
      </w:r>
      <w:r w:rsidRPr="005064E8">
        <w:rPr>
          <w:i/>
        </w:rPr>
        <w:t>Prospect Theory: An Analysis of Decision Under Risk</w:t>
      </w:r>
      <w:r>
        <w:t xml:space="preserve">, 47 </w:t>
      </w:r>
      <w:proofErr w:type="spellStart"/>
      <w:r w:rsidRPr="005064E8">
        <w:rPr>
          <w:smallCaps/>
        </w:rPr>
        <w:t>Econometrica</w:t>
      </w:r>
      <w:proofErr w:type="spellEnd"/>
      <w:r>
        <w:t xml:space="preserve"> 263</w:t>
      </w:r>
      <w:r w:rsidRPr="0096102D">
        <w:t xml:space="preserve"> (1979)</w:t>
      </w:r>
      <w:r>
        <w:t xml:space="preserve">; Steffen Huck et al., Consumer </w:t>
      </w:r>
      <w:proofErr w:type="spellStart"/>
      <w:r>
        <w:t>Behavioural</w:t>
      </w:r>
      <w:proofErr w:type="spellEnd"/>
      <w:r>
        <w:t xml:space="preserve"> Biases in Competition: A Survey, Final Report for the OFT ¶¶ 3.10-3.201.11 (May 2011) [hereinafter OFT Report].</w:t>
      </w:r>
    </w:p>
  </w:footnote>
  <w:footnote w:id="49">
    <w:p w14:paraId="471E2E0E" w14:textId="77777777" w:rsidR="00055A31" w:rsidRDefault="00055A31" w:rsidP="0050262C">
      <w:pPr>
        <w:pStyle w:val="FootnoteText"/>
      </w:pPr>
      <w:r>
        <w:rPr>
          <w:rStyle w:val="FootnoteReference"/>
        </w:rPr>
        <w:footnoteRef/>
      </w:r>
      <w:r>
        <w:t xml:space="preserve"> </w:t>
      </w:r>
      <w:r>
        <w:tab/>
      </w:r>
      <w:r w:rsidRPr="0096102D">
        <w:t xml:space="preserve">Colin F. </w:t>
      </w:r>
      <w:proofErr w:type="spellStart"/>
      <w:r w:rsidRPr="0096102D">
        <w:t>Camerer</w:t>
      </w:r>
      <w:proofErr w:type="spellEnd"/>
      <w:r w:rsidRPr="0096102D">
        <w:t xml:space="preserve">, </w:t>
      </w:r>
      <w:r w:rsidRPr="005064E8">
        <w:rPr>
          <w:i/>
        </w:rPr>
        <w:t>Prospect Theory in the Wild</w:t>
      </w:r>
      <w:r>
        <w:rPr>
          <w:i/>
        </w:rPr>
        <w:t>: Evidence from the Field</w:t>
      </w:r>
      <w:r w:rsidRPr="0096102D">
        <w:t xml:space="preserve">, </w:t>
      </w:r>
      <w:r w:rsidRPr="005064E8">
        <w:rPr>
          <w:i/>
        </w:rPr>
        <w:t>in</w:t>
      </w:r>
      <w:r w:rsidRPr="0096102D">
        <w:t xml:space="preserve"> </w:t>
      </w:r>
      <w:r w:rsidRPr="005064E8">
        <w:rPr>
          <w:smallCaps/>
        </w:rPr>
        <w:t>Advances In Behavioral Economics</w:t>
      </w:r>
      <w:r w:rsidRPr="0096102D">
        <w:t xml:space="preserve"> 148, 152 (</w:t>
      </w:r>
      <w:r>
        <w:t xml:space="preserve">Colin F. </w:t>
      </w:r>
      <w:proofErr w:type="spellStart"/>
      <w:r w:rsidRPr="0096102D">
        <w:t>Camerer</w:t>
      </w:r>
      <w:proofErr w:type="spellEnd"/>
      <w:r w:rsidRPr="0096102D">
        <w:t xml:space="preserve"> </w:t>
      </w:r>
      <w:r>
        <w:t xml:space="preserve">et al. </w:t>
      </w:r>
      <w:r w:rsidRPr="0096102D">
        <w:t>ed</w:t>
      </w:r>
      <w:r>
        <w:t>s</w:t>
      </w:r>
      <w:proofErr w:type="gramStart"/>
      <w:r w:rsidRPr="0096102D">
        <w:t>.,</w:t>
      </w:r>
      <w:proofErr w:type="gramEnd"/>
      <w:r w:rsidRPr="0096102D">
        <w:t xml:space="preserve"> 2004)</w:t>
      </w:r>
      <w:r>
        <w:t xml:space="preserve"> (</w:t>
      </w:r>
      <w:r w:rsidRPr="0096102D">
        <w:t xml:space="preserve">many consumers </w:t>
      </w:r>
      <w:r w:rsidRPr="0096102D">
        <w:rPr>
          <w:rFonts w:hint="eastAsia"/>
        </w:rPr>
        <w:t>“</w:t>
      </w:r>
      <w:r w:rsidRPr="0096102D">
        <w:t>dislike price increases more than they like the windfall gain from price cuts and will cut back purchases more when prices rise compared with the extra a</w:t>
      </w:r>
      <w:r>
        <w:t>mount they buy when prices fall</w:t>
      </w:r>
      <w:r w:rsidRPr="0096102D">
        <w:rPr>
          <w:rFonts w:hint="eastAsia"/>
        </w:rPr>
        <w:t>”</w:t>
      </w:r>
      <w:r>
        <w:t xml:space="preserve">); Daniel </w:t>
      </w:r>
      <w:proofErr w:type="spellStart"/>
      <w:r w:rsidRPr="005064E8">
        <w:t>Kahneman</w:t>
      </w:r>
      <w:proofErr w:type="spellEnd"/>
      <w:r w:rsidRPr="005064E8">
        <w:t xml:space="preserve">, </w:t>
      </w:r>
      <w:r w:rsidRPr="005064E8">
        <w:rPr>
          <w:i/>
        </w:rPr>
        <w:t>Maps of Bounded Rationality: Psychology for Behavioral Economics</w:t>
      </w:r>
      <w:r w:rsidRPr="005064E8">
        <w:t xml:space="preserve">, 93 </w:t>
      </w:r>
      <w:r w:rsidRPr="005064E8">
        <w:rPr>
          <w:smallCaps/>
        </w:rPr>
        <w:t xml:space="preserve">Am. Econ. </w:t>
      </w:r>
      <w:proofErr w:type="gramStart"/>
      <w:r w:rsidRPr="005064E8">
        <w:rPr>
          <w:smallCaps/>
        </w:rPr>
        <w:t xml:space="preserve">Rev. </w:t>
      </w:r>
      <w:r w:rsidRPr="005064E8">
        <w:t>1449</w:t>
      </w:r>
      <w:r>
        <w:t>, 1458</w:t>
      </w:r>
      <w:r w:rsidRPr="005064E8">
        <w:t xml:space="preserve"> (2003).</w:t>
      </w:r>
      <w:proofErr w:type="gramEnd"/>
    </w:p>
  </w:footnote>
  <w:footnote w:id="50">
    <w:p w14:paraId="6BD99C2F" w14:textId="77777777" w:rsidR="00055A31" w:rsidRDefault="00055A31" w:rsidP="0050262C">
      <w:pPr>
        <w:pStyle w:val="FootnoteText"/>
      </w:pPr>
      <w:r>
        <w:rPr>
          <w:rStyle w:val="FootnoteReference"/>
        </w:rPr>
        <w:footnoteRef/>
      </w:r>
      <w:r>
        <w:t xml:space="preserve"> </w:t>
      </w:r>
      <w:r>
        <w:tab/>
      </w:r>
      <w:r w:rsidRPr="00DB60AD">
        <w:t xml:space="preserve">Daniel </w:t>
      </w:r>
      <w:proofErr w:type="spellStart"/>
      <w:r w:rsidRPr="00DB60AD">
        <w:t>Kahneman</w:t>
      </w:r>
      <w:proofErr w:type="spellEnd"/>
      <w:r w:rsidRPr="00DB60AD">
        <w:t xml:space="preserve"> et al., </w:t>
      </w:r>
      <w:r w:rsidRPr="005064E8">
        <w:rPr>
          <w:i/>
        </w:rPr>
        <w:t>Fairness as a Constraint on Profit Seeking: Entitlements in the Market</w:t>
      </w:r>
      <w:r w:rsidRPr="00DB60AD">
        <w:t xml:space="preserve">, </w:t>
      </w:r>
      <w:r w:rsidRPr="005064E8">
        <w:rPr>
          <w:i/>
        </w:rPr>
        <w:t>in</w:t>
      </w:r>
      <w:r w:rsidRPr="00DB60AD">
        <w:t xml:space="preserve"> </w:t>
      </w:r>
      <w:r w:rsidRPr="005064E8">
        <w:rPr>
          <w:smallCaps/>
        </w:rPr>
        <w:t>Advances In Behavioral Economics</w:t>
      </w:r>
      <w:r>
        <w:t xml:space="preserve">, </w:t>
      </w:r>
      <w:r>
        <w:rPr>
          <w:i/>
          <w:color w:val="000000"/>
          <w:szCs w:val="24"/>
        </w:rPr>
        <w:t>supra</w:t>
      </w:r>
      <w:r>
        <w:t xml:space="preserve"> note </w:t>
      </w:r>
      <w:r>
        <w:fldChar w:fldCharType="begin"/>
      </w:r>
      <w:r>
        <w:instrText xml:space="preserve"> NOTEREF _Ref199575785 \h </w:instrText>
      </w:r>
      <w:r>
        <w:fldChar w:fldCharType="separate"/>
      </w:r>
      <w:r>
        <w:t>41</w:t>
      </w:r>
      <w:r>
        <w:fldChar w:fldCharType="end"/>
      </w:r>
      <w:r>
        <w:t>, at</w:t>
      </w:r>
      <w:r w:rsidRPr="00DB60AD">
        <w:t xml:space="preserve"> 252, 2</w:t>
      </w:r>
      <w:r>
        <w:t>57</w:t>
      </w:r>
      <w:r w:rsidRPr="00DB60AD">
        <w:t xml:space="preserve">. </w:t>
      </w:r>
    </w:p>
  </w:footnote>
  <w:footnote w:id="51">
    <w:p w14:paraId="6082B213" w14:textId="77777777" w:rsidR="00055A31" w:rsidRDefault="00055A31" w:rsidP="00523AFE">
      <w:pPr>
        <w:pStyle w:val="FootnoteText"/>
      </w:pPr>
      <w:r>
        <w:rPr>
          <w:rStyle w:val="FootnoteReference"/>
        </w:rPr>
        <w:footnoteRef/>
      </w:r>
      <w:r>
        <w:t xml:space="preserve"> </w:t>
      </w:r>
      <w:r>
        <w:tab/>
        <w:t xml:space="preserve">Xavier </w:t>
      </w:r>
      <w:proofErr w:type="spellStart"/>
      <w:r>
        <w:t>Gabaix</w:t>
      </w:r>
      <w:proofErr w:type="spellEnd"/>
      <w:r>
        <w:t xml:space="preserve"> &amp; David </w:t>
      </w:r>
      <w:proofErr w:type="spellStart"/>
      <w:r>
        <w:t>Laibson</w:t>
      </w:r>
      <w:proofErr w:type="spellEnd"/>
      <w:r>
        <w:t xml:space="preserve">, </w:t>
      </w:r>
      <w:r w:rsidRPr="00D128CC">
        <w:rPr>
          <w:i/>
        </w:rPr>
        <w:t>Shrouded Attributes, Consumer Myopia, and Information Suppression in Competitive Markets</w:t>
      </w:r>
      <w:r>
        <w:t xml:space="preserve">, 121 </w:t>
      </w:r>
      <w:r w:rsidRPr="001A1A14">
        <w:rPr>
          <w:smallCaps/>
        </w:rPr>
        <w:t>Q</w:t>
      </w:r>
      <w:r>
        <w:rPr>
          <w:smallCaps/>
        </w:rPr>
        <w:t>.</w:t>
      </w:r>
      <w:r w:rsidRPr="001A1A14">
        <w:rPr>
          <w:smallCaps/>
        </w:rPr>
        <w:t>J</w:t>
      </w:r>
      <w:r>
        <w:rPr>
          <w:smallCaps/>
        </w:rPr>
        <w:t xml:space="preserve">. </w:t>
      </w:r>
      <w:r w:rsidRPr="001A1A14">
        <w:rPr>
          <w:smallCaps/>
        </w:rPr>
        <w:t>Econ</w:t>
      </w:r>
      <w:r>
        <w:rPr>
          <w:smallCaps/>
        </w:rPr>
        <w:t>.</w:t>
      </w:r>
      <w:r>
        <w:t xml:space="preserve"> </w:t>
      </w:r>
      <w:proofErr w:type="gramStart"/>
      <w:r>
        <w:t>505, 506 (2006).</w:t>
      </w:r>
      <w:proofErr w:type="gramEnd"/>
    </w:p>
  </w:footnote>
  <w:footnote w:id="52">
    <w:p w14:paraId="10F66F1A" w14:textId="77777777" w:rsidR="00055A31" w:rsidRPr="002502F9" w:rsidRDefault="00055A31" w:rsidP="00523AFE">
      <w:pPr>
        <w:pStyle w:val="FootnoteText"/>
      </w:pPr>
      <w:r w:rsidRPr="002502F9">
        <w:rPr>
          <w:rStyle w:val="FootnoteReference"/>
        </w:rPr>
        <w:footnoteRef/>
      </w:r>
      <w:r w:rsidRPr="002502F9">
        <w:t xml:space="preserve"> </w:t>
      </w:r>
      <w:r>
        <w:tab/>
        <w:t>Office o</w:t>
      </w:r>
      <w:r w:rsidRPr="002502F9">
        <w:t>f Fair Trading, The Impac</w:t>
      </w:r>
      <w:r>
        <w:t>t of Price Frames o</w:t>
      </w:r>
      <w:r w:rsidRPr="002502F9">
        <w:t>n Consumer Decision Making 6 (May 2010), http://www.oft.gov.uk/shared_oft/economic _research/OFT1226.pdf.</w:t>
      </w:r>
    </w:p>
  </w:footnote>
  <w:footnote w:id="53">
    <w:p w14:paraId="1649B3C2" w14:textId="77777777" w:rsidR="00055A31" w:rsidRPr="002502F9" w:rsidRDefault="00055A31" w:rsidP="0050262C">
      <w:pPr>
        <w:pStyle w:val="FootnoteText"/>
      </w:pPr>
      <w:r w:rsidRPr="002502F9">
        <w:rPr>
          <w:rStyle w:val="FootnoteReference"/>
        </w:rPr>
        <w:footnoteRef/>
      </w:r>
      <w:r w:rsidRPr="002502F9">
        <w:t xml:space="preserve"> </w:t>
      </w:r>
      <w:r>
        <w:tab/>
      </w:r>
      <w:r w:rsidRPr="002502F9">
        <w:t>http://www.bluebell.com/the_little_creamery/still_a_half_gallon.html.</w:t>
      </w:r>
    </w:p>
  </w:footnote>
  <w:footnote w:id="54">
    <w:p w14:paraId="254F8E75" w14:textId="4945AAAC" w:rsidR="00055A31" w:rsidRPr="0001668A" w:rsidRDefault="00055A31" w:rsidP="0050262C">
      <w:pPr>
        <w:pStyle w:val="FootnoteText"/>
      </w:pPr>
      <w:r>
        <w:rPr>
          <w:rStyle w:val="FootnoteReference"/>
        </w:rPr>
        <w:footnoteRef/>
      </w:r>
      <w:r>
        <w:t xml:space="preserve"> </w:t>
      </w:r>
      <w:r>
        <w:tab/>
      </w:r>
    </w:p>
  </w:footnote>
  <w:footnote w:id="55">
    <w:p w14:paraId="108FF33C" w14:textId="014283F5" w:rsidR="00055A31" w:rsidRDefault="00055A31">
      <w:pPr>
        <w:pStyle w:val="FootnoteText"/>
      </w:pPr>
      <w:r>
        <w:rPr>
          <w:rStyle w:val="FootnoteReference"/>
        </w:rPr>
        <w:footnoteRef/>
      </w:r>
      <w:r>
        <w:t xml:space="preserve"> FCA, </w:t>
      </w:r>
      <w:r>
        <w:rPr>
          <w:rFonts w:ascii="Times New Roman" w:hAnsi="Times New Roman"/>
          <w:i/>
          <w:color w:val="000000"/>
          <w:szCs w:val="24"/>
        </w:rPr>
        <w:t>supra</w:t>
      </w:r>
      <w:r>
        <w:t xml:space="preserve"> note, at 23-24.</w:t>
      </w:r>
    </w:p>
  </w:footnote>
  <w:footnote w:id="56">
    <w:p w14:paraId="7818F651" w14:textId="3E02BD1F" w:rsidR="00055A31" w:rsidRDefault="00055A31" w:rsidP="0050262C">
      <w:pPr>
        <w:pStyle w:val="FootnoteText"/>
      </w:pPr>
      <w:r>
        <w:rPr>
          <w:rStyle w:val="FootnoteReference"/>
        </w:rPr>
        <w:footnoteRef/>
      </w:r>
      <w:r>
        <w:t xml:space="preserve"> </w:t>
      </w:r>
      <w:r w:rsidRPr="002E4E64">
        <w:t xml:space="preserve">Robert H. </w:t>
      </w:r>
      <w:proofErr w:type="spellStart"/>
      <w:r>
        <w:t>Lande</w:t>
      </w:r>
      <w:proofErr w:type="spellEnd"/>
      <w:r>
        <w:t xml:space="preserve"> &amp;</w:t>
      </w:r>
      <w:r w:rsidRPr="002E4E64">
        <w:t xml:space="preserve"> John M.</w:t>
      </w:r>
      <w:r>
        <w:t xml:space="preserve"> </w:t>
      </w:r>
      <w:r w:rsidRPr="002E4E64">
        <w:t xml:space="preserve">Connor, </w:t>
      </w:r>
      <w:r w:rsidRPr="002E4E64">
        <w:rPr>
          <w:i/>
        </w:rPr>
        <w:t>Cartels As Rational Business Strategy: New Data Demonstrates that Crime Pays</w:t>
      </w:r>
      <w:r>
        <w:t xml:space="preserve"> (March 7, 2012), </w:t>
      </w:r>
      <w:r w:rsidRPr="002E4E64">
        <w:rPr>
          <w:i/>
        </w:rPr>
        <w:t>available at</w:t>
      </w:r>
      <w:r w:rsidRPr="002E4E64">
        <w:t xml:space="preserve"> http://ssrn.com/abstract=1917657 or </w:t>
      </w:r>
      <w:hyperlink r:id="rId10" w:history="1">
        <w:r w:rsidRPr="002E61A3">
          <w:rPr>
            <w:rStyle w:val="Hyperlink"/>
          </w:rPr>
          <w:t>http://dx.doi.org/10.2139/ssrn.1917657</w:t>
        </w:r>
      </w:hyperlink>
      <w:r>
        <w:t xml:space="preserve">. </w:t>
      </w:r>
    </w:p>
  </w:footnote>
  <w:footnote w:id="57">
    <w:p w14:paraId="70AE7D21" w14:textId="77777777" w:rsidR="00055A31" w:rsidRDefault="00055A31" w:rsidP="0050262C">
      <w:pPr>
        <w:pStyle w:val="FootnoteText"/>
      </w:pPr>
      <w:r>
        <w:rPr>
          <w:rStyle w:val="FootnoteReference"/>
        </w:rPr>
        <w:footnoteRef/>
      </w:r>
      <w:r>
        <w:t xml:space="preserve"> </w:t>
      </w:r>
      <w:r>
        <w:tab/>
        <w:t xml:space="preserve">I discuss in greater detail the implications of behavioral economics on cartel prosecutions in </w:t>
      </w:r>
      <w:r w:rsidRPr="00410423">
        <w:rPr>
          <w:i/>
        </w:rPr>
        <w:t>Am I a Price-Fixer? A Behavioral Economics Analysis of Cartels</w:t>
      </w:r>
      <w:r w:rsidRPr="00410423">
        <w:t xml:space="preserve">, </w:t>
      </w:r>
      <w:r w:rsidRPr="00410423">
        <w:rPr>
          <w:i/>
        </w:rPr>
        <w:t>in</w:t>
      </w:r>
      <w:r w:rsidRPr="00410423">
        <w:t xml:space="preserve"> </w:t>
      </w:r>
      <w:proofErr w:type="spellStart"/>
      <w:r w:rsidRPr="00410423">
        <w:rPr>
          <w:smallCaps/>
        </w:rPr>
        <w:t>Criminalising</w:t>
      </w:r>
      <w:proofErr w:type="spellEnd"/>
      <w:r w:rsidRPr="00410423">
        <w:rPr>
          <w:smallCaps/>
        </w:rPr>
        <w:t xml:space="preserve"> Cartels: A Cr</w:t>
      </w:r>
      <w:r>
        <w:rPr>
          <w:smallCaps/>
        </w:rPr>
        <w:t>itical Interdisciplinary Study of a</w:t>
      </w:r>
      <w:r w:rsidRPr="00410423">
        <w:rPr>
          <w:smallCaps/>
        </w:rPr>
        <w:t>n International Regulatory Movement</w:t>
      </w:r>
      <w:r w:rsidRPr="00410423">
        <w:t xml:space="preserve"> (Caron Beaton-Wells &amp; Ariel </w:t>
      </w:r>
      <w:proofErr w:type="spellStart"/>
      <w:r w:rsidRPr="00410423">
        <w:t>Ezrachi</w:t>
      </w:r>
      <w:proofErr w:type="spellEnd"/>
      <w:r w:rsidRPr="00410423">
        <w:t xml:space="preserve"> eds</w:t>
      </w:r>
      <w:proofErr w:type="gramStart"/>
      <w:r w:rsidRPr="00410423">
        <w:t>.,</w:t>
      </w:r>
      <w:proofErr w:type="gramEnd"/>
      <w:r w:rsidRPr="00410423">
        <w:t xml:space="preserve"> 2011)</w:t>
      </w:r>
      <w:r>
        <w:t xml:space="preserve">; </w:t>
      </w:r>
      <w:r w:rsidRPr="00410423">
        <w:rPr>
          <w:i/>
        </w:rPr>
        <w:t>Morality and Antitrust</w:t>
      </w:r>
      <w:r w:rsidRPr="00ED0FD1">
        <w:t xml:space="preserve">, 2006 </w:t>
      </w:r>
      <w:r w:rsidRPr="00410423">
        <w:rPr>
          <w:smallCaps/>
        </w:rPr>
        <w:t>Columbia Business L</w:t>
      </w:r>
      <w:r>
        <w:rPr>
          <w:smallCaps/>
        </w:rPr>
        <w:t>.</w:t>
      </w:r>
      <w:r w:rsidRPr="00410423">
        <w:rPr>
          <w:smallCaps/>
        </w:rPr>
        <w:t xml:space="preserve"> Rev</w:t>
      </w:r>
      <w:r>
        <w:rPr>
          <w:smallCaps/>
        </w:rPr>
        <w:t>.</w:t>
      </w:r>
      <w:r>
        <w:t xml:space="preserve"> 443 (2006).</w:t>
      </w:r>
    </w:p>
  </w:footnote>
  <w:footnote w:id="58">
    <w:p w14:paraId="710356FE" w14:textId="77777777" w:rsidR="00055A31" w:rsidRPr="002502F9" w:rsidRDefault="00055A31" w:rsidP="0050262C">
      <w:pPr>
        <w:pStyle w:val="FootnoteText"/>
      </w:pPr>
      <w:r w:rsidRPr="002502F9">
        <w:rPr>
          <w:rStyle w:val="FootnoteReference"/>
        </w:rPr>
        <w:footnoteRef/>
      </w:r>
      <w:r w:rsidRPr="002502F9">
        <w:t xml:space="preserve"> </w:t>
      </w:r>
      <w:r>
        <w:tab/>
      </w:r>
      <w:r w:rsidRPr="002E4E64">
        <w:rPr>
          <w:smallCaps/>
        </w:rPr>
        <w:t>P</w:t>
      </w:r>
      <w:r>
        <w:rPr>
          <w:smallCaps/>
        </w:rPr>
        <w:t>hilip</w:t>
      </w:r>
      <w:r w:rsidRPr="002E4E64">
        <w:rPr>
          <w:smallCaps/>
        </w:rPr>
        <w:t xml:space="preserve"> </w:t>
      </w:r>
      <w:proofErr w:type="spellStart"/>
      <w:r w:rsidRPr="002E4E64">
        <w:rPr>
          <w:smallCaps/>
        </w:rPr>
        <w:t>Zimbardo</w:t>
      </w:r>
      <w:proofErr w:type="spellEnd"/>
      <w:r w:rsidRPr="002E4E64">
        <w:rPr>
          <w:smallCaps/>
        </w:rPr>
        <w:t>, The Lucifer Effect: Understanding How Good People Turn Evil</w:t>
      </w:r>
      <w:r w:rsidRPr="002502F9">
        <w:t xml:space="preserve"> </w:t>
      </w:r>
      <w:r>
        <w:t xml:space="preserve">7 </w:t>
      </w:r>
      <w:r w:rsidRPr="002502F9">
        <w:t>(2008).</w:t>
      </w:r>
    </w:p>
  </w:footnote>
  <w:footnote w:id="59">
    <w:p w14:paraId="282D3FCB" w14:textId="77777777" w:rsidR="00055A31" w:rsidRDefault="00055A31" w:rsidP="0050262C">
      <w:pPr>
        <w:pStyle w:val="FootnoteText"/>
      </w:pPr>
      <w:r>
        <w:rPr>
          <w:rStyle w:val="FootnoteReference"/>
        </w:rPr>
        <w:footnoteRef/>
      </w:r>
      <w:r>
        <w:t xml:space="preserve"> </w:t>
      </w:r>
      <w:r>
        <w:tab/>
      </w:r>
      <w:r w:rsidRPr="002E4E64">
        <w:rPr>
          <w:smallCaps/>
        </w:rPr>
        <w:t xml:space="preserve">Max </w:t>
      </w:r>
      <w:proofErr w:type="spellStart"/>
      <w:r w:rsidRPr="002E4E64">
        <w:rPr>
          <w:smallCaps/>
        </w:rPr>
        <w:t>Bazerman</w:t>
      </w:r>
      <w:proofErr w:type="spellEnd"/>
      <w:r w:rsidRPr="002E4E64">
        <w:rPr>
          <w:smallCaps/>
        </w:rPr>
        <w:t xml:space="preserve"> &amp; Don A. Moore, Judgment in Manage</w:t>
      </w:r>
      <w:r>
        <w:rPr>
          <w:smallCaps/>
        </w:rPr>
        <w:t>rial</w:t>
      </w:r>
      <w:r w:rsidRPr="002E4E64">
        <w:rPr>
          <w:smallCaps/>
        </w:rPr>
        <w:t xml:space="preserve"> Decision Making </w:t>
      </w:r>
      <w:r>
        <w:rPr>
          <w:smallCaps/>
        </w:rPr>
        <w:t xml:space="preserve">101-03 </w:t>
      </w:r>
      <w:r>
        <w:t>(7</w:t>
      </w:r>
      <w:r w:rsidRPr="002E4E64">
        <w:rPr>
          <w:vertAlign w:val="superscript"/>
        </w:rPr>
        <w:t>th</w:t>
      </w:r>
      <w:r>
        <w:t xml:space="preserve"> ed. 2009).</w:t>
      </w:r>
    </w:p>
  </w:footnote>
  <w:footnote w:id="60">
    <w:p w14:paraId="6AF5096A" w14:textId="77777777" w:rsidR="00055A31" w:rsidRDefault="00055A31" w:rsidP="0050262C">
      <w:pPr>
        <w:pStyle w:val="FootnoteText"/>
      </w:pPr>
      <w:r>
        <w:rPr>
          <w:rStyle w:val="FootnoteReference"/>
        </w:rPr>
        <w:footnoteRef/>
      </w:r>
      <w:r>
        <w:t xml:space="preserve"> </w:t>
      </w:r>
      <w:r>
        <w:tab/>
      </w:r>
      <w:r w:rsidRPr="00D81A0F">
        <w:t>Francesca</w:t>
      </w:r>
      <w:r>
        <w:t xml:space="preserve"> </w:t>
      </w:r>
      <w:r w:rsidRPr="00D81A0F">
        <w:t>Gino</w:t>
      </w:r>
      <w:r>
        <w:t xml:space="preserve"> et al.</w:t>
      </w:r>
      <w:r w:rsidRPr="00D81A0F">
        <w:t xml:space="preserve">, </w:t>
      </w:r>
      <w:r w:rsidRPr="00D81A0F">
        <w:rPr>
          <w:i/>
        </w:rPr>
        <w:t>See No Evil: When We Overlook Other People</w:t>
      </w:r>
      <w:r w:rsidRPr="00D81A0F">
        <w:rPr>
          <w:rFonts w:hint="eastAsia"/>
          <w:i/>
        </w:rPr>
        <w:t>’</w:t>
      </w:r>
      <w:r w:rsidRPr="00D81A0F">
        <w:rPr>
          <w:i/>
        </w:rPr>
        <w:t>s Unethical Behavior</w:t>
      </w:r>
      <w:r>
        <w:t xml:space="preserve">, </w:t>
      </w:r>
      <w:r w:rsidRPr="00D81A0F">
        <w:rPr>
          <w:i/>
        </w:rPr>
        <w:t>in</w:t>
      </w:r>
      <w:r>
        <w:t xml:space="preserve"> </w:t>
      </w:r>
      <w:r w:rsidRPr="00D81A0F">
        <w:rPr>
          <w:smallCaps/>
        </w:rPr>
        <w:t>Social Decision Making: Social Dilemmas, Social Values, and Ethical Judgments</w:t>
      </w:r>
      <w:r w:rsidRPr="00D81A0F">
        <w:t xml:space="preserve"> </w:t>
      </w:r>
      <w:r>
        <w:t>241-263</w:t>
      </w:r>
      <w:r w:rsidRPr="00D81A0F">
        <w:t xml:space="preserve"> </w:t>
      </w:r>
      <w:r>
        <w:t>(</w:t>
      </w:r>
      <w:r w:rsidRPr="00D81A0F">
        <w:t>R. M. Kramer</w:t>
      </w:r>
      <w:r>
        <w:t xml:space="preserve"> et al. e</w:t>
      </w:r>
      <w:r w:rsidRPr="00D81A0F">
        <w:t>d</w:t>
      </w:r>
      <w:r>
        <w:t>s</w:t>
      </w:r>
      <w:r w:rsidRPr="00D81A0F">
        <w:t>.</w:t>
      </w:r>
      <w:r>
        <w:t xml:space="preserve"> </w:t>
      </w:r>
      <w:r w:rsidRPr="00D81A0F">
        <w:t>2009)</w:t>
      </w:r>
      <w:r w:rsidRPr="00692514">
        <w:t>.</w:t>
      </w:r>
    </w:p>
  </w:footnote>
  <w:footnote w:id="61">
    <w:p w14:paraId="557709F6" w14:textId="77777777" w:rsidR="00055A31" w:rsidRDefault="00055A31" w:rsidP="0050262C">
      <w:pPr>
        <w:pStyle w:val="FootnoteText"/>
      </w:pPr>
      <w:r>
        <w:rPr>
          <w:rStyle w:val="FootnoteReference"/>
        </w:rPr>
        <w:footnoteRef/>
      </w:r>
      <w:r>
        <w:t xml:space="preserve"> </w:t>
      </w:r>
      <w:r>
        <w:tab/>
      </w:r>
      <w:proofErr w:type="spellStart"/>
      <w:r>
        <w:t>Zimbardo</w:t>
      </w:r>
      <w:proofErr w:type="spellEnd"/>
      <w:r>
        <w:t xml:space="preserve">, </w:t>
      </w:r>
      <w:r>
        <w:rPr>
          <w:i/>
          <w:color w:val="000000"/>
          <w:szCs w:val="24"/>
        </w:rPr>
        <w:t>supra</w:t>
      </w:r>
      <w:r>
        <w:t xml:space="preserve"> note </w:t>
      </w:r>
      <w:r>
        <w:fldChar w:fldCharType="begin"/>
      </w:r>
      <w:r>
        <w:instrText xml:space="preserve"> NOTEREF _Ref199566620 \h </w:instrText>
      </w:r>
      <w:r>
        <w:fldChar w:fldCharType="separate"/>
      </w:r>
      <w:r>
        <w:t>49</w:t>
      </w:r>
      <w:r>
        <w:fldChar w:fldCharType="end"/>
      </w:r>
      <w:r w:rsidRPr="00692514">
        <w:t xml:space="preserve">, </w:t>
      </w:r>
      <w:r>
        <w:t xml:space="preserve">at </w:t>
      </w:r>
      <w:r w:rsidRPr="00692514">
        <w:t>274</w:t>
      </w:r>
      <w:r>
        <w:t xml:space="preserve">; </w:t>
      </w:r>
      <w:r w:rsidRPr="002216D3">
        <w:rPr>
          <w:i/>
        </w:rPr>
        <w:t>see also</w:t>
      </w:r>
      <w:r>
        <w:t xml:space="preserve"> </w:t>
      </w:r>
      <w:proofErr w:type="spellStart"/>
      <w:r>
        <w:t>Bazerman</w:t>
      </w:r>
      <w:proofErr w:type="spellEnd"/>
      <w:r>
        <w:t xml:space="preserve"> &amp; Moore, </w:t>
      </w:r>
      <w:r>
        <w:rPr>
          <w:i/>
          <w:color w:val="000000"/>
          <w:szCs w:val="24"/>
        </w:rPr>
        <w:t>supra</w:t>
      </w:r>
      <w:r>
        <w:t xml:space="preserve"> note </w:t>
      </w:r>
      <w:r>
        <w:fldChar w:fldCharType="begin"/>
      </w:r>
      <w:r>
        <w:instrText xml:space="preserve"> NOTEREF _Ref199566652 \h </w:instrText>
      </w:r>
      <w:r>
        <w:fldChar w:fldCharType="separate"/>
      </w:r>
      <w:r>
        <w:t>50</w:t>
      </w:r>
      <w:r>
        <w:fldChar w:fldCharType="end"/>
      </w:r>
      <w:r>
        <w:t>, at 47-48</w:t>
      </w:r>
      <w:r w:rsidRPr="00692514">
        <w:t>.</w:t>
      </w:r>
    </w:p>
  </w:footnote>
  <w:footnote w:id="62">
    <w:p w14:paraId="52C61648" w14:textId="77777777" w:rsidR="00055A31" w:rsidRDefault="00055A31" w:rsidP="0050262C">
      <w:pPr>
        <w:pStyle w:val="FootnoteText"/>
      </w:pPr>
      <w:r>
        <w:rPr>
          <w:rStyle w:val="FootnoteReference"/>
        </w:rPr>
        <w:footnoteRef/>
      </w:r>
      <w:r>
        <w:t xml:space="preserve"> </w:t>
      </w:r>
      <w:r>
        <w:tab/>
      </w:r>
      <w:r w:rsidRPr="00D81A0F">
        <w:t>S</w:t>
      </w:r>
      <w:r>
        <w:t>tanley</w:t>
      </w:r>
      <w:r w:rsidRPr="00D81A0F">
        <w:t xml:space="preserve"> </w:t>
      </w:r>
      <w:proofErr w:type="spellStart"/>
      <w:r w:rsidRPr="00D81A0F">
        <w:t>Milgram</w:t>
      </w:r>
      <w:proofErr w:type="spellEnd"/>
      <w:r w:rsidRPr="00D81A0F">
        <w:t xml:space="preserve">, </w:t>
      </w:r>
      <w:r w:rsidRPr="00D81A0F">
        <w:rPr>
          <w:i/>
        </w:rPr>
        <w:t>Behavioral Study of Obedience</w:t>
      </w:r>
      <w:r>
        <w:t>,</w:t>
      </w:r>
      <w:r w:rsidRPr="00D81A0F">
        <w:t xml:space="preserve"> 67 </w:t>
      </w:r>
      <w:r w:rsidRPr="00D81A0F">
        <w:rPr>
          <w:smallCaps/>
        </w:rPr>
        <w:t>J</w:t>
      </w:r>
      <w:r>
        <w:rPr>
          <w:smallCaps/>
        </w:rPr>
        <w:t>.</w:t>
      </w:r>
      <w:r w:rsidRPr="00D81A0F">
        <w:rPr>
          <w:smallCaps/>
        </w:rPr>
        <w:t xml:space="preserve"> of Abnormal &amp; Social Psychology </w:t>
      </w:r>
      <w:r w:rsidRPr="00D81A0F">
        <w:t>371</w:t>
      </w:r>
      <w:r>
        <w:t xml:space="preserve"> </w:t>
      </w:r>
      <w:r w:rsidRPr="00D81A0F">
        <w:t>(1963).</w:t>
      </w:r>
    </w:p>
  </w:footnote>
  <w:footnote w:id="63">
    <w:p w14:paraId="1451A1EC" w14:textId="77777777" w:rsidR="00055A31" w:rsidRDefault="00055A31" w:rsidP="0050262C">
      <w:pPr>
        <w:pStyle w:val="FootnoteText"/>
      </w:pPr>
      <w:r>
        <w:rPr>
          <w:rStyle w:val="FootnoteReference"/>
        </w:rPr>
        <w:footnoteRef/>
      </w:r>
      <w:r>
        <w:t xml:space="preserve"> </w:t>
      </w:r>
      <w:r>
        <w:tab/>
        <w:t>Ralph Blumenthal &amp;</w:t>
      </w:r>
      <w:r w:rsidRPr="00692514">
        <w:t xml:space="preserve"> C</w:t>
      </w:r>
      <w:r>
        <w:t>arol</w:t>
      </w:r>
      <w:r w:rsidRPr="00692514">
        <w:t xml:space="preserve"> Vogel, </w:t>
      </w:r>
      <w:r w:rsidRPr="00D80286">
        <w:rPr>
          <w:i/>
        </w:rPr>
        <w:t>Witness Says Price-Fixing for Auctions Began Earlier</w:t>
      </w:r>
      <w:r>
        <w:rPr>
          <w:rFonts w:hint="eastAsia"/>
        </w:rPr>
        <w:t>,</w:t>
      </w:r>
      <w:r w:rsidRPr="00692514">
        <w:t xml:space="preserve"> </w:t>
      </w:r>
      <w:r w:rsidRPr="00D80286">
        <w:rPr>
          <w:smallCaps/>
        </w:rPr>
        <w:t>N</w:t>
      </w:r>
      <w:r>
        <w:rPr>
          <w:smallCaps/>
        </w:rPr>
        <w:t>.</w:t>
      </w:r>
      <w:r w:rsidRPr="00D80286">
        <w:rPr>
          <w:smallCaps/>
        </w:rPr>
        <w:t>Y</w:t>
      </w:r>
      <w:r>
        <w:rPr>
          <w:smallCaps/>
        </w:rPr>
        <w:t>.</w:t>
      </w:r>
      <w:r w:rsidRPr="00D80286">
        <w:rPr>
          <w:smallCaps/>
        </w:rPr>
        <w:t xml:space="preserve"> Times</w:t>
      </w:r>
      <w:r>
        <w:t xml:space="preserve">, Nov. </w:t>
      </w:r>
      <w:r w:rsidRPr="00692514">
        <w:t>28</w:t>
      </w:r>
      <w:r>
        <w:t>,</w:t>
      </w:r>
      <w:r w:rsidRPr="00692514">
        <w:t xml:space="preserve"> 2001</w:t>
      </w:r>
      <w:r>
        <w:t xml:space="preserve">, at </w:t>
      </w:r>
      <w:r w:rsidRPr="00692514">
        <w:t>D2</w:t>
      </w:r>
      <w:r>
        <w:t xml:space="preserve">, </w:t>
      </w:r>
      <w:r w:rsidRPr="00D80286">
        <w:t>http://www.nytimes.com/2001/11/28/nyregion/witness-says-price-fixing-for-auctions-began-earlier.html</w:t>
      </w:r>
      <w:r w:rsidRPr="00692514">
        <w:t xml:space="preserve"> (testimony of a separate price fixing agreement that arose from two executives commiserating on the sad state of profitability of the business).</w:t>
      </w:r>
    </w:p>
  </w:footnote>
  <w:footnote w:id="64">
    <w:p w14:paraId="1ABDA571" w14:textId="77777777" w:rsidR="00055A31" w:rsidRDefault="00055A31" w:rsidP="0050262C">
      <w:pPr>
        <w:pStyle w:val="FootnoteText"/>
      </w:pPr>
      <w:r>
        <w:rPr>
          <w:rStyle w:val="FootnoteReference"/>
        </w:rPr>
        <w:footnoteRef/>
      </w:r>
      <w:r>
        <w:t xml:space="preserve"> </w:t>
      </w:r>
      <w:r>
        <w:tab/>
        <w:t xml:space="preserve">Paul Ingram &amp; Peter W. Roberts, </w:t>
      </w:r>
      <w:r w:rsidRPr="00D80286">
        <w:rPr>
          <w:i/>
        </w:rPr>
        <w:t>Friendships among Competitors in the Sydney Hotel Industry</w:t>
      </w:r>
      <w:r>
        <w:t xml:space="preserve">, 106 </w:t>
      </w:r>
      <w:r w:rsidRPr="00D80286">
        <w:rPr>
          <w:smallCaps/>
        </w:rPr>
        <w:t>American J</w:t>
      </w:r>
      <w:r>
        <w:rPr>
          <w:smallCaps/>
        </w:rPr>
        <w:t>.</w:t>
      </w:r>
      <w:r w:rsidRPr="00D80286">
        <w:rPr>
          <w:smallCaps/>
        </w:rPr>
        <w:t xml:space="preserve"> of Sociology </w:t>
      </w:r>
      <w:r>
        <w:t xml:space="preserve">387, </w:t>
      </w:r>
      <w:r w:rsidRPr="00D80286">
        <w:t>392</w:t>
      </w:r>
      <w:r w:rsidRPr="00D80286">
        <w:rPr>
          <w:rFonts w:hint="eastAsia"/>
        </w:rPr>
        <w:t>–</w:t>
      </w:r>
      <w:r w:rsidRPr="00D80286">
        <w:t>93</w:t>
      </w:r>
      <w:r>
        <w:t xml:space="preserve"> (2000).</w:t>
      </w:r>
    </w:p>
  </w:footnote>
  <w:footnote w:id="65">
    <w:p w14:paraId="78809732" w14:textId="37001DFD" w:rsidR="00055A31" w:rsidRDefault="00055A31" w:rsidP="0050262C">
      <w:pPr>
        <w:pStyle w:val="FootnoteText"/>
      </w:pPr>
      <w:r>
        <w:rPr>
          <w:rStyle w:val="FootnoteReference"/>
        </w:rPr>
        <w:footnoteRef/>
      </w:r>
      <w:r>
        <w:t xml:space="preserve"> </w:t>
      </w:r>
      <w:r>
        <w:tab/>
      </w:r>
      <w:r w:rsidRPr="00692514">
        <w:t>M</w:t>
      </w:r>
      <w:r>
        <w:t xml:space="preserve">argaret </w:t>
      </w:r>
      <w:r w:rsidRPr="00692514">
        <w:t>C</w:t>
      </w:r>
      <w:r>
        <w:t>.</w:t>
      </w:r>
      <w:r w:rsidRPr="00692514">
        <w:t xml:space="preserve"> </w:t>
      </w:r>
      <w:proofErr w:type="spellStart"/>
      <w:r w:rsidRPr="00692514">
        <w:t>Levenstein</w:t>
      </w:r>
      <w:proofErr w:type="spellEnd"/>
      <w:r w:rsidRPr="00692514">
        <w:t xml:space="preserve"> </w:t>
      </w:r>
      <w:r>
        <w:t xml:space="preserve">&amp; </w:t>
      </w:r>
      <w:r w:rsidRPr="00692514">
        <w:t>V</w:t>
      </w:r>
      <w:r>
        <w:t xml:space="preserve">alerie </w:t>
      </w:r>
      <w:r w:rsidRPr="00692514">
        <w:t>Y</w:t>
      </w:r>
      <w:r>
        <w:t>.</w:t>
      </w:r>
      <w:r w:rsidRPr="00692514">
        <w:t xml:space="preserve"> </w:t>
      </w:r>
      <w:proofErr w:type="spellStart"/>
      <w:r w:rsidRPr="00692514">
        <w:t>Suslow</w:t>
      </w:r>
      <w:proofErr w:type="spellEnd"/>
      <w:r w:rsidRPr="00692514">
        <w:t>,</w:t>
      </w:r>
      <w:r>
        <w:t xml:space="preserve"> </w:t>
      </w:r>
      <w:r w:rsidRPr="00D634BD">
        <w:rPr>
          <w:i/>
        </w:rPr>
        <w:t>Breaking Up Is Hard to Do: Determinants of Cartel Duration</w:t>
      </w:r>
      <w:r>
        <w:t xml:space="preserve">, 54 </w:t>
      </w:r>
      <w:r>
        <w:rPr>
          <w:smallCaps/>
        </w:rPr>
        <w:t>J. Law &amp;</w:t>
      </w:r>
      <w:r w:rsidRPr="00D634BD">
        <w:rPr>
          <w:smallCaps/>
        </w:rPr>
        <w:t xml:space="preserve"> Econ</w:t>
      </w:r>
      <w:r>
        <w:rPr>
          <w:smallCaps/>
        </w:rPr>
        <w:t>.</w:t>
      </w:r>
      <w:r>
        <w:t xml:space="preserve"> 455, 463 (2011) (of 81 international cartels found to engage in collusion since 1990, </w:t>
      </w:r>
      <w:r w:rsidRPr="00692514">
        <w:t>cartels</w:t>
      </w:r>
      <w:r w:rsidRPr="00692514">
        <w:rPr>
          <w:rFonts w:hint="eastAsia"/>
        </w:rPr>
        <w:t>’</w:t>
      </w:r>
      <w:r w:rsidRPr="00692514">
        <w:t xml:space="preserve"> median and mean duration was </w:t>
      </w:r>
      <w:r>
        <w:t xml:space="preserve">7 </w:t>
      </w:r>
      <w:r w:rsidRPr="00692514">
        <w:t>and 8</w:t>
      </w:r>
      <w:r>
        <w:t>.1 years</w:t>
      </w:r>
      <w:r w:rsidRPr="00692514">
        <w:t>, respectively</w:t>
      </w:r>
      <w:r>
        <w:t xml:space="preserve">); </w:t>
      </w:r>
      <w:r w:rsidRPr="00692514">
        <w:t>J</w:t>
      </w:r>
      <w:r>
        <w:t xml:space="preserve">ohn </w:t>
      </w:r>
      <w:r w:rsidRPr="00692514">
        <w:t>M</w:t>
      </w:r>
      <w:r>
        <w:t>.</w:t>
      </w:r>
      <w:r w:rsidRPr="00692514">
        <w:t xml:space="preserve"> Connor, </w:t>
      </w:r>
      <w:r w:rsidRPr="00D634BD">
        <w:rPr>
          <w:i/>
        </w:rPr>
        <w:t>Cartels and Antitrust Portrayed: Internal Structure</w:t>
      </w:r>
      <w:r w:rsidRPr="00D634BD">
        <w:rPr>
          <w:rFonts w:hint="eastAsia"/>
          <w:i/>
        </w:rPr>
        <w:t>—</w:t>
      </w:r>
      <w:r w:rsidRPr="00D634BD">
        <w:rPr>
          <w:i/>
        </w:rPr>
        <w:t>Private International Cartels 1990</w:t>
      </w:r>
      <w:r w:rsidRPr="00D634BD">
        <w:rPr>
          <w:rFonts w:hint="eastAsia"/>
          <w:i/>
        </w:rPr>
        <w:t>–</w:t>
      </w:r>
      <w:r w:rsidRPr="00D634BD">
        <w:rPr>
          <w:i/>
        </w:rPr>
        <w:t>2008</w:t>
      </w:r>
      <w:r w:rsidRPr="00692514">
        <w:t xml:space="preserve"> 4, 8 (3 Apr</w:t>
      </w:r>
      <w:r>
        <w:t>.</w:t>
      </w:r>
      <w:r w:rsidRPr="00692514">
        <w:t xml:space="preserve"> 2009)</w:t>
      </w:r>
      <w:r>
        <w:t>,</w:t>
      </w:r>
      <w:r w:rsidRPr="00692514">
        <w:t xml:space="preserve"> ssrn.com/abstract=1372849 (finding cartels</w:t>
      </w:r>
      <w:r w:rsidRPr="00692514">
        <w:rPr>
          <w:rFonts w:hint="eastAsia"/>
        </w:rPr>
        <w:t>’</w:t>
      </w:r>
      <w:r w:rsidRPr="00692514">
        <w:t xml:space="preserve"> median and mean duration was 57 and 82 months, respectively, and that global cartels lasted 57% longer than the average cartel); M</w:t>
      </w:r>
      <w:r>
        <w:t xml:space="preserve">argaret </w:t>
      </w:r>
      <w:r w:rsidRPr="00692514">
        <w:t>C</w:t>
      </w:r>
      <w:r>
        <w:t>.</w:t>
      </w:r>
      <w:r w:rsidRPr="00692514">
        <w:t xml:space="preserve"> </w:t>
      </w:r>
      <w:proofErr w:type="spellStart"/>
      <w:r w:rsidRPr="00692514">
        <w:t>Levenstein</w:t>
      </w:r>
      <w:proofErr w:type="spellEnd"/>
      <w:r w:rsidRPr="00692514">
        <w:t xml:space="preserve"> </w:t>
      </w:r>
      <w:r>
        <w:t xml:space="preserve">&amp; </w:t>
      </w:r>
      <w:r w:rsidRPr="00692514">
        <w:t>V</w:t>
      </w:r>
      <w:r>
        <w:t xml:space="preserve">alerie </w:t>
      </w:r>
      <w:r w:rsidRPr="00692514">
        <w:t>Y</w:t>
      </w:r>
      <w:r>
        <w:t>.</w:t>
      </w:r>
      <w:r w:rsidRPr="00692514">
        <w:t xml:space="preserve"> </w:t>
      </w:r>
      <w:proofErr w:type="spellStart"/>
      <w:r w:rsidRPr="00692514">
        <w:t>Suslow</w:t>
      </w:r>
      <w:proofErr w:type="spellEnd"/>
      <w:r w:rsidRPr="00692514">
        <w:t xml:space="preserve">, </w:t>
      </w:r>
      <w:r w:rsidRPr="00D634BD">
        <w:rPr>
          <w:i/>
        </w:rPr>
        <w:t>What Determines Cartel Success?</w:t>
      </w:r>
      <w:r>
        <w:t>,</w:t>
      </w:r>
      <w:r w:rsidRPr="00692514">
        <w:t xml:space="preserve"> 44 </w:t>
      </w:r>
      <w:r w:rsidRPr="00D634BD">
        <w:rPr>
          <w:smallCaps/>
        </w:rPr>
        <w:t>J</w:t>
      </w:r>
      <w:r>
        <w:rPr>
          <w:smallCaps/>
        </w:rPr>
        <w:t>.</w:t>
      </w:r>
      <w:r w:rsidRPr="00D634BD">
        <w:rPr>
          <w:smallCaps/>
        </w:rPr>
        <w:t xml:space="preserve"> of Econ</w:t>
      </w:r>
      <w:r>
        <w:rPr>
          <w:smallCaps/>
        </w:rPr>
        <w:t>.</w:t>
      </w:r>
      <w:r w:rsidRPr="00D634BD">
        <w:rPr>
          <w:smallCaps/>
        </w:rPr>
        <w:t xml:space="preserve"> </w:t>
      </w:r>
      <w:proofErr w:type="gramStart"/>
      <w:r w:rsidRPr="00D634BD">
        <w:rPr>
          <w:smallCaps/>
        </w:rPr>
        <w:t>Literature</w:t>
      </w:r>
      <w:r w:rsidRPr="00692514">
        <w:t xml:space="preserve"> 43, 51</w:t>
      </w:r>
      <w:r w:rsidRPr="00692514">
        <w:rPr>
          <w:rFonts w:hint="eastAsia"/>
        </w:rPr>
        <w:t>–</w:t>
      </w:r>
      <w:r>
        <w:t xml:space="preserve">52 </w:t>
      </w:r>
      <w:r w:rsidRPr="00692514">
        <w:t>(2006)</w:t>
      </w:r>
      <w:r>
        <w:t xml:space="preserve"> (noting that dura</w:t>
      </w:r>
      <w:r w:rsidRPr="00692514">
        <w:t>tion is bimodal, with cartels lasting only one year, and twice as many lasting between four and six years).</w:t>
      </w:r>
      <w:proofErr w:type="gramEnd"/>
    </w:p>
  </w:footnote>
  <w:footnote w:id="66">
    <w:p w14:paraId="78354D60" w14:textId="77777777" w:rsidR="00055A31" w:rsidRDefault="00055A31" w:rsidP="0050262C">
      <w:pPr>
        <w:pStyle w:val="FootnoteText"/>
      </w:pPr>
      <w:r>
        <w:rPr>
          <w:rStyle w:val="FootnoteReference"/>
        </w:rPr>
        <w:footnoteRef/>
      </w:r>
      <w:r>
        <w:t xml:space="preserve"> </w:t>
      </w:r>
      <w:r>
        <w:tab/>
      </w:r>
      <w:r w:rsidRPr="0091143C">
        <w:t xml:space="preserve">Connor, </w:t>
      </w:r>
      <w:r w:rsidRPr="00586B34">
        <w:rPr>
          <w:i/>
        </w:rPr>
        <w:t>Cartels</w:t>
      </w:r>
      <w:r w:rsidRPr="0091143C">
        <w:t xml:space="preserve">, </w:t>
      </w:r>
      <w:r w:rsidRPr="00D634BD">
        <w:rPr>
          <w:i/>
          <w:color w:val="000000"/>
          <w:szCs w:val="24"/>
        </w:rPr>
        <w:t>supra</w:t>
      </w:r>
      <w:r>
        <w:t xml:space="preserve"> note </w:t>
      </w:r>
      <w:r>
        <w:fldChar w:fldCharType="begin"/>
      </w:r>
      <w:r>
        <w:instrText xml:space="preserve"> NOTEREF _Ref199566709 \h </w:instrText>
      </w:r>
      <w:r>
        <w:fldChar w:fldCharType="separate"/>
      </w:r>
      <w:r>
        <w:t>56</w:t>
      </w:r>
      <w:r>
        <w:fldChar w:fldCharType="end"/>
      </w:r>
      <w:r w:rsidRPr="0091143C">
        <w:t xml:space="preserve">, </w:t>
      </w:r>
      <w:r>
        <w:t xml:space="preserve">at </w:t>
      </w:r>
      <w:r w:rsidRPr="0091143C">
        <w:t>11</w:t>
      </w:r>
      <w:r>
        <w:t>.</w:t>
      </w:r>
    </w:p>
  </w:footnote>
  <w:footnote w:id="67">
    <w:p w14:paraId="2FE65197" w14:textId="77777777" w:rsidR="00055A31" w:rsidRDefault="00055A31" w:rsidP="0050262C">
      <w:pPr>
        <w:pStyle w:val="FootnoteText"/>
      </w:pPr>
      <w:r>
        <w:rPr>
          <w:rStyle w:val="FootnoteReference"/>
        </w:rPr>
        <w:footnoteRef/>
      </w:r>
      <w:r>
        <w:t xml:space="preserve"> </w:t>
      </w:r>
      <w:r>
        <w:tab/>
        <w:t>T</w:t>
      </w:r>
      <w:r w:rsidRPr="00D634BD">
        <w:t xml:space="preserve">errance R. </w:t>
      </w:r>
      <w:proofErr w:type="spellStart"/>
      <w:r w:rsidRPr="0091143C">
        <w:t>Chorvat</w:t>
      </w:r>
      <w:proofErr w:type="spellEnd"/>
      <w:r>
        <w:t xml:space="preserve"> et al.</w:t>
      </w:r>
      <w:r w:rsidRPr="0091143C">
        <w:t xml:space="preserve">, </w:t>
      </w:r>
      <w:r w:rsidRPr="00D634BD">
        <w:rPr>
          <w:i/>
        </w:rPr>
        <w:t xml:space="preserve">Law and </w:t>
      </w:r>
      <w:proofErr w:type="spellStart"/>
      <w:r w:rsidRPr="00D634BD">
        <w:rPr>
          <w:i/>
        </w:rPr>
        <w:t>Neuroeconomics</w:t>
      </w:r>
      <w:proofErr w:type="spellEnd"/>
      <w:r>
        <w:t>,</w:t>
      </w:r>
      <w:r w:rsidRPr="0091143C">
        <w:t xml:space="preserve"> 13 </w:t>
      </w:r>
      <w:r w:rsidRPr="00586B34">
        <w:rPr>
          <w:smallCaps/>
        </w:rPr>
        <w:t>Supreme Court Econ</w:t>
      </w:r>
      <w:r>
        <w:rPr>
          <w:smallCaps/>
        </w:rPr>
        <w:t>.</w:t>
      </w:r>
      <w:r w:rsidRPr="00586B34">
        <w:rPr>
          <w:smallCaps/>
        </w:rPr>
        <w:t xml:space="preserve"> Rev</w:t>
      </w:r>
      <w:r>
        <w:rPr>
          <w:smallCaps/>
        </w:rPr>
        <w:t>.</w:t>
      </w:r>
      <w:r w:rsidRPr="0091143C">
        <w:t xml:space="preserve"> 35, 43</w:t>
      </w:r>
      <w:r>
        <w:t xml:space="preserve"> </w:t>
      </w:r>
      <w:r w:rsidRPr="0091143C">
        <w:t>(2005); C</w:t>
      </w:r>
      <w:r>
        <w:t xml:space="preserve">olin </w:t>
      </w:r>
      <w:r w:rsidRPr="0091143C">
        <w:t>F</w:t>
      </w:r>
      <w:r>
        <w:t>.</w:t>
      </w:r>
      <w:r w:rsidRPr="0091143C">
        <w:t xml:space="preserve"> </w:t>
      </w:r>
      <w:proofErr w:type="spellStart"/>
      <w:r w:rsidRPr="0091143C">
        <w:t>Camerer</w:t>
      </w:r>
      <w:proofErr w:type="spellEnd"/>
      <w:r w:rsidRPr="0091143C">
        <w:t xml:space="preserve">, </w:t>
      </w:r>
      <w:r w:rsidRPr="00897A32">
        <w:rPr>
          <w:i/>
        </w:rPr>
        <w:t>Behavioral Game Theory: Predicting Human Behavior in Strategic Situations</w:t>
      </w:r>
      <w:r>
        <w:rPr>
          <w:rFonts w:hint="eastAsia"/>
        </w:rPr>
        <w:t>,</w:t>
      </w:r>
      <w:r w:rsidRPr="0091143C">
        <w:t xml:space="preserve"> </w:t>
      </w:r>
      <w:r w:rsidRPr="00897A32">
        <w:rPr>
          <w:i/>
        </w:rPr>
        <w:t>in</w:t>
      </w:r>
      <w:r w:rsidRPr="0091143C">
        <w:t xml:space="preserve"> </w:t>
      </w:r>
      <w:r w:rsidRPr="00267DD4">
        <w:rPr>
          <w:smallCaps/>
        </w:rPr>
        <w:t>Advances in Behavioral Economics</w:t>
      </w:r>
      <w:r>
        <w:rPr>
          <w:smallCaps/>
        </w:rPr>
        <w:t xml:space="preserve">, </w:t>
      </w:r>
      <w:r w:rsidRPr="004B4DAF">
        <w:rPr>
          <w:i/>
          <w:color w:val="000000"/>
          <w:szCs w:val="24"/>
        </w:rPr>
        <w:t>supra</w:t>
      </w:r>
      <w:r w:rsidRPr="004B4DAF">
        <w:t xml:space="preserve"> </w:t>
      </w:r>
      <w:r>
        <w:t xml:space="preserve">note </w:t>
      </w:r>
      <w:r>
        <w:fldChar w:fldCharType="begin"/>
      </w:r>
      <w:r>
        <w:instrText xml:space="preserve"> NOTEREF _Ref199575785 \h </w:instrText>
      </w:r>
      <w:r>
        <w:fldChar w:fldCharType="separate"/>
      </w:r>
      <w:r>
        <w:t>41</w:t>
      </w:r>
      <w:r>
        <w:fldChar w:fldCharType="end"/>
      </w:r>
      <w:r>
        <w:t xml:space="preserve">, at </w:t>
      </w:r>
      <w:r w:rsidRPr="0091143C">
        <w:t>374, 378</w:t>
      </w:r>
      <w:r>
        <w:t xml:space="preserve"> (summariz</w:t>
      </w:r>
      <w:r w:rsidRPr="0091143C">
        <w:t xml:space="preserve">ing trust games). </w:t>
      </w:r>
      <w:r>
        <w:t xml:space="preserve"> </w:t>
      </w:r>
      <w:r w:rsidRPr="0091143C">
        <w:t xml:space="preserve">Other </w:t>
      </w:r>
      <w:proofErr w:type="spellStart"/>
      <w:r w:rsidRPr="0091143C">
        <w:t>neuroeconomics</w:t>
      </w:r>
      <w:proofErr w:type="spellEnd"/>
      <w:r w:rsidRPr="0091143C">
        <w:t xml:space="preserve"> literature suggests that some people are more likely to be trustful and tend to co-operate, while others are more likely to behave according to the s</w:t>
      </w:r>
      <w:r>
        <w:t>tandard game theory predictions.</w:t>
      </w:r>
      <w:r w:rsidRPr="0091143C">
        <w:t xml:space="preserve"> </w:t>
      </w:r>
      <w:proofErr w:type="spellStart"/>
      <w:proofErr w:type="gramStart"/>
      <w:r w:rsidRPr="0091143C">
        <w:t>Chorvat</w:t>
      </w:r>
      <w:proofErr w:type="spellEnd"/>
      <w:r w:rsidRPr="0091143C">
        <w:t xml:space="preserve"> </w:t>
      </w:r>
      <w:r>
        <w:t xml:space="preserve">et al. </w:t>
      </w:r>
      <w:r w:rsidRPr="0091143C">
        <w:t>at 55</w:t>
      </w:r>
      <w:r>
        <w:t>.</w:t>
      </w:r>
      <w:proofErr w:type="gramEnd"/>
    </w:p>
  </w:footnote>
  <w:footnote w:id="68">
    <w:p w14:paraId="31D4CF1F" w14:textId="77777777" w:rsidR="00055A31" w:rsidRDefault="00055A31" w:rsidP="0050262C">
      <w:pPr>
        <w:pStyle w:val="FootnoteText"/>
      </w:pPr>
      <w:r>
        <w:rPr>
          <w:rStyle w:val="FootnoteReference"/>
        </w:rPr>
        <w:footnoteRef/>
      </w:r>
      <w:r>
        <w:t xml:space="preserve"> </w:t>
      </w:r>
      <w:r>
        <w:tab/>
      </w:r>
      <w:proofErr w:type="spellStart"/>
      <w:r w:rsidRPr="0091143C">
        <w:t>Levenstein</w:t>
      </w:r>
      <w:proofErr w:type="spellEnd"/>
      <w:r w:rsidRPr="0091143C">
        <w:t xml:space="preserve"> </w:t>
      </w:r>
      <w:r>
        <w:t xml:space="preserve">&amp; </w:t>
      </w:r>
      <w:proofErr w:type="spellStart"/>
      <w:r w:rsidRPr="0091143C">
        <w:t>Suslow</w:t>
      </w:r>
      <w:proofErr w:type="spellEnd"/>
      <w:r w:rsidRPr="0091143C">
        <w:t xml:space="preserve">, </w:t>
      </w:r>
      <w:r w:rsidRPr="00897A32">
        <w:rPr>
          <w:i/>
        </w:rPr>
        <w:t>Breaking Up</w:t>
      </w:r>
      <w:r w:rsidRPr="0091143C">
        <w:t xml:space="preserve">, </w:t>
      </w:r>
      <w:r>
        <w:rPr>
          <w:i/>
          <w:color w:val="000000"/>
          <w:szCs w:val="24"/>
        </w:rPr>
        <w:t>supra</w:t>
      </w:r>
      <w:r>
        <w:t xml:space="preserve"> note </w:t>
      </w:r>
      <w:r>
        <w:fldChar w:fldCharType="begin"/>
      </w:r>
      <w:r>
        <w:instrText xml:space="preserve"> NOTEREF _Ref199566709 \h </w:instrText>
      </w:r>
      <w:r>
        <w:fldChar w:fldCharType="separate"/>
      </w:r>
      <w:r>
        <w:t>56</w:t>
      </w:r>
      <w:r>
        <w:fldChar w:fldCharType="end"/>
      </w:r>
      <w:r w:rsidRPr="0091143C">
        <w:t xml:space="preserve">, </w:t>
      </w:r>
      <w:r>
        <w:t>at 476</w:t>
      </w:r>
      <w:r w:rsidRPr="0091143C">
        <w:t>; J</w:t>
      </w:r>
      <w:r>
        <w:t xml:space="preserve">oseph </w:t>
      </w:r>
      <w:r w:rsidRPr="0091143C">
        <w:t>E</w:t>
      </w:r>
      <w:r>
        <w:t>.</w:t>
      </w:r>
      <w:r w:rsidRPr="0091143C">
        <w:t xml:space="preserve"> Harrington</w:t>
      </w:r>
      <w:r>
        <w:t xml:space="preserve"> Jr.</w:t>
      </w:r>
      <w:r w:rsidRPr="0091143C">
        <w:t xml:space="preserve">, </w:t>
      </w:r>
      <w:r w:rsidRPr="00897A32">
        <w:rPr>
          <w:i/>
        </w:rPr>
        <w:t>How Do Cartels Operate</w:t>
      </w:r>
      <w:proofErr w:type="gramStart"/>
      <w:r w:rsidRPr="00897A32">
        <w:rPr>
          <w:i/>
        </w:rPr>
        <w:t>?</w:t>
      </w:r>
      <w:r>
        <w:t>,</w:t>
      </w:r>
      <w:proofErr w:type="gramEnd"/>
      <w:r w:rsidRPr="0091143C">
        <w:t xml:space="preserve"> 2 </w:t>
      </w:r>
      <w:r w:rsidRPr="00897A32">
        <w:rPr>
          <w:smallCaps/>
        </w:rPr>
        <w:t>Foundations and Trends in Microeconomics</w:t>
      </w:r>
      <w:r w:rsidRPr="0091143C">
        <w:t xml:space="preserve"> 1, 57</w:t>
      </w:r>
      <w:r w:rsidRPr="0091143C">
        <w:rPr>
          <w:rFonts w:hint="eastAsia"/>
        </w:rPr>
        <w:t>–</w:t>
      </w:r>
      <w:r w:rsidRPr="0091143C">
        <w:t>62</w:t>
      </w:r>
      <w:r>
        <w:t xml:space="preserve"> </w:t>
      </w:r>
      <w:r w:rsidRPr="0091143C">
        <w:t>(2006)</w:t>
      </w:r>
      <w:r>
        <w:t>.</w:t>
      </w:r>
    </w:p>
  </w:footnote>
  <w:footnote w:id="69">
    <w:p w14:paraId="4C1A93C1" w14:textId="77777777" w:rsidR="00055A31" w:rsidRDefault="00055A31" w:rsidP="0050262C">
      <w:pPr>
        <w:pStyle w:val="FootnoteText"/>
      </w:pPr>
      <w:r>
        <w:rPr>
          <w:rStyle w:val="FootnoteReference"/>
        </w:rPr>
        <w:footnoteRef/>
      </w:r>
      <w:r>
        <w:t xml:space="preserve"> </w:t>
      </w:r>
      <w:r>
        <w:tab/>
      </w:r>
      <w:proofErr w:type="spellStart"/>
      <w:r>
        <w:t>Levenstein</w:t>
      </w:r>
      <w:proofErr w:type="spellEnd"/>
      <w:r>
        <w:t xml:space="preserve"> &amp; </w:t>
      </w:r>
      <w:proofErr w:type="spellStart"/>
      <w:r w:rsidRPr="0091143C">
        <w:t>Suslow</w:t>
      </w:r>
      <w:proofErr w:type="spellEnd"/>
      <w:r w:rsidRPr="0091143C">
        <w:t xml:space="preserve">, </w:t>
      </w:r>
      <w:r w:rsidRPr="003F4002">
        <w:rPr>
          <w:i/>
        </w:rPr>
        <w:t>Breaking Up</w:t>
      </w:r>
      <w:r w:rsidRPr="0091143C">
        <w:t xml:space="preserve">, </w:t>
      </w:r>
      <w:r w:rsidRPr="003F4002">
        <w:rPr>
          <w:i/>
          <w:color w:val="000000"/>
          <w:szCs w:val="24"/>
        </w:rPr>
        <w:t>supra</w:t>
      </w:r>
      <w:r>
        <w:rPr>
          <w:i/>
          <w:color w:val="000000"/>
          <w:szCs w:val="24"/>
        </w:rPr>
        <w:t xml:space="preserve"> </w:t>
      </w:r>
      <w:r>
        <w:rPr>
          <w:color w:val="000000"/>
          <w:szCs w:val="24"/>
        </w:rPr>
        <w:t xml:space="preserve">note </w:t>
      </w:r>
      <w:r>
        <w:fldChar w:fldCharType="begin"/>
      </w:r>
      <w:r>
        <w:instrText xml:space="preserve"> NOTEREF _Ref199566709 \h </w:instrText>
      </w:r>
      <w:r>
        <w:fldChar w:fldCharType="separate"/>
      </w:r>
      <w:r>
        <w:t>56</w:t>
      </w:r>
      <w:r>
        <w:fldChar w:fldCharType="end"/>
      </w:r>
      <w:r w:rsidRPr="0091143C">
        <w:t xml:space="preserve">, </w:t>
      </w:r>
      <w:r>
        <w:t>at 482</w:t>
      </w:r>
      <w:r w:rsidRPr="0091143C">
        <w:t>.</w:t>
      </w:r>
    </w:p>
  </w:footnote>
  <w:footnote w:id="70">
    <w:p w14:paraId="3A480F92" w14:textId="7DF2A825" w:rsidR="00055A31" w:rsidRDefault="00055A31" w:rsidP="0050262C">
      <w:pPr>
        <w:pStyle w:val="FootnoteText"/>
      </w:pPr>
      <w:r>
        <w:rPr>
          <w:rStyle w:val="FootnoteReference"/>
        </w:rPr>
        <w:footnoteRef/>
      </w:r>
      <w:r>
        <w:t xml:space="preserve"> </w:t>
      </w:r>
      <w:r>
        <w:tab/>
        <w:t xml:space="preserve">I discuss in greater detail the implications of behavioral economics on a theory of competition in </w:t>
      </w:r>
      <w:r w:rsidRPr="00804A64">
        <w:rPr>
          <w:i/>
        </w:rPr>
        <w:t>What is Competition</w:t>
      </w:r>
      <w:proofErr w:type="gramStart"/>
      <w:r w:rsidRPr="00804A64">
        <w:rPr>
          <w:i/>
        </w:rPr>
        <w:t>?</w:t>
      </w:r>
      <w:r w:rsidRPr="00804A64">
        <w:t>,</w:t>
      </w:r>
      <w:proofErr w:type="gramEnd"/>
      <w:r w:rsidRPr="00804A64">
        <w:t xml:space="preserve"> </w:t>
      </w:r>
      <w:r w:rsidRPr="00804A64">
        <w:rPr>
          <w:i/>
        </w:rPr>
        <w:t>in</w:t>
      </w:r>
      <w:r w:rsidRPr="00804A64">
        <w:t xml:space="preserve"> </w:t>
      </w:r>
      <w:r w:rsidRPr="00804A64">
        <w:rPr>
          <w:smallCaps/>
        </w:rPr>
        <w:t xml:space="preserve">The Goals Of Competition Law </w:t>
      </w:r>
      <w:r w:rsidRPr="00804A64">
        <w:t>(Daniel Zimmer ed., 2012)</w:t>
      </w:r>
      <w:r>
        <w:t xml:space="preserve">; </w:t>
      </w:r>
      <w:r w:rsidRPr="00804A64">
        <w:rPr>
          <w:rFonts w:cs="Baskerville"/>
          <w:i/>
        </w:rPr>
        <w:t>Behavioral Exploitation and its Implications on Competition and Consumer Protection Policies</w:t>
      </w:r>
      <w:r w:rsidRPr="00804A64">
        <w:rPr>
          <w:rFonts w:cs="Baskerville"/>
        </w:rPr>
        <w:t xml:space="preserve">, </w:t>
      </w:r>
      <w:r w:rsidRPr="00804A64">
        <w:rPr>
          <w:rFonts w:cs="Baskerville"/>
          <w:i/>
        </w:rPr>
        <w:t>in</w:t>
      </w:r>
      <w:r w:rsidRPr="00804A64">
        <w:rPr>
          <w:rFonts w:cs="Baskerville"/>
        </w:rPr>
        <w:t xml:space="preserve"> </w:t>
      </w:r>
      <w:r w:rsidRPr="00804A64">
        <w:rPr>
          <w:rFonts w:cs="Baskerville"/>
          <w:smallCaps/>
        </w:rPr>
        <w:t>The Pros &amp; Cons of Consumer Protection (</w:t>
      </w:r>
      <w:r w:rsidRPr="00804A64">
        <w:rPr>
          <w:rFonts w:cs="Baskerville"/>
        </w:rPr>
        <w:t>Swedish Competition Authority ed., 2012)</w:t>
      </w:r>
      <w:r>
        <w:rPr>
          <w:rFonts w:cs="Baskerville"/>
        </w:rPr>
        <w:t xml:space="preserve">; </w:t>
      </w:r>
      <w:r w:rsidRPr="00F27112">
        <w:rPr>
          <w:rFonts w:cs="Baskerville"/>
          <w:i/>
        </w:rPr>
        <w:t>Reconsidering Competition</w:t>
      </w:r>
      <w:r w:rsidRPr="00F27112">
        <w:rPr>
          <w:rFonts w:cs="Baskerville"/>
        </w:rPr>
        <w:t xml:space="preserve">, 81 </w:t>
      </w:r>
      <w:r w:rsidRPr="00F27112">
        <w:rPr>
          <w:rFonts w:cs="Baskerville"/>
          <w:smallCaps/>
        </w:rPr>
        <w:t>Mississippi L</w:t>
      </w:r>
      <w:r>
        <w:rPr>
          <w:rFonts w:cs="Baskerville"/>
          <w:smallCaps/>
        </w:rPr>
        <w:t>.</w:t>
      </w:r>
      <w:r w:rsidRPr="00F27112">
        <w:rPr>
          <w:rFonts w:cs="Baskerville"/>
          <w:smallCaps/>
        </w:rPr>
        <w:t>J</w:t>
      </w:r>
      <w:r>
        <w:rPr>
          <w:rFonts w:cs="Baskerville"/>
          <w:smallCaps/>
        </w:rPr>
        <w:t>.</w:t>
      </w:r>
      <w:r w:rsidRPr="00F27112">
        <w:rPr>
          <w:rFonts w:cs="Baskerville"/>
        </w:rPr>
        <w:t xml:space="preserve"> 107 (2011)</w:t>
      </w:r>
      <w:r w:rsidRPr="00804A64">
        <w:t>.</w:t>
      </w:r>
    </w:p>
  </w:footnote>
  <w:footnote w:id="71">
    <w:p w14:paraId="798A23FC" w14:textId="77777777" w:rsidR="00055A31" w:rsidRPr="002502F9" w:rsidRDefault="00055A31" w:rsidP="0050262C">
      <w:pPr>
        <w:pStyle w:val="FootnoteText"/>
      </w:pPr>
      <w:r w:rsidRPr="002502F9">
        <w:rPr>
          <w:rStyle w:val="FootnoteReference"/>
        </w:rPr>
        <w:footnoteRef/>
      </w:r>
      <w:r w:rsidRPr="002502F9">
        <w:t xml:space="preserve"> </w:t>
      </w:r>
      <w:r>
        <w:tab/>
      </w:r>
      <w:r w:rsidRPr="002502F9">
        <w:t>European Commission Guidelines on the assessment of non-horizontal mergers under the Council Regulation on the control of concentrations between undertakings (2008/C 265/07); Northern Pacific Railway Co v</w:t>
      </w:r>
      <w:r>
        <w:t>.</w:t>
      </w:r>
      <w:r w:rsidRPr="002502F9">
        <w:t xml:space="preserve"> U</w:t>
      </w:r>
      <w:r>
        <w:t xml:space="preserve">nited </w:t>
      </w:r>
      <w:r w:rsidRPr="002502F9">
        <w:t>S</w:t>
      </w:r>
      <w:r>
        <w:t>tates</w:t>
      </w:r>
      <w:r w:rsidRPr="002502F9">
        <w:t>, 356 U</w:t>
      </w:r>
      <w:r>
        <w:t>.</w:t>
      </w:r>
      <w:r w:rsidRPr="002502F9">
        <w:t>S</w:t>
      </w:r>
      <w:r>
        <w:t>.</w:t>
      </w:r>
      <w:r w:rsidRPr="002502F9">
        <w:t xml:space="preserve"> 1, 4 (1958) (“unrestrained interaction of competitive forces will yield the best allocation of our economic resources, the lowest prices, the highest quality, and the greatest material progress”); U</w:t>
      </w:r>
      <w:r>
        <w:t>.</w:t>
      </w:r>
      <w:r w:rsidRPr="002502F9">
        <w:t>S</w:t>
      </w:r>
      <w:r>
        <w:t>.</w:t>
      </w:r>
      <w:r w:rsidRPr="002502F9">
        <w:t xml:space="preserve"> Dep’t of Justice, Antitrust Enforcement and the Consumer, http://wwwjusticegov/atr/public/div_stats/211491htm; Fed</w:t>
      </w:r>
      <w:r>
        <w:t>.</w:t>
      </w:r>
      <w:r w:rsidRPr="002502F9">
        <w:t xml:space="preserve"> Trade </w:t>
      </w:r>
      <w:proofErr w:type="spellStart"/>
      <w:r w:rsidRPr="002502F9">
        <w:t>Comm’n</w:t>
      </w:r>
      <w:proofErr w:type="spellEnd"/>
      <w:r w:rsidRPr="002502F9">
        <w:t>, Competition Counts: How Consumers Win When Businesses Compete, http://wwwftcgov/bc/edu/pubs/consumer/general/zgen01pdf.</w:t>
      </w:r>
    </w:p>
  </w:footnote>
  <w:footnote w:id="72">
    <w:p w14:paraId="4393737B" w14:textId="77777777" w:rsidR="00055A31" w:rsidRPr="002502F9" w:rsidRDefault="00055A31" w:rsidP="0050262C">
      <w:pPr>
        <w:pStyle w:val="FootnoteText"/>
      </w:pPr>
      <w:r w:rsidRPr="002502F9">
        <w:rPr>
          <w:rStyle w:val="FootnoteReference"/>
        </w:rPr>
        <w:footnoteRef/>
      </w:r>
      <w:r w:rsidRPr="002502F9">
        <w:t xml:space="preserve"> </w:t>
      </w:r>
      <w:r>
        <w:tab/>
      </w:r>
      <w:r w:rsidRPr="002502F9">
        <w:t>Pac</w:t>
      </w:r>
      <w:r>
        <w:t>.</w:t>
      </w:r>
      <w:r w:rsidRPr="002502F9">
        <w:t xml:space="preserve"> Bell Tel</w:t>
      </w:r>
      <w:r>
        <w:t>.</w:t>
      </w:r>
      <w:r w:rsidRPr="002502F9">
        <w:t xml:space="preserve"> Co</w:t>
      </w:r>
      <w:r>
        <w:t>.</w:t>
      </w:r>
      <w:r w:rsidRPr="002502F9">
        <w:t xml:space="preserve"> v</w:t>
      </w:r>
      <w:r>
        <w:t>.</w:t>
      </w:r>
      <w:r w:rsidRPr="002502F9">
        <w:t xml:space="preserve"> </w:t>
      </w:r>
      <w:proofErr w:type="spellStart"/>
      <w:r w:rsidRPr="002502F9">
        <w:t>linkLine</w:t>
      </w:r>
      <w:proofErr w:type="spellEnd"/>
      <w:r w:rsidRPr="002502F9">
        <w:t xml:space="preserve"> </w:t>
      </w:r>
      <w:proofErr w:type="spellStart"/>
      <w:r w:rsidRPr="002502F9">
        <w:t>Communc’ns</w:t>
      </w:r>
      <w:proofErr w:type="spellEnd"/>
      <w:r w:rsidRPr="002502F9">
        <w:t>, Inc</w:t>
      </w:r>
      <w:r>
        <w:t>.</w:t>
      </w:r>
      <w:r w:rsidRPr="002502F9">
        <w:t>, 555 U</w:t>
      </w:r>
      <w:r>
        <w:t>.</w:t>
      </w:r>
      <w:r w:rsidRPr="002502F9">
        <w:t>S</w:t>
      </w:r>
      <w:r>
        <w:t>.</w:t>
      </w:r>
      <w:r w:rsidRPr="002502F9">
        <w:t xml:space="preserve"> 438, </w:t>
      </w:r>
      <w:r>
        <w:t>451</w:t>
      </w:r>
      <w:r w:rsidRPr="002502F9">
        <w:t xml:space="preserve"> (2009) (“Low prices benefit consumers regardless of how those prices are set, and so long as they are above predatory levels, they do not threaten competition”) (quotation omitted); Nat’l Collegiate Athletic </w:t>
      </w:r>
      <w:proofErr w:type="spellStart"/>
      <w:r w:rsidRPr="002502F9">
        <w:t>Ass’n</w:t>
      </w:r>
      <w:proofErr w:type="spellEnd"/>
      <w:r w:rsidRPr="002502F9">
        <w:t xml:space="preserve"> v</w:t>
      </w:r>
      <w:r>
        <w:t>.</w:t>
      </w:r>
      <w:r w:rsidRPr="002502F9">
        <w:t xml:space="preserve"> Bd</w:t>
      </w:r>
      <w:r>
        <w:t>.</w:t>
      </w:r>
      <w:r w:rsidRPr="002502F9">
        <w:t xml:space="preserve"> of Regents of Univ</w:t>
      </w:r>
      <w:r>
        <w:t>.</w:t>
      </w:r>
      <w:r w:rsidRPr="002502F9">
        <w:t xml:space="preserve"> of Okla</w:t>
      </w:r>
      <w:r>
        <w:t>.</w:t>
      </w:r>
      <w:r w:rsidRPr="002502F9">
        <w:t>, 468 U</w:t>
      </w:r>
      <w:r>
        <w:t>.</w:t>
      </w:r>
      <w:r w:rsidRPr="002502F9">
        <w:t>S</w:t>
      </w:r>
      <w:r>
        <w:t>.</w:t>
      </w:r>
      <w:r w:rsidRPr="002502F9">
        <w:t xml:space="preserve"> 85, 107-08 (1984) (restraint “that has the effect of reducing the importance of consumer preference in setting price and output is not consistent with this fundamental goal of antitrust law” and restrictions on “price and output are the paradigmatic examples of restraints of trade that the Sherman Act was intended to prohibit”).</w:t>
      </w:r>
    </w:p>
  </w:footnote>
  <w:footnote w:id="73">
    <w:p w14:paraId="0AC2161F" w14:textId="77777777" w:rsidR="00055A31" w:rsidRPr="002502F9" w:rsidRDefault="00055A31" w:rsidP="0050262C">
      <w:pPr>
        <w:pStyle w:val="FootnoteText"/>
      </w:pPr>
      <w:r w:rsidRPr="002502F9">
        <w:rPr>
          <w:rStyle w:val="FootnoteReference"/>
        </w:rPr>
        <w:footnoteRef/>
      </w:r>
      <w:r w:rsidRPr="002502F9">
        <w:t xml:space="preserve"> </w:t>
      </w:r>
      <w:r>
        <w:tab/>
      </w:r>
      <w:proofErr w:type="spellStart"/>
      <w:r w:rsidRPr="00B57546">
        <w:t>Leegin</w:t>
      </w:r>
      <w:proofErr w:type="spellEnd"/>
      <w:r w:rsidRPr="00B57546">
        <w:t xml:space="preserve"> Creative Leather Products, Inc. v. PSKS, Inc., 551 U.S. 877, 895-96 (2007)</w:t>
      </w:r>
      <w:r>
        <w:t>.</w:t>
      </w:r>
    </w:p>
  </w:footnote>
  <w:footnote w:id="74">
    <w:p w14:paraId="52D74DF8" w14:textId="77777777" w:rsidR="00055A31" w:rsidRPr="002502F9" w:rsidRDefault="00055A31" w:rsidP="0050262C">
      <w:pPr>
        <w:pStyle w:val="FootnoteText"/>
      </w:pPr>
      <w:r w:rsidRPr="002502F9">
        <w:rPr>
          <w:rStyle w:val="FootnoteReference"/>
        </w:rPr>
        <w:footnoteRef/>
      </w:r>
      <w:r w:rsidRPr="002502F9">
        <w:t xml:space="preserve"> </w:t>
      </w:r>
      <w:r>
        <w:tab/>
      </w:r>
      <w:proofErr w:type="gramStart"/>
      <w:r w:rsidRPr="002502F9">
        <w:rPr>
          <w:color w:val="000000"/>
        </w:rPr>
        <w:t>Eldred v</w:t>
      </w:r>
      <w:r>
        <w:rPr>
          <w:color w:val="000000"/>
        </w:rPr>
        <w:t>.</w:t>
      </w:r>
      <w:r w:rsidRPr="002502F9">
        <w:rPr>
          <w:color w:val="000000"/>
        </w:rPr>
        <w:t xml:space="preserve"> Ashcroft, 537 U</w:t>
      </w:r>
      <w:r>
        <w:rPr>
          <w:color w:val="000000"/>
        </w:rPr>
        <w:t>.</w:t>
      </w:r>
      <w:r w:rsidRPr="002502F9">
        <w:rPr>
          <w:color w:val="000000"/>
        </w:rPr>
        <w:t>S</w:t>
      </w:r>
      <w:r>
        <w:rPr>
          <w:color w:val="000000"/>
        </w:rPr>
        <w:t>.</w:t>
      </w:r>
      <w:r w:rsidRPr="002502F9">
        <w:rPr>
          <w:color w:val="000000"/>
        </w:rPr>
        <w:t xml:space="preserve"> 186, 215-16 (2003) (need to balance encouraging innovation by rewarding inventors with the right to exclude others for a limited time from using the patented invention with the “avoidance of monopolies which stifle competition without any concomitant advance in the ‘Progress of Science and useful Arts’”).</w:t>
      </w:r>
      <w:proofErr w:type="gramEnd"/>
    </w:p>
  </w:footnote>
  <w:footnote w:id="75">
    <w:p w14:paraId="28D71177" w14:textId="77777777" w:rsidR="00055A31" w:rsidRPr="002502F9" w:rsidRDefault="00055A31" w:rsidP="0050262C">
      <w:pPr>
        <w:pStyle w:val="FootnoteText"/>
      </w:pPr>
      <w:r w:rsidRPr="002502F9">
        <w:rPr>
          <w:rStyle w:val="FootnoteReference"/>
        </w:rPr>
        <w:footnoteRef/>
      </w:r>
      <w:r w:rsidRPr="002502F9">
        <w:t xml:space="preserve"> </w:t>
      </w:r>
      <w:r>
        <w:tab/>
      </w:r>
      <w:proofErr w:type="gramStart"/>
      <w:r w:rsidRPr="002502F9">
        <w:rPr>
          <w:color w:val="000000"/>
        </w:rPr>
        <w:t>Org</w:t>
      </w:r>
      <w:r>
        <w:rPr>
          <w:color w:val="000000"/>
        </w:rPr>
        <w:t>.</w:t>
      </w:r>
      <w:r w:rsidRPr="002502F9">
        <w:rPr>
          <w:color w:val="000000"/>
        </w:rPr>
        <w:t xml:space="preserve"> for Econ</w:t>
      </w:r>
      <w:r>
        <w:rPr>
          <w:color w:val="000000"/>
        </w:rPr>
        <w:t>.</w:t>
      </w:r>
      <w:proofErr w:type="gramEnd"/>
      <w:r w:rsidRPr="002502F9">
        <w:rPr>
          <w:color w:val="000000"/>
        </w:rPr>
        <w:t xml:space="preserve"> Co-operation &amp; Dev</w:t>
      </w:r>
      <w:r>
        <w:rPr>
          <w:color w:val="000000"/>
        </w:rPr>
        <w:t>.</w:t>
      </w:r>
      <w:r w:rsidRPr="002502F9">
        <w:rPr>
          <w:color w:val="000000"/>
        </w:rPr>
        <w:t xml:space="preserve">, Policy Brief:  What Is Competition on the Merits? </w:t>
      </w:r>
      <w:proofErr w:type="gramStart"/>
      <w:r w:rsidRPr="002502F9">
        <w:rPr>
          <w:color w:val="000000"/>
        </w:rPr>
        <w:t>1 (2006), http://</w:t>
      </w:r>
      <w:hyperlink r:id="rId11" w:history="1">
        <w:r w:rsidRPr="002502F9">
          <w:rPr>
            <w:rStyle w:val="Hyperlink"/>
          </w:rPr>
          <w:t>wwwoecdorg/dataoecd/10/27/37082099pdf</w:t>
        </w:r>
      </w:hyperlink>
      <w:r w:rsidRPr="002502F9">
        <w:rPr>
          <w:color w:val="000000"/>
        </w:rPr>
        <w:t xml:space="preserve"> (noting term “competition on the merits” has “never been satisfactorily defined,” which has “led to a discordant body of case law that uses an assortment of analytical methods,” which in turn has “produced unpredictable results and undermined the term’s legitimacy along with policies that are supposedly based on it”).</w:t>
      </w:r>
      <w:proofErr w:type="gramEnd"/>
    </w:p>
  </w:footnote>
  <w:footnote w:id="76">
    <w:p w14:paraId="5DC5CB0F" w14:textId="77777777" w:rsidR="00055A31" w:rsidRPr="002502F9" w:rsidRDefault="00055A31" w:rsidP="0050262C">
      <w:pPr>
        <w:pStyle w:val="FootnoteText"/>
      </w:pPr>
      <w:r w:rsidRPr="002502F9">
        <w:rPr>
          <w:rStyle w:val="FootnoteReference"/>
        </w:rPr>
        <w:footnoteRef/>
      </w:r>
      <w:r w:rsidRPr="002502F9">
        <w:t xml:space="preserve"> </w:t>
      </w:r>
      <w:r>
        <w:tab/>
      </w:r>
      <w:r w:rsidRPr="005C2F7C">
        <w:rPr>
          <w:i/>
        </w:rPr>
        <w:t>Id</w:t>
      </w:r>
      <w:r w:rsidRPr="005C2F7C">
        <w:t>.</w:t>
      </w:r>
      <w:r>
        <w:t xml:space="preserve"> at </w:t>
      </w:r>
      <w:r w:rsidRPr="002502F9">
        <w:t>4</w:t>
      </w:r>
      <w:proofErr w:type="gramStart"/>
      <w:r w:rsidRPr="002502F9">
        <w:t>;</w:t>
      </w:r>
      <w:proofErr w:type="gramEnd"/>
      <w:r w:rsidRPr="002502F9">
        <w:t xml:space="preserve"> </w:t>
      </w:r>
      <w:r w:rsidRPr="00B57546">
        <w:rPr>
          <w:i/>
        </w:rPr>
        <w:t>see also</w:t>
      </w:r>
      <w:r w:rsidRPr="002502F9">
        <w:t xml:space="preserve"> </w:t>
      </w:r>
      <w:r w:rsidRPr="00B57546">
        <w:rPr>
          <w:smallCaps/>
        </w:rPr>
        <w:t xml:space="preserve">Kenneth M Davidson, Reality Ignored:  How Milton Friedman and Chicago Economics Undermined American Institutions and Endangered the Global Economy </w:t>
      </w:r>
      <w:r w:rsidRPr="002502F9">
        <w:t xml:space="preserve">85-86 (2011) (intellectual confinement of antitrust to static price competition when dynamic competition provides the greater benefits). </w:t>
      </w:r>
    </w:p>
  </w:footnote>
  <w:footnote w:id="77">
    <w:p w14:paraId="080BED92" w14:textId="77777777" w:rsidR="00055A31" w:rsidRPr="002502F9" w:rsidRDefault="00055A31" w:rsidP="0050262C">
      <w:pPr>
        <w:pStyle w:val="FootnoteText"/>
      </w:pPr>
      <w:r w:rsidRPr="002502F9">
        <w:rPr>
          <w:rStyle w:val="FootnoteReference"/>
        </w:rPr>
        <w:footnoteRef/>
      </w:r>
      <w:r w:rsidRPr="002502F9">
        <w:t xml:space="preserve"> </w:t>
      </w:r>
      <w:r>
        <w:tab/>
      </w:r>
      <w:r w:rsidRPr="002502F9">
        <w:t>It is an oversimplification to say that millions of consumers and firms are either rational or bounded rational.  Under any scenario, some market participants will be relatively more rational and have greater willpower than others. Bounded rationality and willpower can increase or decrease over time</w:t>
      </w:r>
      <w:r>
        <w:t>. People at any moment can act “</w:t>
      </w:r>
      <w:r w:rsidRPr="002502F9">
        <w:t>more or less rationally depending on a host of situational, emotional, and other contingent influences</w:t>
      </w:r>
      <w:bookmarkStart w:id="12" w:name="_Ref285481344"/>
      <w:r>
        <w:t>.”</w:t>
      </w:r>
      <w:r w:rsidRPr="002502F9">
        <w:t xml:space="preserve"> </w:t>
      </w:r>
      <w:proofErr w:type="gramStart"/>
      <w:r>
        <w:t xml:space="preserve">Donald C. </w:t>
      </w:r>
      <w:proofErr w:type="spellStart"/>
      <w:r w:rsidRPr="005A5DEA">
        <w:t>Langevoort</w:t>
      </w:r>
      <w:proofErr w:type="spellEnd"/>
      <w:r w:rsidRPr="005A5DEA">
        <w:t xml:space="preserve">, </w:t>
      </w:r>
      <w:r w:rsidRPr="005A5DEA">
        <w:rPr>
          <w:i/>
        </w:rPr>
        <w:t>The Behavioral Economics of Mergers and Acquisitions</w:t>
      </w:r>
      <w:r w:rsidRPr="005A5DEA">
        <w:t>,</w:t>
      </w:r>
      <w:r w:rsidRPr="005A5DEA">
        <w:rPr>
          <w:smallCaps/>
        </w:rPr>
        <w:t xml:space="preserve"> 12 Tenn.</w:t>
      </w:r>
      <w:proofErr w:type="gramEnd"/>
      <w:r w:rsidRPr="005A5DEA">
        <w:rPr>
          <w:smallCaps/>
        </w:rPr>
        <w:t xml:space="preserve"> J. Bus. L. 65</w:t>
      </w:r>
      <w:r>
        <w:rPr>
          <w:smallCaps/>
        </w:rPr>
        <w:t>, 65</w:t>
      </w:r>
      <w:r w:rsidRPr="005A5DEA">
        <w:t xml:space="preserve"> (2011).</w:t>
      </w:r>
      <w:bookmarkEnd w:id="12"/>
      <w:r w:rsidRPr="005A5DEA">
        <w:t xml:space="preserve">  Nor is behavior consistent.  People can behave differently </w:t>
      </w:r>
      <w:r w:rsidRPr="002502F9">
        <w:t>depending on situational factors, such as when they are alone or in different groups. Third, firms as institutions can have biases and heuristics, although in different ways and degrees than consumers. Firms, at times, can minimize individual biases, but at other times (as with cults, mobs, and “groupthink”) can displace independent thinking.</w:t>
      </w:r>
    </w:p>
  </w:footnote>
  <w:footnote w:id="78">
    <w:p w14:paraId="4CA5BBD3" w14:textId="77777777" w:rsidR="00055A31" w:rsidRDefault="00055A31" w:rsidP="0050262C">
      <w:pPr>
        <w:pStyle w:val="FootnoteText"/>
        <w:spacing w:after="80"/>
      </w:pPr>
      <w:r>
        <w:rPr>
          <w:rStyle w:val="FootnoteReference"/>
        </w:rPr>
        <w:footnoteRef/>
      </w:r>
      <w:r>
        <w:t xml:space="preserve"> </w:t>
      </w:r>
      <w:r>
        <w:tab/>
        <w:t xml:space="preserve">OFT Report, </w:t>
      </w:r>
      <w:r>
        <w:rPr>
          <w:i/>
          <w:color w:val="000000"/>
          <w:szCs w:val="24"/>
        </w:rPr>
        <w:t>supra</w:t>
      </w:r>
      <w:r>
        <w:t xml:space="preserve"> note </w:t>
      </w:r>
      <w:r>
        <w:fldChar w:fldCharType="begin"/>
      </w:r>
      <w:r>
        <w:instrText xml:space="preserve"> NOTEREF _Ref199566818 \h </w:instrText>
      </w:r>
      <w:r>
        <w:fldChar w:fldCharType="separate"/>
      </w:r>
      <w:r>
        <w:t>40</w:t>
      </w:r>
      <w:r>
        <w:fldChar w:fldCharType="end"/>
      </w:r>
      <w:r>
        <w:t>, at ¶ 2.5.</w:t>
      </w:r>
    </w:p>
  </w:footnote>
  <w:footnote w:id="79">
    <w:p w14:paraId="0D2379ED" w14:textId="77777777" w:rsidR="00055A31" w:rsidRDefault="00055A31" w:rsidP="0050262C">
      <w:pPr>
        <w:pStyle w:val="FootnoteText"/>
        <w:spacing w:after="80"/>
      </w:pPr>
      <w:r>
        <w:rPr>
          <w:rStyle w:val="FootnoteReference"/>
        </w:rPr>
        <w:footnoteRef/>
      </w:r>
      <w:r>
        <w:t xml:space="preserve"> </w:t>
      </w:r>
      <w:r>
        <w:tab/>
      </w:r>
      <w:r w:rsidRPr="002502F9">
        <w:t>In one experiment, MBA students put down the last two digits of their social security number (e.g., 14)</w:t>
      </w:r>
      <w:r>
        <w:t xml:space="preserve">. </w:t>
      </w:r>
      <w:r w:rsidRPr="008328EB">
        <w:rPr>
          <w:rFonts w:hint="eastAsia"/>
          <w:smallCaps/>
        </w:rPr>
        <w:t>Dan</w:t>
      </w:r>
      <w:r>
        <w:rPr>
          <w:rFonts w:hint="eastAsia"/>
        </w:rPr>
        <w:t xml:space="preserve"> </w:t>
      </w:r>
      <w:proofErr w:type="spellStart"/>
      <w:r w:rsidRPr="008328EB">
        <w:rPr>
          <w:smallCaps/>
        </w:rPr>
        <w:t>Ariely</w:t>
      </w:r>
      <w:proofErr w:type="spellEnd"/>
      <w:r w:rsidRPr="008328EB">
        <w:rPr>
          <w:smallCaps/>
        </w:rPr>
        <w:t>, Predictably Irrational: The Hidden Forces That Shape Our Decisions</w:t>
      </w:r>
      <w:r w:rsidRPr="008328EB">
        <w:t xml:space="preserve"> </w:t>
      </w:r>
      <w:r w:rsidRPr="002502F9">
        <w:t>25-28</w:t>
      </w:r>
      <w:r w:rsidRPr="008328EB">
        <w:t xml:space="preserve"> (2008).</w:t>
      </w:r>
      <w:r w:rsidRPr="002502F9">
        <w:t xml:space="preserve"> The students, then participants, monetized it (e.g., $14), and then answered for each </w:t>
      </w:r>
      <w:proofErr w:type="spellStart"/>
      <w:r w:rsidRPr="002502F9">
        <w:t>bidded</w:t>
      </w:r>
      <w:proofErr w:type="spellEnd"/>
      <w:r w:rsidRPr="002502F9">
        <w:t xml:space="preserve"> item “Yes or No” if they would pay that amount for the item. The students then stated the maximum amount they were willing to pay for each auctioned product. Students with the highest ending SSN (80-99) bid 216 to 346 percent higher than students with low-end SSNs (1-20), who bid the lowest</w:t>
      </w:r>
      <w:r>
        <w:t xml:space="preserve">; </w:t>
      </w:r>
      <w:r w:rsidRPr="00805E8E">
        <w:rPr>
          <w:i/>
        </w:rPr>
        <w:t>see also</w:t>
      </w:r>
      <w:r>
        <w:t xml:space="preserve"> </w:t>
      </w:r>
      <w:r w:rsidRPr="00805E8E">
        <w:rPr>
          <w:smallCaps/>
        </w:rPr>
        <w:t xml:space="preserve">Daniel </w:t>
      </w:r>
      <w:proofErr w:type="spellStart"/>
      <w:r w:rsidRPr="00805E8E">
        <w:rPr>
          <w:smallCaps/>
        </w:rPr>
        <w:t>Kahneman</w:t>
      </w:r>
      <w:proofErr w:type="spellEnd"/>
      <w:r w:rsidRPr="00805E8E">
        <w:rPr>
          <w:smallCaps/>
        </w:rPr>
        <w:t>, Thinking, Fast and Slow</w:t>
      </w:r>
      <w:r>
        <w:rPr>
          <w:smallCaps/>
        </w:rPr>
        <w:t xml:space="preserve"> </w:t>
      </w:r>
      <w:r>
        <w:t>119-28 (2011) (discussing anchoring effects generally)</w:t>
      </w:r>
      <w:r w:rsidRPr="002502F9">
        <w:t>.</w:t>
      </w:r>
    </w:p>
  </w:footnote>
  <w:footnote w:id="80">
    <w:p w14:paraId="25093EA2" w14:textId="77777777" w:rsidR="00055A31" w:rsidRDefault="00055A31" w:rsidP="0050262C">
      <w:pPr>
        <w:pStyle w:val="FootnoteText"/>
        <w:spacing w:after="80"/>
      </w:pPr>
      <w:r>
        <w:rPr>
          <w:rStyle w:val="FootnoteReference"/>
        </w:rPr>
        <w:footnoteRef/>
      </w:r>
      <w:r>
        <w:t xml:space="preserve"> </w:t>
      </w:r>
      <w:r>
        <w:tab/>
        <w:t>Similarly, people “</w:t>
      </w:r>
      <w:r w:rsidRPr="002502F9">
        <w:t>rarely ch</w:t>
      </w:r>
      <w:r>
        <w:t>oose things in absolute terms,”</w:t>
      </w:r>
      <w:r w:rsidRPr="002502F9">
        <w:t xml:space="preserve"> but instead based on their relative advantage to other things</w:t>
      </w:r>
      <w:r>
        <w:t xml:space="preserve">. </w:t>
      </w:r>
      <w:proofErr w:type="spellStart"/>
      <w:r w:rsidRPr="002502F9">
        <w:t>Ariely</w:t>
      </w:r>
      <w:proofErr w:type="spellEnd"/>
      <w:r w:rsidRPr="002502F9">
        <w:t xml:space="preserve">, </w:t>
      </w:r>
      <w:r w:rsidRPr="008328EB">
        <w:rPr>
          <w:i/>
          <w:color w:val="000000"/>
          <w:szCs w:val="24"/>
        </w:rPr>
        <w:t>supra</w:t>
      </w:r>
      <w:r>
        <w:t xml:space="preserve"> note </w:t>
      </w:r>
      <w:r>
        <w:fldChar w:fldCharType="begin"/>
      </w:r>
      <w:r>
        <w:instrText xml:space="preserve"> NOTEREF _Ref199566894 \h </w:instrText>
      </w:r>
      <w:r>
        <w:fldChar w:fldCharType="separate"/>
      </w:r>
      <w:r>
        <w:t>71</w:t>
      </w:r>
      <w:r>
        <w:fldChar w:fldCharType="end"/>
      </w:r>
      <w:r>
        <w:t>, at 2-6</w:t>
      </w:r>
      <w:r w:rsidRPr="002502F9">
        <w:t xml:space="preserve">. By adding a third more expensive choice, for example, the marketer can steer consumers to a more expensive second choice. MIT students, in one experiment, were offered three choices for the </w:t>
      </w:r>
      <w:r w:rsidRPr="002502F9">
        <w:rPr>
          <w:i/>
        </w:rPr>
        <w:t>Economist</w:t>
      </w:r>
      <w:r w:rsidRPr="002502F9">
        <w:t xml:space="preserve"> magazine: (</w:t>
      </w:r>
      <w:proofErr w:type="spellStart"/>
      <w:r w:rsidRPr="002502F9">
        <w:t>i</w:t>
      </w:r>
      <w:proofErr w:type="spellEnd"/>
      <w:r w:rsidRPr="002502F9">
        <w:t>) Internet-only subscription for $59 (sixteen students); (ii) print-only subscriptions for $125 (no students)</w:t>
      </w:r>
      <w:proofErr w:type="gramStart"/>
      <w:r w:rsidRPr="002502F9">
        <w:t>;</w:t>
      </w:r>
      <w:proofErr w:type="gramEnd"/>
      <w:r w:rsidRPr="002502F9">
        <w:t xml:space="preserve"> and (iii) print-and-Internet subscriptions for $125 (eighty-four students). When the “decoy” second choice (print-only subscriptions) was removed and only the first and third options were presented, the students did not react similarly. Instead sixty-eight students opted for Internet-only subscriptions for $59 (up from sixteen students) and only thirty-two students chose print-and-Internet subscriptions for $125 (down from eighty-four students).</w:t>
      </w:r>
    </w:p>
  </w:footnote>
  <w:footnote w:id="81">
    <w:p w14:paraId="6EB495E7" w14:textId="77777777" w:rsidR="00055A31" w:rsidRDefault="00055A31" w:rsidP="0050262C">
      <w:pPr>
        <w:pStyle w:val="FootnoteText"/>
        <w:spacing w:after="80"/>
      </w:pPr>
      <w:r>
        <w:rPr>
          <w:rStyle w:val="FootnoteReference"/>
        </w:rPr>
        <w:footnoteRef/>
      </w:r>
      <w:r>
        <w:t xml:space="preserve"> </w:t>
      </w:r>
      <w:r>
        <w:tab/>
      </w:r>
      <w:proofErr w:type="gramStart"/>
      <w:r w:rsidRPr="008328EB">
        <w:t xml:space="preserve">Amos </w:t>
      </w:r>
      <w:proofErr w:type="spellStart"/>
      <w:r w:rsidRPr="008328EB">
        <w:t>Tversky</w:t>
      </w:r>
      <w:proofErr w:type="spellEnd"/>
      <w:r w:rsidRPr="008328EB">
        <w:t xml:space="preserve"> &amp; Daniel </w:t>
      </w:r>
      <w:proofErr w:type="spellStart"/>
      <w:r w:rsidRPr="008328EB">
        <w:t>Kahneman</w:t>
      </w:r>
      <w:proofErr w:type="spellEnd"/>
      <w:r w:rsidRPr="008328EB">
        <w:t xml:space="preserve">, </w:t>
      </w:r>
      <w:r w:rsidRPr="008328EB">
        <w:rPr>
          <w:i/>
        </w:rPr>
        <w:t>Judgment Under Uncertainty: Heuristics and Biases</w:t>
      </w:r>
      <w:r w:rsidRPr="008328EB">
        <w:t xml:space="preserve">, </w:t>
      </w:r>
      <w:r w:rsidRPr="008328EB">
        <w:rPr>
          <w:smallCaps/>
        </w:rPr>
        <w:t>Sci</w:t>
      </w:r>
      <w:r>
        <w:rPr>
          <w:smallCaps/>
        </w:rPr>
        <w:t>ence</w:t>
      </w:r>
      <w:r w:rsidRPr="008328EB">
        <w:t>, Sept. 27, 1974, at 1127 (noting situ</w:t>
      </w:r>
      <w:r>
        <w:t xml:space="preserve">ations where people assess the </w:t>
      </w:r>
      <w:r>
        <w:rPr>
          <w:rFonts w:hint="eastAsia"/>
        </w:rPr>
        <w:t>“</w:t>
      </w:r>
      <w:r w:rsidRPr="008328EB">
        <w:t>frequency of a class or the probability of an event by the ease with which instances or occ</w:t>
      </w:r>
      <w:r>
        <w:t>urrences can be brought to mind</w:t>
      </w:r>
      <w:r>
        <w:rPr>
          <w:rFonts w:hint="eastAsia"/>
        </w:rPr>
        <w:t>”</w:t>
      </w:r>
      <w:r w:rsidRPr="008328EB">
        <w:t>).</w:t>
      </w:r>
      <w:proofErr w:type="gramEnd"/>
    </w:p>
  </w:footnote>
  <w:footnote w:id="82">
    <w:p w14:paraId="20E7C2F2" w14:textId="77777777" w:rsidR="00055A31" w:rsidRDefault="00055A31" w:rsidP="0050262C">
      <w:pPr>
        <w:pStyle w:val="FootnoteText"/>
        <w:spacing w:after="80"/>
      </w:pPr>
      <w:r>
        <w:rPr>
          <w:rStyle w:val="FootnoteReference"/>
        </w:rPr>
        <w:footnoteRef/>
      </w:r>
      <w:r>
        <w:t xml:space="preserve"> </w:t>
      </w:r>
      <w:r>
        <w:tab/>
      </w:r>
      <w:proofErr w:type="gramStart"/>
      <w:r w:rsidRPr="002502F9">
        <w:rPr>
          <w:i/>
        </w:rPr>
        <w:t xml:space="preserve">See generally </w:t>
      </w:r>
      <w:r w:rsidRPr="002502F9">
        <w:t xml:space="preserve">Eric J. Johnson et al., </w:t>
      </w:r>
      <w:r w:rsidRPr="002502F9">
        <w:rPr>
          <w:i/>
        </w:rPr>
        <w:t>Framing, Probability Distortions, and Insurance Decisions</w:t>
      </w:r>
      <w:r w:rsidRPr="002502F9">
        <w:t xml:space="preserve">, 7 </w:t>
      </w:r>
      <w:r w:rsidRPr="002502F9">
        <w:rPr>
          <w:smallCaps/>
        </w:rPr>
        <w:t>J. Risk &amp; Uncertainty</w:t>
      </w:r>
      <w:r w:rsidRPr="002502F9">
        <w:t xml:space="preserve"> 35 (1993).</w:t>
      </w:r>
      <w:proofErr w:type="gramEnd"/>
    </w:p>
  </w:footnote>
  <w:footnote w:id="83">
    <w:p w14:paraId="762E737C" w14:textId="77777777" w:rsidR="00055A31" w:rsidRDefault="00055A31" w:rsidP="0050262C">
      <w:pPr>
        <w:pStyle w:val="FootnoteText"/>
        <w:spacing w:after="80"/>
      </w:pPr>
      <w:r>
        <w:rPr>
          <w:rStyle w:val="FootnoteReference"/>
        </w:rPr>
        <w:footnoteRef/>
      </w:r>
      <w:r>
        <w:t xml:space="preserve"> </w:t>
      </w:r>
      <w:r>
        <w:tab/>
      </w:r>
      <w:proofErr w:type="spellStart"/>
      <w:r w:rsidRPr="00805E8E">
        <w:rPr>
          <w:smallCaps/>
        </w:rPr>
        <w:t>Kahneman</w:t>
      </w:r>
      <w:proofErr w:type="spellEnd"/>
      <w:r w:rsidRPr="00805E8E">
        <w:rPr>
          <w:smallCaps/>
        </w:rPr>
        <w:t xml:space="preserve">, Thinking, </w:t>
      </w:r>
      <w:r w:rsidRPr="00C94D97">
        <w:rPr>
          <w:i/>
          <w:color w:val="000000"/>
          <w:szCs w:val="24"/>
        </w:rPr>
        <w:t>supra</w:t>
      </w:r>
      <w:r>
        <w:t xml:space="preserve"> </w:t>
      </w:r>
      <w:proofErr w:type="gramStart"/>
      <w:r>
        <w:t>note</w:t>
      </w:r>
      <w:proofErr w:type="gramEnd"/>
      <w:r>
        <w:t xml:space="preserve"> </w:t>
      </w:r>
      <w:r>
        <w:fldChar w:fldCharType="begin"/>
      </w:r>
      <w:r>
        <w:instrText xml:space="preserve"> NOTEREF _Ref199566894 \h </w:instrText>
      </w:r>
      <w:r>
        <w:fldChar w:fldCharType="separate"/>
      </w:r>
      <w:r>
        <w:t>71</w:t>
      </w:r>
      <w:r>
        <w:fldChar w:fldCharType="end"/>
      </w:r>
      <w:r>
        <w:t>, at 402-07.</w:t>
      </w:r>
    </w:p>
  </w:footnote>
  <w:footnote w:id="84">
    <w:p w14:paraId="6F115760" w14:textId="77777777" w:rsidR="00055A31" w:rsidRDefault="00055A31" w:rsidP="0050262C">
      <w:pPr>
        <w:pStyle w:val="FootnoteText"/>
        <w:spacing w:after="80"/>
      </w:pPr>
      <w:r>
        <w:rPr>
          <w:rStyle w:val="FootnoteReference"/>
        </w:rPr>
        <w:footnoteRef/>
      </w:r>
      <w:r>
        <w:t xml:space="preserve"> </w:t>
      </w:r>
      <w:r>
        <w:tab/>
      </w:r>
      <w:proofErr w:type="spellStart"/>
      <w:r w:rsidRPr="002502F9">
        <w:t>Ariely</w:t>
      </w:r>
      <w:proofErr w:type="spellEnd"/>
      <w:r w:rsidRPr="002502F9">
        <w:t>, for example, conducted several experiments that reveal</w:t>
      </w:r>
      <w:r>
        <w:t xml:space="preserve">ed the power of higher prices. </w:t>
      </w:r>
      <w:proofErr w:type="spellStart"/>
      <w:r w:rsidRPr="002502F9">
        <w:t>Ariely</w:t>
      </w:r>
      <w:proofErr w:type="spellEnd"/>
      <w:r w:rsidRPr="002502F9">
        <w:t xml:space="preserve">, </w:t>
      </w:r>
      <w:r w:rsidRPr="008328EB">
        <w:rPr>
          <w:i/>
          <w:color w:val="000000"/>
          <w:szCs w:val="24"/>
        </w:rPr>
        <w:t>supra</w:t>
      </w:r>
      <w:r>
        <w:t xml:space="preserve"> note </w:t>
      </w:r>
      <w:r>
        <w:fldChar w:fldCharType="begin"/>
      </w:r>
      <w:r>
        <w:instrText xml:space="preserve"> NOTEREF _Ref199566894 \h </w:instrText>
      </w:r>
      <w:r>
        <w:fldChar w:fldCharType="separate"/>
      </w:r>
      <w:r>
        <w:t>71</w:t>
      </w:r>
      <w:r>
        <w:fldChar w:fldCharType="end"/>
      </w:r>
      <w:r>
        <w:t>, at 181-86</w:t>
      </w:r>
      <w:r w:rsidRPr="002502F9">
        <w:t xml:space="preserve">. In one experiment, nearly all the participants reported less pain after taking a placebo priced at $2.50 per dose; when the placebo was discounted to $0.10 per dose, only half of the participants experienced less pain. </w:t>
      </w:r>
      <w:r w:rsidRPr="002502F9">
        <w:rPr>
          <w:i/>
        </w:rPr>
        <w:t xml:space="preserve"> </w:t>
      </w:r>
      <w:r w:rsidRPr="002502F9">
        <w:t>Similarly, MIT students who paid regular price for the “</w:t>
      </w:r>
      <w:proofErr w:type="spellStart"/>
      <w:r w:rsidRPr="002502F9">
        <w:t>SoBe</w:t>
      </w:r>
      <w:proofErr w:type="spellEnd"/>
      <w:r w:rsidRPr="002502F9">
        <w:t xml:space="preserve"> Adrenaline Rush” beverage reported less fatigue than the students who paid one-third of regular price for the same drink. </w:t>
      </w:r>
      <w:proofErr w:type="spellStart"/>
      <w:r w:rsidRPr="002502F9">
        <w:t>SoBe</w:t>
      </w:r>
      <w:proofErr w:type="spellEnd"/>
      <w:r w:rsidRPr="002502F9">
        <w:t xml:space="preserve"> Adrenaline Rush beverage was next promoted as energy for the students’ mind, and students after drinking the placebo, had to solve as many word puzzles as possible within thirty minutes. Students who paid regular price for the drink got on average nine correct responses, versus students who paid a discounted price for the same drink got on average 6.5 questions right.</w:t>
      </w:r>
    </w:p>
  </w:footnote>
  <w:footnote w:id="85">
    <w:p w14:paraId="0751FD7B" w14:textId="77777777" w:rsidR="00055A31" w:rsidRDefault="00055A31" w:rsidP="0050262C">
      <w:pPr>
        <w:pStyle w:val="FootnoteText"/>
        <w:spacing w:after="80"/>
      </w:pPr>
      <w:r>
        <w:rPr>
          <w:rStyle w:val="FootnoteReference"/>
        </w:rPr>
        <w:footnoteRef/>
      </w:r>
      <w:r>
        <w:t xml:space="preserve"> </w:t>
      </w:r>
      <w:r>
        <w:tab/>
        <w:t xml:space="preserve">OFT Report, </w:t>
      </w:r>
      <w:r>
        <w:rPr>
          <w:i/>
          <w:color w:val="000000"/>
          <w:szCs w:val="24"/>
        </w:rPr>
        <w:t>supra</w:t>
      </w:r>
      <w:r>
        <w:t xml:space="preserve"> note </w:t>
      </w:r>
      <w:r>
        <w:fldChar w:fldCharType="begin"/>
      </w:r>
      <w:r>
        <w:instrText xml:space="preserve"> NOTEREF _Ref199566818 \h </w:instrText>
      </w:r>
      <w:r>
        <w:fldChar w:fldCharType="separate"/>
      </w:r>
      <w:r>
        <w:t>40</w:t>
      </w:r>
      <w:r>
        <w:fldChar w:fldCharType="end"/>
      </w:r>
      <w:r>
        <w:t>, at ¶ 3.130.</w:t>
      </w:r>
    </w:p>
  </w:footnote>
  <w:footnote w:id="86">
    <w:p w14:paraId="6F76180B" w14:textId="77777777" w:rsidR="00055A31" w:rsidRDefault="00055A31" w:rsidP="0050262C">
      <w:pPr>
        <w:pStyle w:val="FootnoteText"/>
        <w:spacing w:after="80"/>
      </w:pPr>
      <w:r>
        <w:rPr>
          <w:rStyle w:val="FootnoteReference"/>
        </w:rPr>
        <w:footnoteRef/>
      </w:r>
      <w:r>
        <w:t xml:space="preserve"> </w:t>
      </w:r>
      <w:r>
        <w:tab/>
      </w:r>
      <w:proofErr w:type="gramStart"/>
      <w:r w:rsidRPr="00C069B1">
        <w:rPr>
          <w:i/>
        </w:rPr>
        <w:t>Id</w:t>
      </w:r>
      <w:r>
        <w:t>. at ¶¶ 3.97, 3.101-02.</w:t>
      </w:r>
      <w:proofErr w:type="gramEnd"/>
    </w:p>
  </w:footnote>
  <w:footnote w:id="87">
    <w:p w14:paraId="20855F53" w14:textId="77777777" w:rsidR="00055A31" w:rsidRDefault="00055A31" w:rsidP="0050262C">
      <w:pPr>
        <w:pStyle w:val="FootnoteText"/>
      </w:pPr>
      <w:r>
        <w:rPr>
          <w:rStyle w:val="FootnoteReference"/>
        </w:rPr>
        <w:footnoteRef/>
      </w:r>
      <w:r>
        <w:t xml:space="preserve"> </w:t>
      </w:r>
      <w:r>
        <w:tab/>
      </w:r>
      <w:proofErr w:type="spellStart"/>
      <w:r w:rsidRPr="008328EB">
        <w:t>Deven</w:t>
      </w:r>
      <w:proofErr w:type="spellEnd"/>
      <w:r w:rsidRPr="008328EB">
        <w:t xml:space="preserve"> R. </w:t>
      </w:r>
      <w:r>
        <w:t xml:space="preserve">Desai &amp; </w:t>
      </w:r>
      <w:r w:rsidRPr="008328EB">
        <w:t>Spencer Weber</w:t>
      </w:r>
      <w:r>
        <w:t xml:space="preserve"> </w:t>
      </w:r>
      <w:r w:rsidRPr="008328EB">
        <w:t xml:space="preserve">Waller, </w:t>
      </w:r>
      <w:r w:rsidRPr="008328EB">
        <w:rPr>
          <w:i/>
        </w:rPr>
        <w:t>Brands, Competition and the Law</w:t>
      </w:r>
      <w:r>
        <w:t xml:space="preserve">, 2010 </w:t>
      </w:r>
      <w:r w:rsidRPr="008328EB">
        <w:rPr>
          <w:smallCaps/>
        </w:rPr>
        <w:t>Brigham Young U</w:t>
      </w:r>
      <w:r>
        <w:rPr>
          <w:smallCaps/>
        </w:rPr>
        <w:t>.</w:t>
      </w:r>
      <w:r w:rsidRPr="008328EB">
        <w:rPr>
          <w:smallCaps/>
        </w:rPr>
        <w:t xml:space="preserve"> L</w:t>
      </w:r>
      <w:r>
        <w:rPr>
          <w:smallCaps/>
        </w:rPr>
        <w:t>.</w:t>
      </w:r>
      <w:r w:rsidRPr="008328EB">
        <w:rPr>
          <w:smallCaps/>
        </w:rPr>
        <w:t xml:space="preserve"> Rev</w:t>
      </w:r>
      <w:r>
        <w:rPr>
          <w:smallCaps/>
        </w:rPr>
        <w:t>.</w:t>
      </w:r>
      <w:r>
        <w:t xml:space="preserve"> 1425</w:t>
      </w:r>
      <w:r w:rsidRPr="008328EB">
        <w:t xml:space="preserve"> </w:t>
      </w:r>
      <w:r>
        <w:t>(</w:t>
      </w:r>
      <w:r w:rsidRPr="008328EB">
        <w:t>2010</w:t>
      </w:r>
      <w:r>
        <w:t xml:space="preserve">); Amos </w:t>
      </w:r>
      <w:proofErr w:type="spellStart"/>
      <w:r w:rsidRPr="008328EB">
        <w:t>Tversky</w:t>
      </w:r>
      <w:proofErr w:type="spellEnd"/>
      <w:r w:rsidRPr="008328EB">
        <w:t xml:space="preserve"> &amp; </w:t>
      </w:r>
      <w:r>
        <w:t xml:space="preserve">Daniel </w:t>
      </w:r>
      <w:proofErr w:type="spellStart"/>
      <w:r w:rsidRPr="008328EB">
        <w:t>Kahneman</w:t>
      </w:r>
      <w:proofErr w:type="spellEnd"/>
      <w:r w:rsidRPr="008328EB">
        <w:t xml:space="preserve">, </w:t>
      </w:r>
      <w:r w:rsidRPr="008328EB">
        <w:rPr>
          <w:i/>
        </w:rPr>
        <w:t>Loss Aversion in Riskless Choice: A Reference-Dependent Model</w:t>
      </w:r>
      <w:r w:rsidRPr="008328EB">
        <w:t xml:space="preserve">, 106 </w:t>
      </w:r>
      <w:r w:rsidRPr="008328EB">
        <w:rPr>
          <w:smallCaps/>
        </w:rPr>
        <w:t>Q.J. Econ.</w:t>
      </w:r>
      <w:r w:rsidRPr="008328EB">
        <w:t xml:space="preserve"> </w:t>
      </w:r>
      <w:proofErr w:type="gramStart"/>
      <w:r w:rsidRPr="008328EB">
        <w:t>1039, 1054-58 (1991).</w:t>
      </w:r>
      <w:proofErr w:type="gramEnd"/>
      <w:r>
        <w:t xml:space="preserve">  </w:t>
      </w:r>
      <w:r w:rsidRPr="002502F9">
        <w:t xml:space="preserve">A famous antitrust example is Clorox, whose bleach is chemically indistinguishable from rival brands. </w:t>
      </w:r>
      <w:proofErr w:type="gramStart"/>
      <w:r w:rsidRPr="002502F9">
        <w:t>FTC v. Procter &amp; Gamble Co., 386 U.S. 568 (1967).</w:t>
      </w:r>
      <w:proofErr w:type="gramEnd"/>
      <w:r w:rsidRPr="002502F9">
        <w:t xml:space="preserve"> Nonetheless, Clorox invested millions of dollars in promoting its brand of bleach, and often charged a higher price for its bleach. One would think that a market, where one company sells a fungible chemically indistinguishable product at a price premium, would be attractive for potential entrants. But Procter &amp; Gamble sought to purchase Clorox rather than enter the liquid bleach market independently.</w:t>
      </w:r>
    </w:p>
  </w:footnote>
  <w:footnote w:id="88">
    <w:p w14:paraId="37A6BA69" w14:textId="77777777" w:rsidR="00055A31" w:rsidRDefault="00055A31" w:rsidP="0050262C">
      <w:pPr>
        <w:pStyle w:val="FootnoteText"/>
      </w:pPr>
      <w:r>
        <w:rPr>
          <w:rStyle w:val="FootnoteReference"/>
        </w:rPr>
        <w:footnoteRef/>
      </w:r>
      <w:r>
        <w:t xml:space="preserve"> </w:t>
      </w:r>
      <w:r>
        <w:tab/>
      </w:r>
      <w:r w:rsidRPr="008C041E">
        <w:t xml:space="preserve">Andrei </w:t>
      </w:r>
      <w:proofErr w:type="spellStart"/>
      <w:r>
        <w:t>Shleifer</w:t>
      </w:r>
      <w:proofErr w:type="spellEnd"/>
      <w:r w:rsidRPr="008C041E">
        <w:t xml:space="preserve"> &amp; </w:t>
      </w:r>
      <w:r>
        <w:t xml:space="preserve">Robert W. </w:t>
      </w:r>
      <w:proofErr w:type="spellStart"/>
      <w:r w:rsidRPr="008C041E">
        <w:t>Vishny</w:t>
      </w:r>
      <w:proofErr w:type="spellEnd"/>
      <w:r w:rsidRPr="008C041E">
        <w:t xml:space="preserve">, </w:t>
      </w:r>
      <w:r w:rsidRPr="008C041E">
        <w:rPr>
          <w:i/>
        </w:rPr>
        <w:t>The Limits of Arbitrage</w:t>
      </w:r>
      <w:r w:rsidRPr="008C041E">
        <w:t xml:space="preserve">, 52 J. </w:t>
      </w:r>
      <w:proofErr w:type="gramStart"/>
      <w:r w:rsidRPr="008C041E">
        <w:rPr>
          <w:smallCaps/>
        </w:rPr>
        <w:t>Fin</w:t>
      </w:r>
      <w:proofErr w:type="gramEnd"/>
      <w:r w:rsidRPr="008C041E">
        <w:t xml:space="preserve">. </w:t>
      </w:r>
      <w:proofErr w:type="gramStart"/>
      <w:r w:rsidRPr="008C041E">
        <w:t>35 (2007)</w:t>
      </w:r>
      <w:r>
        <w:t>.</w:t>
      </w:r>
      <w:proofErr w:type="gramEnd"/>
    </w:p>
  </w:footnote>
  <w:footnote w:id="89">
    <w:p w14:paraId="124A1E05" w14:textId="77777777" w:rsidR="00055A31" w:rsidRDefault="00055A31" w:rsidP="0050262C">
      <w:pPr>
        <w:pStyle w:val="FootnoteText"/>
      </w:pPr>
      <w:r>
        <w:rPr>
          <w:rStyle w:val="FootnoteReference"/>
        </w:rPr>
        <w:footnoteRef/>
      </w:r>
      <w:r>
        <w:t xml:space="preserve"> </w:t>
      </w:r>
      <w:r>
        <w:tab/>
      </w:r>
      <w:r w:rsidRPr="008C041E">
        <w:rPr>
          <w:smallCaps/>
        </w:rPr>
        <w:t xml:space="preserve">Andrei </w:t>
      </w:r>
      <w:proofErr w:type="spellStart"/>
      <w:r w:rsidRPr="008C041E">
        <w:rPr>
          <w:smallCaps/>
        </w:rPr>
        <w:t>Shleifer</w:t>
      </w:r>
      <w:proofErr w:type="spellEnd"/>
      <w:r w:rsidRPr="008C041E">
        <w:rPr>
          <w:smallCaps/>
        </w:rPr>
        <w:t>, Inefficient Markets: An Introduction to Behavioral Finance</w:t>
      </w:r>
      <w:r>
        <w:t xml:space="preserve"> 172</w:t>
      </w:r>
      <w:r w:rsidRPr="00987885">
        <w:t xml:space="preserve"> (2000)</w:t>
      </w:r>
      <w:r>
        <w:t xml:space="preserve"> (c</w:t>
      </w:r>
      <w:r w:rsidRPr="002502F9">
        <w:t xml:space="preserve">iting several examples, including future contracts on tulips during the </w:t>
      </w:r>
      <w:proofErr w:type="spellStart"/>
      <w:r w:rsidRPr="002502F9">
        <w:t>Tulipmania</w:t>
      </w:r>
      <w:proofErr w:type="spellEnd"/>
      <w:r w:rsidRPr="002502F9">
        <w:t xml:space="preserve"> of the 1630s</w:t>
      </w:r>
      <w:r>
        <w:t>)</w:t>
      </w:r>
      <w:r w:rsidRPr="00987885">
        <w:t>.</w:t>
      </w:r>
    </w:p>
  </w:footnote>
  <w:footnote w:id="90">
    <w:p w14:paraId="406E716B" w14:textId="77777777" w:rsidR="00055A31" w:rsidRDefault="00055A31" w:rsidP="0050262C">
      <w:pPr>
        <w:pStyle w:val="FootnoteText"/>
      </w:pPr>
      <w:r>
        <w:rPr>
          <w:rStyle w:val="FootnoteReference"/>
        </w:rPr>
        <w:footnoteRef/>
      </w:r>
      <w:r>
        <w:t xml:space="preserve"> </w:t>
      </w:r>
      <w:r>
        <w:tab/>
      </w:r>
      <w:r w:rsidRPr="002502F9">
        <w:t xml:space="preserve">John A. List, </w:t>
      </w:r>
      <w:r w:rsidRPr="002502F9">
        <w:rPr>
          <w:i/>
        </w:rPr>
        <w:t>Does Market Experience Eliminate Market Anomalies</w:t>
      </w:r>
      <w:proofErr w:type="gramStart"/>
      <w:r w:rsidRPr="002502F9">
        <w:rPr>
          <w:i/>
        </w:rPr>
        <w:t>?</w:t>
      </w:r>
      <w:r w:rsidRPr="002502F9">
        <w:t>,</w:t>
      </w:r>
      <w:proofErr w:type="gramEnd"/>
      <w:r w:rsidRPr="002502F9">
        <w:t xml:space="preserve"> 118 </w:t>
      </w:r>
      <w:r w:rsidRPr="002502F9">
        <w:rPr>
          <w:smallCaps/>
        </w:rPr>
        <w:t>Q.J. Econ</w:t>
      </w:r>
      <w:r w:rsidRPr="002502F9">
        <w:t xml:space="preserve">. </w:t>
      </w:r>
      <w:proofErr w:type="gramStart"/>
      <w:r w:rsidRPr="002502F9">
        <w:t>41, 41 (2003).</w:t>
      </w:r>
      <w:proofErr w:type="gramEnd"/>
    </w:p>
  </w:footnote>
  <w:footnote w:id="91">
    <w:p w14:paraId="6801FA46" w14:textId="77777777" w:rsidR="00055A31" w:rsidRDefault="00055A31" w:rsidP="0050262C">
      <w:pPr>
        <w:pStyle w:val="FootnoteText"/>
      </w:pPr>
      <w:r>
        <w:rPr>
          <w:rStyle w:val="FootnoteReference"/>
        </w:rPr>
        <w:footnoteRef/>
      </w:r>
      <w:r>
        <w:t xml:space="preserve"> </w:t>
      </w:r>
      <w:r>
        <w:tab/>
      </w:r>
      <w:r w:rsidRPr="002502F9">
        <w:rPr>
          <w:i/>
        </w:rPr>
        <w:t xml:space="preserve">See </w:t>
      </w:r>
      <w:r w:rsidRPr="002502F9">
        <w:t>SCFC ILC, Inc. v. Visa USA, Inc., 36 F</w:t>
      </w:r>
      <w:r>
        <w:t>.3d 958, 965 (10th Cir. 1994) (“</w:t>
      </w:r>
      <w:r w:rsidRPr="002502F9">
        <w:t>If the structure of the market is such that there is little potential for consumers to be harmed, we need not be especially concerned with how firms behave because the presence of effective competition will provide a powerful antidote to a</w:t>
      </w:r>
      <w:r>
        <w:t>ny effort to exploit consumers.”</w:t>
      </w:r>
      <w:r w:rsidRPr="002502F9">
        <w:t xml:space="preserve"> (</w:t>
      </w:r>
      <w:proofErr w:type="gramStart"/>
      <w:r w:rsidRPr="002502F9">
        <w:t>quoting</w:t>
      </w:r>
      <w:proofErr w:type="gramEnd"/>
      <w:r w:rsidRPr="002502F9">
        <w:t xml:space="preserve"> George A. Hay, </w:t>
      </w:r>
      <w:r w:rsidRPr="002502F9">
        <w:rPr>
          <w:i/>
        </w:rPr>
        <w:t>Market Power in Antitrust</w:t>
      </w:r>
      <w:r w:rsidRPr="002502F9">
        <w:t xml:space="preserve">, 60 </w:t>
      </w:r>
      <w:r w:rsidRPr="002502F9">
        <w:rPr>
          <w:smallCaps/>
        </w:rPr>
        <w:t>Antitrust L.J.</w:t>
      </w:r>
      <w:r w:rsidRPr="002502F9">
        <w:t xml:space="preserve"> 807, 808 (1992))).</w:t>
      </w:r>
    </w:p>
  </w:footnote>
  <w:footnote w:id="92">
    <w:p w14:paraId="2EEB388E" w14:textId="77777777" w:rsidR="00055A31" w:rsidRDefault="00055A31" w:rsidP="0050262C">
      <w:pPr>
        <w:pStyle w:val="FootnoteText"/>
      </w:pPr>
      <w:r>
        <w:rPr>
          <w:rStyle w:val="FootnoteReference"/>
        </w:rPr>
        <w:footnoteRef/>
      </w:r>
      <w:r>
        <w:t xml:space="preserve"> </w:t>
      </w:r>
      <w:r>
        <w:tab/>
      </w:r>
      <w:r w:rsidRPr="002502F9">
        <w:rPr>
          <w:i/>
        </w:rPr>
        <w:t>See</w:t>
      </w:r>
      <w:r w:rsidRPr="002502F9">
        <w:t>,</w:t>
      </w:r>
      <w:r w:rsidRPr="002502F9">
        <w:rPr>
          <w:i/>
        </w:rPr>
        <w:t xml:space="preserve"> e.g.</w:t>
      </w:r>
      <w:r w:rsidRPr="002502F9">
        <w:t xml:space="preserve">, Eastman Kodak Co. v. Image Technical </w:t>
      </w:r>
      <w:proofErr w:type="spellStart"/>
      <w:r w:rsidRPr="002502F9">
        <w:t>Servs</w:t>
      </w:r>
      <w:proofErr w:type="spellEnd"/>
      <w:proofErr w:type="gramStart"/>
      <w:r w:rsidRPr="002502F9">
        <w:t>.,</w:t>
      </w:r>
      <w:proofErr w:type="gramEnd"/>
      <w:r w:rsidRPr="002502F9">
        <w:t xml:space="preserve"> Inc., 504 U.S. 451, 474 n.</w:t>
      </w:r>
      <w:r>
        <w:t xml:space="preserve"> </w:t>
      </w:r>
      <w:r w:rsidRPr="002502F9">
        <w:t>21 (1992) (noting that “in an equipment market with relatively few sellers, competitors may find it more profitable to adopt Kodak’s service and parts policy than to inform the consumers”); FTC v. R.F. Keppel &amp; Bro., Inc., 291 U.S. 304, 308, 313 (1934) (finding that while competitors “</w:t>
      </w:r>
      <w:r w:rsidRPr="002502F9">
        <w:rPr>
          <w:rStyle w:val="documentbody"/>
        </w:rPr>
        <w:t xml:space="preserve">reluctantly yielded” to the challenged practice to avoid loss of trade to their competitors, a </w:t>
      </w:r>
      <w:r w:rsidRPr="002502F9">
        <w:t xml:space="preserve">“trader may not, by pursuing a dishonest practice, force his competitors to choose between its adoption or the loss of their trade”); Ford Motor Co. v. FTC, 120 F.2d 175, 179 (6th Cir. 1941) (Ford following industry leader General Motors in advertising a deceptive six-percent financing plan); </w:t>
      </w:r>
      <w:r w:rsidRPr="0069038B">
        <w:t>M</w:t>
      </w:r>
      <w:r>
        <w:t xml:space="preserve">atthew </w:t>
      </w:r>
      <w:r w:rsidRPr="0069038B">
        <w:t xml:space="preserve">Bennett et al., </w:t>
      </w:r>
      <w:r w:rsidRPr="0069038B">
        <w:rPr>
          <w:i/>
        </w:rPr>
        <w:t>What Does Behavioral Economics Mean for Competition Policy?</w:t>
      </w:r>
      <w:r w:rsidRPr="0069038B">
        <w:t xml:space="preserve">, 6 </w:t>
      </w:r>
      <w:r w:rsidRPr="0069038B">
        <w:rPr>
          <w:smallCaps/>
        </w:rPr>
        <w:t xml:space="preserve">Competition </w:t>
      </w:r>
      <w:proofErr w:type="spellStart"/>
      <w:r w:rsidRPr="0069038B">
        <w:rPr>
          <w:smallCaps/>
        </w:rPr>
        <w:t>Pol’y</w:t>
      </w:r>
      <w:proofErr w:type="spellEnd"/>
      <w:r w:rsidRPr="0069038B">
        <w:rPr>
          <w:smallCaps/>
        </w:rPr>
        <w:t xml:space="preserve"> Int’l</w:t>
      </w:r>
      <w:r w:rsidRPr="0069038B">
        <w:t xml:space="preserve"> 111, 118</w:t>
      </w:r>
      <w:r>
        <w:t xml:space="preserve"> (2010); </w:t>
      </w:r>
      <w:proofErr w:type="spellStart"/>
      <w:r w:rsidRPr="00D43EA1">
        <w:rPr>
          <w:iCs/>
        </w:rPr>
        <w:t>Eliana</w:t>
      </w:r>
      <w:proofErr w:type="spellEnd"/>
      <w:r>
        <w:rPr>
          <w:i/>
          <w:iCs/>
        </w:rPr>
        <w:t xml:space="preserve"> </w:t>
      </w:r>
      <w:proofErr w:type="spellStart"/>
      <w:r>
        <w:t>Garcés</w:t>
      </w:r>
      <w:r>
        <w:rPr>
          <w:i/>
          <w:iCs/>
        </w:rPr>
        <w:t>-</w:t>
      </w:r>
      <w:r w:rsidRPr="00D43EA1">
        <w:rPr>
          <w:iCs/>
        </w:rPr>
        <w:t>Tolon</w:t>
      </w:r>
      <w:proofErr w:type="spellEnd"/>
      <w:r>
        <w:t>,</w:t>
      </w:r>
      <w:r w:rsidRPr="0069038B">
        <w:t xml:space="preserve"> </w:t>
      </w:r>
      <w:r w:rsidRPr="0069038B">
        <w:rPr>
          <w:i/>
        </w:rPr>
        <w:t>The Impact of Behavioral Economics on Consumer and Competition Policies</w:t>
      </w:r>
      <w:r w:rsidRPr="0069038B">
        <w:t xml:space="preserve">, 6 </w:t>
      </w:r>
      <w:r w:rsidRPr="0069038B">
        <w:rPr>
          <w:smallCaps/>
        </w:rPr>
        <w:t xml:space="preserve">Competition </w:t>
      </w:r>
      <w:proofErr w:type="spellStart"/>
      <w:r w:rsidRPr="0069038B">
        <w:rPr>
          <w:smallCaps/>
        </w:rPr>
        <w:t>Pol’y</w:t>
      </w:r>
      <w:proofErr w:type="spellEnd"/>
      <w:r w:rsidRPr="0069038B">
        <w:rPr>
          <w:smallCaps/>
        </w:rPr>
        <w:t xml:space="preserve"> Int’l</w:t>
      </w:r>
      <w:r w:rsidRPr="0069038B">
        <w:t xml:space="preserve"> 145</w:t>
      </w:r>
      <w:r>
        <w:t>, 150</w:t>
      </w:r>
      <w:r w:rsidRPr="0069038B">
        <w:t xml:space="preserve"> (2010).</w:t>
      </w:r>
    </w:p>
  </w:footnote>
  <w:footnote w:id="93">
    <w:p w14:paraId="10E5735C" w14:textId="77777777" w:rsidR="00055A31" w:rsidRDefault="00055A31" w:rsidP="0050262C">
      <w:pPr>
        <w:pStyle w:val="FootnoteText"/>
      </w:pPr>
      <w:r>
        <w:rPr>
          <w:rStyle w:val="FootnoteReference"/>
        </w:rPr>
        <w:footnoteRef/>
      </w:r>
      <w:r>
        <w:t xml:space="preserve"> </w:t>
      </w:r>
      <w:r>
        <w:tab/>
        <w:t xml:space="preserve">OFT Report, </w:t>
      </w:r>
      <w:r>
        <w:rPr>
          <w:i/>
          <w:color w:val="000000"/>
          <w:szCs w:val="24"/>
        </w:rPr>
        <w:t>supra</w:t>
      </w:r>
      <w:r>
        <w:t xml:space="preserve"> note </w:t>
      </w:r>
      <w:r>
        <w:fldChar w:fldCharType="begin"/>
      </w:r>
      <w:r>
        <w:instrText xml:space="preserve"> NOTEREF _Ref199566818 \h </w:instrText>
      </w:r>
      <w:r>
        <w:fldChar w:fldCharType="separate"/>
      </w:r>
      <w:r>
        <w:t>40</w:t>
      </w:r>
      <w:r>
        <w:fldChar w:fldCharType="end"/>
      </w:r>
      <w:r>
        <w:t>, at ¶ 1.11.</w:t>
      </w:r>
    </w:p>
  </w:footnote>
  <w:footnote w:id="94">
    <w:p w14:paraId="4D8746BF" w14:textId="77777777" w:rsidR="00055A31" w:rsidRDefault="00055A31" w:rsidP="0050262C">
      <w:pPr>
        <w:pStyle w:val="FootnoteText"/>
      </w:pPr>
      <w:r>
        <w:rPr>
          <w:rStyle w:val="FootnoteReference"/>
        </w:rPr>
        <w:footnoteRef/>
      </w:r>
      <w:r>
        <w:t xml:space="preserve"> </w:t>
      </w:r>
      <w:r>
        <w:tab/>
      </w:r>
      <w:proofErr w:type="gramStart"/>
      <w:r w:rsidRPr="00C069B1">
        <w:rPr>
          <w:i/>
        </w:rPr>
        <w:t>Id</w:t>
      </w:r>
      <w:r>
        <w:t>. at ¶¶ 3.31, 3.37, 3.43.</w:t>
      </w:r>
      <w:proofErr w:type="gramEnd"/>
    </w:p>
  </w:footnote>
  <w:footnote w:id="95">
    <w:p w14:paraId="59B1DB50" w14:textId="77777777" w:rsidR="00055A31" w:rsidRDefault="00055A31" w:rsidP="0050262C">
      <w:pPr>
        <w:pStyle w:val="FootnoteText"/>
      </w:pPr>
      <w:r>
        <w:rPr>
          <w:rStyle w:val="FootnoteReference"/>
        </w:rPr>
        <w:footnoteRef/>
      </w:r>
      <w:r>
        <w:t xml:space="preserve"> </w:t>
      </w:r>
      <w:r>
        <w:tab/>
      </w:r>
      <w:proofErr w:type="gramStart"/>
      <w:r w:rsidRPr="002502F9">
        <w:rPr>
          <w:i/>
          <w:iCs/>
        </w:rPr>
        <w:t>FRONTLINE:</w:t>
      </w:r>
      <w:r w:rsidRPr="002502F9">
        <w:rPr>
          <w:i/>
        </w:rPr>
        <w:t xml:space="preserve"> The Card Game</w:t>
      </w:r>
      <w:r w:rsidRPr="002502F9">
        <w:t>,</w:t>
      </w:r>
      <w:r w:rsidRPr="002502F9">
        <w:rPr>
          <w:smallCaps/>
        </w:rPr>
        <w:t xml:space="preserve"> </w:t>
      </w:r>
      <w:r w:rsidRPr="002502F9">
        <w:t xml:space="preserve">(Nov. 24, 2009), </w:t>
      </w:r>
      <w:r w:rsidRPr="002502F9">
        <w:rPr>
          <w:i/>
        </w:rPr>
        <w:t xml:space="preserve">available at </w:t>
      </w:r>
      <w:hyperlink r:id="rId12" w:history="1">
        <w:r w:rsidRPr="00AB34C4">
          <w:rPr>
            <w:rStyle w:val="Hyperlink"/>
          </w:rPr>
          <w:t>http://www.pbs.org/wgbh/pages/frontline/creditcards/view/</w:t>
        </w:r>
      </w:hyperlink>
      <w:r>
        <w:t xml:space="preserve"> </w:t>
      </w:r>
      <w:r w:rsidRPr="002502F9">
        <w:t xml:space="preserve">(interview with former Providian CEO </w:t>
      </w:r>
      <w:proofErr w:type="spellStart"/>
      <w:r w:rsidRPr="002502F9">
        <w:t>Shailesh</w:t>
      </w:r>
      <w:proofErr w:type="spellEnd"/>
      <w:r w:rsidRPr="002502F9">
        <w:t xml:space="preserve"> Mehta).</w:t>
      </w:r>
      <w:proofErr w:type="gramEnd"/>
    </w:p>
  </w:footnote>
  <w:footnote w:id="96">
    <w:p w14:paraId="1737624F" w14:textId="77777777" w:rsidR="00055A31" w:rsidRDefault="00055A31" w:rsidP="0050262C">
      <w:pPr>
        <w:pStyle w:val="FootnoteText"/>
      </w:pPr>
      <w:r>
        <w:rPr>
          <w:rStyle w:val="FootnoteReference"/>
        </w:rPr>
        <w:footnoteRef/>
      </w:r>
      <w:r>
        <w:t xml:space="preserve"> </w:t>
      </w:r>
      <w:r>
        <w:tab/>
      </w:r>
      <w:r w:rsidRPr="00C069B1">
        <w:rPr>
          <w:i/>
        </w:rPr>
        <w:t>Id</w:t>
      </w:r>
      <w:r>
        <w:t>.</w:t>
      </w:r>
    </w:p>
  </w:footnote>
  <w:footnote w:id="97">
    <w:p w14:paraId="42C326CC" w14:textId="77777777" w:rsidR="00055A31" w:rsidRDefault="00055A31" w:rsidP="0050262C">
      <w:pPr>
        <w:pStyle w:val="FootnoteText"/>
      </w:pPr>
      <w:r>
        <w:rPr>
          <w:rStyle w:val="FootnoteReference"/>
        </w:rPr>
        <w:footnoteRef/>
      </w:r>
      <w:r>
        <w:t xml:space="preserve"> </w:t>
      </w:r>
      <w:r>
        <w:tab/>
      </w:r>
      <w:proofErr w:type="gramStart"/>
      <w:r>
        <w:rPr>
          <w:rFonts w:hint="eastAsia"/>
        </w:rPr>
        <w:t>O</w:t>
      </w:r>
      <w:r>
        <w:t>ren</w:t>
      </w:r>
      <w:r>
        <w:rPr>
          <w:rFonts w:hint="eastAsia"/>
        </w:rPr>
        <w:t xml:space="preserve"> </w:t>
      </w:r>
      <w:r>
        <w:t xml:space="preserve">Bar-Gill </w:t>
      </w:r>
      <w:r w:rsidRPr="007A4FDD">
        <w:t xml:space="preserve">&amp; </w:t>
      </w:r>
      <w:r>
        <w:t xml:space="preserve">Elizabeth </w:t>
      </w:r>
      <w:r w:rsidRPr="007A4FDD">
        <w:t xml:space="preserve">Warren, </w:t>
      </w:r>
      <w:r w:rsidRPr="007A4FDD">
        <w:rPr>
          <w:i/>
        </w:rPr>
        <w:t>Making Credit Safer</w:t>
      </w:r>
      <w:r w:rsidRPr="007A4FDD">
        <w:t xml:space="preserve">, 157 U. </w:t>
      </w:r>
      <w:r w:rsidRPr="007A4FDD">
        <w:rPr>
          <w:smallCaps/>
        </w:rPr>
        <w:t>Pa.</w:t>
      </w:r>
      <w:proofErr w:type="gramEnd"/>
      <w:r w:rsidRPr="007A4FDD">
        <w:rPr>
          <w:smallCaps/>
        </w:rPr>
        <w:t xml:space="preserve"> L. Rev. </w:t>
      </w:r>
      <w:r w:rsidRPr="007A4FDD">
        <w:t>1</w:t>
      </w:r>
      <w:r>
        <w:t>, 46</w:t>
      </w:r>
      <w:r w:rsidRPr="007A4FDD">
        <w:t xml:space="preserve"> (2008)</w:t>
      </w:r>
      <w:r>
        <w:t>.</w:t>
      </w:r>
    </w:p>
  </w:footnote>
  <w:footnote w:id="98">
    <w:p w14:paraId="53B43F7E" w14:textId="77777777" w:rsidR="00055A31" w:rsidRDefault="00055A31" w:rsidP="0050262C">
      <w:pPr>
        <w:pStyle w:val="FootnoteText"/>
      </w:pPr>
      <w:r>
        <w:rPr>
          <w:rStyle w:val="FootnoteReference"/>
        </w:rPr>
        <w:footnoteRef/>
      </w:r>
      <w:r>
        <w:t xml:space="preserve"> </w:t>
      </w:r>
      <w:r>
        <w:tab/>
        <w:t xml:space="preserve">For elegant economic models, see Paul </w:t>
      </w:r>
      <w:proofErr w:type="spellStart"/>
      <w:r>
        <w:t>Heidhues</w:t>
      </w:r>
      <w:proofErr w:type="spellEnd"/>
      <w:r>
        <w:t xml:space="preserve">, </w:t>
      </w:r>
      <w:proofErr w:type="spellStart"/>
      <w:r w:rsidRPr="000A227C">
        <w:t>Botond</w:t>
      </w:r>
      <w:proofErr w:type="spellEnd"/>
      <w:r w:rsidRPr="000A227C">
        <w:t xml:space="preserve"> </w:t>
      </w:r>
      <w:proofErr w:type="spellStart"/>
      <w:r w:rsidRPr="000A227C">
        <w:t>K</w:t>
      </w:r>
      <w:r w:rsidRPr="000A227C">
        <w:rPr>
          <w:rFonts w:hint="eastAsia"/>
        </w:rPr>
        <w:t>ö</w:t>
      </w:r>
      <w:r w:rsidRPr="000A227C">
        <w:t>szegi</w:t>
      </w:r>
      <w:proofErr w:type="spellEnd"/>
      <w:r>
        <w:t xml:space="preserve">, &amp; Takeshi </w:t>
      </w:r>
      <w:proofErr w:type="spellStart"/>
      <w:r>
        <w:t>Murooka</w:t>
      </w:r>
      <w:proofErr w:type="spellEnd"/>
      <w:r>
        <w:t xml:space="preserve">, </w:t>
      </w:r>
      <w:r w:rsidRPr="00267DD4">
        <w:rPr>
          <w:i/>
        </w:rPr>
        <w:t>Deception and Consumer Protection in Competitive Markets</w:t>
      </w:r>
      <w:r>
        <w:t xml:space="preserve">, </w:t>
      </w:r>
      <w:r w:rsidRPr="00267DD4">
        <w:rPr>
          <w:i/>
        </w:rPr>
        <w:t>in</w:t>
      </w:r>
      <w:r>
        <w:t xml:space="preserve"> </w:t>
      </w:r>
      <w:r w:rsidRPr="00267DD4">
        <w:rPr>
          <w:smallCaps/>
        </w:rPr>
        <w:t>Pros and Cons of Consumer Protection</w:t>
      </w:r>
      <w:r w:rsidRPr="000A227C">
        <w:t xml:space="preserve">, </w:t>
      </w:r>
      <w:r>
        <w:rPr>
          <w:i/>
          <w:color w:val="000000"/>
          <w:szCs w:val="24"/>
        </w:rPr>
        <w:t>supra</w:t>
      </w:r>
      <w:r>
        <w:t xml:space="preserve"> note </w:t>
      </w:r>
      <w:r>
        <w:fldChar w:fldCharType="begin"/>
      </w:r>
      <w:r>
        <w:instrText xml:space="preserve"> NOTEREF _Ref199567220 \h </w:instrText>
      </w:r>
      <w:r>
        <w:fldChar w:fldCharType="separate"/>
      </w:r>
      <w:r>
        <w:t>62</w:t>
      </w:r>
      <w:r>
        <w:fldChar w:fldCharType="end"/>
      </w:r>
      <w:r>
        <w:t xml:space="preserve">; </w:t>
      </w:r>
      <w:proofErr w:type="spellStart"/>
      <w:r>
        <w:t>Gabaix</w:t>
      </w:r>
      <w:proofErr w:type="spellEnd"/>
      <w:r>
        <w:t xml:space="preserve"> &amp; </w:t>
      </w:r>
      <w:proofErr w:type="spellStart"/>
      <w:r>
        <w:t>Laibson</w:t>
      </w:r>
      <w:proofErr w:type="spellEnd"/>
      <w:r>
        <w:t xml:space="preserve">, </w:t>
      </w:r>
      <w:r>
        <w:rPr>
          <w:i/>
          <w:color w:val="000000"/>
          <w:szCs w:val="24"/>
        </w:rPr>
        <w:t>supra</w:t>
      </w:r>
      <w:r>
        <w:t xml:space="preserve"> note </w:t>
      </w:r>
      <w:r>
        <w:fldChar w:fldCharType="begin"/>
      </w:r>
      <w:r>
        <w:instrText xml:space="preserve"> NOTEREF _Ref199567250 \h </w:instrText>
      </w:r>
      <w:r>
        <w:fldChar w:fldCharType="separate"/>
      </w:r>
      <w:r>
        <w:t>44</w:t>
      </w:r>
      <w:r>
        <w:fldChar w:fldCharType="end"/>
      </w:r>
      <w:r>
        <w:t>, at 517-20.</w:t>
      </w:r>
    </w:p>
  </w:footnote>
  <w:footnote w:id="99">
    <w:p w14:paraId="44F4A761" w14:textId="77777777" w:rsidR="00055A31" w:rsidRDefault="00055A31" w:rsidP="0050262C">
      <w:pPr>
        <w:pStyle w:val="FootnoteText"/>
      </w:pPr>
      <w:r>
        <w:rPr>
          <w:rStyle w:val="FootnoteReference"/>
        </w:rPr>
        <w:footnoteRef/>
      </w:r>
      <w:r>
        <w:t xml:space="preserve"> </w:t>
      </w:r>
      <w:r>
        <w:tab/>
        <w:t xml:space="preserve">OFT Report, </w:t>
      </w:r>
      <w:r>
        <w:rPr>
          <w:i/>
          <w:color w:val="000000"/>
          <w:szCs w:val="24"/>
        </w:rPr>
        <w:t>supra</w:t>
      </w:r>
      <w:r>
        <w:t xml:space="preserve"> note </w:t>
      </w:r>
      <w:r>
        <w:fldChar w:fldCharType="begin"/>
      </w:r>
      <w:r>
        <w:instrText xml:space="preserve"> NOTEREF _Ref199566818 \h </w:instrText>
      </w:r>
      <w:r>
        <w:fldChar w:fldCharType="separate"/>
      </w:r>
      <w:r>
        <w:t>40</w:t>
      </w:r>
      <w:r>
        <w:fldChar w:fldCharType="end"/>
      </w:r>
      <w:r>
        <w:t xml:space="preserve">, ¶¶ 3.47-3.52, 4.19 (noting that whenever sophisticated consumers benefit from the exploitation of </w:t>
      </w:r>
      <w:r>
        <w:rPr>
          <w:rFonts w:hint="eastAsia"/>
        </w:rPr>
        <w:t>naïve</w:t>
      </w:r>
      <w:r>
        <w:t xml:space="preserve"> consumers, firms will have no incentive to </w:t>
      </w:r>
      <w:proofErr w:type="spellStart"/>
      <w:r>
        <w:t>debias</w:t>
      </w:r>
      <w:proofErr w:type="spellEnd"/>
      <w:r>
        <w:t>)</w:t>
      </w:r>
      <w:proofErr w:type="gramStart"/>
      <w:r>
        <w:t>;</w:t>
      </w:r>
      <w:proofErr w:type="gramEnd"/>
      <w:r>
        <w:t xml:space="preserve"> </w:t>
      </w:r>
      <w:proofErr w:type="spellStart"/>
      <w:r>
        <w:t>Gabaix</w:t>
      </w:r>
      <w:proofErr w:type="spellEnd"/>
      <w:r>
        <w:t xml:space="preserve"> &amp; </w:t>
      </w:r>
      <w:proofErr w:type="spellStart"/>
      <w:r>
        <w:t>Laibson</w:t>
      </w:r>
      <w:proofErr w:type="spellEnd"/>
      <w:r>
        <w:t xml:space="preserve">, </w:t>
      </w:r>
      <w:r>
        <w:rPr>
          <w:i/>
          <w:color w:val="000000"/>
          <w:szCs w:val="24"/>
        </w:rPr>
        <w:t>supra</w:t>
      </w:r>
      <w:r>
        <w:t xml:space="preserve"> note </w:t>
      </w:r>
      <w:r>
        <w:fldChar w:fldCharType="begin"/>
      </w:r>
      <w:r>
        <w:instrText xml:space="preserve"> NOTEREF _Ref199567250 \h </w:instrText>
      </w:r>
      <w:r>
        <w:fldChar w:fldCharType="separate"/>
      </w:r>
      <w:r>
        <w:t>44</w:t>
      </w:r>
      <w:r>
        <w:fldChar w:fldCharType="end"/>
      </w:r>
      <w:r>
        <w:t xml:space="preserve">, at 507-09, 517-20 (discussing and modeling the </w:t>
      </w:r>
      <w:r>
        <w:rPr>
          <w:rFonts w:hint="eastAsia"/>
        </w:rPr>
        <w:t>“</w:t>
      </w:r>
      <w:r>
        <w:t xml:space="preserve">curse of </w:t>
      </w:r>
      <w:proofErr w:type="spellStart"/>
      <w:r>
        <w:t>debiasing</w:t>
      </w:r>
      <w:proofErr w:type="spellEnd"/>
      <w:r>
        <w:rPr>
          <w:rFonts w:hint="eastAsia"/>
        </w:rPr>
        <w:t>”</w:t>
      </w:r>
      <w:r>
        <w:t>).</w:t>
      </w:r>
    </w:p>
  </w:footnote>
  <w:footnote w:id="100">
    <w:p w14:paraId="78C60F93" w14:textId="77777777" w:rsidR="00055A31" w:rsidRDefault="00055A31" w:rsidP="0050262C">
      <w:pPr>
        <w:pStyle w:val="FootnoteText"/>
      </w:pPr>
      <w:r>
        <w:rPr>
          <w:rStyle w:val="FootnoteReference"/>
        </w:rPr>
        <w:footnoteRef/>
      </w:r>
      <w:r>
        <w:t xml:space="preserve"> </w:t>
      </w:r>
      <w:r>
        <w:tab/>
      </w:r>
      <w:r w:rsidRPr="002502F9">
        <w:rPr>
          <w:i/>
        </w:rPr>
        <w:t>See</w:t>
      </w:r>
      <w:r w:rsidRPr="002502F9">
        <w:t xml:space="preserve">, </w:t>
      </w:r>
      <w:r w:rsidRPr="002502F9">
        <w:rPr>
          <w:i/>
        </w:rPr>
        <w:t>e.g</w:t>
      </w:r>
      <w:r w:rsidRPr="002502F9">
        <w:t xml:space="preserve">., </w:t>
      </w:r>
      <w:r>
        <w:t xml:space="preserve">US </w:t>
      </w:r>
      <w:r w:rsidRPr="00267DD4">
        <w:t xml:space="preserve">Merger Guidelines, </w:t>
      </w:r>
      <w:r w:rsidRPr="00267DD4">
        <w:rPr>
          <w:i/>
          <w:color w:val="000000"/>
          <w:szCs w:val="24"/>
        </w:rPr>
        <w:t>supra</w:t>
      </w:r>
      <w:r w:rsidRPr="00267DD4">
        <w:t xml:space="preserve"> note</w:t>
      </w:r>
      <w:r>
        <w:t xml:space="preserve"> </w:t>
      </w:r>
      <w:r>
        <w:fldChar w:fldCharType="begin"/>
      </w:r>
      <w:r>
        <w:instrText xml:space="preserve"> NOTEREF _Ref199566463 \h </w:instrText>
      </w:r>
      <w:r>
        <w:fldChar w:fldCharType="separate"/>
      </w:r>
      <w:r>
        <w:t>32</w:t>
      </w:r>
      <w:r>
        <w:fldChar w:fldCharType="end"/>
      </w:r>
      <w:r w:rsidRPr="00267DD4">
        <w:t>, at</w:t>
      </w:r>
      <w:r w:rsidRPr="002502F9">
        <w:t xml:space="preserve"> § 7.2 (noting how the market is more vulnerable to coordinated conduct if a firm that first offers a lower price or improved product to customers will retain relatively few customers after its rivals respond).</w:t>
      </w:r>
    </w:p>
  </w:footnote>
  <w:footnote w:id="101">
    <w:p w14:paraId="61506459" w14:textId="77777777" w:rsidR="00055A31" w:rsidRDefault="00055A31" w:rsidP="0050262C">
      <w:pPr>
        <w:pStyle w:val="FootnoteText"/>
      </w:pPr>
      <w:r>
        <w:rPr>
          <w:rStyle w:val="FootnoteReference"/>
        </w:rPr>
        <w:footnoteRef/>
      </w:r>
      <w:r>
        <w:t xml:space="preserve"> </w:t>
      </w:r>
      <w:r>
        <w:tab/>
      </w:r>
      <w:r w:rsidRPr="00CD7746">
        <w:rPr>
          <w:szCs w:val="24"/>
        </w:rPr>
        <w:t>Rational firms</w:t>
      </w:r>
      <w:r>
        <w:rPr>
          <w:szCs w:val="24"/>
        </w:rPr>
        <w:t>,</w:t>
      </w:r>
      <w:r w:rsidRPr="00CD7746">
        <w:rPr>
          <w:szCs w:val="24"/>
        </w:rPr>
        <w:t xml:space="preserve"> </w:t>
      </w:r>
      <w:r>
        <w:rPr>
          <w:szCs w:val="24"/>
        </w:rPr>
        <w:t xml:space="preserve">for example, </w:t>
      </w:r>
      <w:r w:rsidRPr="00CD7746">
        <w:rPr>
          <w:szCs w:val="24"/>
        </w:rPr>
        <w:t>can dampen investors’ speculation (e.g., buying a company’s stock on the hope that past price increases will continue with future price increases).</w:t>
      </w:r>
      <w:r>
        <w:rPr>
          <w:szCs w:val="24"/>
        </w:rPr>
        <w:t xml:space="preserve"> </w:t>
      </w:r>
      <w:r>
        <w:t xml:space="preserve">Another form of behavioral exploitation </w:t>
      </w:r>
      <w:proofErr w:type="gramStart"/>
      <w:r>
        <w:t>are</w:t>
      </w:r>
      <w:proofErr w:type="gramEnd"/>
      <w:r>
        <w:t xml:space="preserve"> p</w:t>
      </w:r>
      <w:r w:rsidRPr="005D2D44">
        <w:t>redictions markets</w:t>
      </w:r>
      <w:r>
        <w:t xml:space="preserve">, which </w:t>
      </w:r>
      <w:r w:rsidRPr="005D2D44">
        <w:t>typically involve a defined event (e.g., the winner of the US presidential elections) and end date when all bets are settled.  Some may be overly optimistic about their predicted outcome. Rational investors can exploit this optimism, and the prediction market as a result can yield remarkably accurate predictions</w:t>
      </w:r>
      <w:r>
        <w:t xml:space="preserve">. </w:t>
      </w:r>
      <w:r>
        <w:rPr>
          <w:rFonts w:hint="eastAsia"/>
        </w:rPr>
        <w:t xml:space="preserve">Colin F. </w:t>
      </w:r>
      <w:proofErr w:type="spellStart"/>
      <w:r w:rsidRPr="005D2D44">
        <w:t>Camerer</w:t>
      </w:r>
      <w:proofErr w:type="spellEnd"/>
      <w:r w:rsidRPr="005D2D44">
        <w:t xml:space="preserve"> &amp; </w:t>
      </w:r>
      <w:r>
        <w:t xml:space="preserve">Ernst </w:t>
      </w:r>
      <w:r w:rsidRPr="005D2D44">
        <w:t xml:space="preserve">Fehr, </w:t>
      </w:r>
      <w:r w:rsidRPr="005D2D44">
        <w:rPr>
          <w:i/>
        </w:rPr>
        <w:t xml:space="preserve">When Does </w:t>
      </w:r>
      <w:r w:rsidRPr="005D2D44">
        <w:rPr>
          <w:rFonts w:hint="eastAsia"/>
          <w:i/>
        </w:rPr>
        <w:t>“</w:t>
      </w:r>
      <w:r w:rsidRPr="005D2D44">
        <w:rPr>
          <w:i/>
        </w:rPr>
        <w:t>Economic Man</w:t>
      </w:r>
      <w:r w:rsidRPr="005D2D44">
        <w:rPr>
          <w:rFonts w:hint="eastAsia"/>
          <w:i/>
        </w:rPr>
        <w:t>”</w:t>
      </w:r>
      <w:r w:rsidRPr="005D2D44">
        <w:rPr>
          <w:i/>
        </w:rPr>
        <w:t xml:space="preserve"> Dominate Social Behavior</w:t>
      </w:r>
      <w:proofErr w:type="gramStart"/>
      <w:r w:rsidRPr="005D2D44">
        <w:rPr>
          <w:i/>
        </w:rPr>
        <w:t>?</w:t>
      </w:r>
      <w:r w:rsidRPr="005D2D44">
        <w:t>,</w:t>
      </w:r>
      <w:proofErr w:type="gramEnd"/>
      <w:r w:rsidRPr="005D2D44">
        <w:t xml:space="preserve"> </w:t>
      </w:r>
      <w:r>
        <w:rPr>
          <w:smallCaps/>
        </w:rPr>
        <w:t>Science</w:t>
      </w:r>
      <w:r w:rsidRPr="005D2D44">
        <w:t xml:space="preserve">, Jan. 6, 2006, at </w:t>
      </w:r>
      <w:r>
        <w:t>52</w:t>
      </w:r>
      <w:r w:rsidRPr="005D2D44">
        <w:t>.</w:t>
      </w:r>
    </w:p>
  </w:footnote>
  <w:footnote w:id="102">
    <w:p w14:paraId="6426A48A" w14:textId="77777777" w:rsidR="00055A31" w:rsidRPr="002502F9" w:rsidRDefault="00055A31" w:rsidP="0050262C">
      <w:pPr>
        <w:pStyle w:val="FootnoteText"/>
      </w:pPr>
      <w:r w:rsidRPr="002502F9">
        <w:rPr>
          <w:rStyle w:val="FootnoteReference"/>
        </w:rPr>
        <w:footnoteRef/>
      </w:r>
      <w:r w:rsidRPr="002502F9">
        <w:t xml:space="preserve"> </w:t>
      </w:r>
      <w:r>
        <w:tab/>
      </w:r>
      <w:r w:rsidRPr="007505AF">
        <w:rPr>
          <w:spacing w:val="-3"/>
        </w:rPr>
        <w:t xml:space="preserve">The European Commission, for example, challenged Microsoft for bundling or tying its web browser, Internet Explorer, to its dominant client personal computer operating system, Windows.  Press Release, European </w:t>
      </w:r>
      <w:proofErr w:type="spellStart"/>
      <w:r w:rsidRPr="007505AF">
        <w:rPr>
          <w:spacing w:val="-3"/>
        </w:rPr>
        <w:t>Comm’n</w:t>
      </w:r>
      <w:proofErr w:type="spellEnd"/>
      <w:r w:rsidRPr="007505AF">
        <w:rPr>
          <w:spacing w:val="-3"/>
        </w:rPr>
        <w:t xml:space="preserve">, Antitrust: Commission Welcomes Microsoft’s Roll-Out of Web Browser Choice (Mar. 2, 2010), </w:t>
      </w:r>
      <w:hyperlink r:id="rId13" w:history="1">
        <w:r w:rsidRPr="00D46423">
          <w:rPr>
            <w:rStyle w:val="Hyperlink"/>
            <w:spacing w:val="-5"/>
          </w:rPr>
          <w:t>http://europa.eu/rapid/pressReleasesAction.do?reference=IP/10/216&amp;format=HTML&amp;aged=0&amp;language=EN</w:t>
        </w:r>
      </w:hyperlink>
      <w:r w:rsidRPr="00566119">
        <w:rPr>
          <w:spacing w:val="-2"/>
        </w:rPr>
        <w:t>.</w:t>
      </w:r>
      <w:r>
        <w:t xml:space="preserve"> </w:t>
      </w:r>
      <w:r w:rsidRPr="002502F9">
        <w:t>Before the settlement, consumers who used Windows had Microsoft’s Internet Explorer as their default web browser.  Although consumers could download other browsers, many did not, a function not attributable necessarily to the superiority of Microsoft’s browser but status quo bias.  As part of its settlement, Microsoft now provides consumers a Browser Choice Screen. Rather than having one Internet browser as the default, computer users choose the browser they want from the competing web browsers listed on the screen.</w:t>
      </w:r>
    </w:p>
  </w:footnote>
  <w:footnote w:id="103">
    <w:p w14:paraId="398325CA" w14:textId="77777777" w:rsidR="00055A31" w:rsidRDefault="00055A31" w:rsidP="0050262C">
      <w:pPr>
        <w:pStyle w:val="FootnoteText"/>
      </w:pPr>
      <w:r>
        <w:rPr>
          <w:rStyle w:val="FootnoteReference"/>
        </w:rPr>
        <w:footnoteRef/>
      </w:r>
      <w:r>
        <w:t xml:space="preserve"> </w:t>
      </w:r>
      <w:r>
        <w:tab/>
        <w:t xml:space="preserve">OECD Toolkit, </w:t>
      </w:r>
      <w:r>
        <w:rPr>
          <w:i/>
          <w:color w:val="000000"/>
          <w:szCs w:val="24"/>
        </w:rPr>
        <w:t>supra</w:t>
      </w:r>
      <w:r>
        <w:t xml:space="preserve"> note </w:t>
      </w:r>
      <w:r>
        <w:fldChar w:fldCharType="begin"/>
      </w:r>
      <w:r>
        <w:instrText xml:space="preserve"> NOTEREF _Ref199573297 \h </w:instrText>
      </w:r>
      <w:r>
        <w:fldChar w:fldCharType="separate"/>
      </w:r>
      <w:r>
        <w:t>26</w:t>
      </w:r>
      <w:r>
        <w:fldChar w:fldCharType="end"/>
      </w:r>
      <w:r>
        <w:t>, at 87</w:t>
      </w:r>
      <w:proofErr w:type="gramStart"/>
      <w:r>
        <w:t>;</w:t>
      </w:r>
      <w:proofErr w:type="gramEnd"/>
      <w:r>
        <w:t xml:space="preserve"> Colin </w:t>
      </w:r>
      <w:proofErr w:type="spellStart"/>
      <w:r w:rsidRPr="00606682">
        <w:rPr>
          <w:rFonts w:eastAsiaTheme="minorHAnsi"/>
          <w:color w:val="000000"/>
        </w:rPr>
        <w:t>Camerer</w:t>
      </w:r>
      <w:proofErr w:type="spellEnd"/>
      <w:r>
        <w:rPr>
          <w:rFonts w:eastAsiaTheme="minorHAnsi"/>
          <w:color w:val="000000"/>
        </w:rPr>
        <w:t xml:space="preserve"> et al.</w:t>
      </w:r>
      <w:r w:rsidRPr="00606682">
        <w:rPr>
          <w:rFonts w:eastAsiaTheme="minorHAnsi"/>
          <w:color w:val="000000"/>
        </w:rPr>
        <w:t xml:space="preserve">, </w:t>
      </w:r>
      <w:r w:rsidRPr="00606682">
        <w:rPr>
          <w:rFonts w:eastAsiaTheme="minorHAnsi"/>
          <w:i/>
          <w:color w:val="000000"/>
        </w:rPr>
        <w:t>Regulation for Conservatives: Behavioral Economics &amp; the Case for ‘Asymmetric Paternalism’</w:t>
      </w:r>
      <w:r w:rsidRPr="00606682">
        <w:rPr>
          <w:rFonts w:eastAsiaTheme="minorHAnsi"/>
          <w:color w:val="000000"/>
        </w:rPr>
        <w:t xml:space="preserve">, 151 </w:t>
      </w:r>
      <w:r w:rsidRPr="00606682">
        <w:rPr>
          <w:rFonts w:eastAsiaTheme="minorHAnsi"/>
          <w:iCs/>
          <w:smallCaps/>
          <w:color w:val="000000"/>
        </w:rPr>
        <w:t>U</w:t>
      </w:r>
      <w:r>
        <w:rPr>
          <w:rFonts w:eastAsiaTheme="minorHAnsi"/>
          <w:iCs/>
          <w:smallCaps/>
          <w:color w:val="000000"/>
        </w:rPr>
        <w:t>.</w:t>
      </w:r>
      <w:r w:rsidRPr="00606682">
        <w:rPr>
          <w:rFonts w:eastAsiaTheme="minorHAnsi"/>
          <w:iCs/>
          <w:smallCaps/>
          <w:color w:val="000000"/>
        </w:rPr>
        <w:t xml:space="preserve"> P</w:t>
      </w:r>
      <w:r>
        <w:rPr>
          <w:rFonts w:eastAsiaTheme="minorHAnsi"/>
          <w:iCs/>
          <w:smallCaps/>
          <w:color w:val="000000"/>
        </w:rPr>
        <w:t>a.</w:t>
      </w:r>
      <w:r w:rsidRPr="00606682">
        <w:rPr>
          <w:rFonts w:eastAsiaTheme="minorHAnsi"/>
          <w:iCs/>
          <w:smallCaps/>
          <w:color w:val="000000"/>
        </w:rPr>
        <w:t xml:space="preserve"> L. Rev.</w:t>
      </w:r>
      <w:r w:rsidRPr="00606682">
        <w:rPr>
          <w:rFonts w:eastAsiaTheme="minorHAnsi"/>
          <w:iCs/>
          <w:color w:val="000000"/>
        </w:rPr>
        <w:t xml:space="preserve"> 1</w:t>
      </w:r>
      <w:r w:rsidRPr="00606682">
        <w:rPr>
          <w:rFonts w:eastAsiaTheme="minorHAnsi"/>
          <w:color w:val="000000"/>
        </w:rPr>
        <w:t xml:space="preserve">211, 1231 (2003) (“Since low probabilities are so difficult to represent cognitively, it may help to use graphical devices, metaphors (imagine choosing one </w:t>
      </w:r>
      <w:proofErr w:type="spellStart"/>
      <w:r w:rsidRPr="00606682">
        <w:rPr>
          <w:rFonts w:eastAsiaTheme="minorHAnsi"/>
          <w:color w:val="000000"/>
        </w:rPr>
        <w:t>ping-pong</w:t>
      </w:r>
      <w:proofErr w:type="spellEnd"/>
      <w:r w:rsidRPr="00606682">
        <w:rPr>
          <w:rFonts w:eastAsiaTheme="minorHAnsi"/>
          <w:color w:val="000000"/>
        </w:rPr>
        <w:t xml:space="preserve"> ball out of a large swimming pool filled with balls), or relative-odds comparisons (winning the lottery is about as likely as being struck by lightning in the next week).”).</w:t>
      </w:r>
    </w:p>
  </w:footnote>
  <w:footnote w:id="104">
    <w:p w14:paraId="774D802F" w14:textId="77777777" w:rsidR="00055A31" w:rsidRDefault="00055A31" w:rsidP="0050262C">
      <w:pPr>
        <w:pStyle w:val="FootnoteText"/>
      </w:pPr>
      <w:r>
        <w:rPr>
          <w:rStyle w:val="FootnoteReference"/>
        </w:rPr>
        <w:footnoteRef/>
      </w:r>
      <w:r>
        <w:t xml:space="preserve"> </w:t>
      </w:r>
      <w:r>
        <w:tab/>
      </w:r>
      <w:r w:rsidRPr="00647D70">
        <w:rPr>
          <w:rFonts w:eastAsia="Calibri"/>
          <w:i/>
        </w:rPr>
        <w:t xml:space="preserve">See </w:t>
      </w:r>
      <w:r>
        <w:t xml:space="preserve">OECD Toolkit, </w:t>
      </w:r>
      <w:r>
        <w:rPr>
          <w:i/>
          <w:color w:val="000000"/>
          <w:szCs w:val="24"/>
        </w:rPr>
        <w:t>supra</w:t>
      </w:r>
      <w:r>
        <w:t xml:space="preserve"> note </w:t>
      </w:r>
      <w:r>
        <w:fldChar w:fldCharType="begin"/>
      </w:r>
      <w:r>
        <w:instrText xml:space="preserve"> NOTEREF _Ref199573297 \h </w:instrText>
      </w:r>
      <w:r>
        <w:fldChar w:fldCharType="separate"/>
      </w:r>
      <w:r>
        <w:t>26</w:t>
      </w:r>
      <w:r>
        <w:fldChar w:fldCharType="end"/>
      </w:r>
      <w:r>
        <w:t xml:space="preserve">, at 89; </w:t>
      </w:r>
      <w:r w:rsidRPr="00647D70">
        <w:t xml:space="preserve">Rule Concerning Cooling-Off Period for Sales Made at Homes or at Certain Other Locations, 16 C.F.R. Part 429 (2011); </w:t>
      </w:r>
      <w:proofErr w:type="spellStart"/>
      <w:r w:rsidRPr="00647D70">
        <w:rPr>
          <w:rFonts w:eastAsia="Calibri"/>
        </w:rPr>
        <w:t>Camerer</w:t>
      </w:r>
      <w:proofErr w:type="spellEnd"/>
      <w:r w:rsidRPr="00647D70">
        <w:rPr>
          <w:rFonts w:eastAsia="Calibri"/>
        </w:rPr>
        <w:t xml:space="preserve"> et al., </w:t>
      </w:r>
      <w:r w:rsidRPr="00647D70">
        <w:rPr>
          <w:rFonts w:eastAsia="Calibri"/>
          <w:i/>
          <w:color w:val="000000"/>
          <w:szCs w:val="24"/>
        </w:rPr>
        <w:t>supra</w:t>
      </w:r>
      <w:r w:rsidRPr="00647D70">
        <w:rPr>
          <w:rFonts w:eastAsia="Calibri"/>
        </w:rPr>
        <w:t xml:space="preserve"> note</w:t>
      </w:r>
      <w:r>
        <w:rPr>
          <w:rFonts w:eastAsia="Calibri"/>
        </w:rPr>
        <w:t xml:space="preserve"> </w:t>
      </w:r>
      <w:r>
        <w:rPr>
          <w:rFonts w:eastAsia="Calibri"/>
        </w:rPr>
        <w:fldChar w:fldCharType="begin"/>
      </w:r>
      <w:r>
        <w:rPr>
          <w:rFonts w:eastAsia="Calibri"/>
        </w:rPr>
        <w:instrText xml:space="preserve"> NOTEREF _Ref199573223 \h </w:instrText>
      </w:r>
      <w:r>
        <w:rPr>
          <w:rFonts w:eastAsia="Calibri"/>
        </w:rPr>
      </w:r>
      <w:r>
        <w:rPr>
          <w:rFonts w:eastAsia="Calibri"/>
        </w:rPr>
        <w:fldChar w:fldCharType="separate"/>
      </w:r>
      <w:r>
        <w:rPr>
          <w:rFonts w:eastAsia="Calibri"/>
        </w:rPr>
        <w:t>95</w:t>
      </w:r>
      <w:r>
        <w:rPr>
          <w:rFonts w:eastAsia="Calibri"/>
        </w:rPr>
        <w:fldChar w:fldCharType="end"/>
      </w:r>
      <w:r w:rsidRPr="00647D70">
        <w:rPr>
          <w:rFonts w:eastAsia="Calibri"/>
        </w:rPr>
        <w:t>, at 1241-44 (collecting federal and state cooling-off statutes)</w:t>
      </w:r>
      <w:r w:rsidRPr="00647D70">
        <w:t xml:space="preserve">; </w:t>
      </w:r>
      <w:r w:rsidRPr="00647D70">
        <w:rPr>
          <w:i/>
        </w:rPr>
        <w:t>see also</w:t>
      </w:r>
      <w:r w:rsidRPr="00647D70">
        <w:t xml:space="preserve"> Truth in Lending (Regulation Z), 12 C.F.R. § 226.15 (2011) (Regulation Z cooling-off period).  Consumers in an emotional, impulsive state can make unwise decisions that they later regret</w:t>
      </w:r>
      <w:r>
        <w:t>.</w:t>
      </w:r>
      <w:r>
        <w:rPr>
          <w:rStyle w:val="NoterefInText"/>
        </w:rPr>
        <w:t xml:space="preserve"> </w:t>
      </w:r>
      <w:proofErr w:type="spellStart"/>
      <w:r w:rsidRPr="00647D70">
        <w:t>Ariely</w:t>
      </w:r>
      <w:proofErr w:type="spellEnd"/>
      <w:r w:rsidRPr="00647D70">
        <w:t xml:space="preserve">, </w:t>
      </w:r>
      <w:r w:rsidRPr="00647D70">
        <w:rPr>
          <w:i/>
          <w:color w:val="000000"/>
          <w:szCs w:val="24"/>
        </w:rPr>
        <w:t>supra</w:t>
      </w:r>
      <w:r>
        <w:t xml:space="preserve"> note </w:t>
      </w:r>
      <w:r>
        <w:fldChar w:fldCharType="begin"/>
      </w:r>
      <w:r>
        <w:instrText xml:space="preserve"> NOTEREF _Ref199566894 \h </w:instrText>
      </w:r>
      <w:r>
        <w:fldChar w:fldCharType="separate"/>
      </w:r>
      <w:r>
        <w:t>71</w:t>
      </w:r>
      <w:r>
        <w:fldChar w:fldCharType="end"/>
      </w:r>
      <w:r>
        <w:t>, at 89-126</w:t>
      </w:r>
      <w:r w:rsidRPr="00647D70">
        <w:t xml:space="preserve">.  From a behavioral economics perspective, the effectiveness of cooling off periods is mixed.  On the one hand, consumers, upon reflection, can reconsider a purchase, especially one involving high-pressure sale tactics.  On the other hand, the more time one has to complete a task, the behavioral economics literature suggests, the greater the likelihood one will procrastinate and not complete that task. </w:t>
      </w:r>
      <w:r w:rsidRPr="00647D70">
        <w:rPr>
          <w:i/>
        </w:rPr>
        <w:t>See, e.g.</w:t>
      </w:r>
      <w:r w:rsidRPr="00647D70">
        <w:t xml:space="preserve">, Dan </w:t>
      </w:r>
      <w:proofErr w:type="spellStart"/>
      <w:r w:rsidRPr="00647D70">
        <w:t>Ariely</w:t>
      </w:r>
      <w:proofErr w:type="spellEnd"/>
      <w:r w:rsidRPr="00647D70">
        <w:t xml:space="preserve"> &amp; Klaus </w:t>
      </w:r>
      <w:proofErr w:type="spellStart"/>
      <w:r w:rsidRPr="00647D70">
        <w:t>Wertenbroch</w:t>
      </w:r>
      <w:proofErr w:type="spellEnd"/>
      <w:r w:rsidRPr="00647D70">
        <w:t xml:space="preserve">, </w:t>
      </w:r>
      <w:r w:rsidRPr="00647D70">
        <w:rPr>
          <w:i/>
        </w:rPr>
        <w:t xml:space="preserve">Procrastination, Deadlines, and Performance: Self-Control by </w:t>
      </w:r>
      <w:proofErr w:type="spellStart"/>
      <w:r w:rsidRPr="00647D70">
        <w:rPr>
          <w:i/>
        </w:rPr>
        <w:t>Precommitment</w:t>
      </w:r>
      <w:proofErr w:type="spellEnd"/>
      <w:r w:rsidRPr="00647D70">
        <w:t xml:space="preserve">, 13 </w:t>
      </w:r>
      <w:r w:rsidRPr="00647D70">
        <w:rPr>
          <w:iCs/>
          <w:smallCaps/>
        </w:rPr>
        <w:t xml:space="preserve">Psychol. </w:t>
      </w:r>
      <w:r>
        <w:rPr>
          <w:iCs/>
          <w:smallCaps/>
        </w:rPr>
        <w:t>Science</w:t>
      </w:r>
      <w:r w:rsidRPr="00647D70">
        <w:rPr>
          <w:iCs/>
          <w:smallCaps/>
        </w:rPr>
        <w:t xml:space="preserve"> </w:t>
      </w:r>
      <w:r w:rsidRPr="00647D70">
        <w:t xml:space="preserve">219, 219-24 (2002); Amos </w:t>
      </w:r>
      <w:proofErr w:type="spellStart"/>
      <w:r w:rsidRPr="00647D70">
        <w:t>Tversky</w:t>
      </w:r>
      <w:proofErr w:type="spellEnd"/>
      <w:r w:rsidRPr="00647D70">
        <w:t xml:space="preserve"> &amp; </w:t>
      </w:r>
      <w:proofErr w:type="spellStart"/>
      <w:r w:rsidRPr="00647D70">
        <w:t>Eldar</w:t>
      </w:r>
      <w:proofErr w:type="spellEnd"/>
      <w:r w:rsidRPr="00647D70">
        <w:t xml:space="preserve"> </w:t>
      </w:r>
      <w:proofErr w:type="spellStart"/>
      <w:r w:rsidRPr="00647D70">
        <w:t>Shafir</w:t>
      </w:r>
      <w:proofErr w:type="spellEnd"/>
      <w:r w:rsidRPr="00647D70">
        <w:t xml:space="preserve">, </w:t>
      </w:r>
      <w:r w:rsidRPr="00647D70">
        <w:rPr>
          <w:i/>
        </w:rPr>
        <w:t>Choice Under Conflict: The Dynamics of Deferred Decisions</w:t>
      </w:r>
      <w:r w:rsidRPr="00647D70">
        <w:t xml:space="preserve">, 3 </w:t>
      </w:r>
      <w:r w:rsidRPr="00647D70">
        <w:rPr>
          <w:smallCaps/>
        </w:rPr>
        <w:t xml:space="preserve">Psychol. </w:t>
      </w:r>
      <w:r>
        <w:rPr>
          <w:smallCaps/>
        </w:rPr>
        <w:t>Science</w:t>
      </w:r>
      <w:r w:rsidRPr="00647D70">
        <w:t xml:space="preserve"> 358 (1992). For example, a customer’s likelihood of redeeming a rebate may be inversely proportional to the rebate period’s length. Matthew A. Edwards, </w:t>
      </w:r>
      <w:r w:rsidRPr="00647D70">
        <w:rPr>
          <w:i/>
        </w:rPr>
        <w:t>The Law, Marketing and Behavioral Economics of Consumer Rebates</w:t>
      </w:r>
      <w:r w:rsidRPr="00647D70">
        <w:t xml:space="preserve">, 12 </w:t>
      </w:r>
      <w:r w:rsidRPr="00647D70">
        <w:rPr>
          <w:smallCaps/>
        </w:rPr>
        <w:t>Stan. J.L. Bus. &amp; Fin.</w:t>
      </w:r>
      <w:r w:rsidRPr="00647D70">
        <w:t xml:space="preserve"> 362, 391-95 (2007)</w:t>
      </w:r>
      <w:proofErr w:type="gramStart"/>
      <w:r w:rsidRPr="00647D70">
        <w:t>;</w:t>
      </w:r>
      <w:proofErr w:type="gramEnd"/>
      <w:r w:rsidRPr="00647D70">
        <w:t xml:space="preserve"> </w:t>
      </w:r>
      <w:r w:rsidRPr="00647D70">
        <w:rPr>
          <w:i/>
        </w:rPr>
        <w:t xml:space="preserve">see also </w:t>
      </w:r>
      <w:r w:rsidRPr="00647D70">
        <w:t xml:space="preserve">Virginia </w:t>
      </w:r>
      <w:proofErr w:type="spellStart"/>
      <w:r w:rsidRPr="00647D70">
        <w:t>Postrel</w:t>
      </w:r>
      <w:proofErr w:type="spellEnd"/>
      <w:r w:rsidRPr="00647D70">
        <w:t xml:space="preserve">, </w:t>
      </w:r>
      <w:r w:rsidRPr="00647D70">
        <w:rPr>
          <w:i/>
        </w:rPr>
        <w:t>The Gift-Card Economy</w:t>
      </w:r>
      <w:r w:rsidRPr="00647D70">
        <w:t xml:space="preserve">, </w:t>
      </w:r>
      <w:r w:rsidRPr="00647D70">
        <w:rPr>
          <w:smallCaps/>
        </w:rPr>
        <w:t>The Atlantic (</w:t>
      </w:r>
      <w:r w:rsidRPr="00647D70">
        <w:t>May 2009),</w:t>
      </w:r>
      <w:r w:rsidRPr="00647D70">
        <w:rPr>
          <w:i/>
        </w:rPr>
        <w:t xml:space="preserve"> </w:t>
      </w:r>
      <w:r w:rsidRPr="00647D70">
        <w:t>http://www.theatlantic.com/magazine/archive/2009/05/the-gift-card-economy/7372/ (noting the longer the expiration period, the less likely one will redeem gift card).</w:t>
      </w:r>
    </w:p>
  </w:footnote>
  <w:footnote w:id="105">
    <w:p w14:paraId="733B880D" w14:textId="77777777" w:rsidR="00055A31" w:rsidRPr="002502F9" w:rsidRDefault="00055A31" w:rsidP="0050262C">
      <w:pPr>
        <w:pStyle w:val="FootnoteText"/>
      </w:pPr>
      <w:r w:rsidRPr="002502F9">
        <w:rPr>
          <w:rStyle w:val="FootnoteReference"/>
        </w:rPr>
        <w:footnoteRef/>
      </w:r>
      <w:r w:rsidRPr="002502F9">
        <w:t xml:space="preserve"> </w:t>
      </w:r>
      <w:r>
        <w:tab/>
      </w:r>
      <w:r w:rsidRPr="002502F9">
        <w:t>When the estimated social value of the firms’ behavior is below its private value, the government can tax the firm the difference.  The tax seeks to prevent firms from unjustly enriching themselves from their behavioral exploitation.  For example, revenues from payday lending that come from APRs above a certain level would be taxed at higher rates.  Credit card revenues earned from late fees would be taxed at higher rates than revenue from annual fees.</w:t>
      </w:r>
    </w:p>
  </w:footnote>
  <w:footnote w:id="106">
    <w:p w14:paraId="4DDF5A06" w14:textId="77777777" w:rsidR="00055A31" w:rsidRDefault="00055A31" w:rsidP="0050262C">
      <w:pPr>
        <w:pStyle w:val="FootnoteText"/>
      </w:pPr>
      <w:r>
        <w:rPr>
          <w:rStyle w:val="FootnoteReference"/>
        </w:rPr>
        <w:footnoteRef/>
      </w:r>
      <w:r>
        <w:t xml:space="preserve"> </w:t>
      </w:r>
      <w:r>
        <w:tab/>
      </w:r>
      <w:r w:rsidRPr="002502F9">
        <w:t xml:space="preserve">Financial literacy efforts have had mixed results. One study of Harvard undergraduate students and MBA students from Wharton, for example, found a “low absolute level of financial sophistication” with subjects basing choices on normatively irrelevant mutual fund attributes. James J. Choi et al., </w:t>
      </w:r>
      <w:r w:rsidRPr="002502F9">
        <w:rPr>
          <w:i/>
        </w:rPr>
        <w:t xml:space="preserve">Why Does the Law of One Price Fail? </w:t>
      </w:r>
      <w:proofErr w:type="gramStart"/>
      <w:r w:rsidRPr="002502F9">
        <w:rPr>
          <w:i/>
        </w:rPr>
        <w:t>An Experiment on Index Mutual Funds</w:t>
      </w:r>
      <w:r>
        <w:t xml:space="preserve">, 23 </w:t>
      </w:r>
      <w:r w:rsidRPr="0067648C">
        <w:rPr>
          <w:smallCaps/>
        </w:rPr>
        <w:t xml:space="preserve">Rev. </w:t>
      </w:r>
      <w:proofErr w:type="spellStart"/>
      <w:r w:rsidRPr="0067648C">
        <w:rPr>
          <w:smallCaps/>
        </w:rPr>
        <w:t>Financ</w:t>
      </w:r>
      <w:proofErr w:type="spellEnd"/>
      <w:r w:rsidRPr="0067648C">
        <w:rPr>
          <w:smallCaps/>
        </w:rPr>
        <w:t>.</w:t>
      </w:r>
      <w:proofErr w:type="gramEnd"/>
      <w:r w:rsidRPr="0067648C">
        <w:rPr>
          <w:smallCaps/>
        </w:rPr>
        <w:t xml:space="preserve"> Stud.</w:t>
      </w:r>
      <w:r w:rsidRPr="0067648C">
        <w:t xml:space="preserve"> </w:t>
      </w:r>
      <w:proofErr w:type="gramStart"/>
      <w:r w:rsidRPr="0067648C">
        <w:t>1405 (2010)</w:t>
      </w:r>
      <w:r>
        <w:t>.</w:t>
      </w:r>
      <w:proofErr w:type="gramEnd"/>
    </w:p>
  </w:footnote>
  <w:footnote w:id="107">
    <w:p w14:paraId="0C8D8966" w14:textId="77777777" w:rsidR="00055A31" w:rsidRDefault="00055A31" w:rsidP="0050262C">
      <w:pPr>
        <w:pStyle w:val="FootnoteText"/>
      </w:pPr>
      <w:r>
        <w:rPr>
          <w:rStyle w:val="FootnoteReference"/>
        </w:rPr>
        <w:footnoteRef/>
      </w:r>
      <w:r>
        <w:t xml:space="preserve"> </w:t>
      </w:r>
      <w:r>
        <w:tab/>
      </w:r>
      <w:r w:rsidRPr="002502F9">
        <w:t xml:space="preserve">One </w:t>
      </w:r>
      <w:r>
        <w:t xml:space="preserve">FTC </w:t>
      </w:r>
      <w:r w:rsidRPr="002502F9">
        <w:t xml:space="preserve">success was enabling consumers to easily opt-out of all unwanted telephone solicitations. </w:t>
      </w:r>
      <w:proofErr w:type="gramStart"/>
      <w:r w:rsidRPr="002502F9">
        <w:rPr>
          <w:i/>
        </w:rPr>
        <w:t>See, e.g</w:t>
      </w:r>
      <w:r w:rsidRPr="002502F9">
        <w:t>., Telemarketing Rules, 15 U.S.C. § 6102 (2006); National Do-Not-Call Registry, 16 C.F.R. § 310.4(b)(1)(iii)(B) (2011).</w:t>
      </w:r>
      <w:proofErr w:type="gramEnd"/>
      <w:r w:rsidRPr="002502F9">
        <w:t xml:space="preserve"> As of September 30, 2008, over 172.5 million telephone numbers were on the do-not-call list. </w:t>
      </w:r>
      <w:r w:rsidRPr="002502F9">
        <w:rPr>
          <w:i/>
        </w:rPr>
        <w:t>See also</w:t>
      </w:r>
      <w:r w:rsidRPr="002502F9">
        <w:t xml:space="preserve"> Do-Not-Call Improvement Act of 2007, Pub. L. No. 110-187, 122 Stat. 633 (2008) (telephone numbers placed on the National Do-Not-Call-Registry can remain on it permanently). The government, through a similar common listing service, can enable consumers to opt-out of home or mail solicitations (including credit card offerings) or easily block home-shopping cable stations. The government can increase consumers’ privacy rights to make it harder for firms to identify especially bounded rational consumers through their purchasing behavior.</w:t>
      </w:r>
    </w:p>
  </w:footnote>
  <w:footnote w:id="108">
    <w:p w14:paraId="2CDCD324" w14:textId="77777777" w:rsidR="00055A31" w:rsidRPr="002502F9" w:rsidRDefault="00055A31" w:rsidP="0050262C">
      <w:pPr>
        <w:pStyle w:val="FootnoteText"/>
      </w:pPr>
      <w:r w:rsidRPr="002502F9">
        <w:rPr>
          <w:rStyle w:val="FootnoteReference"/>
        </w:rPr>
        <w:footnoteRef/>
      </w:r>
      <w:r w:rsidRPr="002502F9">
        <w:t xml:space="preserve"> </w:t>
      </w:r>
      <w:r>
        <w:tab/>
      </w:r>
      <w:r w:rsidRPr="00B609A6">
        <w:t>Int</w:t>
      </w:r>
      <w:r w:rsidRPr="00B609A6">
        <w:rPr>
          <w:rFonts w:hint="eastAsia"/>
        </w:rPr>
        <w:t>’</w:t>
      </w:r>
      <w:r w:rsidRPr="00B609A6">
        <w:t>l Competition Network, Report on the Objectives of Unilateral Conduct Laws, Assessment of Dominance/Substantial Market Po</w:t>
      </w:r>
      <w:r>
        <w:t>wer, and State-</w:t>
      </w:r>
      <w:r w:rsidRPr="00B609A6">
        <w:t xml:space="preserve">Created Monopolies </w:t>
      </w:r>
      <w:r>
        <w:t xml:space="preserve">9 (2007), </w:t>
      </w:r>
      <w:hyperlink r:id="rId14" w:history="1">
        <w:r w:rsidRPr="00340D45">
          <w:rPr>
            <w:rStyle w:val="Hyperlink"/>
          </w:rPr>
          <w:t>http://www.internationalcompetitionnetwork.org/uploads/library/doc353.pdf</w:t>
        </w:r>
      </w:hyperlink>
      <w:r>
        <w:t xml:space="preserve"> </w:t>
      </w:r>
      <w:r w:rsidRPr="0067648C">
        <w:t>[hereinafter 2007 ICN Report]</w:t>
      </w:r>
      <w:r w:rsidRPr="00B609A6">
        <w:t>.</w:t>
      </w:r>
    </w:p>
  </w:footnote>
  <w:footnote w:id="109">
    <w:p w14:paraId="2E9CD1B0" w14:textId="77777777" w:rsidR="00055A31" w:rsidRPr="002502F9" w:rsidRDefault="00055A31" w:rsidP="0050262C">
      <w:pPr>
        <w:pStyle w:val="FootnoteText"/>
      </w:pPr>
      <w:r w:rsidRPr="002502F9">
        <w:rPr>
          <w:rStyle w:val="FootnoteReference"/>
        </w:rPr>
        <w:footnoteRef/>
      </w:r>
      <w:r w:rsidRPr="002502F9">
        <w:t xml:space="preserve"> </w:t>
      </w:r>
      <w:r>
        <w:tab/>
      </w:r>
      <w:r w:rsidRPr="002502F9">
        <w:t xml:space="preserve">European Commission, Report from the Commission, Report on Competition Policy 2010 5 (2011) [hereinafter EC Competition Report]. </w:t>
      </w:r>
    </w:p>
  </w:footnote>
  <w:footnote w:id="110">
    <w:p w14:paraId="51251CF6" w14:textId="77777777" w:rsidR="00055A31" w:rsidRDefault="00055A31" w:rsidP="0050262C">
      <w:pPr>
        <w:pStyle w:val="FootnoteText"/>
      </w:pPr>
      <w:r>
        <w:rPr>
          <w:rStyle w:val="FootnoteReference"/>
        </w:rPr>
        <w:footnoteRef/>
      </w:r>
      <w:r>
        <w:t xml:space="preserve"> </w:t>
      </w:r>
      <w:r>
        <w:tab/>
        <w:t xml:space="preserve">I discuss in greater detail the failed quest for a single economic antitrust goal in </w:t>
      </w:r>
      <w:r w:rsidRPr="00D43EA1">
        <w:rPr>
          <w:i/>
        </w:rPr>
        <w:t>Reconsidering Antitrust</w:t>
      </w:r>
      <w:r w:rsidRPr="00D43EA1">
        <w:rPr>
          <w:rFonts w:hint="eastAsia"/>
          <w:i/>
        </w:rPr>
        <w:t>’</w:t>
      </w:r>
      <w:r w:rsidRPr="00D43EA1">
        <w:rPr>
          <w:i/>
        </w:rPr>
        <w:t>s Goals</w:t>
      </w:r>
      <w:r w:rsidRPr="00D43EA1">
        <w:t xml:space="preserve">, 53 </w:t>
      </w:r>
      <w:r w:rsidRPr="00D43EA1">
        <w:rPr>
          <w:smallCaps/>
        </w:rPr>
        <w:t>Boston College L</w:t>
      </w:r>
      <w:r>
        <w:rPr>
          <w:smallCaps/>
        </w:rPr>
        <w:t>.</w:t>
      </w:r>
      <w:r w:rsidRPr="00D43EA1">
        <w:rPr>
          <w:smallCaps/>
        </w:rPr>
        <w:t xml:space="preserve"> Rev</w:t>
      </w:r>
      <w:r>
        <w:rPr>
          <w:smallCaps/>
        </w:rPr>
        <w:t>.</w:t>
      </w:r>
      <w:r w:rsidRPr="00D43EA1">
        <w:t xml:space="preserve"> 551 (2012)</w:t>
      </w:r>
      <w:r>
        <w:t>, and the implications of behavioral economics on antitrust</w:t>
      </w:r>
      <w:r>
        <w:rPr>
          <w:rFonts w:hint="eastAsia"/>
        </w:rPr>
        <w:t>’</w:t>
      </w:r>
      <w:r>
        <w:t xml:space="preserve">s goals in </w:t>
      </w:r>
      <w:r w:rsidRPr="00CB0179">
        <w:rPr>
          <w:i/>
        </w:rPr>
        <w:t>The Behavioral Antitrust Gambit</w:t>
      </w:r>
      <w:r w:rsidRPr="00CB0179">
        <w:t xml:space="preserve">, </w:t>
      </w:r>
      <w:r w:rsidRPr="00CB0179">
        <w:rPr>
          <w:i/>
        </w:rPr>
        <w:t>in</w:t>
      </w:r>
      <w:r w:rsidRPr="00CB0179">
        <w:t xml:space="preserve"> </w:t>
      </w:r>
      <w:r w:rsidRPr="00CB0179">
        <w:rPr>
          <w:smallCaps/>
        </w:rPr>
        <w:t xml:space="preserve">International Research Handbook </w:t>
      </w:r>
      <w:r>
        <w:rPr>
          <w:smallCaps/>
        </w:rPr>
        <w:t>o</w:t>
      </w:r>
      <w:r w:rsidRPr="00CB0179">
        <w:rPr>
          <w:smallCaps/>
        </w:rPr>
        <w:t>n Competition Law</w:t>
      </w:r>
      <w:r w:rsidRPr="00CB0179">
        <w:t xml:space="preserve"> (Ariel </w:t>
      </w:r>
      <w:proofErr w:type="spellStart"/>
      <w:r w:rsidRPr="00CB0179">
        <w:t>Ezrachi</w:t>
      </w:r>
      <w:proofErr w:type="spellEnd"/>
      <w:r w:rsidRPr="00CB0179">
        <w:t xml:space="preserve"> ed., Edward Elgar Publishing forthcoming 2012).</w:t>
      </w:r>
    </w:p>
  </w:footnote>
  <w:footnote w:id="111">
    <w:p w14:paraId="17D4E2E9" w14:textId="77777777" w:rsidR="00055A31" w:rsidRPr="002502F9" w:rsidRDefault="00055A31" w:rsidP="0050262C">
      <w:pPr>
        <w:pStyle w:val="FootnoteText"/>
      </w:pPr>
      <w:r w:rsidRPr="002502F9">
        <w:rPr>
          <w:rStyle w:val="FootnoteReference"/>
        </w:rPr>
        <w:footnoteRef/>
      </w:r>
      <w:r w:rsidRPr="002502F9">
        <w:t xml:space="preserve"> </w:t>
      </w:r>
      <w:r>
        <w:tab/>
        <w:t xml:space="preserve">2007 ICN Report, </w:t>
      </w:r>
      <w:r w:rsidRPr="0067648C">
        <w:rPr>
          <w:i/>
          <w:color w:val="000000"/>
          <w:szCs w:val="24"/>
        </w:rPr>
        <w:t>supra</w:t>
      </w:r>
      <w:r>
        <w:t xml:space="preserve"> note </w:t>
      </w:r>
      <w:r>
        <w:fldChar w:fldCharType="begin"/>
      </w:r>
      <w:r>
        <w:instrText xml:space="preserve"> NOTEREF _Ref199566979 \h </w:instrText>
      </w:r>
      <w:r>
        <w:fldChar w:fldCharType="separate"/>
      </w:r>
      <w:r>
        <w:t>100</w:t>
      </w:r>
      <w:r>
        <w:fldChar w:fldCharType="end"/>
      </w:r>
      <w:r>
        <w:t>, at Annex A</w:t>
      </w:r>
      <w:r w:rsidRPr="0067648C">
        <w:t>.</w:t>
      </w:r>
      <w:r>
        <w:t xml:space="preserve"> </w:t>
      </w:r>
    </w:p>
  </w:footnote>
  <w:footnote w:id="112">
    <w:p w14:paraId="5D11BA71" w14:textId="77777777" w:rsidR="00055A31" w:rsidRPr="002502F9" w:rsidRDefault="00055A31" w:rsidP="0050262C">
      <w:pPr>
        <w:pStyle w:val="FootnoteText"/>
      </w:pPr>
      <w:r w:rsidRPr="002502F9">
        <w:rPr>
          <w:rStyle w:val="FootnoteReference"/>
        </w:rPr>
        <w:footnoteRef/>
      </w:r>
      <w:r w:rsidRPr="002502F9">
        <w:t xml:space="preserve"> </w:t>
      </w:r>
      <w:r>
        <w:tab/>
      </w:r>
      <w:proofErr w:type="gramStart"/>
      <w:r w:rsidRPr="0014578E">
        <w:t>Int</w:t>
      </w:r>
      <w:r w:rsidRPr="0014578E">
        <w:rPr>
          <w:rFonts w:hint="eastAsia"/>
        </w:rPr>
        <w:t>’</w:t>
      </w:r>
      <w:r w:rsidRPr="0014578E">
        <w:t>l Competition Network, C</w:t>
      </w:r>
      <w:r>
        <w:t>ompetition Enforcement and Con</w:t>
      </w:r>
      <w:r w:rsidRPr="0014578E">
        <w:t>sumer Welfare</w:t>
      </w:r>
      <w:r w:rsidRPr="0014578E">
        <w:rPr>
          <w:rFonts w:hint="eastAsia"/>
        </w:rPr>
        <w:t>—</w:t>
      </w:r>
      <w:r w:rsidRPr="0014578E">
        <w:t xml:space="preserve">Setting the Agenda </w:t>
      </w:r>
      <w:r>
        <w:t xml:space="preserve">3 </w:t>
      </w:r>
      <w:r w:rsidRPr="0014578E">
        <w:t>(2011) [herei</w:t>
      </w:r>
      <w:r>
        <w:t xml:space="preserve">nafter 2011 ICN Survey] </w:t>
      </w:r>
      <w:r w:rsidRPr="002502F9">
        <w:t>(noting “connection between consumer welfare and the practical enforcement of competition law is not always straightforward” and “there may be a considerable gap between policy statements and practice”).</w:t>
      </w:r>
      <w:proofErr w:type="gramEnd"/>
    </w:p>
  </w:footnote>
  <w:footnote w:id="113">
    <w:p w14:paraId="0C2A6AEE" w14:textId="77777777" w:rsidR="00055A31" w:rsidRPr="002502F9" w:rsidRDefault="00055A31" w:rsidP="0050262C">
      <w:pPr>
        <w:pStyle w:val="FootnoteText"/>
      </w:pPr>
      <w:r w:rsidRPr="002502F9">
        <w:rPr>
          <w:rStyle w:val="FootnoteReference"/>
        </w:rPr>
        <w:footnoteRef/>
      </w:r>
      <w:r w:rsidRPr="002502F9">
        <w:t xml:space="preserve"> </w:t>
      </w:r>
      <w:r>
        <w:tab/>
      </w:r>
      <w:proofErr w:type="gramStart"/>
      <w:r w:rsidRPr="00CB0179">
        <w:rPr>
          <w:i/>
        </w:rPr>
        <w:t>Id</w:t>
      </w:r>
      <w:r w:rsidRPr="00CB0179">
        <w:t>.</w:t>
      </w:r>
      <w:r>
        <w:t xml:space="preserve"> at </w:t>
      </w:r>
      <w:r w:rsidRPr="002502F9">
        <w:rPr>
          <w:color w:val="000000"/>
        </w:rPr>
        <w:t>9.</w:t>
      </w:r>
      <w:proofErr w:type="gramEnd"/>
    </w:p>
  </w:footnote>
  <w:footnote w:id="114">
    <w:p w14:paraId="5254D2D3" w14:textId="77777777" w:rsidR="00055A31" w:rsidRPr="002502F9" w:rsidRDefault="00055A31" w:rsidP="0050262C">
      <w:pPr>
        <w:pStyle w:val="FootnoteText"/>
      </w:pPr>
      <w:r w:rsidRPr="002502F9">
        <w:rPr>
          <w:rStyle w:val="FootnoteReference"/>
        </w:rPr>
        <w:footnoteRef/>
      </w:r>
      <w:r w:rsidRPr="002502F9">
        <w:t xml:space="preserve"> </w:t>
      </w:r>
      <w:r>
        <w:tab/>
      </w:r>
      <w:proofErr w:type="gramStart"/>
      <w:r w:rsidRPr="002502F9">
        <w:t xml:space="preserve">Advocacy Working </w:t>
      </w:r>
      <w:proofErr w:type="spellStart"/>
      <w:r w:rsidRPr="002502F9">
        <w:t>Grp</w:t>
      </w:r>
      <w:proofErr w:type="spellEnd"/>
      <w:r>
        <w:t>.</w:t>
      </w:r>
      <w:r w:rsidRPr="002502F9">
        <w:t>, ICN, Advocacy and Competition Policy Report 32 (2002)</w:t>
      </w:r>
      <w:r>
        <w:t>, http://</w:t>
      </w:r>
      <w:r w:rsidRPr="002502F9">
        <w:t>wwwinternationalcompetitionnetworkorg/OutreachToolkit/media/assets/resources/advocacy_ report.pdf.</w:t>
      </w:r>
      <w:proofErr w:type="gramEnd"/>
    </w:p>
  </w:footnote>
  <w:footnote w:id="115">
    <w:p w14:paraId="1B28C27E" w14:textId="77777777" w:rsidR="00055A31" w:rsidRPr="002502F9" w:rsidRDefault="00055A31" w:rsidP="0050262C">
      <w:pPr>
        <w:pStyle w:val="FootnoteText"/>
      </w:pPr>
      <w:r w:rsidRPr="002502F9">
        <w:rPr>
          <w:rStyle w:val="FootnoteReference"/>
        </w:rPr>
        <w:footnoteRef/>
      </w:r>
      <w:r w:rsidRPr="002502F9">
        <w:t xml:space="preserve"> </w:t>
      </w:r>
      <w:r>
        <w:tab/>
      </w:r>
      <w:r w:rsidRPr="002502F9">
        <w:rPr>
          <w:color w:val="000000"/>
        </w:rPr>
        <w:t>R</w:t>
      </w:r>
      <w:r>
        <w:rPr>
          <w:color w:val="000000"/>
        </w:rPr>
        <w:t>.</w:t>
      </w:r>
      <w:r w:rsidRPr="002502F9">
        <w:rPr>
          <w:color w:val="000000"/>
        </w:rPr>
        <w:t>H</w:t>
      </w:r>
      <w:r>
        <w:rPr>
          <w:color w:val="000000"/>
        </w:rPr>
        <w:t xml:space="preserve">. </w:t>
      </w:r>
      <w:proofErr w:type="spellStart"/>
      <w:r>
        <w:rPr>
          <w:color w:val="000000"/>
        </w:rPr>
        <w:t>Coase</w:t>
      </w:r>
      <w:proofErr w:type="spellEnd"/>
      <w:r>
        <w:rPr>
          <w:color w:val="000000"/>
        </w:rPr>
        <w:t xml:space="preserve">, </w:t>
      </w:r>
      <w:r w:rsidRPr="003037D9">
        <w:rPr>
          <w:i/>
          <w:color w:val="000000"/>
        </w:rPr>
        <w:t>The Institutional Structure of Production</w:t>
      </w:r>
      <w:r>
        <w:rPr>
          <w:color w:val="000000"/>
        </w:rPr>
        <w:t>,</w:t>
      </w:r>
      <w:r w:rsidRPr="002502F9">
        <w:rPr>
          <w:color w:val="000000"/>
        </w:rPr>
        <w:t xml:space="preserve"> 82 </w:t>
      </w:r>
      <w:proofErr w:type="gramStart"/>
      <w:r w:rsidRPr="003037D9">
        <w:rPr>
          <w:smallCaps/>
          <w:color w:val="000000"/>
        </w:rPr>
        <w:t>Am</w:t>
      </w:r>
      <w:proofErr w:type="gramEnd"/>
      <w:r w:rsidRPr="003037D9">
        <w:rPr>
          <w:smallCaps/>
          <w:color w:val="000000"/>
        </w:rPr>
        <w:t>. Econ. Rev.</w:t>
      </w:r>
      <w:r w:rsidRPr="002502F9">
        <w:rPr>
          <w:color w:val="000000"/>
        </w:rPr>
        <w:t xml:space="preserve"> 713, 717-18</w:t>
      </w:r>
      <w:r>
        <w:rPr>
          <w:color w:val="000000"/>
        </w:rPr>
        <w:t xml:space="preserve"> </w:t>
      </w:r>
      <w:r w:rsidRPr="002502F9">
        <w:rPr>
          <w:color w:val="000000"/>
        </w:rPr>
        <w:t>(1992)</w:t>
      </w:r>
      <w:proofErr w:type="gramStart"/>
      <w:r w:rsidRPr="002502F9">
        <w:rPr>
          <w:color w:val="000000"/>
        </w:rPr>
        <w:t>;</w:t>
      </w:r>
      <w:proofErr w:type="gramEnd"/>
      <w:r w:rsidRPr="002502F9">
        <w:rPr>
          <w:color w:val="000000"/>
        </w:rPr>
        <w:t xml:space="preserve"> </w:t>
      </w:r>
      <w:r w:rsidRPr="003037D9">
        <w:rPr>
          <w:i/>
          <w:color w:val="000000"/>
        </w:rPr>
        <w:t>see also</w:t>
      </w:r>
      <w:r w:rsidRPr="002502F9">
        <w:rPr>
          <w:color w:val="000000"/>
        </w:rPr>
        <w:t xml:space="preserve"> </w:t>
      </w:r>
      <w:r w:rsidRPr="003037D9">
        <w:rPr>
          <w:smallCaps/>
        </w:rPr>
        <w:t xml:space="preserve">F.A. </w:t>
      </w:r>
      <w:r w:rsidRPr="003037D9">
        <w:rPr>
          <w:smallCaps/>
          <w:color w:val="000000"/>
        </w:rPr>
        <w:t>Hayek, The Road to Serfdom: Text and Documents--The Definitive Edition</w:t>
      </w:r>
      <w:r w:rsidRPr="002502F9">
        <w:rPr>
          <w:color w:val="000000"/>
        </w:rPr>
        <w:t xml:space="preserve"> </w:t>
      </w:r>
      <w:r>
        <w:rPr>
          <w:color w:val="000000"/>
        </w:rPr>
        <w:t xml:space="preserve">87 (Bruce Caldwell </w:t>
      </w:r>
      <w:r w:rsidRPr="002502F9">
        <w:rPr>
          <w:color w:val="000000"/>
        </w:rPr>
        <w:t>ed</w:t>
      </w:r>
      <w:r>
        <w:rPr>
          <w:color w:val="000000"/>
        </w:rPr>
        <w:t>.</w:t>
      </w:r>
      <w:r w:rsidRPr="002502F9">
        <w:rPr>
          <w:color w:val="000000"/>
        </w:rPr>
        <w:t xml:space="preserve"> (first published 1944</w:t>
      </w:r>
      <w:r>
        <w:rPr>
          <w:color w:val="000000"/>
        </w:rPr>
        <w:t>,</w:t>
      </w:r>
      <w:r w:rsidRPr="002502F9">
        <w:rPr>
          <w:color w:val="000000"/>
        </w:rPr>
        <w:t xml:space="preserve"> Chicago 2007)</w:t>
      </w:r>
      <w:r>
        <w:rPr>
          <w:color w:val="000000"/>
        </w:rPr>
        <w:t>)</w:t>
      </w:r>
      <w:r w:rsidRPr="002502F9">
        <w:rPr>
          <w:color w:val="000000"/>
        </w:rPr>
        <w:t xml:space="preserve"> (competition “depends, above all, on the existence of an appropriate legal system, a legal system designed both to preserve competition and to make sure it operates as beneficially as possible”).</w:t>
      </w:r>
    </w:p>
  </w:footnote>
  <w:footnote w:id="116">
    <w:p w14:paraId="05BA2D73" w14:textId="77777777" w:rsidR="00055A31" w:rsidRPr="002502F9" w:rsidRDefault="00055A31" w:rsidP="0050262C">
      <w:pPr>
        <w:pStyle w:val="FootnoteText"/>
      </w:pPr>
      <w:r w:rsidRPr="002502F9">
        <w:rPr>
          <w:rStyle w:val="FootnoteReference"/>
        </w:rPr>
        <w:footnoteRef/>
      </w:r>
      <w:r w:rsidRPr="002502F9">
        <w:t xml:space="preserve"> </w:t>
      </w:r>
      <w:r>
        <w:tab/>
      </w:r>
      <w:r w:rsidRPr="003037D9">
        <w:rPr>
          <w:smallCaps/>
        </w:rPr>
        <w:t>Douglass C</w:t>
      </w:r>
      <w:r>
        <w:rPr>
          <w:smallCaps/>
        </w:rPr>
        <w:t>.</w:t>
      </w:r>
      <w:r w:rsidRPr="003037D9">
        <w:rPr>
          <w:smallCaps/>
        </w:rPr>
        <w:t xml:space="preserve"> North, Understanding the Process of Economic Change</w:t>
      </w:r>
      <w:r w:rsidRPr="002502F9">
        <w:t xml:space="preserve"> </w:t>
      </w:r>
      <w:r>
        <w:t>52 (</w:t>
      </w:r>
      <w:r w:rsidRPr="002502F9">
        <w:t>2005) (“How the game is actually played is a consequence of the formal structure [e</w:t>
      </w:r>
      <w:r>
        <w:t>.</w:t>
      </w:r>
      <w:r w:rsidRPr="002502F9">
        <w:t>g</w:t>
      </w:r>
      <w:r>
        <w:t>.</w:t>
      </w:r>
      <w:r w:rsidRPr="002502F9">
        <w:t>, formal rules, including those set by the government], the informal institutional constraints [e</w:t>
      </w:r>
      <w:r>
        <w:t>.</w:t>
      </w:r>
      <w:r w:rsidRPr="002502F9">
        <w:t>g</w:t>
      </w:r>
      <w:r>
        <w:t>.</w:t>
      </w:r>
      <w:r w:rsidRPr="002502F9">
        <w:t>, societal norms and conventions], and the enforcement characteristics.”).</w:t>
      </w:r>
    </w:p>
  </w:footnote>
  <w:footnote w:id="117">
    <w:p w14:paraId="526E47CD" w14:textId="77777777" w:rsidR="00055A31" w:rsidRPr="002502F9" w:rsidRDefault="00055A31" w:rsidP="0050262C">
      <w:pPr>
        <w:pStyle w:val="FootnoteText"/>
      </w:pPr>
      <w:r w:rsidRPr="002502F9">
        <w:rPr>
          <w:rStyle w:val="FootnoteReference"/>
        </w:rPr>
        <w:footnoteRef/>
      </w:r>
      <w:r w:rsidRPr="002502F9">
        <w:t xml:space="preserve"> </w:t>
      </w:r>
      <w:r>
        <w:tab/>
      </w:r>
      <w:r w:rsidRPr="002502F9">
        <w:t>15 U.S.C. § 45(a) (2006) (prohibiting “unfair or deceptive acts or practices in or affecting commerce”)</w:t>
      </w:r>
      <w:proofErr w:type="gramStart"/>
      <w:r w:rsidRPr="002502F9">
        <w:t>;</w:t>
      </w:r>
      <w:proofErr w:type="gramEnd"/>
      <w:r w:rsidRPr="002502F9">
        <w:t xml:space="preserve"> Commission Regulation 864/2007, art. 6, 2007 O.J. (L 199/40) (EC) (discussing unfair competition and acts restricting free competition); Free Trade Agreement Between the European Union and its Member States and the Republic of Korea, 2011 O.J. (L127/6); FTC v. Sperry &amp; Hutchinson Co., 405 U.S. 233, 244 (1972) (“[</w:t>
      </w:r>
      <w:proofErr w:type="gramStart"/>
      <w:r w:rsidRPr="002502F9">
        <w:t>U]</w:t>
      </w:r>
      <w:proofErr w:type="spellStart"/>
      <w:r w:rsidRPr="002502F9">
        <w:t>nfair</w:t>
      </w:r>
      <w:proofErr w:type="spellEnd"/>
      <w:proofErr w:type="gramEnd"/>
      <w:r w:rsidRPr="002502F9">
        <w:t xml:space="preserve"> competitive practices were not limited to those likely to have anticompetitive consequences after the manner of the antitrust laws; nor were unfair practices in commerce confined to purely competitive behavior.”). </w:t>
      </w:r>
    </w:p>
  </w:footnote>
  <w:footnote w:id="118">
    <w:p w14:paraId="6BC5780F" w14:textId="77777777" w:rsidR="00055A31" w:rsidRDefault="00055A31" w:rsidP="0050262C">
      <w:pPr>
        <w:pStyle w:val="FootnoteText"/>
      </w:pPr>
      <w:r>
        <w:rPr>
          <w:rStyle w:val="FootnoteReference"/>
        </w:rPr>
        <w:footnoteRef/>
      </w:r>
      <w:r>
        <w:t xml:space="preserve"> </w:t>
      </w:r>
      <w:r>
        <w:tab/>
      </w:r>
      <w:r w:rsidRPr="003812B1">
        <w:t xml:space="preserve">OECD, Better Life Initiative: Compendium of OECD Well-Being Indicators 6 (2011) [hereinafter OECD Well-Being], http://www.oecd.org/document/28/ 0,3746,en_2649_201185_47916764_1_1_1_1,00.html (click </w:t>
      </w:r>
      <w:r w:rsidRPr="003812B1">
        <w:rPr>
          <w:rFonts w:hint="eastAsia"/>
        </w:rPr>
        <w:t>“</w:t>
      </w:r>
      <w:r w:rsidRPr="003812B1">
        <w:t>In one single file (1.5 MB)</w:t>
      </w:r>
      <w:r w:rsidRPr="003812B1">
        <w:rPr>
          <w:rFonts w:hint="eastAsia"/>
        </w:rPr>
        <w:t>”</w:t>
      </w:r>
      <w:r w:rsidRPr="003812B1">
        <w:t xml:space="preserve"> to access text); </w:t>
      </w:r>
      <w:r w:rsidRPr="008963D0">
        <w:rPr>
          <w:i/>
        </w:rPr>
        <w:t>see also</w:t>
      </w:r>
      <w:r w:rsidRPr="003812B1">
        <w:t xml:space="preserve"> </w:t>
      </w:r>
      <w:r w:rsidRPr="008963D0">
        <w:rPr>
          <w:smallCaps/>
        </w:rPr>
        <w:t>OECD, How</w:t>
      </w:r>
      <w:r w:rsidRPr="008963D0">
        <w:rPr>
          <w:rFonts w:hint="eastAsia"/>
          <w:smallCaps/>
        </w:rPr>
        <w:t>’</w:t>
      </w:r>
      <w:r w:rsidRPr="008963D0">
        <w:rPr>
          <w:smallCaps/>
        </w:rPr>
        <w:t>s Life</w:t>
      </w:r>
      <w:proofErr w:type="gramStart"/>
      <w:r w:rsidRPr="008963D0">
        <w:rPr>
          <w:smallCaps/>
        </w:rPr>
        <w:t>?:</w:t>
      </w:r>
      <w:proofErr w:type="gramEnd"/>
      <w:r w:rsidRPr="008963D0">
        <w:rPr>
          <w:smallCaps/>
        </w:rPr>
        <w:t xml:space="preserve"> Measuring Well-Being</w:t>
      </w:r>
      <w:r>
        <w:t xml:space="preserve"> 19-20 (2011) (noting also how sustainability of well-being over time should be included but the data issues involved); </w:t>
      </w:r>
      <w:r w:rsidRPr="003812B1">
        <w:t xml:space="preserve">Jon Hall et al., A Framework to Measure the Progress of Societies 14 (OECD Statistics, Working Paper No. 2010/05, 2010), http://www.oecd-ilibrary.org/ economics/a-framework-to-measure-the-progress-of-societies_5km4k7mnrkzw-en (click </w:t>
      </w:r>
      <w:r w:rsidRPr="003812B1">
        <w:rPr>
          <w:rFonts w:hint="eastAsia"/>
        </w:rPr>
        <w:t>“</w:t>
      </w:r>
      <w:r w:rsidRPr="003812B1">
        <w:t>PDF</w:t>
      </w:r>
      <w:r w:rsidRPr="003812B1">
        <w:rPr>
          <w:rFonts w:hint="eastAsia"/>
        </w:rPr>
        <w:t>”</w:t>
      </w:r>
      <w:r w:rsidRPr="003812B1">
        <w:t xml:space="preserve"> to access text).</w:t>
      </w:r>
    </w:p>
  </w:footnote>
  <w:footnote w:id="119">
    <w:p w14:paraId="119BC991" w14:textId="77777777" w:rsidR="00055A31" w:rsidRDefault="00055A31" w:rsidP="0050262C">
      <w:pPr>
        <w:pStyle w:val="FootnoteText"/>
      </w:pPr>
      <w:r>
        <w:rPr>
          <w:rStyle w:val="FootnoteReference"/>
        </w:rPr>
        <w:footnoteRef/>
      </w:r>
      <w:r>
        <w:t xml:space="preserve"> </w:t>
      </w:r>
      <w:r>
        <w:tab/>
      </w:r>
      <w:r w:rsidRPr="003812B1">
        <w:t xml:space="preserve">Bruno S. Frey &amp; </w:t>
      </w:r>
      <w:proofErr w:type="spellStart"/>
      <w:r w:rsidRPr="003812B1">
        <w:t>Alois</w:t>
      </w:r>
      <w:proofErr w:type="spellEnd"/>
      <w:r w:rsidRPr="003812B1">
        <w:t xml:space="preserve"> </w:t>
      </w:r>
      <w:proofErr w:type="spellStart"/>
      <w:r w:rsidRPr="003812B1">
        <w:t>Stutzer</w:t>
      </w:r>
      <w:proofErr w:type="spellEnd"/>
      <w:r w:rsidRPr="003812B1">
        <w:t xml:space="preserve">, </w:t>
      </w:r>
      <w:r w:rsidRPr="003812B1">
        <w:rPr>
          <w:i/>
        </w:rPr>
        <w:t>What Can Economists Learn from Happiness Research</w:t>
      </w:r>
      <w:proofErr w:type="gramStart"/>
      <w:r w:rsidRPr="003812B1">
        <w:rPr>
          <w:i/>
        </w:rPr>
        <w:t>?</w:t>
      </w:r>
      <w:r w:rsidRPr="003812B1">
        <w:t>,</w:t>
      </w:r>
      <w:proofErr w:type="gramEnd"/>
      <w:r w:rsidRPr="003812B1">
        <w:t xml:space="preserve"> 40 </w:t>
      </w:r>
      <w:r w:rsidRPr="003812B1">
        <w:rPr>
          <w:smallCaps/>
        </w:rPr>
        <w:t>J. Econ. Lit.</w:t>
      </w:r>
      <w:r w:rsidRPr="003812B1">
        <w:t xml:space="preserve"> 402, 410 (2002); </w:t>
      </w:r>
      <w:r w:rsidRPr="003812B1">
        <w:rPr>
          <w:i/>
        </w:rPr>
        <w:t>see also</w:t>
      </w:r>
      <w:r w:rsidRPr="003812B1">
        <w:t xml:space="preserve"> </w:t>
      </w:r>
      <w:proofErr w:type="spellStart"/>
      <w:r w:rsidRPr="00805E8E">
        <w:rPr>
          <w:smallCaps/>
        </w:rPr>
        <w:t>Kahneman</w:t>
      </w:r>
      <w:proofErr w:type="spellEnd"/>
      <w:r w:rsidRPr="00805E8E">
        <w:rPr>
          <w:smallCaps/>
        </w:rPr>
        <w:t xml:space="preserve">, Thinking, </w:t>
      </w:r>
      <w:r w:rsidRPr="00C94D97">
        <w:rPr>
          <w:i/>
          <w:color w:val="000000"/>
          <w:szCs w:val="24"/>
        </w:rPr>
        <w:t>supra</w:t>
      </w:r>
      <w:r w:rsidRPr="00C94D97">
        <w:t xml:space="preserve"> note</w:t>
      </w:r>
      <w:r>
        <w:t xml:space="preserve"> </w:t>
      </w:r>
      <w:r>
        <w:fldChar w:fldCharType="begin"/>
      </w:r>
      <w:r>
        <w:instrText xml:space="preserve"> NOTEREF _Ref199566894 \h </w:instrText>
      </w:r>
      <w:r>
        <w:fldChar w:fldCharType="separate"/>
      </w:r>
      <w:r>
        <w:t>71</w:t>
      </w:r>
      <w:r>
        <w:fldChar w:fldCharType="end"/>
      </w:r>
      <w:r w:rsidRPr="00C94D97">
        <w:t xml:space="preserve">, at </w:t>
      </w:r>
      <w:r>
        <w:rPr>
          <w:smallCaps/>
        </w:rPr>
        <w:t>397</w:t>
      </w:r>
      <w:r>
        <w:t xml:space="preserve">; </w:t>
      </w:r>
      <w:r w:rsidRPr="003812B1">
        <w:t xml:space="preserve">Elizabeth W. Dunn et al., </w:t>
      </w:r>
      <w:r w:rsidRPr="003812B1">
        <w:rPr>
          <w:i/>
        </w:rPr>
        <w:t>Spending Money on Others Promotes Happiness</w:t>
      </w:r>
      <w:r w:rsidRPr="003812B1">
        <w:t xml:space="preserve">, 319 </w:t>
      </w:r>
      <w:r w:rsidRPr="003812B1">
        <w:rPr>
          <w:smallCaps/>
        </w:rPr>
        <w:t>Science</w:t>
      </w:r>
      <w:r>
        <w:t xml:space="preserve"> 1687, 1687 (2008); Daniel </w:t>
      </w:r>
      <w:proofErr w:type="spellStart"/>
      <w:r>
        <w:t>Kah</w:t>
      </w:r>
      <w:r w:rsidRPr="003812B1">
        <w:t>neman</w:t>
      </w:r>
      <w:proofErr w:type="spellEnd"/>
      <w:r w:rsidRPr="003812B1">
        <w:t xml:space="preserve"> &amp; Angus Deaton, </w:t>
      </w:r>
      <w:r w:rsidRPr="003812B1">
        <w:rPr>
          <w:i/>
        </w:rPr>
        <w:t>High Income Improves Evaluation of Life But Not Emotional Well-Being</w:t>
      </w:r>
      <w:r w:rsidRPr="003812B1">
        <w:t xml:space="preserve">, 107 PNAS 16489, 16491 (2010) (finding from a U.S. survey of subjective well-being that, beyond approximately $75,000, </w:t>
      </w:r>
      <w:r w:rsidRPr="003812B1">
        <w:rPr>
          <w:rFonts w:hint="eastAsia"/>
        </w:rPr>
        <w:t>“</w:t>
      </w:r>
      <w:r w:rsidRPr="003812B1">
        <w:t>higher income is neithe</w:t>
      </w:r>
      <w:r>
        <w:t>r the road to experienced happi</w:t>
      </w:r>
      <w:r w:rsidRPr="003812B1">
        <w:t>ness nor the road to the relief of unhappiness or stress, although higher income continues to improve individuals</w:t>
      </w:r>
      <w:r w:rsidRPr="003812B1">
        <w:rPr>
          <w:rFonts w:hint="eastAsia"/>
        </w:rPr>
        <w:t>’</w:t>
      </w:r>
      <w:r w:rsidRPr="003812B1">
        <w:t xml:space="preserve"> life evaluations</w:t>
      </w:r>
      <w:r w:rsidRPr="003812B1">
        <w:rPr>
          <w:rFonts w:hint="eastAsia"/>
        </w:rPr>
        <w:t>”</w:t>
      </w:r>
      <w:r w:rsidRPr="003812B1">
        <w:t>).</w:t>
      </w:r>
    </w:p>
  </w:footnote>
  <w:footnote w:id="120">
    <w:p w14:paraId="20908BBB" w14:textId="77777777" w:rsidR="00055A31" w:rsidRDefault="00055A31" w:rsidP="0050262C">
      <w:pPr>
        <w:pStyle w:val="FootnoteText"/>
      </w:pPr>
      <w:r>
        <w:rPr>
          <w:rStyle w:val="FootnoteReference"/>
        </w:rPr>
        <w:footnoteRef/>
      </w:r>
      <w:r>
        <w:t xml:space="preserve"> </w:t>
      </w:r>
      <w:r>
        <w:tab/>
      </w:r>
      <w:proofErr w:type="gramStart"/>
      <w:r w:rsidRPr="0049649E">
        <w:t xml:space="preserve">21 </w:t>
      </w:r>
      <w:r w:rsidRPr="00FF4B85">
        <w:rPr>
          <w:smallCaps/>
        </w:rPr>
        <w:t xml:space="preserve">Cong. Rec. </w:t>
      </w:r>
      <w:r w:rsidRPr="0049649E">
        <w:t>245</w:t>
      </w:r>
      <w:r>
        <w:t>7 (1890) (</w:t>
      </w:r>
      <w:r w:rsidRPr="008D7B03">
        <w:t xml:space="preserve">Senator Sherman </w:t>
      </w:r>
      <w:r>
        <w:t xml:space="preserve">describing how the Act promotes </w:t>
      </w:r>
      <w:r>
        <w:rPr>
          <w:rFonts w:hint="eastAsia"/>
        </w:rPr>
        <w:t>“</w:t>
      </w:r>
      <w:r>
        <w:t>industrial liberty,</w:t>
      </w:r>
      <w:r>
        <w:rPr>
          <w:rFonts w:hint="eastAsia"/>
        </w:rPr>
        <w:t>”</w:t>
      </w:r>
      <w:r>
        <w:t xml:space="preserve"> which </w:t>
      </w:r>
      <w:r>
        <w:rPr>
          <w:rFonts w:hint="eastAsia"/>
        </w:rPr>
        <w:t>“</w:t>
      </w:r>
      <w:r>
        <w:t>lies at the foundation of the equality of all rights and privileges</w:t>
      </w:r>
      <w:r>
        <w:rPr>
          <w:rFonts w:hint="eastAsia"/>
        </w:rPr>
        <w:t>”</w:t>
      </w:r>
      <w:r>
        <w:t>).</w:t>
      </w:r>
      <w:proofErr w:type="gramEnd"/>
    </w:p>
  </w:footnote>
  <w:footnote w:id="121">
    <w:p w14:paraId="644D466B" w14:textId="77777777" w:rsidR="00055A31" w:rsidRDefault="00055A31" w:rsidP="0050262C">
      <w:pPr>
        <w:pStyle w:val="FootnoteText"/>
      </w:pPr>
      <w:r>
        <w:rPr>
          <w:rStyle w:val="FootnoteReference"/>
        </w:rPr>
        <w:footnoteRef/>
      </w:r>
      <w:r>
        <w:t xml:space="preserve"> </w:t>
      </w:r>
      <w:r>
        <w:tab/>
      </w:r>
      <w:r w:rsidRPr="00C069B1">
        <w:rPr>
          <w:i/>
        </w:rPr>
        <w:t>Id</w:t>
      </w:r>
      <w:r>
        <w:t>. (</w:t>
      </w:r>
      <w:r w:rsidRPr="008D7B03">
        <w:t xml:space="preserve">Senator Sherman </w:t>
      </w:r>
      <w:r>
        <w:t xml:space="preserve">describing how </w:t>
      </w:r>
      <w:r w:rsidRPr="008D7B03">
        <w:t>competition check</w:t>
      </w:r>
      <w:r>
        <w:t xml:space="preserve">s </w:t>
      </w:r>
      <w:r w:rsidRPr="008D7B03">
        <w:t>the selfishness of firms and their disregard of consumers</w:t>
      </w:r>
      <w:r w:rsidRPr="008D7B03">
        <w:rPr>
          <w:rFonts w:hint="eastAsia"/>
        </w:rPr>
        <w:t>’</w:t>
      </w:r>
      <w:r w:rsidRPr="008D7B03">
        <w:t xml:space="preserve"> interests</w:t>
      </w:r>
      <w:r>
        <w:t xml:space="preserve">); </w:t>
      </w:r>
      <w:r w:rsidRPr="003812B1">
        <w:rPr>
          <w:smallCaps/>
        </w:rPr>
        <w:t>F.M. Scherer &amp; David Ross, Industrial Market Structure and Economic Performance</w:t>
      </w:r>
      <w:r w:rsidRPr="003812B1">
        <w:t xml:space="preserve"> 19 (3d ed. 1990) (</w:t>
      </w:r>
      <w:r w:rsidRPr="003812B1">
        <w:rPr>
          <w:rFonts w:hint="eastAsia"/>
        </w:rPr>
        <w:t>“</w:t>
      </w:r>
      <w:r w:rsidRPr="003812B1">
        <w:t>When the no-barriers-to-</w:t>
      </w:r>
      <w:r>
        <w:t>entry condition of perfect com</w:t>
      </w:r>
      <w:r w:rsidRPr="003812B1">
        <w:t>petition is satisfied, individuals are free to choose whatever trade or profession they prefer, limited only by their own talent and skill and by their abilit</w:t>
      </w:r>
      <w:r>
        <w:t>y to raise the (presumably mod</w:t>
      </w:r>
      <w:r w:rsidRPr="003812B1">
        <w:t>est) amount of capital required.</w:t>
      </w:r>
      <w:r w:rsidRPr="003812B1">
        <w:rPr>
          <w:rFonts w:hint="eastAsia"/>
        </w:rPr>
        <w:t>”</w:t>
      </w:r>
      <w:r w:rsidRPr="003812B1">
        <w:t xml:space="preserve">); </w:t>
      </w:r>
      <w:r w:rsidRPr="003812B1">
        <w:rPr>
          <w:i/>
        </w:rPr>
        <w:t>see also</w:t>
      </w:r>
      <w:r w:rsidRPr="003812B1">
        <w:t xml:space="preserve"> Ross v. Bank of Am., N.A. (USA), 524 F.3d 217, 223 (2d Cir. 2008) (noting that antitrust injury includes </w:t>
      </w:r>
      <w:r w:rsidRPr="003812B1">
        <w:rPr>
          <w:rFonts w:hint="eastAsia"/>
        </w:rPr>
        <w:t>“</w:t>
      </w:r>
      <w:r w:rsidRPr="003812B1">
        <w:t>[c]</w:t>
      </w:r>
      <w:proofErr w:type="spellStart"/>
      <w:r w:rsidRPr="003812B1">
        <w:t>oercive</w:t>
      </w:r>
      <w:proofErr w:type="spellEnd"/>
      <w:r w:rsidRPr="003812B1">
        <w:t xml:space="preserve"> activity that prevents its victims from making free choices between market alternatives</w:t>
      </w:r>
      <w:r w:rsidRPr="003812B1">
        <w:rPr>
          <w:rFonts w:hint="eastAsia"/>
        </w:rPr>
        <w:t>”</w:t>
      </w:r>
      <w:r w:rsidRPr="003812B1">
        <w:t xml:space="preserve"> (quoting Associated Gen. Contractors of Cal., Inc. v. Cal. State Council of Carpenters, 459 U.S. 519, 528 (1983))); Hayek, </w:t>
      </w:r>
      <w:r w:rsidRPr="003812B1">
        <w:rPr>
          <w:i/>
        </w:rPr>
        <w:t>supra</w:t>
      </w:r>
      <w:r w:rsidRPr="003812B1">
        <w:t xml:space="preserve"> note</w:t>
      </w:r>
      <w:r>
        <w:t xml:space="preserve"> </w:t>
      </w:r>
      <w:r>
        <w:fldChar w:fldCharType="begin"/>
      </w:r>
      <w:r>
        <w:instrText xml:space="preserve"> NOTEREF _Ref173862654 \h </w:instrText>
      </w:r>
      <w:r>
        <w:fldChar w:fldCharType="separate"/>
      </w:r>
      <w:r>
        <w:t>107</w:t>
      </w:r>
      <w:r>
        <w:fldChar w:fldCharType="end"/>
      </w:r>
      <w:r w:rsidRPr="003812B1">
        <w:t>, at 127.</w:t>
      </w:r>
    </w:p>
  </w:footnote>
  <w:footnote w:id="122">
    <w:p w14:paraId="03936DA3" w14:textId="77777777" w:rsidR="00055A31" w:rsidRDefault="00055A31" w:rsidP="0050262C">
      <w:pPr>
        <w:pStyle w:val="FootnoteText"/>
      </w:pPr>
      <w:r>
        <w:rPr>
          <w:rStyle w:val="FootnoteReference"/>
        </w:rPr>
        <w:footnoteRef/>
      </w:r>
      <w:r>
        <w:t xml:space="preserve"> </w:t>
      </w:r>
      <w:r>
        <w:tab/>
        <w:t>United States v. Topco Associates, Inc., 405 U.S. 596, 610 (1972) (describing freedom to compete)</w:t>
      </w:r>
      <w:r w:rsidRPr="003812B1">
        <w:t xml:space="preserve">; OECD Well-Being, </w:t>
      </w:r>
      <w:r w:rsidRPr="003812B1">
        <w:rPr>
          <w:i/>
        </w:rPr>
        <w:t>supra</w:t>
      </w:r>
      <w:r w:rsidRPr="003812B1">
        <w:t xml:space="preserve"> note</w:t>
      </w:r>
      <w:r>
        <w:t xml:space="preserve"> </w:t>
      </w:r>
      <w:r>
        <w:fldChar w:fldCharType="begin"/>
      </w:r>
      <w:r>
        <w:instrText xml:space="preserve"> NOTEREF _Ref199567156 \h </w:instrText>
      </w:r>
      <w:r>
        <w:fldChar w:fldCharType="separate"/>
      </w:r>
      <w:r>
        <w:t>110</w:t>
      </w:r>
      <w:r>
        <w:fldChar w:fldCharType="end"/>
      </w:r>
      <w:r w:rsidRPr="003812B1">
        <w:t>, at 14 (</w:t>
      </w:r>
      <w:r w:rsidRPr="003812B1">
        <w:rPr>
          <w:rFonts w:hint="eastAsia"/>
        </w:rPr>
        <w:t>“</w:t>
      </w:r>
      <w:r w:rsidRPr="003812B1">
        <w:t>Not only [do the availability of jobs and earnings] increase people</w:t>
      </w:r>
      <w:r w:rsidRPr="003812B1">
        <w:rPr>
          <w:rFonts w:hint="eastAsia"/>
        </w:rPr>
        <w:t>’</w:t>
      </w:r>
      <w:r w:rsidRPr="003812B1">
        <w:t>s command over resources, but they also provide people with a chance to fulfill their own ambitions, to develop skills and abilities, to feel useful in society and to build self-esteem.</w:t>
      </w:r>
      <w:r w:rsidRPr="003812B1">
        <w:rPr>
          <w:rFonts w:hint="eastAsia"/>
        </w:rPr>
        <w:t>”</w:t>
      </w:r>
      <w:r w:rsidRPr="003812B1">
        <w:t>).</w:t>
      </w:r>
    </w:p>
  </w:footnote>
  <w:footnote w:id="123">
    <w:p w14:paraId="49E1B5DE" w14:textId="77777777" w:rsidR="00055A31" w:rsidRDefault="00055A31" w:rsidP="0050262C">
      <w:pPr>
        <w:pStyle w:val="FootnoteText"/>
      </w:pPr>
      <w:r>
        <w:rPr>
          <w:rStyle w:val="FootnoteReference"/>
        </w:rPr>
        <w:footnoteRef/>
      </w:r>
      <w:r>
        <w:t xml:space="preserve"> </w:t>
      </w:r>
      <w:r>
        <w:tab/>
      </w:r>
      <w:r w:rsidRPr="002347C2">
        <w:rPr>
          <w:i/>
        </w:rPr>
        <w:t>See</w:t>
      </w:r>
      <w:r w:rsidRPr="008D7B03">
        <w:t xml:space="preserve"> Michael E. Porter &amp; Mark R. Kramer, </w:t>
      </w:r>
      <w:r w:rsidRPr="008D7B03">
        <w:rPr>
          <w:i/>
        </w:rPr>
        <w:t>Creating Shar</w:t>
      </w:r>
      <w:r>
        <w:rPr>
          <w:i/>
        </w:rPr>
        <w:t>ed Value: How to Reinvent Capi</w:t>
      </w:r>
      <w:r w:rsidRPr="008D7B03">
        <w:rPr>
          <w:i/>
        </w:rPr>
        <w:t>talism</w:t>
      </w:r>
      <w:r w:rsidRPr="008D7B03">
        <w:rPr>
          <w:rFonts w:hint="eastAsia"/>
          <w:i/>
        </w:rPr>
        <w:t>—</w:t>
      </w:r>
      <w:r w:rsidRPr="008D7B03">
        <w:rPr>
          <w:i/>
        </w:rPr>
        <w:t>and Unleash a Wave of Innovation and Growth</w:t>
      </w:r>
      <w:r w:rsidRPr="008D7B03">
        <w:t xml:space="preserve">, </w:t>
      </w:r>
      <w:proofErr w:type="spellStart"/>
      <w:r w:rsidRPr="008D7B03">
        <w:rPr>
          <w:smallCaps/>
        </w:rPr>
        <w:t>Harv</w:t>
      </w:r>
      <w:proofErr w:type="spellEnd"/>
      <w:r w:rsidRPr="008D7B03">
        <w:rPr>
          <w:smallCaps/>
        </w:rPr>
        <w:t xml:space="preserve">. Bus. </w:t>
      </w:r>
      <w:proofErr w:type="gramStart"/>
      <w:r w:rsidRPr="008D7B03">
        <w:rPr>
          <w:smallCaps/>
        </w:rPr>
        <w:t>Rev.</w:t>
      </w:r>
      <w:r w:rsidRPr="008D7B03">
        <w:t>, Jan.</w:t>
      </w:r>
      <w:r w:rsidRPr="008D7B03">
        <w:rPr>
          <w:rFonts w:hint="eastAsia"/>
        </w:rPr>
        <w:t>–</w:t>
      </w:r>
      <w:r w:rsidRPr="008D7B03">
        <w:t>Feb. 2011, at 62, 77</w:t>
      </w:r>
      <w:r>
        <w:t>.</w:t>
      </w:r>
      <w:proofErr w:type="gramEnd"/>
    </w:p>
  </w:footnote>
  <w:footnote w:id="124">
    <w:p w14:paraId="730AF391" w14:textId="77777777" w:rsidR="00055A31" w:rsidRDefault="00055A31" w:rsidP="0050262C">
      <w:pPr>
        <w:pStyle w:val="FootnoteText"/>
      </w:pPr>
      <w:r>
        <w:rPr>
          <w:rStyle w:val="FootnoteReference"/>
        </w:rPr>
        <w:footnoteRef/>
      </w:r>
      <w:r>
        <w:t xml:space="preserve"> </w:t>
      </w:r>
      <w:r>
        <w:tab/>
      </w:r>
      <w:proofErr w:type="gramStart"/>
      <w:r w:rsidRPr="00C069B1">
        <w:rPr>
          <w:i/>
        </w:rPr>
        <w:t>Id</w:t>
      </w:r>
      <w:r>
        <w:t xml:space="preserve">. </w:t>
      </w:r>
      <w:r w:rsidRPr="000E29FA">
        <w:t>at 64, 66.</w:t>
      </w:r>
      <w:proofErr w:type="gramEnd"/>
    </w:p>
  </w:footnote>
  <w:footnote w:id="125">
    <w:p w14:paraId="062EED6D" w14:textId="77777777" w:rsidR="00055A31" w:rsidRPr="002502F9" w:rsidRDefault="00055A31" w:rsidP="0050262C">
      <w:pPr>
        <w:pStyle w:val="FootnoteText"/>
      </w:pPr>
      <w:r w:rsidRPr="002502F9">
        <w:rPr>
          <w:rStyle w:val="FootnoteReference"/>
        </w:rPr>
        <w:footnoteRef/>
      </w:r>
      <w:r w:rsidRPr="002502F9">
        <w:t xml:space="preserve"> </w:t>
      </w:r>
      <w:r>
        <w:tab/>
      </w:r>
      <w:proofErr w:type="gramStart"/>
      <w:r w:rsidRPr="00551D20">
        <w:rPr>
          <w:smallCaps/>
        </w:rPr>
        <w:t>Robert M. May, Stability and Complexity in Model Ecosystems</w:t>
      </w:r>
      <w:r w:rsidRPr="002502F9">
        <w:t xml:space="preserve"> xviii (first published 1973</w:t>
      </w:r>
      <w:r>
        <w:t>,</w:t>
      </w:r>
      <w:r w:rsidRPr="002502F9">
        <w:t xml:space="preserve"> Princeton 2001).</w:t>
      </w:r>
      <w:proofErr w:type="gramEnd"/>
    </w:p>
  </w:footnote>
  <w:footnote w:id="126">
    <w:p w14:paraId="17EDF721" w14:textId="77777777" w:rsidR="00055A31" w:rsidRPr="002502F9" w:rsidRDefault="00055A31" w:rsidP="0050262C">
      <w:pPr>
        <w:pStyle w:val="FootnoteText"/>
      </w:pPr>
      <w:r w:rsidRPr="002502F9">
        <w:rPr>
          <w:rStyle w:val="FootnoteReference"/>
        </w:rPr>
        <w:footnoteRef/>
      </w:r>
      <w:r w:rsidRPr="002502F9">
        <w:t xml:space="preserve"> </w:t>
      </w:r>
      <w:r>
        <w:tab/>
      </w:r>
      <w:r w:rsidRPr="00551D20">
        <w:t>William E</w:t>
      </w:r>
      <w:r>
        <w:t xml:space="preserve">. </w:t>
      </w:r>
      <w:proofErr w:type="spellStart"/>
      <w:r>
        <w:t>Kovacic</w:t>
      </w:r>
      <w:proofErr w:type="spellEnd"/>
      <w:r>
        <w:t xml:space="preserve">, </w:t>
      </w:r>
      <w:r w:rsidRPr="00551D20">
        <w:t>Chairman, Fed</w:t>
      </w:r>
      <w:r>
        <w:t>.</w:t>
      </w:r>
      <w:r w:rsidRPr="00551D20">
        <w:t xml:space="preserve"> Trade </w:t>
      </w:r>
      <w:proofErr w:type="spellStart"/>
      <w:r w:rsidRPr="00551D20">
        <w:t>Comm</w:t>
      </w:r>
      <w:r w:rsidRPr="00551D20">
        <w:rPr>
          <w:rFonts w:hint="eastAsia"/>
        </w:rPr>
        <w:t>’</w:t>
      </w:r>
      <w:r>
        <w:t>n</w:t>
      </w:r>
      <w:proofErr w:type="spellEnd"/>
      <w:r w:rsidRPr="00551D20">
        <w:t xml:space="preserve">, </w:t>
      </w:r>
      <w:r w:rsidRPr="00551D20">
        <w:rPr>
          <w:i/>
        </w:rPr>
        <w:t>Competition Policy in the European Union and the United States: Convergence or Divergence?</w:t>
      </w:r>
      <w:r w:rsidRPr="00551D20">
        <w:t xml:space="preserve"> </w:t>
      </w:r>
      <w:proofErr w:type="gramStart"/>
      <w:r>
        <w:t xml:space="preserve">21 </w:t>
      </w:r>
      <w:r w:rsidRPr="00551D20">
        <w:t>(Bates White Fifth Annual Antitrust Conference, Washington,</w:t>
      </w:r>
      <w:r>
        <w:t xml:space="preserve"> D.C.</w:t>
      </w:r>
      <w:r w:rsidRPr="00551D20">
        <w:t xml:space="preserve"> June 2008)</w:t>
      </w:r>
      <w:r>
        <w:t xml:space="preserve">, </w:t>
      </w:r>
      <w:hyperlink r:id="rId15" w:history="1">
        <w:r w:rsidRPr="009C4F98">
          <w:rPr>
            <w:rStyle w:val="Hyperlink"/>
          </w:rPr>
          <w:t>www.ftc.gov/speeches/kovacic/080602bateswhitepdf</w:t>
        </w:r>
      </w:hyperlink>
      <w:r>
        <w:t>.</w:t>
      </w:r>
      <w:proofErr w:type="gramEnd"/>
    </w:p>
  </w:footnote>
  <w:footnote w:id="127">
    <w:p w14:paraId="1F2E596C" w14:textId="77777777" w:rsidR="00055A31" w:rsidRPr="002502F9" w:rsidRDefault="00055A31" w:rsidP="0050262C">
      <w:pPr>
        <w:pStyle w:val="FootnoteText"/>
      </w:pPr>
      <w:r w:rsidRPr="002502F9">
        <w:rPr>
          <w:rStyle w:val="FootnoteReference"/>
        </w:rPr>
        <w:footnoteRef/>
      </w:r>
      <w:r w:rsidRPr="002502F9">
        <w:t xml:space="preserve"> </w:t>
      </w:r>
      <w:r>
        <w:tab/>
      </w:r>
      <w:r w:rsidRPr="002502F9">
        <w:t>2011 ICN Survey</w:t>
      </w:r>
      <w:r>
        <w:t xml:space="preserve">, </w:t>
      </w:r>
      <w:r w:rsidRPr="00205357">
        <w:rPr>
          <w:i/>
          <w:color w:val="000000"/>
          <w:szCs w:val="24"/>
        </w:rPr>
        <w:t>supra</w:t>
      </w:r>
      <w:r>
        <w:t xml:space="preserve"> note </w:t>
      </w:r>
      <w:r>
        <w:fldChar w:fldCharType="begin"/>
      </w:r>
      <w:r>
        <w:instrText xml:space="preserve"> NOTEREF _Ref199573428 \h </w:instrText>
      </w:r>
      <w:r>
        <w:fldChar w:fldCharType="separate"/>
      </w:r>
      <w:r>
        <w:t>104</w:t>
      </w:r>
      <w:r>
        <w:fldChar w:fldCharType="end"/>
      </w:r>
      <w:r>
        <w:t xml:space="preserve">, at </w:t>
      </w:r>
      <w:r w:rsidRPr="002502F9">
        <w:t xml:space="preserve">88 </w:t>
      </w:r>
      <w:r>
        <w:t>(</w:t>
      </w:r>
      <w:r w:rsidRPr="00CD7746">
        <w:rPr>
          <w:szCs w:val="24"/>
        </w:rPr>
        <w:t xml:space="preserve">“A </w:t>
      </w:r>
      <w:r w:rsidRPr="00CD7746">
        <w:rPr>
          <w:i/>
          <w:szCs w:val="24"/>
        </w:rPr>
        <w:t>clearly set</w:t>
      </w:r>
      <w:r w:rsidRPr="00CD7746">
        <w:rPr>
          <w:szCs w:val="24"/>
        </w:rPr>
        <w:t xml:space="preserve"> and </w:t>
      </w:r>
      <w:r w:rsidRPr="00CD7746">
        <w:rPr>
          <w:i/>
          <w:szCs w:val="24"/>
        </w:rPr>
        <w:t>uniformly enforced</w:t>
      </w:r>
      <w:r w:rsidRPr="00CD7746">
        <w:rPr>
          <w:szCs w:val="24"/>
        </w:rPr>
        <w:t xml:space="preserve"> standard is, therefore, of utmost relevance for enforcement agencies, the business community and final consumers.”</w:t>
      </w:r>
      <w:r>
        <w:rPr>
          <w:szCs w:val="24"/>
        </w:rPr>
        <w:t>)</w:t>
      </w:r>
      <w:r w:rsidRPr="002502F9">
        <w:t xml:space="preserve"> (</w:t>
      </w:r>
      <w:proofErr w:type="gramStart"/>
      <w:r w:rsidRPr="002502F9">
        <w:t>emphasis</w:t>
      </w:r>
      <w:proofErr w:type="gramEnd"/>
      <w:r w:rsidRPr="002502F9">
        <w:t xml:space="preserve"> added)</w:t>
      </w:r>
      <w:r>
        <w:t xml:space="preserve">; </w:t>
      </w:r>
      <w:proofErr w:type="spellStart"/>
      <w:r w:rsidRPr="00205357">
        <w:rPr>
          <w:i/>
        </w:rPr>
        <w:t>linkLine</w:t>
      </w:r>
      <w:proofErr w:type="spellEnd"/>
      <w:r w:rsidRPr="00205357">
        <w:t xml:space="preserve">, 555 U.S. </w:t>
      </w:r>
      <w:r>
        <w:t xml:space="preserve">at </w:t>
      </w:r>
      <w:r w:rsidRPr="00205357">
        <w:t>453</w:t>
      </w:r>
      <w:r w:rsidRPr="002502F9">
        <w:t xml:space="preserve"> </w:t>
      </w:r>
      <w:r>
        <w:t>(</w:t>
      </w:r>
      <w:r w:rsidRPr="00CD7746">
        <w:rPr>
          <w:szCs w:val="24"/>
        </w:rPr>
        <w:t>recogniz</w:t>
      </w:r>
      <w:r>
        <w:rPr>
          <w:szCs w:val="24"/>
        </w:rPr>
        <w:t xml:space="preserve">ing </w:t>
      </w:r>
      <w:r w:rsidRPr="00CD7746">
        <w:rPr>
          <w:szCs w:val="24"/>
        </w:rPr>
        <w:t>the need for simpler antitrust standards “clear enough for lawyers to ex</w:t>
      </w:r>
      <w:r>
        <w:rPr>
          <w:szCs w:val="24"/>
        </w:rPr>
        <w:t>plain them to clients</w:t>
      </w:r>
      <w:r w:rsidRPr="00CD7746">
        <w:rPr>
          <w:szCs w:val="24"/>
        </w:rPr>
        <w:t>”</w:t>
      </w:r>
      <w:r>
        <w:rPr>
          <w:szCs w:val="24"/>
        </w:rPr>
        <w:t>)</w:t>
      </w:r>
      <w:r w:rsidRPr="002502F9">
        <w:t xml:space="preserve"> (quoting Town of Concord, Mass v</w:t>
      </w:r>
      <w:r>
        <w:t>.</w:t>
      </w:r>
      <w:r w:rsidRPr="002502F9">
        <w:t xml:space="preserve"> Boston Edison Co</w:t>
      </w:r>
      <w:r>
        <w:t>.</w:t>
      </w:r>
      <w:r w:rsidRPr="002502F9">
        <w:t>, 915 F</w:t>
      </w:r>
      <w:r>
        <w:t>.</w:t>
      </w:r>
      <w:r w:rsidRPr="002502F9">
        <w:t>2d 17, 22 (1st Cir</w:t>
      </w:r>
      <w:r>
        <w:t>.</w:t>
      </w:r>
      <w:r w:rsidRPr="002502F9">
        <w:t xml:space="preserve"> 1990)).</w:t>
      </w:r>
    </w:p>
  </w:footnote>
  <w:footnote w:id="128">
    <w:p w14:paraId="5029530F" w14:textId="77777777" w:rsidR="00055A31" w:rsidRPr="002502F9" w:rsidRDefault="00055A31" w:rsidP="0050262C">
      <w:pPr>
        <w:pStyle w:val="FootnoteText"/>
      </w:pPr>
      <w:r w:rsidRPr="002502F9">
        <w:rPr>
          <w:rStyle w:val="FootnoteReference"/>
        </w:rPr>
        <w:footnoteRef/>
      </w:r>
      <w:r w:rsidRPr="002502F9">
        <w:t xml:space="preserve"> </w:t>
      </w:r>
      <w:r>
        <w:tab/>
      </w:r>
      <w:r w:rsidRPr="002502F9">
        <w:t xml:space="preserve">Ed O’Keefe, </w:t>
      </w:r>
      <w:r w:rsidRPr="008D5641">
        <w:rPr>
          <w:i/>
        </w:rPr>
        <w:t>Justice Department Lawyers Say They’ll Quit if Regional Offices Close</w:t>
      </w:r>
      <w:r w:rsidRPr="002502F9">
        <w:t xml:space="preserve">, </w:t>
      </w:r>
      <w:r w:rsidRPr="008D5641">
        <w:rPr>
          <w:smallCaps/>
        </w:rPr>
        <w:t>Washington Post</w:t>
      </w:r>
      <w:r w:rsidRPr="002502F9">
        <w:t>, Oct</w:t>
      </w:r>
      <w:r>
        <w:t>.</w:t>
      </w:r>
      <w:r w:rsidRPr="002502F9">
        <w:t xml:space="preserve"> 18, 2011, </w:t>
      </w:r>
      <w:hyperlink r:id="rId16" w:history="1">
        <w:r w:rsidRPr="002502F9">
          <w:rPr>
            <w:rStyle w:val="Hyperlink"/>
          </w:rPr>
          <w:t>http://wwwwashingtonpostcom/politics/justice-department-lawyers-say-theyll-quit-if-regional-offices-close/2011/10/18/gIQA0JzNvL_storyhtml</w:t>
        </w:r>
      </w:hyperlink>
      <w:r w:rsidRPr="002502F9">
        <w:t>.</w:t>
      </w:r>
    </w:p>
  </w:footnote>
  <w:footnote w:id="129">
    <w:p w14:paraId="1639E07F" w14:textId="39C07B81" w:rsidR="00055A31" w:rsidRPr="002502F9" w:rsidRDefault="00055A31" w:rsidP="003B0EA2">
      <w:pPr>
        <w:pStyle w:val="FootnoteText"/>
      </w:pPr>
      <w:r w:rsidRPr="002502F9">
        <w:rPr>
          <w:rStyle w:val="FootnoteReference"/>
        </w:rPr>
        <w:footnoteRef/>
      </w:r>
      <w:r>
        <w:t xml:space="preserve"> </w:t>
      </w:r>
      <w:r>
        <w:tab/>
        <w:t xml:space="preserve">Christian Ewald, </w:t>
      </w:r>
      <w:r w:rsidRPr="00551D20">
        <w:rPr>
          <w:i/>
        </w:rPr>
        <w:t>Competition and Innovation: Dangerous “Myopia” of Economists in Antitrust</w:t>
      </w:r>
      <w:proofErr w:type="gramStart"/>
      <w:r w:rsidRPr="00551D20">
        <w:rPr>
          <w:i/>
        </w:rPr>
        <w:t>?</w:t>
      </w:r>
      <w:r>
        <w:t>,</w:t>
      </w:r>
      <w:proofErr w:type="gramEnd"/>
      <w:r w:rsidRPr="002502F9">
        <w:t xml:space="preserve"> 4 </w:t>
      </w:r>
      <w:r w:rsidRPr="00551D20">
        <w:rPr>
          <w:smallCaps/>
        </w:rPr>
        <w:t xml:space="preserve">Competition </w:t>
      </w:r>
      <w:proofErr w:type="spellStart"/>
      <w:r w:rsidRPr="00551D20">
        <w:rPr>
          <w:smallCaps/>
        </w:rPr>
        <w:t>Pol’y</w:t>
      </w:r>
      <w:proofErr w:type="spellEnd"/>
      <w:r w:rsidRPr="00551D20">
        <w:rPr>
          <w:smallCaps/>
        </w:rPr>
        <w:t xml:space="preserve"> Int’l</w:t>
      </w:r>
      <w:r w:rsidRPr="002502F9">
        <w:t xml:space="preserve"> 253, 261</w:t>
      </w:r>
      <w:r>
        <w:t xml:space="preserve"> </w:t>
      </w:r>
      <w:r w:rsidRPr="002502F9">
        <w:t>(Autumn 2008).</w:t>
      </w:r>
    </w:p>
  </w:footnote>
  <w:footnote w:id="130">
    <w:p w14:paraId="74B58AF8" w14:textId="3DDDD18A" w:rsidR="00055A31" w:rsidRDefault="00055A31" w:rsidP="00513C8B">
      <w:pPr>
        <w:pStyle w:val="FootnoteText"/>
      </w:pPr>
      <w:r>
        <w:rPr>
          <w:rStyle w:val="FootnoteReference"/>
        </w:rPr>
        <w:footnoteRef/>
      </w:r>
      <w:r>
        <w:t xml:space="preserve"> </w:t>
      </w:r>
      <w:r>
        <w:tab/>
      </w:r>
      <w:r w:rsidRPr="00707B79">
        <w:t>Behavioral Economics in Antitrust and Consumer Protection Law, 60th American Bar Association Section of Antitrust Law Spring Meeting, Washington, D.C. (March 2012)</w:t>
      </w:r>
      <w:r>
        <w:t xml:space="preserve">; </w:t>
      </w:r>
      <w:r w:rsidRPr="0056526D">
        <w:t>Behavioral Economics: Departing from the Rational-Actor Model</w:t>
      </w:r>
      <w:proofErr w:type="gramStart"/>
      <w:r w:rsidRPr="0056526D">
        <w:t>?,</w:t>
      </w:r>
      <w:proofErr w:type="gramEnd"/>
      <w:r w:rsidRPr="0056526D">
        <w:t xml:space="preserve"> 59th American Bar Association Section </w:t>
      </w:r>
      <w:r>
        <w:t>of Antitrust Law Spring Meeting</w:t>
      </w:r>
      <w:r w:rsidRPr="0056526D">
        <w:t xml:space="preserve"> (March 2011)</w:t>
      </w:r>
      <w:r>
        <w:t>.</w:t>
      </w:r>
    </w:p>
  </w:footnote>
  <w:footnote w:id="131">
    <w:p w14:paraId="73A1416E" w14:textId="2D69740C" w:rsidR="00055A31" w:rsidRDefault="00055A31" w:rsidP="00513C8B">
      <w:pPr>
        <w:pStyle w:val="FootnoteText"/>
      </w:pPr>
      <w:r>
        <w:rPr>
          <w:rStyle w:val="FootnoteReference"/>
        </w:rPr>
        <w:footnoteRef/>
      </w:r>
      <w:r>
        <w:t xml:space="preserve"> </w:t>
      </w:r>
      <w:r>
        <w:tab/>
      </w:r>
      <w:proofErr w:type="gramStart"/>
      <w:r>
        <w:t>5th IDRC Pre-ICN Forum on Competition and Development, Istanbul, Turkey (Apr. 2010).</w:t>
      </w:r>
      <w:proofErr w:type="gramEnd"/>
    </w:p>
  </w:footnote>
  <w:footnote w:id="132">
    <w:p w14:paraId="0C580430" w14:textId="72FE6B54" w:rsidR="00055A31" w:rsidRDefault="00055A31" w:rsidP="00513C8B">
      <w:pPr>
        <w:pStyle w:val="FootnoteText"/>
      </w:pPr>
      <w:r>
        <w:rPr>
          <w:rStyle w:val="FootnoteReference"/>
        </w:rPr>
        <w:footnoteRef/>
      </w:r>
      <w:r>
        <w:tab/>
      </w:r>
      <w:proofErr w:type="gramStart"/>
      <w:r>
        <w:t>British Inst. o</w:t>
      </w:r>
      <w:r w:rsidRPr="00FF6037">
        <w:t>f Int</w:t>
      </w:r>
      <w:r w:rsidRPr="00FF6037">
        <w:rPr>
          <w:rFonts w:hint="eastAsia"/>
        </w:rPr>
        <w:t>’</w:t>
      </w:r>
      <w:r>
        <w:t>l a</w:t>
      </w:r>
      <w:r w:rsidRPr="00FF6037">
        <w:t>nd Comparative Law, http://wwwbiiclorg/clf/clfmeetings2009 (hosting Competition Law Forum on behavioral economics in July 2009)</w:t>
      </w:r>
      <w:r>
        <w:t>.</w:t>
      </w:r>
      <w:proofErr w:type="gramEnd"/>
    </w:p>
  </w:footnote>
  <w:footnote w:id="133">
    <w:p w14:paraId="27A55638" w14:textId="1A971C57" w:rsidR="00055A31" w:rsidRDefault="00055A31" w:rsidP="00513C8B">
      <w:pPr>
        <w:pStyle w:val="FootnoteText"/>
      </w:pPr>
      <w:r>
        <w:rPr>
          <w:rStyle w:val="FootnoteReference"/>
        </w:rPr>
        <w:footnoteRef/>
      </w:r>
      <w:r>
        <w:t xml:space="preserve"> </w:t>
      </w:r>
      <w:r>
        <w:tab/>
        <w:t xml:space="preserve">Ninth </w:t>
      </w:r>
      <w:r w:rsidRPr="00FF6037">
        <w:t>Annual Conference: The Next Antitrust Agenda, American Antitrust Institute (June 18, 2008), http://wwwantitrustinstituteorg/content/9th</w:t>
      </w:r>
      <w:r>
        <w:t>-annual-conference-</w:t>
      </w:r>
      <w:r w:rsidRPr="00FF6037">
        <w:t>next-antitrust-agenda (audio recordings)</w:t>
      </w:r>
      <w:r>
        <w:t>.</w:t>
      </w:r>
    </w:p>
  </w:footnote>
  <w:footnote w:id="134">
    <w:p w14:paraId="0CE95F57" w14:textId="60C015FC" w:rsidR="00055A31" w:rsidRDefault="00055A31" w:rsidP="00513C8B">
      <w:pPr>
        <w:pStyle w:val="FootnoteText"/>
      </w:pPr>
      <w:r>
        <w:rPr>
          <w:rStyle w:val="FootnoteReference"/>
        </w:rPr>
        <w:footnoteRef/>
      </w:r>
      <w:r>
        <w:t xml:space="preserve"> </w:t>
      </w:r>
      <w:r w:rsidRPr="00513C8B">
        <w:rPr>
          <w:i/>
        </w:rPr>
        <w:t>See</w:t>
      </w:r>
      <w:r>
        <w:rPr>
          <w:i/>
        </w:rPr>
        <w:t>, e.g.,</w:t>
      </w:r>
      <w:r>
        <w:t xml:space="preserve"> J. </w:t>
      </w:r>
      <w:r w:rsidRPr="00FF6037">
        <w:t>T</w:t>
      </w:r>
      <w:r>
        <w:t>homas</w:t>
      </w:r>
      <w:r w:rsidRPr="00FF6037">
        <w:t xml:space="preserve"> </w:t>
      </w:r>
      <w:proofErr w:type="spellStart"/>
      <w:r w:rsidRPr="00FF6037">
        <w:t>Rosch</w:t>
      </w:r>
      <w:proofErr w:type="spellEnd"/>
      <w:r w:rsidRPr="00FF6037">
        <w:t xml:space="preserve">, </w:t>
      </w:r>
      <w:proofErr w:type="spellStart"/>
      <w:r w:rsidRPr="00FF6037">
        <w:t>Comm</w:t>
      </w:r>
      <w:r w:rsidRPr="00FF6037">
        <w:rPr>
          <w:rFonts w:hint="eastAsia"/>
        </w:rPr>
        <w:t>’</w:t>
      </w:r>
      <w:r w:rsidRPr="00FF6037">
        <w:t>r</w:t>
      </w:r>
      <w:proofErr w:type="spellEnd"/>
      <w:r w:rsidRPr="00FF6037">
        <w:t xml:space="preserve">, Fed Trade </w:t>
      </w:r>
      <w:proofErr w:type="spellStart"/>
      <w:r w:rsidRPr="00FF6037">
        <w:t>Comm</w:t>
      </w:r>
      <w:r w:rsidRPr="00FF6037">
        <w:rPr>
          <w:rFonts w:hint="eastAsia"/>
        </w:rPr>
        <w:t>’</w:t>
      </w:r>
      <w:r w:rsidRPr="00FF6037">
        <w:t>n</w:t>
      </w:r>
      <w:proofErr w:type="spellEnd"/>
      <w:r w:rsidRPr="00FF6037">
        <w:t>, Behavioral Economics: Observations Regarding Issues that Lie Ahead, Remarks at the Vienna Competition Conference (June 9, 2010)</w:t>
      </w:r>
      <w:r>
        <w:t xml:space="preserve">, </w:t>
      </w:r>
      <w:r w:rsidRPr="00FF6037">
        <w:t>http://wwwftcgov/speeches/rosch/100609viennaremarkspdf</w:t>
      </w:r>
      <w:r>
        <w:t xml:space="preserve">; J. </w:t>
      </w:r>
      <w:r w:rsidRPr="00FF6037">
        <w:t>T</w:t>
      </w:r>
      <w:r>
        <w:t>homas</w:t>
      </w:r>
      <w:r w:rsidRPr="00FF6037">
        <w:t xml:space="preserve"> </w:t>
      </w:r>
      <w:proofErr w:type="spellStart"/>
      <w:r w:rsidRPr="00FF6037">
        <w:t>Rosch</w:t>
      </w:r>
      <w:proofErr w:type="spellEnd"/>
      <w:r w:rsidRPr="00FF6037">
        <w:t xml:space="preserve">, </w:t>
      </w:r>
      <w:proofErr w:type="spellStart"/>
      <w:r w:rsidRPr="00FF6037">
        <w:t>Comm</w:t>
      </w:r>
      <w:r w:rsidRPr="00FF6037">
        <w:rPr>
          <w:rFonts w:hint="eastAsia"/>
        </w:rPr>
        <w:t>’</w:t>
      </w:r>
      <w:r w:rsidRPr="00FF6037">
        <w:t>r</w:t>
      </w:r>
      <w:proofErr w:type="spellEnd"/>
      <w:r w:rsidRPr="00FF6037">
        <w:t xml:space="preserve">, Fed Trade </w:t>
      </w:r>
      <w:proofErr w:type="spellStart"/>
      <w:r w:rsidRPr="00FF6037">
        <w:t>Comm</w:t>
      </w:r>
      <w:r w:rsidRPr="00FF6037">
        <w:rPr>
          <w:rFonts w:hint="eastAsia"/>
        </w:rPr>
        <w:t>’</w:t>
      </w:r>
      <w:r w:rsidRPr="00FF6037">
        <w:t>n</w:t>
      </w:r>
      <w:proofErr w:type="spellEnd"/>
      <w:r w:rsidRPr="00FF6037">
        <w:t>, Managing Irrationality: Some Observations on Behavioral Economics and the Creation of the Consumer Financial Protection Agency, Remarks at the Conference on the Regulation of Consumer Financial Products (Jan 6, 2010)</w:t>
      </w:r>
      <w:r>
        <w:t xml:space="preserve">, </w:t>
      </w:r>
      <w:hyperlink r:id="rId17" w:history="1">
        <w:r w:rsidRPr="00B203ED">
          <w:rPr>
            <w:rStyle w:val="Hyperlink"/>
          </w:rPr>
          <w:t xml:space="preserve">http://wwwftcgov/speeches/ </w:t>
        </w:r>
        <w:proofErr w:type="spellStart"/>
        <w:r w:rsidRPr="00B203ED">
          <w:rPr>
            <w:rStyle w:val="Hyperlink"/>
          </w:rPr>
          <w:t>rosch</w:t>
        </w:r>
        <w:proofErr w:type="spellEnd"/>
        <w:r w:rsidRPr="00B203ED">
          <w:rPr>
            <w:rStyle w:val="Hyperlink"/>
          </w:rPr>
          <w:t>/100106financial-productspdf</w:t>
        </w:r>
      </w:hyperlink>
      <w:r>
        <w:t>.</w:t>
      </w:r>
      <w:r w:rsidRPr="00FF6037">
        <w:t xml:space="preserve"> </w:t>
      </w:r>
    </w:p>
  </w:footnote>
  <w:footnote w:id="135">
    <w:p w14:paraId="6FFB3A89" w14:textId="7DD51509" w:rsidR="00055A31" w:rsidRDefault="00055A31" w:rsidP="00513C8B">
      <w:pPr>
        <w:pStyle w:val="FootnoteText"/>
      </w:pPr>
      <w:r>
        <w:rPr>
          <w:rStyle w:val="FootnoteReference"/>
        </w:rPr>
        <w:footnoteRef/>
      </w:r>
      <w:r>
        <w:t xml:space="preserve"> </w:t>
      </w:r>
      <w:r w:rsidRPr="00F74EEC">
        <w:rPr>
          <w:i/>
        </w:rPr>
        <w:t>See, e.g.</w:t>
      </w:r>
      <w:r>
        <w:t xml:space="preserve">, </w:t>
      </w:r>
      <w:proofErr w:type="spellStart"/>
      <w:r w:rsidRPr="00964673">
        <w:t>Emanuele</w:t>
      </w:r>
      <w:proofErr w:type="spellEnd"/>
      <w:r w:rsidRPr="00964673">
        <w:t xml:space="preserve"> </w:t>
      </w:r>
      <w:proofErr w:type="spellStart"/>
      <w:r w:rsidRPr="00964673">
        <w:t>Ciriolo</w:t>
      </w:r>
      <w:proofErr w:type="spellEnd"/>
      <w:r w:rsidRPr="00964673">
        <w:t xml:space="preserve">, </w:t>
      </w:r>
      <w:proofErr w:type="spellStart"/>
      <w:r w:rsidRPr="00F74EEC">
        <w:rPr>
          <w:i/>
        </w:rPr>
        <w:t>Behavioural</w:t>
      </w:r>
      <w:proofErr w:type="spellEnd"/>
      <w:r w:rsidRPr="00F74EEC">
        <w:rPr>
          <w:i/>
        </w:rPr>
        <w:t xml:space="preserve"> Economics in the European Commission: Past, Present and Future</w:t>
      </w:r>
      <w:r>
        <w:t>,</w:t>
      </w:r>
      <w:r w:rsidRPr="00964673">
        <w:t xml:space="preserve"> </w:t>
      </w:r>
      <w:proofErr w:type="spellStart"/>
      <w:r w:rsidRPr="00F74EEC">
        <w:rPr>
          <w:smallCaps/>
        </w:rPr>
        <w:t>Oxera</w:t>
      </w:r>
      <w:proofErr w:type="spellEnd"/>
      <w:r w:rsidRPr="00F74EEC">
        <w:rPr>
          <w:smallCaps/>
        </w:rPr>
        <w:t xml:space="preserve"> Agenda</w:t>
      </w:r>
      <w:r>
        <w:t xml:space="preserve"> (</w:t>
      </w:r>
      <w:r w:rsidRPr="00964673">
        <w:t>Jan</w:t>
      </w:r>
      <w:r>
        <w:t>.</w:t>
      </w:r>
      <w:r w:rsidRPr="00964673">
        <w:t xml:space="preserve"> 2011</w:t>
      </w:r>
      <w:r>
        <w:t xml:space="preserve">), </w:t>
      </w:r>
      <w:r w:rsidRPr="00964673">
        <w:t>http://www.oxera.com/main.aspx</w:t>
      </w:r>
      <w:proofErr w:type="gramStart"/>
      <w:r w:rsidRPr="00964673">
        <w:t>?id</w:t>
      </w:r>
      <w:proofErr w:type="gramEnd"/>
      <w:r w:rsidRPr="00964673">
        <w:t>=9324</w:t>
      </w:r>
      <w:r>
        <w:t>,</w:t>
      </w:r>
      <w:r w:rsidRPr="00964673">
        <w:t xml:space="preserve"> </w:t>
      </w:r>
      <w:proofErr w:type="spellStart"/>
      <w:r>
        <w:t>Eliana</w:t>
      </w:r>
      <w:proofErr w:type="spellEnd"/>
      <w:r>
        <w:t xml:space="preserve"> </w:t>
      </w:r>
      <w:proofErr w:type="spellStart"/>
      <w:r>
        <w:t>Garcés</w:t>
      </w:r>
      <w:proofErr w:type="spellEnd"/>
      <w:r>
        <w:t xml:space="preserve">, </w:t>
      </w:r>
      <w:r w:rsidRPr="00F74EEC">
        <w:rPr>
          <w:i/>
        </w:rPr>
        <w:t>The Impact of Behavioral Economics on Consumer and Competition Policies</w:t>
      </w:r>
      <w:r w:rsidRPr="00F74EEC">
        <w:t>,</w:t>
      </w:r>
      <w:r>
        <w:t xml:space="preserve"> 6 </w:t>
      </w:r>
      <w:r w:rsidRPr="00F74EEC">
        <w:rPr>
          <w:smallCaps/>
        </w:rPr>
        <w:t xml:space="preserve">Competition </w:t>
      </w:r>
      <w:proofErr w:type="spellStart"/>
      <w:r w:rsidRPr="00F74EEC">
        <w:rPr>
          <w:smallCaps/>
        </w:rPr>
        <w:t>Pol</w:t>
      </w:r>
      <w:r w:rsidRPr="00F74EEC">
        <w:rPr>
          <w:rFonts w:hint="eastAsia"/>
          <w:smallCaps/>
        </w:rPr>
        <w:t>’</w:t>
      </w:r>
      <w:r w:rsidRPr="00F74EEC">
        <w:rPr>
          <w:smallCaps/>
        </w:rPr>
        <w:t>y</w:t>
      </w:r>
      <w:proofErr w:type="spellEnd"/>
      <w:r w:rsidRPr="00F74EEC">
        <w:rPr>
          <w:smallCaps/>
        </w:rPr>
        <w:t xml:space="preserve"> Int</w:t>
      </w:r>
      <w:r w:rsidRPr="00F74EEC">
        <w:rPr>
          <w:rFonts w:hint="eastAsia"/>
          <w:smallCaps/>
        </w:rPr>
        <w:t>’</w:t>
      </w:r>
      <w:r w:rsidRPr="00F74EEC">
        <w:rPr>
          <w:smallCaps/>
        </w:rPr>
        <w:t>l</w:t>
      </w:r>
      <w:r>
        <w:t xml:space="preserve"> 145 (2010); Press Release, European Union </w:t>
      </w:r>
      <w:proofErr w:type="spellStart"/>
      <w:r>
        <w:t>Comm</w:t>
      </w:r>
      <w:r>
        <w:rPr>
          <w:rFonts w:hint="eastAsia"/>
        </w:rPr>
        <w:t>’</w:t>
      </w:r>
      <w:r>
        <w:t>n</w:t>
      </w:r>
      <w:proofErr w:type="spellEnd"/>
      <w:r>
        <w:t xml:space="preserve"> for Consumers, Why Consumers Behave the Way They Do: Commissioner </w:t>
      </w:r>
      <w:proofErr w:type="spellStart"/>
      <w:r>
        <w:t>Kuneva</w:t>
      </w:r>
      <w:proofErr w:type="spellEnd"/>
      <w:r>
        <w:t xml:space="preserve"> Hosts High Level Conference on </w:t>
      </w:r>
      <w:proofErr w:type="spellStart"/>
      <w:r>
        <w:t>Behavioural</w:t>
      </w:r>
      <w:proofErr w:type="spellEnd"/>
      <w:r>
        <w:t xml:space="preserve"> Economics (Nov. 28, 2008), </w:t>
      </w:r>
      <w:hyperlink r:id="rId18" w:history="1">
        <w:r w:rsidRPr="00B203ED">
          <w:rPr>
            <w:rStyle w:val="Hyperlink"/>
          </w:rPr>
          <w:t>http://europaeu/rapid/pressReleasesActiondo?reference=IP/08/1836&amp;format=HTML&amp; aged=0&amp;language=</w:t>
        </w:r>
        <w:proofErr w:type="spellStart"/>
        <w:r w:rsidRPr="00B203ED">
          <w:rPr>
            <w:rStyle w:val="Hyperlink"/>
          </w:rPr>
          <w:t>EN&amp;guiLanguage</w:t>
        </w:r>
        <w:proofErr w:type="spellEnd"/>
        <w:r w:rsidRPr="00B203ED">
          <w:rPr>
            <w:rStyle w:val="Hyperlink"/>
          </w:rPr>
          <w:t>=en</w:t>
        </w:r>
      </w:hyperlink>
      <w:r>
        <w:t>.</w:t>
      </w:r>
    </w:p>
  </w:footnote>
  <w:footnote w:id="136">
    <w:p w14:paraId="140180E0" w14:textId="30F82D18" w:rsidR="00055A31" w:rsidRDefault="00055A31" w:rsidP="00513C8B">
      <w:pPr>
        <w:pStyle w:val="FootnoteText"/>
      </w:pPr>
      <w:r>
        <w:rPr>
          <w:rStyle w:val="FootnoteReference"/>
        </w:rPr>
        <w:footnoteRef/>
      </w:r>
      <w:r>
        <w:t xml:space="preserve"> Office o</w:t>
      </w:r>
      <w:r w:rsidRPr="00FF6037">
        <w:t>f F</w:t>
      </w:r>
      <w:r>
        <w:t>air Trading (UK), The Impact of Price Frames o</w:t>
      </w:r>
      <w:r w:rsidRPr="00FF6037">
        <w:t>n Consumer Decision Making (2010)</w:t>
      </w:r>
      <w:r>
        <w:t>, http://wwwoftgovuk/shared_oft/</w:t>
      </w:r>
      <w:r w:rsidRPr="00FF6037">
        <w:t xml:space="preserve">economic_research/OFT1226pdf; Matthew Bennett, John </w:t>
      </w:r>
      <w:proofErr w:type="spellStart"/>
      <w:r w:rsidRPr="00FF6037">
        <w:t>Fingleton</w:t>
      </w:r>
      <w:proofErr w:type="spellEnd"/>
      <w:r w:rsidRPr="00FF6037">
        <w:t xml:space="preserve">, Amelia Fletcher, Liz Hurley &amp; David Ruck, </w:t>
      </w:r>
      <w:r w:rsidRPr="00F74EEC">
        <w:rPr>
          <w:i/>
        </w:rPr>
        <w:t>What Does Behavioral Economics Mean for Competition Policy</w:t>
      </w:r>
      <w:proofErr w:type="gramStart"/>
      <w:r w:rsidRPr="00F74EEC">
        <w:rPr>
          <w:i/>
        </w:rPr>
        <w:t>?</w:t>
      </w:r>
      <w:r>
        <w:t>,</w:t>
      </w:r>
      <w:proofErr w:type="gramEnd"/>
      <w:r>
        <w:t xml:space="preserve"> </w:t>
      </w:r>
      <w:r w:rsidRPr="00FF6037">
        <w:t xml:space="preserve">6 </w:t>
      </w:r>
      <w:r w:rsidRPr="00F74EEC">
        <w:rPr>
          <w:smallCaps/>
        </w:rPr>
        <w:t xml:space="preserve">Competition </w:t>
      </w:r>
      <w:proofErr w:type="spellStart"/>
      <w:r w:rsidRPr="00F74EEC">
        <w:rPr>
          <w:smallCaps/>
        </w:rPr>
        <w:t>Pol</w:t>
      </w:r>
      <w:r w:rsidRPr="00F74EEC">
        <w:rPr>
          <w:rFonts w:hint="eastAsia"/>
          <w:smallCaps/>
        </w:rPr>
        <w:t>’</w:t>
      </w:r>
      <w:r w:rsidRPr="00F74EEC">
        <w:rPr>
          <w:smallCaps/>
        </w:rPr>
        <w:t>y</w:t>
      </w:r>
      <w:proofErr w:type="spellEnd"/>
      <w:r w:rsidRPr="00F74EEC">
        <w:rPr>
          <w:smallCaps/>
        </w:rPr>
        <w:t xml:space="preserve"> Int</w:t>
      </w:r>
      <w:r w:rsidRPr="00F74EEC">
        <w:rPr>
          <w:rFonts w:hint="eastAsia"/>
          <w:smallCaps/>
        </w:rPr>
        <w:t>’</w:t>
      </w:r>
      <w:r w:rsidRPr="00F74EEC">
        <w:rPr>
          <w:smallCaps/>
        </w:rPr>
        <w:t>l</w:t>
      </w:r>
      <w:r w:rsidRPr="00FF6037">
        <w:t xml:space="preserve"> 111, 118</w:t>
      </w:r>
      <w:r>
        <w:t xml:space="preserve"> (2010)</w:t>
      </w:r>
      <w:r w:rsidRPr="00FF6037">
        <w:t>; Amelia Fletcher, Chief Econo</w:t>
      </w:r>
      <w:r>
        <w:t>mist, Office of Fair Trading</w:t>
      </w:r>
      <w:r w:rsidRPr="00FF6037">
        <w:t xml:space="preserve">, What Do Policy-Makers Need from </w:t>
      </w:r>
      <w:proofErr w:type="spellStart"/>
      <w:r w:rsidRPr="00FF6037">
        <w:t>Behavioural</w:t>
      </w:r>
      <w:proofErr w:type="spellEnd"/>
      <w:r w:rsidRPr="00FF6037">
        <w:t xml:space="preserve"> Economists?, Address at the European Commission Consumer Affairs Conference (Nov</w:t>
      </w:r>
      <w:r>
        <w:t>.</w:t>
      </w:r>
      <w:r w:rsidRPr="00FF6037">
        <w:t xml:space="preserve"> 28, 2008)</w:t>
      </w:r>
      <w:r>
        <w:t xml:space="preserve">, </w:t>
      </w:r>
      <w:hyperlink r:id="rId19" w:history="1">
        <w:r w:rsidRPr="00B203ED">
          <w:rPr>
            <w:rStyle w:val="Hyperlink"/>
          </w:rPr>
          <w:t>http://eceuropaeu/consumers/dyna/conference/programme_enhtm</w:t>
        </w:r>
      </w:hyperlink>
      <w:r>
        <w:t>.</w:t>
      </w:r>
    </w:p>
  </w:footnote>
  <w:footnote w:id="137">
    <w:p w14:paraId="4A0C0B18" w14:textId="77777777" w:rsidR="00055A31" w:rsidRDefault="00055A31" w:rsidP="00513C8B">
      <w:pPr>
        <w:pStyle w:val="FootnoteText"/>
      </w:pPr>
      <w:r>
        <w:rPr>
          <w:rStyle w:val="FootnoteReference"/>
        </w:rPr>
        <w:footnoteRef/>
      </w:r>
      <w:r>
        <w:t xml:space="preserve"> </w:t>
      </w:r>
      <w:r>
        <w:tab/>
      </w:r>
      <w:proofErr w:type="spellStart"/>
      <w:r w:rsidRPr="0099022F">
        <w:t>Organisation</w:t>
      </w:r>
      <w:proofErr w:type="spellEnd"/>
      <w:r w:rsidRPr="0099022F">
        <w:t xml:space="preserve"> for Economic Co-operation and Development</w:t>
      </w:r>
      <w:r>
        <w:t xml:space="preserve">, </w:t>
      </w:r>
      <w:r w:rsidRPr="00BE11AA">
        <w:t>Competition Committee</w:t>
      </w:r>
      <w:r>
        <w:t xml:space="preserve">, </w:t>
      </w:r>
      <w:r w:rsidRPr="0099022F">
        <w:t xml:space="preserve">Hearing on Competition and </w:t>
      </w:r>
      <w:proofErr w:type="spellStart"/>
      <w:r w:rsidRPr="0099022F">
        <w:t>Behavioural</w:t>
      </w:r>
      <w:proofErr w:type="spellEnd"/>
      <w:r w:rsidRPr="0099022F">
        <w:t xml:space="preserve"> Economics, Paris, France (June 2012)</w:t>
      </w:r>
      <w:r>
        <w:t xml:space="preserve">, </w:t>
      </w:r>
      <w:r w:rsidRPr="00BE11AA">
        <w:t>http://www.oecd.org/document/43/0,3746,en_2649_37463_48742443_1_1_1_37463,00.html#Beh_Eco</w:t>
      </w:r>
      <w:r>
        <w:t>.</w:t>
      </w:r>
    </w:p>
  </w:footnote>
  <w:footnote w:id="138">
    <w:p w14:paraId="370C424B" w14:textId="284EE319" w:rsidR="00055A31" w:rsidRDefault="00055A31" w:rsidP="000702AB">
      <w:pPr>
        <w:pStyle w:val="FootnoteText"/>
      </w:pPr>
      <w:r>
        <w:rPr>
          <w:rStyle w:val="FootnoteReference"/>
        </w:rPr>
        <w:footnoteRef/>
      </w:r>
      <w:r>
        <w:t xml:space="preserve"> </w:t>
      </w:r>
      <w:r>
        <w:tab/>
        <w:t xml:space="preserve">Barbara </w:t>
      </w:r>
      <w:proofErr w:type="spellStart"/>
      <w:r>
        <w:t>Casassus</w:t>
      </w:r>
      <w:proofErr w:type="spellEnd"/>
      <w:r>
        <w:t xml:space="preserve">, </w:t>
      </w:r>
      <w:r w:rsidRPr="00B878EF">
        <w:rPr>
          <w:i/>
        </w:rPr>
        <w:t>Lead Report: OECD Committee Probes Intricacies Of Behavioral Economics in Cases</w:t>
      </w:r>
      <w:r>
        <w:t xml:space="preserve">, Bloomberg BNA Antitrust &amp; Trade Regulation Daily, </w:t>
      </w:r>
      <w:proofErr w:type="gramStart"/>
      <w:r>
        <w:t>June</w:t>
      </w:r>
      <w:proofErr w:type="gramEnd"/>
      <w:r>
        <w:t xml:space="preserve"> 25, 2012.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8F16" w14:textId="1C0F5569" w:rsidR="00055A31" w:rsidRPr="00CA354F" w:rsidRDefault="00055A31" w:rsidP="00DE478D">
    <w:pPr>
      <w:pStyle w:val="Header"/>
      <w:tabs>
        <w:tab w:val="clear" w:pos="4320"/>
        <w:tab w:val="clear" w:pos="8640"/>
        <w:tab w:val="center" w:pos="3672"/>
        <w:tab w:val="right" w:pos="7344"/>
      </w:tabs>
      <w:ind w:firstLine="0"/>
    </w:pPr>
    <w:r>
      <w:rPr>
        <w:rStyle w:val="PageNumber"/>
      </w:rPr>
      <w:fldChar w:fldCharType="begin"/>
    </w:r>
    <w:r>
      <w:rPr>
        <w:rStyle w:val="PageNumber"/>
      </w:rPr>
      <w:instrText xml:space="preserve"> PAGE </w:instrText>
    </w:r>
    <w:r>
      <w:rPr>
        <w:rStyle w:val="PageNumber"/>
      </w:rPr>
      <w:fldChar w:fldCharType="separate"/>
    </w:r>
    <w:r w:rsidR="00284709">
      <w:rPr>
        <w:rStyle w:val="PageNumber"/>
        <w:noProof/>
      </w:rPr>
      <w:t>52</w:t>
    </w:r>
    <w:r>
      <w:rPr>
        <w:rStyle w:val="PageNumber"/>
      </w:rPr>
      <w:fldChar w:fldCharType="end"/>
    </w:r>
    <w:r>
      <w:rPr>
        <w:rStyle w:val="PageNumber"/>
      </w:rPr>
      <w:tab/>
    </w:r>
    <w:r>
      <w:rPr>
        <w:rStyle w:val="PageNumber"/>
        <w:i/>
      </w:rPr>
      <w:t>IMPLICATIONS OF BEHAVIORAL ANTITRUST</w:t>
    </w:r>
    <w:r>
      <w:rPr>
        <w:rStyle w:val="PageNumber"/>
      </w:rPr>
      <w:t xml:space="preserve"> </w:t>
    </w:r>
    <w:r>
      <w:rPr>
        <w:rStyle w:val="PageNumber"/>
      </w:rPr>
      <w:tab/>
      <w:t>[</w:t>
    </w:r>
    <w:r>
      <w:rPr>
        <w:rStyle w:val="PageNumber"/>
      </w:rPr>
      <w:fldChar w:fldCharType="begin"/>
    </w:r>
    <w:r>
      <w:rPr>
        <w:rStyle w:val="PageNumber"/>
      </w:rPr>
      <w:instrText xml:space="preserve"> SAVEDATE  \@ "d-MMM-yy"  \* MERGEFORMAT </w:instrText>
    </w:r>
    <w:r>
      <w:rPr>
        <w:rStyle w:val="PageNumber"/>
      </w:rPr>
      <w:fldChar w:fldCharType="separate"/>
    </w:r>
    <w:r>
      <w:rPr>
        <w:rStyle w:val="PageNumber"/>
        <w:noProof/>
      </w:rPr>
      <w:t>8-May-13</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7720" w14:textId="2F3DE72F" w:rsidR="00055A31" w:rsidRPr="00CA354F" w:rsidRDefault="00055A31" w:rsidP="00DE478D">
    <w:pPr>
      <w:pStyle w:val="Header"/>
      <w:tabs>
        <w:tab w:val="clear" w:pos="4320"/>
        <w:tab w:val="clear" w:pos="8640"/>
        <w:tab w:val="center" w:pos="3672"/>
        <w:tab w:val="right" w:pos="7344"/>
      </w:tabs>
      <w:ind w:firstLine="0"/>
    </w:pPr>
    <w:r>
      <w:fldChar w:fldCharType="begin"/>
    </w:r>
    <w:r>
      <w:instrText xml:space="preserve"> SAVEDATE  \@ "d-MMM-yy"  \* MERGEFORMAT </w:instrText>
    </w:r>
    <w:r>
      <w:fldChar w:fldCharType="separate"/>
    </w:r>
    <w:r>
      <w:rPr>
        <w:noProof/>
      </w:rPr>
      <w:t>8-May-13</w:t>
    </w:r>
    <w:r>
      <w:fldChar w:fldCharType="end"/>
    </w:r>
    <w:r>
      <w:t>]</w:t>
    </w:r>
    <w:r>
      <w:tab/>
    </w:r>
    <w:r>
      <w:rPr>
        <w:rStyle w:val="PageNumber"/>
        <w:i/>
      </w:rPr>
      <w:t>IMPLICATIONS OF BEHAVIORAL ANTITRUST</w:t>
    </w:r>
    <w:r>
      <w:tab/>
    </w:r>
    <w:r>
      <w:rPr>
        <w:rStyle w:val="PageNumber"/>
      </w:rPr>
      <w:fldChar w:fldCharType="begin"/>
    </w:r>
    <w:r>
      <w:rPr>
        <w:rStyle w:val="PageNumber"/>
      </w:rPr>
      <w:instrText xml:space="preserve"> PAGE </w:instrText>
    </w:r>
    <w:r>
      <w:rPr>
        <w:rStyle w:val="PageNumber"/>
      </w:rPr>
      <w:fldChar w:fldCharType="separate"/>
    </w:r>
    <w:r w:rsidR="00284709">
      <w:rPr>
        <w:rStyle w:val="PageNumber"/>
        <w:noProof/>
      </w:rPr>
      <w:t>51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41606694"/>
    <w:name w:val="templateNumber"/>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2">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4">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5">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6">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7">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8">
    <w:nsid w:val="385D0A84"/>
    <w:multiLevelType w:val="multilevel"/>
    <w:tmpl w:val="5CF80740"/>
    <w:name w:val="templateNumberBox"/>
    <w:lvl w:ilvl="0">
      <w:start w:val="1"/>
      <w:numFmt w:val="decimal"/>
      <w:pStyle w:val="ListNumberBox"/>
      <w:lvlText w:val="%1."/>
      <w:lvlJc w:val="right"/>
      <w:pPr>
        <w:tabs>
          <w:tab w:val="num" w:pos="1950"/>
        </w:tabs>
        <w:ind w:left="1950" w:hanging="408"/>
      </w:pPr>
    </w:lvl>
    <w:lvl w:ilvl="1">
      <w:start w:val="1"/>
      <w:numFmt w:val="decimal"/>
      <w:pStyle w:val="ListNumberBox2"/>
      <w:lvlText w:val="%2."/>
      <w:lvlJc w:val="right"/>
      <w:pPr>
        <w:tabs>
          <w:tab w:val="num" w:pos="2291"/>
        </w:tabs>
        <w:ind w:left="2291" w:hanging="341"/>
      </w:pPr>
    </w:lvl>
    <w:lvl w:ilvl="2">
      <w:start w:val="1"/>
      <w:numFmt w:val="decimal"/>
      <w:pStyle w:val="ListNumberBox3"/>
      <w:lvlText w:val="%3."/>
      <w:lvlJc w:val="righ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9">
    <w:nsid w:val="3BC230DE"/>
    <w:multiLevelType w:val="multilevel"/>
    <w:tmpl w:val="599C0A5A"/>
    <w:lvl w:ilvl="0">
      <w:start w:val="1"/>
      <w:numFmt w:val="decimal"/>
      <w:pStyle w:val="ListNumber"/>
      <w:lvlText w:val="%1."/>
      <w:lvlJc w:val="right"/>
      <w:pPr>
        <w:tabs>
          <w:tab w:val="num" w:pos="850"/>
        </w:tabs>
        <w:ind w:left="850" w:hanging="408"/>
      </w:pPr>
    </w:lvl>
    <w:lvl w:ilvl="1">
      <w:start w:val="1"/>
      <w:numFmt w:val="decimal"/>
      <w:pStyle w:val="ListNumber2"/>
      <w:lvlText w:val="%2."/>
      <w:lvlJc w:val="right"/>
      <w:pPr>
        <w:tabs>
          <w:tab w:val="num" w:pos="1191"/>
        </w:tabs>
        <w:ind w:left="1191" w:hanging="341"/>
      </w:pPr>
    </w:lvl>
    <w:lvl w:ilvl="2">
      <w:start w:val="1"/>
      <w:numFmt w:val="decimal"/>
      <w:pStyle w:val="ListNumber3"/>
      <w:lvlText w:val="%3."/>
      <w:lvlJc w:val="right"/>
      <w:pPr>
        <w:tabs>
          <w:tab w:val="num" w:pos="1474"/>
        </w:tabs>
        <w:ind w:left="1474" w:hanging="340"/>
      </w:pPr>
    </w:lvl>
    <w:lvl w:ilvl="3">
      <w:start w:val="1"/>
      <w:numFmt w:val="decimal"/>
      <w:pStyle w:val="ListNumber4"/>
      <w:lvlText w:val="%4."/>
      <w:lvlJc w:val="right"/>
      <w:pPr>
        <w:tabs>
          <w:tab w:val="num" w:pos="1757"/>
        </w:tabs>
        <w:ind w:left="1757" w:hanging="340"/>
      </w:pPr>
    </w:lvl>
    <w:lvl w:ilvl="4">
      <w:start w:val="1"/>
      <w:numFmt w:val="decimal"/>
      <w:pStyle w:val="ListNumber5"/>
      <w:lvlText w:val="%5."/>
      <w:lvlJc w:val="righ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2BE438F"/>
    <w:multiLevelType w:val="multilevel"/>
    <w:tmpl w:val="C0B0D114"/>
    <w:lvl w:ilvl="0">
      <w:start w:val="1"/>
      <w:numFmt w:val="none"/>
      <w:pStyle w:val="Heading1"/>
      <w:lvlText w:val=""/>
      <w:lvlJc w:val="left"/>
      <w:pPr>
        <w:tabs>
          <w:tab w:val="num" w:pos="0"/>
        </w:tabs>
        <w:ind w:left="0" w:firstLine="0"/>
      </w:pPr>
      <w:rPr>
        <w:rFonts w:hint="default"/>
      </w:rPr>
    </w:lvl>
    <w:lvl w:ilvl="1">
      <w:start w:val="1"/>
      <w:numFmt w:val="upperLetter"/>
      <w:pStyle w:val="Heading2"/>
      <w:suff w:val="nothing"/>
      <w:lvlText w:val="%2.  "/>
      <w:lvlJc w:val="left"/>
      <w:pPr>
        <w:ind w:left="360" w:hanging="36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Roman"/>
      <w:pStyle w:val="Heading5"/>
      <w:lvlText w:val="%5."/>
      <w:lvlJc w:val="left"/>
      <w:pPr>
        <w:tabs>
          <w:tab w:val="num" w:pos="360"/>
        </w:tabs>
        <w:ind w:left="360" w:hanging="36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1">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2">
    <w:nsid w:val="48EC55A8"/>
    <w:multiLevelType w:val="singleLevel"/>
    <w:tmpl w:val="EBBACA14"/>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3">
    <w:nsid w:val="4AAE47B4"/>
    <w:multiLevelType w:val="singleLevel"/>
    <w:tmpl w:val="AB6CFFBC"/>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4">
    <w:nsid w:val="56BE6F79"/>
    <w:multiLevelType w:val="singleLevel"/>
    <w:tmpl w:val="F258D16A"/>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15">
    <w:nsid w:val="5C8E0CA3"/>
    <w:multiLevelType w:val="singleLevel"/>
    <w:tmpl w:val="BCFCA2DE"/>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16">
    <w:nsid w:val="63E515CF"/>
    <w:multiLevelType w:val="singleLevel"/>
    <w:tmpl w:val="7A00B8A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17">
    <w:nsid w:val="7D991F83"/>
    <w:multiLevelType w:val="hybridMultilevel"/>
    <w:tmpl w:val="4AF29CEA"/>
    <w:lvl w:ilvl="0" w:tplc="FFFFFFFF">
      <w:start w:val="1"/>
      <w:numFmt w:val="lowerLetter"/>
      <w:pStyle w:val="LetteredLis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7"/>
  </w:num>
  <w:num w:numId="3">
    <w:abstractNumId w:val="4"/>
  </w:num>
  <w:num w:numId="4">
    <w:abstractNumId w:val="2"/>
  </w:num>
  <w:num w:numId="5">
    <w:abstractNumId w:val="3"/>
  </w:num>
  <w:num w:numId="6">
    <w:abstractNumId w:val="11"/>
  </w:num>
  <w:num w:numId="7">
    <w:abstractNumId w:val="0"/>
  </w:num>
  <w:num w:numId="8">
    <w:abstractNumId w:val="7"/>
  </w:num>
  <w:num w:numId="9">
    <w:abstractNumId w:val="12"/>
  </w:num>
  <w:num w:numId="10">
    <w:abstractNumId w:val="14"/>
  </w:num>
  <w:num w:numId="11">
    <w:abstractNumId w:val="15"/>
  </w:num>
  <w:num w:numId="12">
    <w:abstractNumId w:val="9"/>
  </w:num>
  <w:num w:numId="13">
    <w:abstractNumId w:val="16"/>
  </w:num>
  <w:num w:numId="14">
    <w:abstractNumId w:val="13"/>
  </w:num>
  <w:num w:numId="15">
    <w:abstractNumId w:val="1"/>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ED"/>
    <w:rsid w:val="00017D0A"/>
    <w:rsid w:val="00055A31"/>
    <w:rsid w:val="000702AB"/>
    <w:rsid w:val="0007369A"/>
    <w:rsid w:val="000A4134"/>
    <w:rsid w:val="000B1E12"/>
    <w:rsid w:val="000D0CDB"/>
    <w:rsid w:val="000D5C60"/>
    <w:rsid w:val="00107AE0"/>
    <w:rsid w:val="00112A83"/>
    <w:rsid w:val="00136C28"/>
    <w:rsid w:val="00144014"/>
    <w:rsid w:val="00147997"/>
    <w:rsid w:val="0015327C"/>
    <w:rsid w:val="001607AF"/>
    <w:rsid w:val="001B0DC1"/>
    <w:rsid w:val="001B7267"/>
    <w:rsid w:val="0020456C"/>
    <w:rsid w:val="00222C81"/>
    <w:rsid w:val="00230566"/>
    <w:rsid w:val="002318B9"/>
    <w:rsid w:val="00232DE1"/>
    <w:rsid w:val="00233466"/>
    <w:rsid w:val="00234BB2"/>
    <w:rsid w:val="002423E5"/>
    <w:rsid w:val="002623D1"/>
    <w:rsid w:val="00283C17"/>
    <w:rsid w:val="00284709"/>
    <w:rsid w:val="002A53F4"/>
    <w:rsid w:val="002B0418"/>
    <w:rsid w:val="002B4FFF"/>
    <w:rsid w:val="002C2FE9"/>
    <w:rsid w:val="002D7A58"/>
    <w:rsid w:val="002E7F5C"/>
    <w:rsid w:val="002F1D10"/>
    <w:rsid w:val="002F3569"/>
    <w:rsid w:val="00302954"/>
    <w:rsid w:val="003221F6"/>
    <w:rsid w:val="00335BD9"/>
    <w:rsid w:val="00363CED"/>
    <w:rsid w:val="00384F28"/>
    <w:rsid w:val="00387E2D"/>
    <w:rsid w:val="003B0EA2"/>
    <w:rsid w:val="003E036D"/>
    <w:rsid w:val="003F0ACE"/>
    <w:rsid w:val="00402D3C"/>
    <w:rsid w:val="00421FE9"/>
    <w:rsid w:val="00465BBA"/>
    <w:rsid w:val="00467A59"/>
    <w:rsid w:val="00471E15"/>
    <w:rsid w:val="004809BB"/>
    <w:rsid w:val="004A0BD0"/>
    <w:rsid w:val="004D1D2B"/>
    <w:rsid w:val="004D7242"/>
    <w:rsid w:val="004E4818"/>
    <w:rsid w:val="004E543C"/>
    <w:rsid w:val="0050262C"/>
    <w:rsid w:val="00512DDF"/>
    <w:rsid w:val="00513C8B"/>
    <w:rsid w:val="00523AFE"/>
    <w:rsid w:val="00564EB8"/>
    <w:rsid w:val="005824CC"/>
    <w:rsid w:val="00593F00"/>
    <w:rsid w:val="005A140E"/>
    <w:rsid w:val="005B2331"/>
    <w:rsid w:val="005B55C3"/>
    <w:rsid w:val="005C7763"/>
    <w:rsid w:val="005D4879"/>
    <w:rsid w:val="005D796C"/>
    <w:rsid w:val="005E7EE2"/>
    <w:rsid w:val="005F320D"/>
    <w:rsid w:val="00614CB4"/>
    <w:rsid w:val="00623CEE"/>
    <w:rsid w:val="00652224"/>
    <w:rsid w:val="006611BF"/>
    <w:rsid w:val="00680B1A"/>
    <w:rsid w:val="00683022"/>
    <w:rsid w:val="00684675"/>
    <w:rsid w:val="006A0015"/>
    <w:rsid w:val="006A3460"/>
    <w:rsid w:val="006A4DBC"/>
    <w:rsid w:val="006A6934"/>
    <w:rsid w:val="006B0074"/>
    <w:rsid w:val="006D261D"/>
    <w:rsid w:val="006E119A"/>
    <w:rsid w:val="006E4965"/>
    <w:rsid w:val="006E6F0E"/>
    <w:rsid w:val="00702F5E"/>
    <w:rsid w:val="00707318"/>
    <w:rsid w:val="00715C87"/>
    <w:rsid w:val="007228FC"/>
    <w:rsid w:val="0072298E"/>
    <w:rsid w:val="007245A6"/>
    <w:rsid w:val="00744231"/>
    <w:rsid w:val="0075032F"/>
    <w:rsid w:val="00751ED7"/>
    <w:rsid w:val="00752951"/>
    <w:rsid w:val="007A7586"/>
    <w:rsid w:val="007B15C3"/>
    <w:rsid w:val="007C2968"/>
    <w:rsid w:val="007E1DDC"/>
    <w:rsid w:val="008070A3"/>
    <w:rsid w:val="00812919"/>
    <w:rsid w:val="008142E4"/>
    <w:rsid w:val="008435EB"/>
    <w:rsid w:val="00844497"/>
    <w:rsid w:val="00865852"/>
    <w:rsid w:val="00870B12"/>
    <w:rsid w:val="00883D69"/>
    <w:rsid w:val="008C1A24"/>
    <w:rsid w:val="008D35B7"/>
    <w:rsid w:val="008E1A11"/>
    <w:rsid w:val="008F6540"/>
    <w:rsid w:val="00903BFC"/>
    <w:rsid w:val="00905A3E"/>
    <w:rsid w:val="00923ADE"/>
    <w:rsid w:val="00931DBC"/>
    <w:rsid w:val="009375D6"/>
    <w:rsid w:val="00975E8D"/>
    <w:rsid w:val="0099014B"/>
    <w:rsid w:val="0099022F"/>
    <w:rsid w:val="0099112C"/>
    <w:rsid w:val="00995E3B"/>
    <w:rsid w:val="009971D7"/>
    <w:rsid w:val="009D343E"/>
    <w:rsid w:val="009D39D2"/>
    <w:rsid w:val="009E1615"/>
    <w:rsid w:val="00A15E58"/>
    <w:rsid w:val="00A53C0E"/>
    <w:rsid w:val="00A65A94"/>
    <w:rsid w:val="00A96D59"/>
    <w:rsid w:val="00AA2981"/>
    <w:rsid w:val="00AA4CB1"/>
    <w:rsid w:val="00AA72C2"/>
    <w:rsid w:val="00AB7EA4"/>
    <w:rsid w:val="00AF15A3"/>
    <w:rsid w:val="00B042D7"/>
    <w:rsid w:val="00B14475"/>
    <w:rsid w:val="00B33382"/>
    <w:rsid w:val="00B45752"/>
    <w:rsid w:val="00B878EF"/>
    <w:rsid w:val="00BA345B"/>
    <w:rsid w:val="00BC61AE"/>
    <w:rsid w:val="00BE0836"/>
    <w:rsid w:val="00BE11AA"/>
    <w:rsid w:val="00BE565C"/>
    <w:rsid w:val="00BE7BCC"/>
    <w:rsid w:val="00C254AE"/>
    <w:rsid w:val="00C333B9"/>
    <w:rsid w:val="00C43C5A"/>
    <w:rsid w:val="00C81746"/>
    <w:rsid w:val="00C84702"/>
    <w:rsid w:val="00C857EF"/>
    <w:rsid w:val="00C92FF8"/>
    <w:rsid w:val="00CA354F"/>
    <w:rsid w:val="00CB3E28"/>
    <w:rsid w:val="00CD22CE"/>
    <w:rsid w:val="00CD5C28"/>
    <w:rsid w:val="00CE65F6"/>
    <w:rsid w:val="00CF3904"/>
    <w:rsid w:val="00D0565B"/>
    <w:rsid w:val="00D238E5"/>
    <w:rsid w:val="00D30954"/>
    <w:rsid w:val="00D35F7C"/>
    <w:rsid w:val="00D43344"/>
    <w:rsid w:val="00D45A54"/>
    <w:rsid w:val="00D47C77"/>
    <w:rsid w:val="00D5233D"/>
    <w:rsid w:val="00D606BF"/>
    <w:rsid w:val="00DA76D9"/>
    <w:rsid w:val="00DC0EAD"/>
    <w:rsid w:val="00DC4CA5"/>
    <w:rsid w:val="00DE429E"/>
    <w:rsid w:val="00DE478D"/>
    <w:rsid w:val="00DE6753"/>
    <w:rsid w:val="00DF09CD"/>
    <w:rsid w:val="00E01B7B"/>
    <w:rsid w:val="00E0577D"/>
    <w:rsid w:val="00E17C26"/>
    <w:rsid w:val="00E2511C"/>
    <w:rsid w:val="00E57BC7"/>
    <w:rsid w:val="00E671AE"/>
    <w:rsid w:val="00E67E67"/>
    <w:rsid w:val="00E72F4C"/>
    <w:rsid w:val="00E85535"/>
    <w:rsid w:val="00E978CC"/>
    <w:rsid w:val="00EA2CC8"/>
    <w:rsid w:val="00EB2916"/>
    <w:rsid w:val="00EB2FBA"/>
    <w:rsid w:val="00EE5377"/>
    <w:rsid w:val="00EF074D"/>
    <w:rsid w:val="00F22649"/>
    <w:rsid w:val="00F24126"/>
    <w:rsid w:val="00F24BD5"/>
    <w:rsid w:val="00F35A1F"/>
    <w:rsid w:val="00F47D20"/>
    <w:rsid w:val="00F5272F"/>
    <w:rsid w:val="00F74DC3"/>
    <w:rsid w:val="00F82979"/>
    <w:rsid w:val="00F84B86"/>
    <w:rsid w:val="00F9151E"/>
    <w:rsid w:val="00FA3589"/>
    <w:rsid w:val="00FA45DD"/>
    <w:rsid w:val="00FD258A"/>
    <w:rsid w:val="00FE0065"/>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A25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9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15"/>
    <w:pPr>
      <w:widowControl w:val="0"/>
      <w:ind w:firstLine="360"/>
      <w:jc w:val="both"/>
    </w:pPr>
    <w:rPr>
      <w:rFonts w:ascii="CG Times" w:hAnsi="CG Times"/>
      <w:sz w:val="24"/>
    </w:rPr>
  </w:style>
  <w:style w:type="paragraph" w:styleId="Heading1">
    <w:name w:val="heading 1"/>
    <w:basedOn w:val="Normal"/>
    <w:next w:val="Normal"/>
    <w:link w:val="Heading1Char"/>
    <w:qFormat/>
    <w:rsid w:val="00E67E67"/>
    <w:pPr>
      <w:keepNext/>
      <w:widowControl/>
      <w:numPr>
        <w:numId w:val="1"/>
      </w:numPr>
      <w:jc w:val="center"/>
      <w:outlineLvl w:val="0"/>
    </w:pPr>
    <w:rPr>
      <w:smallCaps/>
      <w:kern w:val="28"/>
    </w:rPr>
  </w:style>
  <w:style w:type="paragraph" w:styleId="Heading2">
    <w:name w:val="heading 2"/>
    <w:basedOn w:val="Normal"/>
    <w:next w:val="Normal"/>
    <w:qFormat/>
    <w:rsid w:val="00E67E67"/>
    <w:pPr>
      <w:keepNext/>
      <w:widowControl/>
      <w:numPr>
        <w:ilvl w:val="1"/>
        <w:numId w:val="1"/>
      </w:numPr>
      <w:jc w:val="center"/>
      <w:outlineLvl w:val="1"/>
    </w:pPr>
    <w:rPr>
      <w:i/>
    </w:rPr>
  </w:style>
  <w:style w:type="paragraph" w:styleId="Heading3">
    <w:name w:val="heading 3"/>
    <w:basedOn w:val="Normal"/>
    <w:next w:val="Normal"/>
    <w:link w:val="Heading3Char"/>
    <w:qFormat/>
    <w:pPr>
      <w:keepNext/>
      <w:widowControl/>
      <w:numPr>
        <w:ilvl w:val="2"/>
        <w:numId w:val="1"/>
      </w:numPr>
      <w:outlineLvl w:val="2"/>
    </w:pPr>
  </w:style>
  <w:style w:type="paragraph" w:styleId="Heading4">
    <w:name w:val="heading 4"/>
    <w:basedOn w:val="Normal"/>
    <w:next w:val="Normal"/>
    <w:qFormat/>
    <w:rsid w:val="0050262C"/>
    <w:pPr>
      <w:keepNext/>
      <w:widowControl/>
      <w:spacing w:line="360" w:lineRule="auto"/>
      <w:ind w:left="360" w:hanging="360"/>
      <w:outlineLvl w:val="3"/>
    </w:pPr>
    <w:rPr>
      <w:szCs w:val="24"/>
    </w:rPr>
  </w:style>
  <w:style w:type="paragraph" w:styleId="Heading5">
    <w:name w:val="heading 5"/>
    <w:next w:val="Normal"/>
    <w:qFormat/>
    <w:rsid w:val="005C7763"/>
    <w:pPr>
      <w:numPr>
        <w:ilvl w:val="4"/>
        <w:numId w:val="1"/>
      </w:numPr>
      <w:spacing w:before="240" w:after="60"/>
      <w:outlineLvl w:val="4"/>
    </w:pPr>
    <w:rPr>
      <w:rFonts w:ascii="CG Times" w:hAnsi="CG Times"/>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customStyle="1" w:styleId="Footnote">
    <w:name w:val="Footnote"/>
    <w:rsid w:val="00471E15"/>
    <w:pPr>
      <w:widowControl w:val="0"/>
      <w:tabs>
        <w:tab w:val="left" w:pos="-720"/>
      </w:tabs>
      <w:suppressAutoHyphens/>
      <w:spacing w:line="200" w:lineRule="exact"/>
    </w:pPr>
    <w:rPr>
      <w:rFonts w:ascii="CG Times" w:hAnsi="CG Times"/>
      <w:kern w:val="2"/>
    </w:rPr>
  </w:style>
  <w:style w:type="character" w:styleId="FootnoteReference">
    <w:name w:val="footnote reference"/>
    <w:aliases w:val="Ref,de nota al pie,Char1"/>
    <w:rPr>
      <w:vertAlign w:val="superscript"/>
    </w:rPr>
  </w:style>
  <w:style w:type="paragraph" w:styleId="FootnoteText">
    <w:name w:val="footnote text"/>
    <w:aliases w:val="Char,ft Char Char,ft Char Char Char,ft Char,ft Char Char Char Char,ft,ft Char Char Char Char Char,Footnote Text Char2 Char,Footnote Text Char Char Char1,Footnote Text Char1 Char Char Char,fn,Footnotes,Footnote ak,fn Cha, Char,fn Ch"/>
    <w:basedOn w:val="Normal"/>
    <w:link w:val="FootnoteTextChar"/>
    <w:uiPriority w:val="99"/>
    <w:qFormat/>
    <w:rsid w:val="00870B12"/>
    <w:rPr>
      <w:sz w:val="20"/>
    </w:rPr>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customStyle="1" w:styleId="Level1">
    <w:name w:val="Level 1"/>
    <w:basedOn w:val="Normal"/>
    <w:pPr>
      <w:ind w:left="720" w:hanging="720"/>
    </w:pPr>
  </w:style>
  <w:style w:type="character" w:styleId="PageNumber">
    <w:name w:val="page number"/>
    <w:basedOn w:val="DefaultParagraphFont"/>
  </w:style>
  <w:style w:type="paragraph" w:customStyle="1" w:styleId="LetteredList">
    <w:name w:val="Lettered List"/>
    <w:basedOn w:val="Normal"/>
    <w:rsid w:val="00017D0A"/>
    <w:pPr>
      <w:numPr>
        <w:numId w:val="2"/>
      </w:numPr>
    </w:pPr>
  </w:style>
  <w:style w:type="paragraph" w:styleId="TOC1">
    <w:name w:val="toc 1"/>
    <w:basedOn w:val="Normal"/>
    <w:next w:val="Normal"/>
    <w:autoRedefine/>
    <w:qFormat/>
    <w:pPr>
      <w:tabs>
        <w:tab w:val="left" w:leader="dot" w:pos="7776"/>
      </w:tabs>
      <w:ind w:left="432" w:hanging="432"/>
    </w:pPr>
  </w:style>
  <w:style w:type="paragraph" w:styleId="TOC2">
    <w:name w:val="toc 2"/>
    <w:basedOn w:val="Normal"/>
    <w:next w:val="Normal"/>
    <w:autoRedefine/>
    <w:qFormat/>
    <w:pPr>
      <w:tabs>
        <w:tab w:val="left" w:pos="864"/>
        <w:tab w:val="left" w:leader="dot" w:pos="7776"/>
      </w:tabs>
      <w:ind w:left="864" w:hanging="432"/>
    </w:pPr>
    <w:rPr>
      <w:noProof/>
    </w:rPr>
  </w:style>
  <w:style w:type="paragraph" w:styleId="TOC3">
    <w:name w:val="toc 3"/>
    <w:basedOn w:val="Normal"/>
    <w:next w:val="Normal"/>
    <w:autoRedefine/>
    <w:qFormat/>
    <w:pPr>
      <w:tabs>
        <w:tab w:val="left" w:pos="1296"/>
        <w:tab w:val="left" w:leader="dot" w:pos="7776"/>
      </w:tabs>
      <w:ind w:left="1296" w:hanging="432"/>
    </w:pPr>
  </w:style>
  <w:style w:type="paragraph" w:styleId="TOC4">
    <w:name w:val="toc 4"/>
    <w:basedOn w:val="Normal"/>
    <w:next w:val="Normal"/>
    <w:autoRedefine/>
    <w:qFormat/>
    <w:pPr>
      <w:tabs>
        <w:tab w:val="left" w:pos="1296"/>
        <w:tab w:val="left" w:pos="1728"/>
        <w:tab w:val="left" w:leader="dot" w:pos="7776"/>
      </w:tabs>
      <w:ind w:left="1728" w:hanging="432"/>
    </w:pPr>
  </w:style>
  <w:style w:type="paragraph" w:styleId="TOC5">
    <w:name w:val="toc 5"/>
    <w:basedOn w:val="Normal"/>
    <w:next w:val="Normal"/>
    <w:autoRedefine/>
    <w:qFormat/>
    <w:pPr>
      <w:ind w:left="1040"/>
    </w:pPr>
  </w:style>
  <w:style w:type="paragraph" w:styleId="TOC6">
    <w:name w:val="toc 6"/>
    <w:basedOn w:val="Normal"/>
    <w:next w:val="Normal"/>
    <w:autoRedefine/>
    <w:qFormat/>
    <w:pPr>
      <w:ind w:left="1300"/>
    </w:pPr>
  </w:style>
  <w:style w:type="paragraph" w:styleId="TOC7">
    <w:name w:val="toc 7"/>
    <w:basedOn w:val="Normal"/>
    <w:next w:val="Normal"/>
    <w:autoRedefine/>
    <w:qFormat/>
    <w:pPr>
      <w:ind w:left="1560"/>
    </w:pPr>
  </w:style>
  <w:style w:type="paragraph" w:styleId="TOC8">
    <w:name w:val="toc 8"/>
    <w:basedOn w:val="Normal"/>
    <w:next w:val="Normal"/>
    <w:autoRedefine/>
    <w:qFormat/>
    <w:pPr>
      <w:ind w:left="1820"/>
    </w:pPr>
  </w:style>
  <w:style w:type="paragraph" w:styleId="TOC9">
    <w:name w:val="toc 9"/>
    <w:basedOn w:val="Normal"/>
    <w:next w:val="Normal"/>
    <w:autoRedefine/>
    <w:qFormat/>
    <w:pPr>
      <w:ind w:left="2080"/>
    </w:pPr>
  </w:style>
  <w:style w:type="paragraph" w:customStyle="1" w:styleId="BlockQuote">
    <w:name w:val="Block Quote"/>
    <w:basedOn w:val="Normal"/>
    <w:rsid w:val="00471E15"/>
    <w:pPr>
      <w:ind w:left="360" w:right="360"/>
    </w:pPr>
    <w:rPr>
      <w:sz w:val="21"/>
      <w:szCs w:val="19"/>
    </w:rPr>
  </w:style>
  <w:style w:type="paragraph" w:customStyle="1" w:styleId="Epigraph">
    <w:name w:val="Epigraph"/>
    <w:basedOn w:val="Normal"/>
    <w:rsid w:val="00471E15"/>
    <w:pPr>
      <w:ind w:left="3600" w:firstLine="0"/>
      <w:jc w:val="right"/>
    </w:pPr>
    <w:rPr>
      <w:sz w:val="21"/>
      <w:szCs w:val="21"/>
    </w:rPr>
  </w:style>
  <w:style w:type="paragraph" w:customStyle="1" w:styleId="ArticleTitle">
    <w:name w:val="Article Title"/>
    <w:basedOn w:val="Normal"/>
    <w:rsid w:val="00E67E67"/>
    <w:pPr>
      <w:ind w:firstLine="0"/>
      <w:jc w:val="center"/>
    </w:pPr>
    <w:rPr>
      <w:caps/>
    </w:rPr>
  </w:style>
  <w:style w:type="paragraph" w:customStyle="1" w:styleId="YourName">
    <w:name w:val="Your Name"/>
    <w:basedOn w:val="Normal"/>
    <w:rsid w:val="00E67E67"/>
    <w:pPr>
      <w:ind w:firstLine="0"/>
      <w:jc w:val="center"/>
    </w:pPr>
    <w:rPr>
      <w:i/>
      <w:iCs/>
      <w:sz w:val="23"/>
    </w:rPr>
  </w:style>
  <w:style w:type="paragraph" w:customStyle="1" w:styleId="BlockQuoteinFootnote">
    <w:name w:val="Block Quote in Footnote"/>
    <w:basedOn w:val="FootnoteText"/>
    <w:rsid w:val="00870B12"/>
    <w:pPr>
      <w:ind w:left="360" w:right="360"/>
    </w:pPr>
  </w:style>
  <w:style w:type="paragraph" w:styleId="ListParagraph">
    <w:name w:val="List Paragraph"/>
    <w:basedOn w:val="Normal"/>
    <w:uiPriority w:val="34"/>
    <w:qFormat/>
    <w:rsid w:val="00E978CC"/>
    <w:pPr>
      <w:ind w:left="720"/>
      <w:contextualSpacing/>
    </w:pPr>
  </w:style>
  <w:style w:type="paragraph" w:customStyle="1" w:styleId="AnnexHeading">
    <w:name w:val="Annex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styleId="BodyText">
    <w:name w:val="Body Text"/>
    <w:basedOn w:val="Normal"/>
    <w:link w:val="BodyTextChar"/>
    <w:rsid w:val="0050262C"/>
    <w:pPr>
      <w:widowControl/>
      <w:tabs>
        <w:tab w:val="left" w:pos="850"/>
        <w:tab w:val="left" w:pos="1191"/>
        <w:tab w:val="left" w:pos="1531"/>
      </w:tabs>
      <w:spacing w:after="240"/>
      <w:ind w:firstLine="442"/>
    </w:pPr>
    <w:rPr>
      <w:rFonts w:ascii="Times New Roman" w:hAnsi="Times New Roman"/>
      <w:sz w:val="22"/>
      <w:szCs w:val="22"/>
      <w:lang w:val="en-GB" w:eastAsia="zh-CN"/>
    </w:rPr>
  </w:style>
  <w:style w:type="character" w:customStyle="1" w:styleId="BodyTextChar">
    <w:name w:val="Body Text Char"/>
    <w:basedOn w:val="DefaultParagraphFont"/>
    <w:link w:val="BodyText"/>
    <w:rsid w:val="0050262C"/>
    <w:rPr>
      <w:sz w:val="22"/>
      <w:szCs w:val="22"/>
      <w:lang w:val="en-GB" w:eastAsia="zh-CN"/>
    </w:rPr>
  </w:style>
  <w:style w:type="paragraph" w:customStyle="1" w:styleId="Annotation">
    <w:name w:val="Annotation"/>
    <w:basedOn w:val="BodyText"/>
    <w:rsid w:val="0050262C"/>
    <w:pPr>
      <w:ind w:firstLine="0"/>
      <w:jc w:val="left"/>
    </w:pPr>
    <w:rPr>
      <w:b/>
      <w:bCs/>
      <w:i/>
      <w:iCs/>
    </w:rPr>
  </w:style>
  <w:style w:type="paragraph" w:customStyle="1" w:styleId="AppendixHeading">
    <w:name w:val="Appendix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Biblio-Entry">
    <w:name w:val="Biblio-Entry"/>
    <w:basedOn w:val="BodyText"/>
    <w:rsid w:val="0050262C"/>
    <w:pPr>
      <w:ind w:left="567" w:hanging="567"/>
      <w:jc w:val="left"/>
    </w:pPr>
  </w:style>
  <w:style w:type="paragraph" w:customStyle="1" w:styleId="BibliographyHeading">
    <w:name w:val="Bibliography Heading"/>
    <w:basedOn w:val="Normal"/>
    <w:next w:val="Biblio-Entry"/>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BoxHeading">
    <w:name w:val="Box Heading"/>
    <w:basedOn w:val="Normal"/>
    <w:next w:val="BoxBodyText"/>
    <w:rsid w:val="0050262C"/>
    <w:pPr>
      <w:widowControl/>
      <w:tabs>
        <w:tab w:val="left" w:pos="850"/>
        <w:tab w:val="left" w:pos="1191"/>
        <w:tab w:val="left" w:pos="1531"/>
      </w:tabs>
      <w:spacing w:before="240" w:after="240"/>
      <w:ind w:firstLine="0"/>
      <w:jc w:val="center"/>
    </w:pPr>
    <w:rPr>
      <w:rFonts w:ascii="Arial" w:hAnsi="Arial" w:cs="Arial"/>
      <w:b/>
      <w:bCs/>
      <w:sz w:val="18"/>
      <w:szCs w:val="22"/>
      <w:lang w:val="en-GB" w:eastAsia="zh-CN"/>
    </w:rPr>
  </w:style>
  <w:style w:type="paragraph" w:customStyle="1" w:styleId="Cell">
    <w:name w:val="Cell"/>
    <w:basedOn w:val="Normal"/>
    <w:rsid w:val="0050262C"/>
    <w:pPr>
      <w:widowControl/>
      <w:ind w:firstLine="0"/>
      <w:jc w:val="left"/>
    </w:pPr>
    <w:rPr>
      <w:rFonts w:ascii="Arial" w:hAnsi="Arial" w:cs="Arial"/>
      <w:sz w:val="18"/>
      <w:szCs w:val="18"/>
      <w:lang w:val="en-GB" w:eastAsia="zh-CN"/>
    </w:rPr>
  </w:style>
  <w:style w:type="paragraph" w:customStyle="1" w:styleId="ColumnsHeading">
    <w:name w:val="Columns Heading"/>
    <w:basedOn w:val="Normal"/>
    <w:rsid w:val="0050262C"/>
    <w:pPr>
      <w:widowControl/>
      <w:ind w:firstLine="0"/>
      <w:jc w:val="center"/>
    </w:pPr>
    <w:rPr>
      <w:rFonts w:ascii="Arial" w:hAnsi="Arial" w:cs="Arial"/>
      <w:sz w:val="18"/>
      <w:szCs w:val="18"/>
      <w:lang w:val="en-GB" w:eastAsia="zh-CN"/>
    </w:rPr>
  </w:style>
  <w:style w:type="paragraph" w:customStyle="1" w:styleId="ConclusionHeading">
    <w:name w:val="Conclusion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DefinitionList">
    <w:name w:val="Definition List"/>
    <w:basedOn w:val="BodyText"/>
    <w:rsid w:val="0050262C"/>
    <w:pPr>
      <w:tabs>
        <w:tab w:val="clear" w:pos="850"/>
        <w:tab w:val="clear" w:pos="1191"/>
        <w:tab w:val="clear" w:pos="1531"/>
      </w:tabs>
      <w:ind w:left="1984" w:hanging="1984"/>
      <w:jc w:val="center"/>
    </w:pPr>
  </w:style>
  <w:style w:type="paragraph" w:customStyle="1" w:styleId="EndnotesHeading">
    <w:name w:val="Endnotes Heading"/>
    <w:basedOn w:val="Normal"/>
    <w:next w:val="BodyText"/>
    <w:rsid w:val="0050262C"/>
    <w:pPr>
      <w:keepNext/>
      <w:widowControl/>
      <w:tabs>
        <w:tab w:val="left" w:pos="850"/>
        <w:tab w:val="left" w:pos="1191"/>
        <w:tab w:val="left" w:pos="1531"/>
      </w:tabs>
      <w:spacing w:before="1200" w:after="480"/>
      <w:ind w:firstLine="0"/>
      <w:jc w:val="center"/>
    </w:pPr>
    <w:rPr>
      <w:rFonts w:ascii="Times New Roman" w:hAnsi="Times New Roman"/>
      <w:b/>
      <w:bCs/>
      <w:caps/>
      <w:sz w:val="22"/>
      <w:szCs w:val="22"/>
      <w:lang w:val="en-GB" w:eastAsia="zh-CN"/>
    </w:rPr>
  </w:style>
  <w:style w:type="paragraph" w:customStyle="1" w:styleId="ExecutiveSummaryHeading">
    <w:name w:val="Executive Summary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FigureNote">
    <w:name w:val="Figure Note"/>
    <w:basedOn w:val="Normal"/>
    <w:rsid w:val="0050262C"/>
    <w:pPr>
      <w:widowControl/>
      <w:tabs>
        <w:tab w:val="left" w:pos="850"/>
        <w:tab w:val="left" w:pos="1191"/>
        <w:tab w:val="left" w:pos="1531"/>
      </w:tabs>
      <w:spacing w:after="120"/>
      <w:ind w:firstLine="0"/>
    </w:pPr>
    <w:rPr>
      <w:rFonts w:ascii="Arial" w:hAnsi="Arial" w:cs="Arial"/>
      <w:sz w:val="16"/>
      <w:szCs w:val="18"/>
      <w:lang w:val="en-GB" w:eastAsia="zh-CN"/>
    </w:rPr>
  </w:style>
  <w:style w:type="paragraph" w:customStyle="1" w:styleId="FigureSub-title">
    <w:name w:val="Figure Sub-title"/>
    <w:basedOn w:val="Normal"/>
    <w:rsid w:val="0050262C"/>
    <w:pPr>
      <w:keepNext/>
      <w:widowControl/>
      <w:tabs>
        <w:tab w:val="left" w:pos="850"/>
        <w:tab w:val="left" w:pos="1191"/>
        <w:tab w:val="left" w:pos="1531"/>
      </w:tabs>
      <w:spacing w:after="120"/>
      <w:ind w:firstLine="0"/>
      <w:jc w:val="center"/>
    </w:pPr>
    <w:rPr>
      <w:rFonts w:ascii="Arial" w:hAnsi="Arial" w:cs="Arial"/>
      <w:sz w:val="18"/>
      <w:szCs w:val="22"/>
      <w:lang w:val="en-GB" w:eastAsia="zh-CN"/>
    </w:rPr>
  </w:style>
  <w:style w:type="paragraph" w:customStyle="1" w:styleId="FigureTitle">
    <w:name w:val="Figure Title"/>
    <w:basedOn w:val="Normal"/>
    <w:next w:val="FigureSub-title"/>
    <w:rsid w:val="0050262C"/>
    <w:pPr>
      <w:keepNext/>
      <w:widowControl/>
      <w:tabs>
        <w:tab w:val="left" w:pos="850"/>
        <w:tab w:val="left" w:pos="1191"/>
        <w:tab w:val="left" w:pos="1531"/>
      </w:tabs>
      <w:spacing w:after="240"/>
      <w:ind w:firstLine="0"/>
      <w:jc w:val="center"/>
    </w:pPr>
    <w:rPr>
      <w:rFonts w:ascii="Arial" w:hAnsi="Arial" w:cs="Arial"/>
      <w:b/>
      <w:bCs/>
      <w:sz w:val="18"/>
      <w:szCs w:val="22"/>
      <w:lang w:val="en-GB" w:eastAsia="zh-CN"/>
    </w:rPr>
  </w:style>
  <w:style w:type="paragraph" w:customStyle="1" w:styleId="ForewordHeading">
    <w:name w:val="Foreword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GlossaryHeading">
    <w:name w:val="Glossary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Graphic">
    <w:name w:val="Graphic"/>
    <w:basedOn w:val="Normal"/>
    <w:next w:val="BodyText"/>
    <w:rsid w:val="0050262C"/>
    <w:pPr>
      <w:widowControl/>
      <w:tabs>
        <w:tab w:val="left" w:pos="850"/>
        <w:tab w:val="left" w:pos="1191"/>
        <w:tab w:val="left" w:pos="1531"/>
      </w:tabs>
      <w:spacing w:after="240"/>
      <w:ind w:firstLine="0"/>
      <w:jc w:val="center"/>
    </w:pPr>
    <w:rPr>
      <w:rFonts w:ascii="Times New Roman" w:hAnsi="Times New Roman"/>
      <w:sz w:val="22"/>
      <w:szCs w:val="22"/>
      <w:lang w:val="en-GB" w:eastAsia="zh-CN"/>
    </w:rPr>
  </w:style>
  <w:style w:type="paragraph" w:customStyle="1" w:styleId="HiddenText">
    <w:name w:val="Hidden Text"/>
    <w:basedOn w:val="BodyText"/>
    <w:rsid w:val="0050262C"/>
    <w:pPr>
      <w:keepNext/>
      <w:spacing w:after="0"/>
      <w:ind w:left="442" w:firstLine="0"/>
    </w:pPr>
    <w:rPr>
      <w:sz w:val="2"/>
      <w:szCs w:val="2"/>
    </w:rPr>
  </w:style>
  <w:style w:type="paragraph" w:customStyle="1" w:styleId="Highlight">
    <w:name w:val="Highlight"/>
    <w:basedOn w:val="BodyText"/>
    <w:rsid w:val="0050262C"/>
    <w:pPr>
      <w:ind w:left="442" w:firstLine="0"/>
    </w:pPr>
    <w:rPr>
      <w:i/>
      <w:iCs/>
    </w:rPr>
  </w:style>
  <w:style w:type="paragraph" w:customStyle="1" w:styleId="HighlightHeading">
    <w:name w:val="Highlight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styleId="Index1">
    <w:name w:val="index 1"/>
    <w:basedOn w:val="Normal"/>
    <w:next w:val="Normal"/>
    <w:rsid w:val="0050262C"/>
    <w:pPr>
      <w:widowControl/>
      <w:tabs>
        <w:tab w:val="left" w:pos="850"/>
        <w:tab w:val="left" w:pos="1191"/>
        <w:tab w:val="left" w:pos="1531"/>
      </w:tabs>
      <w:ind w:left="220" w:hanging="220"/>
    </w:pPr>
    <w:rPr>
      <w:rFonts w:ascii="Times New Roman" w:hAnsi="Times New Roman"/>
      <w:sz w:val="22"/>
      <w:szCs w:val="22"/>
      <w:lang w:val="en-GB" w:eastAsia="zh-CN"/>
    </w:rPr>
  </w:style>
  <w:style w:type="paragraph" w:styleId="IndexHeading">
    <w:name w:val="index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IntroductionHeading">
    <w:name w:val="Introduction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styleId="List">
    <w:name w:val="List"/>
    <w:basedOn w:val="Normal"/>
    <w:rsid w:val="0050262C"/>
    <w:pPr>
      <w:widowControl/>
      <w:tabs>
        <w:tab w:val="left" w:pos="850"/>
        <w:tab w:val="left" w:pos="1191"/>
        <w:tab w:val="left" w:pos="1531"/>
      </w:tabs>
      <w:spacing w:after="240"/>
      <w:ind w:left="850" w:hanging="283"/>
    </w:pPr>
    <w:rPr>
      <w:rFonts w:ascii="Times New Roman" w:hAnsi="Times New Roman"/>
      <w:sz w:val="22"/>
      <w:szCs w:val="22"/>
      <w:lang w:val="en-GB" w:eastAsia="zh-CN"/>
    </w:rPr>
  </w:style>
  <w:style w:type="paragraph" w:styleId="List2">
    <w:name w:val="List 2"/>
    <w:basedOn w:val="Normal"/>
    <w:rsid w:val="0050262C"/>
    <w:pPr>
      <w:widowControl/>
      <w:tabs>
        <w:tab w:val="left" w:pos="850"/>
        <w:tab w:val="left" w:pos="1191"/>
        <w:tab w:val="left" w:pos="1531"/>
      </w:tabs>
      <w:spacing w:after="240"/>
      <w:ind w:left="1134" w:hanging="283"/>
    </w:pPr>
    <w:rPr>
      <w:rFonts w:ascii="Times New Roman" w:hAnsi="Times New Roman"/>
      <w:sz w:val="22"/>
      <w:szCs w:val="22"/>
      <w:lang w:val="en-GB" w:eastAsia="zh-CN"/>
    </w:rPr>
  </w:style>
  <w:style w:type="paragraph" w:styleId="List3">
    <w:name w:val="List 3"/>
    <w:basedOn w:val="Normal"/>
    <w:rsid w:val="0050262C"/>
    <w:pPr>
      <w:widowControl/>
      <w:tabs>
        <w:tab w:val="left" w:pos="850"/>
        <w:tab w:val="left" w:pos="1191"/>
        <w:tab w:val="left" w:pos="1531"/>
      </w:tabs>
      <w:spacing w:after="240"/>
      <w:ind w:left="1417" w:hanging="283"/>
    </w:pPr>
    <w:rPr>
      <w:rFonts w:ascii="Times New Roman" w:hAnsi="Times New Roman"/>
      <w:sz w:val="22"/>
      <w:szCs w:val="22"/>
      <w:lang w:val="en-GB" w:eastAsia="zh-CN"/>
    </w:rPr>
  </w:style>
  <w:style w:type="paragraph" w:styleId="List4">
    <w:name w:val="List 4"/>
    <w:basedOn w:val="Normal"/>
    <w:rsid w:val="0050262C"/>
    <w:pPr>
      <w:widowControl/>
      <w:tabs>
        <w:tab w:val="left" w:pos="850"/>
        <w:tab w:val="left" w:pos="1191"/>
        <w:tab w:val="left" w:pos="1531"/>
      </w:tabs>
      <w:spacing w:after="240"/>
      <w:ind w:left="1701" w:hanging="283"/>
    </w:pPr>
    <w:rPr>
      <w:rFonts w:ascii="Times New Roman" w:hAnsi="Times New Roman"/>
      <w:sz w:val="22"/>
      <w:szCs w:val="22"/>
      <w:lang w:val="en-GB" w:eastAsia="zh-CN"/>
    </w:rPr>
  </w:style>
  <w:style w:type="paragraph" w:styleId="List5">
    <w:name w:val="List 5"/>
    <w:basedOn w:val="Normal"/>
    <w:rsid w:val="0050262C"/>
    <w:pPr>
      <w:widowControl/>
      <w:tabs>
        <w:tab w:val="left" w:pos="850"/>
        <w:tab w:val="left" w:pos="1191"/>
        <w:tab w:val="left" w:pos="1531"/>
      </w:tabs>
      <w:spacing w:after="240"/>
      <w:ind w:left="1984" w:hanging="283"/>
    </w:pPr>
    <w:rPr>
      <w:rFonts w:ascii="Times New Roman" w:hAnsi="Times New Roman"/>
      <w:sz w:val="22"/>
      <w:szCs w:val="22"/>
      <w:lang w:val="en-GB" w:eastAsia="zh-CN"/>
    </w:rPr>
  </w:style>
  <w:style w:type="paragraph" w:styleId="ListBullet">
    <w:name w:val="List Bullet"/>
    <w:basedOn w:val="Normal"/>
    <w:rsid w:val="0050262C"/>
    <w:pPr>
      <w:widowControl/>
      <w:numPr>
        <w:numId w:val="7"/>
      </w:numPr>
      <w:spacing w:after="240"/>
    </w:pPr>
    <w:rPr>
      <w:rFonts w:ascii="Times New Roman" w:hAnsi="Times New Roman"/>
      <w:sz w:val="22"/>
      <w:szCs w:val="22"/>
      <w:lang w:val="en-GB" w:eastAsia="zh-CN"/>
    </w:rPr>
  </w:style>
  <w:style w:type="paragraph" w:styleId="ListBullet2">
    <w:name w:val="List Bullet 2"/>
    <w:basedOn w:val="Normal"/>
    <w:rsid w:val="0050262C"/>
    <w:pPr>
      <w:widowControl/>
      <w:numPr>
        <w:numId w:val="8"/>
      </w:numPr>
      <w:spacing w:after="240"/>
    </w:pPr>
    <w:rPr>
      <w:rFonts w:ascii="Times New Roman" w:hAnsi="Times New Roman"/>
      <w:sz w:val="22"/>
      <w:szCs w:val="22"/>
      <w:lang w:val="en-GB" w:eastAsia="zh-CN"/>
    </w:rPr>
  </w:style>
  <w:style w:type="paragraph" w:styleId="ListBullet3">
    <w:name w:val="List Bullet 3"/>
    <w:basedOn w:val="Normal"/>
    <w:rsid w:val="0050262C"/>
    <w:pPr>
      <w:widowControl/>
      <w:numPr>
        <w:numId w:val="9"/>
      </w:numPr>
      <w:spacing w:after="240"/>
    </w:pPr>
    <w:rPr>
      <w:rFonts w:ascii="Times New Roman" w:hAnsi="Times New Roman"/>
      <w:sz w:val="22"/>
      <w:szCs w:val="22"/>
      <w:lang w:val="en-GB" w:eastAsia="zh-CN"/>
    </w:rPr>
  </w:style>
  <w:style w:type="paragraph" w:styleId="ListBullet4">
    <w:name w:val="List Bullet 4"/>
    <w:basedOn w:val="Normal"/>
    <w:rsid w:val="0050262C"/>
    <w:pPr>
      <w:widowControl/>
      <w:numPr>
        <w:numId w:val="10"/>
      </w:numPr>
      <w:spacing w:after="240"/>
    </w:pPr>
    <w:rPr>
      <w:rFonts w:ascii="Times New Roman" w:hAnsi="Times New Roman"/>
      <w:sz w:val="22"/>
      <w:szCs w:val="22"/>
      <w:lang w:val="en-GB" w:eastAsia="zh-CN"/>
    </w:rPr>
  </w:style>
  <w:style w:type="paragraph" w:styleId="ListBullet5">
    <w:name w:val="List Bullet 5"/>
    <w:basedOn w:val="Normal"/>
    <w:rsid w:val="0050262C"/>
    <w:pPr>
      <w:widowControl/>
      <w:numPr>
        <w:numId w:val="11"/>
      </w:numPr>
      <w:spacing w:after="240"/>
    </w:pPr>
    <w:rPr>
      <w:rFonts w:ascii="Times New Roman" w:hAnsi="Times New Roman"/>
      <w:sz w:val="22"/>
      <w:szCs w:val="22"/>
      <w:lang w:val="en-GB" w:eastAsia="zh-CN"/>
    </w:rPr>
  </w:style>
  <w:style w:type="paragraph" w:styleId="ListContinue">
    <w:name w:val="List Continue"/>
    <w:basedOn w:val="Normal"/>
    <w:rsid w:val="0050262C"/>
    <w:pPr>
      <w:widowControl/>
      <w:spacing w:after="240"/>
      <w:ind w:left="850" w:firstLine="0"/>
    </w:pPr>
    <w:rPr>
      <w:rFonts w:ascii="Times New Roman" w:hAnsi="Times New Roman"/>
      <w:sz w:val="22"/>
      <w:szCs w:val="22"/>
      <w:lang w:val="en-GB" w:eastAsia="zh-CN"/>
    </w:rPr>
  </w:style>
  <w:style w:type="paragraph" w:styleId="ListContinue2">
    <w:name w:val="List Continue 2"/>
    <w:basedOn w:val="Normal"/>
    <w:rsid w:val="0050262C"/>
    <w:pPr>
      <w:widowControl/>
      <w:spacing w:after="240"/>
      <w:ind w:left="1191" w:firstLine="0"/>
    </w:pPr>
    <w:rPr>
      <w:rFonts w:ascii="Times New Roman" w:hAnsi="Times New Roman"/>
      <w:sz w:val="22"/>
      <w:szCs w:val="22"/>
      <w:lang w:val="en-GB" w:eastAsia="zh-CN"/>
    </w:rPr>
  </w:style>
  <w:style w:type="paragraph" w:styleId="ListContinue3">
    <w:name w:val="List Continue 3"/>
    <w:basedOn w:val="Normal"/>
    <w:rsid w:val="0050262C"/>
    <w:pPr>
      <w:widowControl/>
      <w:spacing w:after="240"/>
      <w:ind w:left="1474" w:firstLine="0"/>
    </w:pPr>
    <w:rPr>
      <w:rFonts w:ascii="Times New Roman" w:hAnsi="Times New Roman"/>
      <w:sz w:val="22"/>
      <w:szCs w:val="22"/>
      <w:lang w:val="en-GB" w:eastAsia="zh-CN"/>
    </w:rPr>
  </w:style>
  <w:style w:type="paragraph" w:styleId="ListContinue4">
    <w:name w:val="List Continue 4"/>
    <w:basedOn w:val="Normal"/>
    <w:rsid w:val="0050262C"/>
    <w:pPr>
      <w:widowControl/>
      <w:spacing w:after="240"/>
      <w:ind w:left="1757" w:firstLine="0"/>
    </w:pPr>
    <w:rPr>
      <w:rFonts w:ascii="Times New Roman" w:hAnsi="Times New Roman"/>
      <w:sz w:val="22"/>
      <w:szCs w:val="22"/>
      <w:lang w:val="en-GB" w:eastAsia="zh-CN"/>
    </w:rPr>
  </w:style>
  <w:style w:type="paragraph" w:styleId="ListContinue5">
    <w:name w:val="List Continue 5"/>
    <w:basedOn w:val="Normal"/>
    <w:rsid w:val="0050262C"/>
    <w:pPr>
      <w:widowControl/>
      <w:spacing w:after="240"/>
      <w:ind w:left="2041" w:firstLine="0"/>
    </w:pPr>
    <w:rPr>
      <w:rFonts w:ascii="Times New Roman" w:hAnsi="Times New Roman"/>
      <w:sz w:val="22"/>
      <w:szCs w:val="22"/>
      <w:lang w:val="en-GB" w:eastAsia="zh-CN"/>
    </w:rPr>
  </w:style>
  <w:style w:type="paragraph" w:styleId="ListNumber">
    <w:name w:val="List Number"/>
    <w:basedOn w:val="Normal"/>
    <w:rsid w:val="0050262C"/>
    <w:pPr>
      <w:widowControl/>
      <w:numPr>
        <w:numId w:val="12"/>
      </w:numPr>
      <w:tabs>
        <w:tab w:val="left" w:pos="1134"/>
      </w:tabs>
      <w:spacing w:after="240"/>
    </w:pPr>
    <w:rPr>
      <w:rFonts w:ascii="Times New Roman" w:hAnsi="Times New Roman"/>
      <w:sz w:val="22"/>
      <w:szCs w:val="22"/>
      <w:lang w:val="en-GB" w:eastAsia="zh-CN"/>
    </w:rPr>
  </w:style>
  <w:style w:type="paragraph" w:styleId="ListNumber2">
    <w:name w:val="List Number 2"/>
    <w:basedOn w:val="Normal"/>
    <w:rsid w:val="0050262C"/>
    <w:pPr>
      <w:widowControl/>
      <w:numPr>
        <w:ilvl w:val="1"/>
        <w:numId w:val="12"/>
      </w:numPr>
      <w:tabs>
        <w:tab w:val="left" w:pos="1417"/>
      </w:tabs>
      <w:spacing w:after="240"/>
    </w:pPr>
    <w:rPr>
      <w:rFonts w:ascii="Times New Roman" w:hAnsi="Times New Roman"/>
      <w:sz w:val="22"/>
      <w:szCs w:val="22"/>
      <w:lang w:val="en-GB" w:eastAsia="zh-CN"/>
    </w:rPr>
  </w:style>
  <w:style w:type="paragraph" w:styleId="ListNumber3">
    <w:name w:val="List Number 3"/>
    <w:basedOn w:val="Normal"/>
    <w:rsid w:val="0050262C"/>
    <w:pPr>
      <w:widowControl/>
      <w:numPr>
        <w:ilvl w:val="2"/>
        <w:numId w:val="12"/>
      </w:numPr>
      <w:tabs>
        <w:tab w:val="left" w:pos="1701"/>
      </w:tabs>
      <w:spacing w:after="240"/>
    </w:pPr>
    <w:rPr>
      <w:rFonts w:ascii="Times New Roman" w:hAnsi="Times New Roman"/>
      <w:sz w:val="22"/>
      <w:szCs w:val="22"/>
      <w:lang w:val="en-GB" w:eastAsia="zh-CN"/>
    </w:rPr>
  </w:style>
  <w:style w:type="paragraph" w:styleId="ListNumber4">
    <w:name w:val="List Number 4"/>
    <w:basedOn w:val="Normal"/>
    <w:rsid w:val="0050262C"/>
    <w:pPr>
      <w:widowControl/>
      <w:numPr>
        <w:ilvl w:val="3"/>
        <w:numId w:val="12"/>
      </w:numPr>
      <w:tabs>
        <w:tab w:val="left" w:pos="1984"/>
      </w:tabs>
      <w:spacing w:after="240"/>
    </w:pPr>
    <w:rPr>
      <w:rFonts w:ascii="Times New Roman" w:hAnsi="Times New Roman"/>
      <w:sz w:val="22"/>
      <w:szCs w:val="22"/>
      <w:lang w:val="en-GB" w:eastAsia="zh-CN"/>
    </w:rPr>
  </w:style>
  <w:style w:type="paragraph" w:styleId="ListNumber5">
    <w:name w:val="List Number 5"/>
    <w:basedOn w:val="Normal"/>
    <w:rsid w:val="0050262C"/>
    <w:pPr>
      <w:widowControl/>
      <w:numPr>
        <w:ilvl w:val="4"/>
        <w:numId w:val="12"/>
      </w:numPr>
      <w:tabs>
        <w:tab w:val="left" w:pos="2268"/>
      </w:tabs>
      <w:spacing w:after="240"/>
    </w:pPr>
    <w:rPr>
      <w:rFonts w:ascii="Times New Roman" w:hAnsi="Times New Roman"/>
      <w:sz w:val="22"/>
      <w:szCs w:val="22"/>
      <w:lang w:val="en-GB" w:eastAsia="zh-CN"/>
    </w:rPr>
  </w:style>
  <w:style w:type="paragraph" w:customStyle="1" w:styleId="Num-ChapParagraph">
    <w:name w:val="Num-Chap Paragraph"/>
    <w:basedOn w:val="BodyText"/>
    <w:rsid w:val="0050262C"/>
    <w:pPr>
      <w:ind w:firstLine="0"/>
    </w:pPr>
  </w:style>
  <w:style w:type="paragraph" w:customStyle="1" w:styleId="Num-DocParagraph">
    <w:name w:val="Num-Doc Paragraph"/>
    <w:basedOn w:val="BodyText"/>
    <w:rsid w:val="0050262C"/>
    <w:pPr>
      <w:ind w:firstLine="0"/>
    </w:pPr>
  </w:style>
  <w:style w:type="paragraph" w:customStyle="1" w:styleId="PartHeading">
    <w:name w:val="Part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RowsHeading">
    <w:name w:val="Rows Heading"/>
    <w:basedOn w:val="Normal"/>
    <w:rsid w:val="0050262C"/>
    <w:pPr>
      <w:widowControl/>
      <w:ind w:firstLine="0"/>
      <w:jc w:val="left"/>
    </w:pPr>
    <w:rPr>
      <w:rFonts w:ascii="Arial" w:hAnsi="Arial" w:cs="Arial"/>
      <w:sz w:val="18"/>
      <w:szCs w:val="18"/>
      <w:lang w:val="en-GB" w:eastAsia="zh-CN"/>
    </w:rPr>
  </w:style>
  <w:style w:type="paragraph" w:customStyle="1" w:styleId="SourceDescription">
    <w:name w:val="Source Description"/>
    <w:basedOn w:val="Normal"/>
    <w:next w:val="BodyText"/>
    <w:rsid w:val="0050262C"/>
    <w:pPr>
      <w:widowControl/>
      <w:tabs>
        <w:tab w:val="left" w:pos="850"/>
        <w:tab w:val="left" w:pos="1191"/>
        <w:tab w:val="left" w:pos="1531"/>
      </w:tabs>
      <w:spacing w:after="360"/>
      <w:ind w:firstLine="0"/>
    </w:pPr>
    <w:rPr>
      <w:rFonts w:ascii="Arial" w:hAnsi="Arial" w:cs="Arial"/>
      <w:sz w:val="16"/>
      <w:szCs w:val="18"/>
      <w:lang w:val="en-GB" w:eastAsia="zh-CN"/>
    </w:rPr>
  </w:style>
  <w:style w:type="paragraph" w:customStyle="1" w:styleId="SubHeading">
    <w:name w:val="SubHeading"/>
    <w:basedOn w:val="BodyText"/>
    <w:rsid w:val="0050262C"/>
    <w:pPr>
      <w:ind w:left="442" w:firstLine="0"/>
    </w:pPr>
    <w:rPr>
      <w:i/>
      <w:iCs/>
    </w:rPr>
  </w:style>
  <w:style w:type="paragraph" w:customStyle="1" w:styleId="SummaryHeading">
    <w:name w:val="Summary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Table">
    <w:name w:val="Table"/>
    <w:basedOn w:val="Normal"/>
    <w:next w:val="BodyText"/>
    <w:rsid w:val="0050262C"/>
    <w:pPr>
      <w:widowControl/>
      <w:tabs>
        <w:tab w:val="left" w:pos="850"/>
        <w:tab w:val="left" w:pos="1191"/>
        <w:tab w:val="left" w:pos="1531"/>
      </w:tabs>
      <w:spacing w:after="240"/>
      <w:ind w:firstLine="0"/>
      <w:jc w:val="center"/>
    </w:pPr>
    <w:rPr>
      <w:rFonts w:ascii="Times New Roman" w:hAnsi="Times New Roman"/>
      <w:sz w:val="22"/>
      <w:szCs w:val="22"/>
      <w:lang w:val="en-GB" w:eastAsia="zh-CN"/>
    </w:rPr>
  </w:style>
  <w:style w:type="paragraph" w:customStyle="1" w:styleId="TableNote">
    <w:name w:val="Table Note"/>
    <w:basedOn w:val="Normal"/>
    <w:rsid w:val="0050262C"/>
    <w:pPr>
      <w:widowControl/>
      <w:tabs>
        <w:tab w:val="left" w:pos="850"/>
        <w:tab w:val="left" w:pos="1191"/>
        <w:tab w:val="left" w:pos="1531"/>
      </w:tabs>
      <w:spacing w:after="120"/>
      <w:ind w:firstLine="0"/>
      <w:jc w:val="left"/>
    </w:pPr>
    <w:rPr>
      <w:rFonts w:ascii="Arial" w:hAnsi="Arial" w:cs="Arial"/>
      <w:sz w:val="16"/>
      <w:szCs w:val="18"/>
      <w:lang w:val="en-GB" w:eastAsia="zh-CN"/>
    </w:rPr>
  </w:style>
  <w:style w:type="paragraph" w:customStyle="1" w:styleId="TableofContentsHeading">
    <w:name w:val="Table of Contents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TableSub-title">
    <w:name w:val="Table Sub-title"/>
    <w:basedOn w:val="Normal"/>
    <w:rsid w:val="0050262C"/>
    <w:pPr>
      <w:keepNext/>
      <w:widowControl/>
      <w:tabs>
        <w:tab w:val="left" w:pos="850"/>
        <w:tab w:val="left" w:pos="1191"/>
        <w:tab w:val="left" w:pos="1531"/>
      </w:tabs>
      <w:spacing w:after="240"/>
      <w:ind w:firstLine="0"/>
      <w:jc w:val="center"/>
    </w:pPr>
    <w:rPr>
      <w:rFonts w:ascii="Arial" w:hAnsi="Arial" w:cs="Arial"/>
      <w:sz w:val="18"/>
      <w:szCs w:val="22"/>
      <w:lang w:val="en-GB" w:eastAsia="zh-CN"/>
    </w:rPr>
  </w:style>
  <w:style w:type="paragraph" w:customStyle="1" w:styleId="TableTitle">
    <w:name w:val="Table Title"/>
    <w:basedOn w:val="Normal"/>
    <w:rsid w:val="0050262C"/>
    <w:pPr>
      <w:keepNext/>
      <w:widowControl/>
      <w:tabs>
        <w:tab w:val="left" w:pos="850"/>
        <w:tab w:val="left" w:pos="1191"/>
        <w:tab w:val="left" w:pos="1531"/>
      </w:tabs>
      <w:spacing w:after="240"/>
      <w:ind w:firstLine="0"/>
      <w:jc w:val="center"/>
    </w:pPr>
    <w:rPr>
      <w:rFonts w:ascii="Arial" w:hAnsi="Arial" w:cs="Arial"/>
      <w:b/>
      <w:bCs/>
      <w:sz w:val="18"/>
      <w:szCs w:val="22"/>
      <w:lang w:val="en-GB" w:eastAsia="zh-CN"/>
    </w:rPr>
  </w:style>
  <w:style w:type="paragraph" w:customStyle="1" w:styleId="TextBox">
    <w:name w:val="Text Box"/>
    <w:basedOn w:val="BodyText"/>
    <w:rsid w:val="0050262C"/>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50262C"/>
    <w:pPr>
      <w:jc w:val="center"/>
    </w:pPr>
    <w:rPr>
      <w:b/>
      <w:bCs/>
    </w:rPr>
  </w:style>
  <w:style w:type="paragraph" w:customStyle="1" w:styleId="IndexHeading1">
    <w:name w:val="Index Heading1"/>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caps/>
      <w:sz w:val="22"/>
      <w:szCs w:val="22"/>
      <w:lang w:eastAsia="zh-CN"/>
    </w:rPr>
  </w:style>
  <w:style w:type="paragraph" w:styleId="BlockText">
    <w:name w:val="Block Text"/>
    <w:basedOn w:val="Normal"/>
    <w:rsid w:val="0050262C"/>
    <w:pPr>
      <w:widowControl/>
      <w:tabs>
        <w:tab w:val="left" w:pos="850"/>
        <w:tab w:val="left" w:pos="1191"/>
        <w:tab w:val="left" w:pos="1531"/>
      </w:tabs>
      <w:spacing w:after="120"/>
      <w:ind w:left="1440" w:right="1440" w:firstLine="0"/>
    </w:pPr>
    <w:rPr>
      <w:rFonts w:ascii="Times New Roman" w:hAnsi="Times New Roman"/>
      <w:sz w:val="22"/>
      <w:szCs w:val="22"/>
      <w:lang w:val="en-GB" w:eastAsia="zh-CN"/>
    </w:rPr>
  </w:style>
  <w:style w:type="paragraph" w:customStyle="1" w:styleId="Abstract">
    <w:name w:val="Abstract"/>
    <w:basedOn w:val="BodyText"/>
    <w:rsid w:val="0050262C"/>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rsid w:val="0050262C"/>
    <w:pPr>
      <w:ind w:firstLine="0"/>
    </w:pPr>
    <w:rPr>
      <w:lang w:val="en-US"/>
    </w:rPr>
  </w:style>
  <w:style w:type="paragraph" w:customStyle="1" w:styleId="Chart">
    <w:name w:val="Chart"/>
    <w:basedOn w:val="Normal"/>
    <w:next w:val="BodyText"/>
    <w:rsid w:val="0050262C"/>
    <w:pPr>
      <w:widowControl/>
      <w:tabs>
        <w:tab w:val="left" w:pos="850"/>
        <w:tab w:val="left" w:pos="1191"/>
        <w:tab w:val="left" w:pos="1531"/>
      </w:tabs>
      <w:spacing w:after="240"/>
      <w:ind w:firstLine="0"/>
      <w:jc w:val="center"/>
    </w:pPr>
    <w:rPr>
      <w:rFonts w:ascii="Times New Roman" w:hAnsi="Times New Roman"/>
      <w:sz w:val="22"/>
      <w:szCs w:val="22"/>
      <w:lang w:eastAsia="zh-CN"/>
    </w:rPr>
  </w:style>
  <w:style w:type="paragraph" w:customStyle="1" w:styleId="ChartSub-title">
    <w:name w:val="Chart Sub-title"/>
    <w:basedOn w:val="Normal"/>
    <w:rsid w:val="0050262C"/>
    <w:pPr>
      <w:keepNext/>
      <w:widowControl/>
      <w:tabs>
        <w:tab w:val="left" w:pos="850"/>
        <w:tab w:val="left" w:pos="1191"/>
        <w:tab w:val="left" w:pos="1531"/>
      </w:tabs>
      <w:spacing w:after="120"/>
      <w:ind w:firstLine="0"/>
      <w:jc w:val="center"/>
    </w:pPr>
    <w:rPr>
      <w:rFonts w:ascii="Arial" w:hAnsi="Arial" w:cs="Arial"/>
      <w:sz w:val="18"/>
      <w:szCs w:val="22"/>
      <w:lang w:eastAsia="zh-CN"/>
    </w:rPr>
  </w:style>
  <w:style w:type="paragraph" w:customStyle="1" w:styleId="ChartTitle">
    <w:name w:val="Chart Title"/>
    <w:basedOn w:val="Normal"/>
    <w:next w:val="ChartSub-title"/>
    <w:rsid w:val="0050262C"/>
    <w:pPr>
      <w:keepNext/>
      <w:widowControl/>
      <w:tabs>
        <w:tab w:val="left" w:pos="850"/>
        <w:tab w:val="left" w:pos="1191"/>
        <w:tab w:val="left" w:pos="1531"/>
      </w:tabs>
      <w:spacing w:after="240"/>
      <w:ind w:firstLine="0"/>
      <w:jc w:val="center"/>
    </w:pPr>
    <w:rPr>
      <w:rFonts w:ascii="Arial" w:hAnsi="Arial" w:cs="Arial"/>
      <w:b/>
      <w:sz w:val="18"/>
      <w:szCs w:val="22"/>
      <w:lang w:eastAsia="zh-CN"/>
    </w:rPr>
  </w:style>
  <w:style w:type="paragraph" w:customStyle="1" w:styleId="ChartNote">
    <w:name w:val="Chart Note"/>
    <w:basedOn w:val="Normal"/>
    <w:rsid w:val="0050262C"/>
    <w:pPr>
      <w:widowControl/>
      <w:tabs>
        <w:tab w:val="left" w:pos="850"/>
        <w:tab w:val="left" w:pos="1191"/>
        <w:tab w:val="left" w:pos="1531"/>
      </w:tabs>
      <w:spacing w:after="120"/>
      <w:ind w:firstLine="0"/>
      <w:jc w:val="left"/>
    </w:pPr>
    <w:rPr>
      <w:rFonts w:ascii="Arial" w:hAnsi="Arial" w:cs="Arial"/>
      <w:sz w:val="16"/>
      <w:szCs w:val="22"/>
      <w:lang w:eastAsia="zh-CN"/>
    </w:rPr>
  </w:style>
  <w:style w:type="paragraph" w:customStyle="1" w:styleId="BoxHeading2">
    <w:name w:val="Box Heading 2"/>
    <w:basedOn w:val="Normal"/>
    <w:next w:val="BoxBodyText"/>
    <w:rsid w:val="0050262C"/>
    <w:pPr>
      <w:widowControl/>
      <w:tabs>
        <w:tab w:val="left" w:pos="850"/>
        <w:tab w:val="left" w:pos="1191"/>
        <w:tab w:val="left" w:pos="1531"/>
      </w:tabs>
      <w:spacing w:before="240" w:after="240"/>
      <w:ind w:firstLine="0"/>
      <w:jc w:val="left"/>
    </w:pPr>
    <w:rPr>
      <w:rFonts w:ascii="Arial" w:hAnsi="Arial" w:cs="Arial"/>
      <w:b/>
      <w:sz w:val="18"/>
      <w:szCs w:val="22"/>
      <w:lang w:eastAsia="zh-CN"/>
    </w:rPr>
  </w:style>
  <w:style w:type="paragraph" w:customStyle="1" w:styleId="BoxHeading3">
    <w:name w:val="Box Heading 3"/>
    <w:basedOn w:val="Normal"/>
    <w:next w:val="BoxBodyText"/>
    <w:rsid w:val="0050262C"/>
    <w:pPr>
      <w:widowControl/>
      <w:tabs>
        <w:tab w:val="left" w:pos="850"/>
        <w:tab w:val="left" w:pos="1191"/>
        <w:tab w:val="left" w:pos="1531"/>
      </w:tabs>
      <w:spacing w:before="240" w:after="240"/>
      <w:ind w:firstLine="0"/>
      <w:jc w:val="left"/>
    </w:pPr>
    <w:rPr>
      <w:rFonts w:ascii="Arial" w:hAnsi="Arial" w:cs="Arial"/>
      <w:b/>
      <w:i/>
      <w:sz w:val="18"/>
      <w:szCs w:val="22"/>
      <w:lang w:eastAsia="zh-CN"/>
    </w:rPr>
  </w:style>
  <w:style w:type="paragraph" w:customStyle="1" w:styleId="BoxNote">
    <w:name w:val="Box Note"/>
    <w:basedOn w:val="Normal"/>
    <w:rsid w:val="0050262C"/>
    <w:pPr>
      <w:widowControl/>
      <w:tabs>
        <w:tab w:val="left" w:pos="340"/>
      </w:tabs>
      <w:spacing w:after="120"/>
      <w:ind w:firstLine="0"/>
      <w:jc w:val="left"/>
    </w:pPr>
    <w:rPr>
      <w:rFonts w:ascii="Arial" w:hAnsi="Arial" w:cs="Arial"/>
      <w:sz w:val="18"/>
      <w:szCs w:val="22"/>
      <w:lang w:eastAsia="zh-CN"/>
    </w:rPr>
  </w:style>
  <w:style w:type="paragraph" w:customStyle="1" w:styleId="ListBulletBox">
    <w:name w:val="List Bullet Box"/>
    <w:basedOn w:val="Normal"/>
    <w:rsid w:val="0050262C"/>
    <w:pPr>
      <w:widowControl/>
      <w:numPr>
        <w:numId w:val="13"/>
      </w:numPr>
      <w:spacing w:after="240"/>
    </w:pPr>
    <w:rPr>
      <w:rFonts w:ascii="Arial" w:hAnsi="Arial" w:cs="Arial"/>
      <w:sz w:val="18"/>
      <w:szCs w:val="22"/>
      <w:lang w:eastAsia="zh-CN"/>
    </w:rPr>
  </w:style>
  <w:style w:type="paragraph" w:customStyle="1" w:styleId="ListBulletBox2">
    <w:name w:val="List Bullet Box 2"/>
    <w:basedOn w:val="Normal"/>
    <w:rsid w:val="0050262C"/>
    <w:pPr>
      <w:widowControl/>
      <w:numPr>
        <w:numId w:val="14"/>
      </w:numPr>
      <w:spacing w:after="240"/>
    </w:pPr>
    <w:rPr>
      <w:rFonts w:ascii="Arial" w:hAnsi="Arial" w:cs="Arial"/>
      <w:sz w:val="18"/>
      <w:szCs w:val="22"/>
      <w:lang w:eastAsia="zh-CN"/>
    </w:rPr>
  </w:style>
  <w:style w:type="paragraph" w:customStyle="1" w:styleId="ListBulletBox3">
    <w:name w:val="List Bullet Box 3"/>
    <w:basedOn w:val="Normal"/>
    <w:rsid w:val="0050262C"/>
    <w:pPr>
      <w:widowControl/>
      <w:numPr>
        <w:numId w:val="15"/>
      </w:numPr>
      <w:spacing w:after="240"/>
    </w:pPr>
    <w:rPr>
      <w:rFonts w:ascii="Arial" w:hAnsi="Arial" w:cs="Arial"/>
      <w:sz w:val="18"/>
      <w:szCs w:val="22"/>
      <w:lang w:eastAsia="zh-CN"/>
    </w:rPr>
  </w:style>
  <w:style w:type="paragraph" w:customStyle="1" w:styleId="ListNumberBox">
    <w:name w:val="List Number Box"/>
    <w:basedOn w:val="Normal"/>
    <w:rsid w:val="0050262C"/>
    <w:pPr>
      <w:widowControl/>
      <w:numPr>
        <w:numId w:val="16"/>
      </w:numPr>
      <w:tabs>
        <w:tab w:val="clear" w:pos="1950"/>
        <w:tab w:val="left" w:pos="850"/>
      </w:tabs>
      <w:spacing w:after="240"/>
      <w:ind w:left="850"/>
    </w:pPr>
    <w:rPr>
      <w:rFonts w:ascii="Arial" w:hAnsi="Arial" w:cs="Arial"/>
      <w:sz w:val="18"/>
      <w:szCs w:val="22"/>
      <w:lang w:eastAsia="zh-CN"/>
    </w:rPr>
  </w:style>
  <w:style w:type="paragraph" w:customStyle="1" w:styleId="ListNumberBox2">
    <w:name w:val="List Number Box 2"/>
    <w:basedOn w:val="Normal"/>
    <w:rsid w:val="0050262C"/>
    <w:pPr>
      <w:widowControl/>
      <w:numPr>
        <w:ilvl w:val="1"/>
        <w:numId w:val="16"/>
      </w:numPr>
      <w:tabs>
        <w:tab w:val="clear" w:pos="2291"/>
        <w:tab w:val="left" w:pos="1191"/>
      </w:tabs>
      <w:spacing w:after="240"/>
      <w:ind w:left="1191" w:hanging="340"/>
    </w:pPr>
    <w:rPr>
      <w:rFonts w:ascii="Arial" w:hAnsi="Arial" w:cs="Arial"/>
      <w:sz w:val="18"/>
      <w:szCs w:val="22"/>
      <w:lang w:eastAsia="zh-CN"/>
    </w:rPr>
  </w:style>
  <w:style w:type="paragraph" w:customStyle="1" w:styleId="ListNumberBox3">
    <w:name w:val="List Number Box 3"/>
    <w:basedOn w:val="Normal"/>
    <w:rsid w:val="0050262C"/>
    <w:pPr>
      <w:widowControl/>
      <w:numPr>
        <w:ilvl w:val="2"/>
        <w:numId w:val="16"/>
      </w:numPr>
      <w:tabs>
        <w:tab w:val="clear" w:pos="2574"/>
        <w:tab w:val="left" w:pos="1474"/>
      </w:tabs>
      <w:spacing w:after="240"/>
      <w:ind w:left="1474"/>
    </w:pPr>
    <w:rPr>
      <w:rFonts w:ascii="Arial" w:hAnsi="Arial" w:cs="Arial"/>
      <w:sz w:val="18"/>
      <w:szCs w:val="22"/>
      <w:lang w:eastAsia="zh-CN"/>
    </w:rPr>
  </w:style>
  <w:style w:type="paragraph" w:customStyle="1" w:styleId="ListContinueBox">
    <w:name w:val="List Continue Box"/>
    <w:basedOn w:val="Normal"/>
    <w:rsid w:val="0050262C"/>
    <w:pPr>
      <w:widowControl/>
      <w:spacing w:after="240"/>
      <w:ind w:left="850" w:firstLine="0"/>
    </w:pPr>
    <w:rPr>
      <w:rFonts w:ascii="Arial" w:hAnsi="Arial" w:cs="Arial"/>
      <w:sz w:val="18"/>
      <w:szCs w:val="22"/>
      <w:lang w:eastAsia="zh-CN"/>
    </w:rPr>
  </w:style>
  <w:style w:type="paragraph" w:customStyle="1" w:styleId="ListContinueBox2">
    <w:name w:val="List Continue Box 2"/>
    <w:basedOn w:val="Normal"/>
    <w:rsid w:val="0050262C"/>
    <w:pPr>
      <w:widowControl/>
      <w:spacing w:after="240"/>
      <w:ind w:left="1191" w:firstLine="0"/>
    </w:pPr>
    <w:rPr>
      <w:rFonts w:ascii="Arial" w:hAnsi="Arial" w:cs="Arial"/>
      <w:sz w:val="18"/>
      <w:szCs w:val="22"/>
      <w:lang w:eastAsia="zh-CN"/>
    </w:rPr>
  </w:style>
  <w:style w:type="paragraph" w:customStyle="1" w:styleId="ListContinueBox3">
    <w:name w:val="List Continue Box 3"/>
    <w:basedOn w:val="Normal"/>
    <w:rsid w:val="0050262C"/>
    <w:pPr>
      <w:widowControl/>
      <w:spacing w:after="240"/>
      <w:ind w:left="1474" w:firstLine="0"/>
    </w:pPr>
    <w:rPr>
      <w:rFonts w:ascii="Arial" w:hAnsi="Arial" w:cs="Arial"/>
      <w:sz w:val="18"/>
      <w:szCs w:val="22"/>
      <w:lang w:eastAsia="zh-CN"/>
    </w:rPr>
  </w:style>
  <w:style w:type="paragraph" w:customStyle="1" w:styleId="BoxSource">
    <w:name w:val="Box Source"/>
    <w:basedOn w:val="Normal"/>
    <w:next w:val="BodyText"/>
    <w:rsid w:val="0050262C"/>
    <w:pPr>
      <w:widowControl/>
      <w:tabs>
        <w:tab w:val="left" w:pos="850"/>
        <w:tab w:val="left" w:pos="1191"/>
        <w:tab w:val="left" w:pos="1531"/>
      </w:tabs>
      <w:spacing w:after="360"/>
      <w:ind w:firstLine="0"/>
    </w:pPr>
    <w:rPr>
      <w:rFonts w:ascii="Arial" w:hAnsi="Arial" w:cs="Arial"/>
      <w:sz w:val="16"/>
      <w:szCs w:val="22"/>
      <w:lang w:eastAsia="zh-CN"/>
    </w:rPr>
  </w:style>
  <w:style w:type="character" w:customStyle="1" w:styleId="Cote">
    <w:name w:val="Cote"/>
    <w:basedOn w:val="DefaultParagraphFont"/>
    <w:rsid w:val="0050262C"/>
    <w:rPr>
      <w:caps/>
      <w:smallCaps w:val="0"/>
      <w:lang w:val="en-US"/>
    </w:rPr>
  </w:style>
  <w:style w:type="numbering" w:customStyle="1" w:styleId="NumberedNote">
    <w:name w:val="Numbered Note"/>
    <w:basedOn w:val="NoList"/>
    <w:rsid w:val="0050262C"/>
    <w:pPr>
      <w:numPr>
        <w:numId w:val="3"/>
      </w:numPr>
    </w:pPr>
  </w:style>
  <w:style w:type="numbering" w:customStyle="1" w:styleId="BulletedNote">
    <w:name w:val="Bulleted Note"/>
    <w:basedOn w:val="NoList"/>
    <w:rsid w:val="0050262C"/>
    <w:pPr>
      <w:numPr>
        <w:numId w:val="4"/>
      </w:numPr>
    </w:pPr>
  </w:style>
  <w:style w:type="numbering" w:customStyle="1" w:styleId="NumericNote">
    <w:name w:val="Numeric Note"/>
    <w:basedOn w:val="NoList"/>
    <w:rsid w:val="0050262C"/>
    <w:pPr>
      <w:numPr>
        <w:numId w:val="5"/>
      </w:numPr>
    </w:pPr>
  </w:style>
  <w:style w:type="numbering" w:customStyle="1" w:styleId="AlphaNote">
    <w:name w:val="Alpha Note"/>
    <w:basedOn w:val="NoList"/>
    <w:rsid w:val="0050262C"/>
    <w:pPr>
      <w:numPr>
        <w:numId w:val="6"/>
      </w:numPr>
    </w:pPr>
  </w:style>
  <w:style w:type="paragraph" w:customStyle="1" w:styleId="AcknowledgementHeading">
    <w:name w:val="Acknowledgement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caps/>
      <w:sz w:val="22"/>
      <w:szCs w:val="22"/>
      <w:lang w:eastAsia="zh-CN"/>
    </w:rPr>
  </w:style>
  <w:style w:type="paragraph" w:styleId="EnvelopeAddress">
    <w:name w:val="envelope address"/>
    <w:basedOn w:val="Normal"/>
    <w:rsid w:val="0050262C"/>
    <w:pPr>
      <w:framePr w:w="7938" w:h="1985" w:hRule="exact" w:hSpace="141" w:wrap="auto" w:hAnchor="page" w:xAlign="center" w:yAlign="bottom"/>
      <w:widowControl/>
      <w:tabs>
        <w:tab w:val="left" w:pos="850"/>
        <w:tab w:val="left" w:pos="1191"/>
        <w:tab w:val="left" w:pos="1531"/>
      </w:tabs>
      <w:ind w:left="2835" w:firstLine="0"/>
    </w:pPr>
    <w:rPr>
      <w:rFonts w:ascii="Arial" w:hAnsi="Arial" w:cs="Arial"/>
      <w:szCs w:val="24"/>
      <w:lang w:val="en-GB" w:eastAsia="zh-CN"/>
    </w:rPr>
  </w:style>
  <w:style w:type="paragraph" w:styleId="EnvelopeReturn">
    <w:name w:val="envelope return"/>
    <w:basedOn w:val="Normal"/>
    <w:rsid w:val="0050262C"/>
    <w:pPr>
      <w:widowControl/>
      <w:tabs>
        <w:tab w:val="left" w:pos="850"/>
        <w:tab w:val="left" w:pos="1191"/>
        <w:tab w:val="left" w:pos="1531"/>
      </w:tabs>
      <w:ind w:firstLine="0"/>
    </w:pPr>
    <w:rPr>
      <w:rFonts w:ascii="Arial" w:hAnsi="Arial" w:cs="Arial"/>
      <w:sz w:val="20"/>
      <w:lang w:val="en-GB" w:eastAsia="zh-CN"/>
    </w:rPr>
  </w:style>
  <w:style w:type="paragraph" w:styleId="HTMLAddress">
    <w:name w:val="HTML Address"/>
    <w:basedOn w:val="Normal"/>
    <w:link w:val="HTMLAddressChar"/>
    <w:rsid w:val="0050262C"/>
    <w:pPr>
      <w:widowControl/>
      <w:tabs>
        <w:tab w:val="left" w:pos="850"/>
        <w:tab w:val="left" w:pos="1191"/>
        <w:tab w:val="left" w:pos="1531"/>
      </w:tabs>
      <w:ind w:firstLine="0"/>
    </w:pPr>
    <w:rPr>
      <w:rFonts w:ascii="Times New Roman" w:hAnsi="Times New Roman"/>
      <w:i/>
      <w:iCs/>
      <w:sz w:val="22"/>
      <w:szCs w:val="22"/>
      <w:lang w:val="en-GB" w:eastAsia="zh-CN"/>
    </w:rPr>
  </w:style>
  <w:style w:type="character" w:customStyle="1" w:styleId="HTMLAddressChar">
    <w:name w:val="HTML Address Char"/>
    <w:basedOn w:val="DefaultParagraphFont"/>
    <w:link w:val="HTMLAddress"/>
    <w:rsid w:val="0050262C"/>
    <w:rPr>
      <w:i/>
      <w:iCs/>
      <w:sz w:val="22"/>
      <w:szCs w:val="22"/>
      <w:lang w:val="en-GB" w:eastAsia="zh-CN"/>
    </w:rPr>
  </w:style>
  <w:style w:type="paragraph" w:styleId="BodyText2">
    <w:name w:val="Body Text 2"/>
    <w:basedOn w:val="Normal"/>
    <w:link w:val="BodyText2Char"/>
    <w:rsid w:val="0050262C"/>
    <w:pPr>
      <w:widowControl/>
      <w:tabs>
        <w:tab w:val="left" w:pos="850"/>
        <w:tab w:val="left" w:pos="1191"/>
        <w:tab w:val="left" w:pos="1531"/>
      </w:tabs>
      <w:spacing w:after="120" w:line="480" w:lineRule="auto"/>
      <w:ind w:firstLine="0"/>
    </w:pPr>
    <w:rPr>
      <w:rFonts w:ascii="Times New Roman" w:hAnsi="Times New Roman"/>
      <w:sz w:val="22"/>
      <w:szCs w:val="22"/>
      <w:lang w:val="en-GB" w:eastAsia="zh-CN"/>
    </w:rPr>
  </w:style>
  <w:style w:type="character" w:customStyle="1" w:styleId="BodyText2Char">
    <w:name w:val="Body Text 2 Char"/>
    <w:basedOn w:val="DefaultParagraphFont"/>
    <w:link w:val="BodyText2"/>
    <w:rsid w:val="0050262C"/>
    <w:rPr>
      <w:sz w:val="22"/>
      <w:szCs w:val="22"/>
      <w:lang w:val="en-GB" w:eastAsia="zh-CN"/>
    </w:rPr>
  </w:style>
  <w:style w:type="paragraph" w:styleId="BodyText3">
    <w:name w:val="Body Text 3"/>
    <w:basedOn w:val="Normal"/>
    <w:link w:val="BodyText3Char"/>
    <w:rsid w:val="0050262C"/>
    <w:pPr>
      <w:widowControl/>
      <w:tabs>
        <w:tab w:val="left" w:pos="850"/>
        <w:tab w:val="left" w:pos="1191"/>
        <w:tab w:val="left" w:pos="1531"/>
      </w:tabs>
      <w:spacing w:after="120"/>
      <w:ind w:firstLine="0"/>
    </w:pPr>
    <w:rPr>
      <w:rFonts w:ascii="Times New Roman" w:hAnsi="Times New Roman"/>
      <w:sz w:val="16"/>
      <w:szCs w:val="16"/>
      <w:lang w:val="en-GB" w:eastAsia="zh-CN"/>
    </w:rPr>
  </w:style>
  <w:style w:type="character" w:customStyle="1" w:styleId="BodyText3Char">
    <w:name w:val="Body Text 3 Char"/>
    <w:basedOn w:val="DefaultParagraphFont"/>
    <w:link w:val="BodyText3"/>
    <w:rsid w:val="0050262C"/>
    <w:rPr>
      <w:sz w:val="16"/>
      <w:szCs w:val="16"/>
      <w:lang w:val="en-GB" w:eastAsia="zh-CN"/>
    </w:rPr>
  </w:style>
  <w:style w:type="paragraph" w:styleId="Date">
    <w:name w:val="Date"/>
    <w:basedOn w:val="Normal"/>
    <w:next w:val="Normal"/>
    <w:link w:val="DateChar"/>
    <w:rsid w:val="0050262C"/>
    <w:pPr>
      <w:widowControl/>
      <w:tabs>
        <w:tab w:val="left" w:pos="850"/>
        <w:tab w:val="left" w:pos="1191"/>
        <w:tab w:val="left" w:pos="1531"/>
      </w:tabs>
      <w:ind w:firstLine="0"/>
    </w:pPr>
    <w:rPr>
      <w:rFonts w:ascii="Times New Roman" w:hAnsi="Times New Roman"/>
      <w:sz w:val="22"/>
      <w:szCs w:val="22"/>
      <w:lang w:val="en-GB" w:eastAsia="zh-CN"/>
    </w:rPr>
  </w:style>
  <w:style w:type="character" w:customStyle="1" w:styleId="DateChar">
    <w:name w:val="Date Char"/>
    <w:basedOn w:val="DefaultParagraphFont"/>
    <w:link w:val="Date"/>
    <w:rsid w:val="0050262C"/>
    <w:rPr>
      <w:sz w:val="22"/>
      <w:szCs w:val="22"/>
      <w:lang w:val="en-GB" w:eastAsia="zh-CN"/>
    </w:rPr>
  </w:style>
  <w:style w:type="paragraph" w:styleId="MessageHeader">
    <w:name w:val="Message Header"/>
    <w:basedOn w:val="Normal"/>
    <w:link w:val="MessageHeaderChar"/>
    <w:rsid w:val="0050262C"/>
    <w:pPr>
      <w:widowControl/>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pPr>
    <w:rPr>
      <w:rFonts w:ascii="Arial" w:hAnsi="Arial" w:cs="Arial"/>
      <w:szCs w:val="24"/>
      <w:lang w:val="en-GB" w:eastAsia="zh-CN"/>
    </w:rPr>
  </w:style>
  <w:style w:type="character" w:customStyle="1" w:styleId="MessageHeaderChar">
    <w:name w:val="Message Header Char"/>
    <w:basedOn w:val="DefaultParagraphFont"/>
    <w:link w:val="MessageHeader"/>
    <w:rsid w:val="0050262C"/>
    <w:rPr>
      <w:rFonts w:ascii="Arial" w:hAnsi="Arial" w:cs="Arial"/>
      <w:sz w:val="24"/>
      <w:szCs w:val="24"/>
      <w:shd w:val="pct20" w:color="auto" w:fill="auto"/>
      <w:lang w:val="en-GB" w:eastAsia="zh-CN"/>
    </w:rPr>
  </w:style>
  <w:style w:type="paragraph" w:styleId="Closing">
    <w:name w:val="Closing"/>
    <w:basedOn w:val="Normal"/>
    <w:link w:val="ClosingChar"/>
    <w:rsid w:val="0050262C"/>
    <w:pPr>
      <w:widowControl/>
      <w:tabs>
        <w:tab w:val="left" w:pos="850"/>
        <w:tab w:val="left" w:pos="1191"/>
        <w:tab w:val="left" w:pos="1531"/>
      </w:tabs>
      <w:ind w:left="4252" w:firstLine="0"/>
    </w:pPr>
    <w:rPr>
      <w:rFonts w:ascii="Times New Roman" w:hAnsi="Times New Roman"/>
      <w:sz w:val="22"/>
      <w:szCs w:val="22"/>
      <w:lang w:val="en-GB" w:eastAsia="zh-CN"/>
    </w:rPr>
  </w:style>
  <w:style w:type="character" w:customStyle="1" w:styleId="ClosingChar">
    <w:name w:val="Closing Char"/>
    <w:basedOn w:val="DefaultParagraphFont"/>
    <w:link w:val="Closing"/>
    <w:rsid w:val="0050262C"/>
    <w:rPr>
      <w:sz w:val="22"/>
      <w:szCs w:val="22"/>
      <w:lang w:val="en-GB" w:eastAsia="zh-CN"/>
    </w:rPr>
  </w:style>
  <w:style w:type="paragraph" w:styleId="Index2">
    <w:name w:val="index 2"/>
    <w:basedOn w:val="Normal"/>
    <w:next w:val="Normal"/>
    <w:rsid w:val="0050262C"/>
    <w:pPr>
      <w:widowControl/>
      <w:ind w:left="440" w:hanging="220"/>
    </w:pPr>
    <w:rPr>
      <w:rFonts w:ascii="Times New Roman" w:hAnsi="Times New Roman"/>
      <w:sz w:val="22"/>
      <w:szCs w:val="22"/>
      <w:lang w:val="en-GB" w:eastAsia="zh-CN"/>
    </w:rPr>
  </w:style>
  <w:style w:type="paragraph" w:styleId="Index3">
    <w:name w:val="index 3"/>
    <w:basedOn w:val="Normal"/>
    <w:next w:val="Normal"/>
    <w:rsid w:val="0050262C"/>
    <w:pPr>
      <w:widowControl/>
      <w:ind w:left="660" w:hanging="220"/>
    </w:pPr>
    <w:rPr>
      <w:rFonts w:ascii="Times New Roman" w:hAnsi="Times New Roman"/>
      <w:sz w:val="22"/>
      <w:szCs w:val="22"/>
      <w:lang w:val="en-GB" w:eastAsia="zh-CN"/>
    </w:rPr>
  </w:style>
  <w:style w:type="paragraph" w:styleId="Index4">
    <w:name w:val="index 4"/>
    <w:basedOn w:val="Normal"/>
    <w:next w:val="Normal"/>
    <w:rsid w:val="0050262C"/>
    <w:pPr>
      <w:widowControl/>
      <w:ind w:left="880" w:hanging="220"/>
    </w:pPr>
    <w:rPr>
      <w:rFonts w:ascii="Times New Roman" w:hAnsi="Times New Roman"/>
      <w:sz w:val="22"/>
      <w:szCs w:val="22"/>
      <w:lang w:val="en-GB" w:eastAsia="zh-CN"/>
    </w:rPr>
  </w:style>
  <w:style w:type="paragraph" w:styleId="Index5">
    <w:name w:val="index 5"/>
    <w:basedOn w:val="Normal"/>
    <w:next w:val="Normal"/>
    <w:rsid w:val="0050262C"/>
    <w:pPr>
      <w:widowControl/>
      <w:ind w:left="1100" w:hanging="220"/>
    </w:pPr>
    <w:rPr>
      <w:rFonts w:ascii="Times New Roman" w:hAnsi="Times New Roman"/>
      <w:sz w:val="22"/>
      <w:szCs w:val="22"/>
      <w:lang w:val="en-GB" w:eastAsia="zh-CN"/>
    </w:rPr>
  </w:style>
  <w:style w:type="paragraph" w:styleId="Index6">
    <w:name w:val="index 6"/>
    <w:basedOn w:val="Normal"/>
    <w:next w:val="Normal"/>
    <w:rsid w:val="0050262C"/>
    <w:pPr>
      <w:widowControl/>
      <w:ind w:left="1320" w:hanging="220"/>
    </w:pPr>
    <w:rPr>
      <w:rFonts w:ascii="Times New Roman" w:hAnsi="Times New Roman"/>
      <w:sz w:val="22"/>
      <w:szCs w:val="22"/>
      <w:lang w:val="en-GB" w:eastAsia="zh-CN"/>
    </w:rPr>
  </w:style>
  <w:style w:type="paragraph" w:styleId="Index7">
    <w:name w:val="index 7"/>
    <w:basedOn w:val="Normal"/>
    <w:next w:val="Normal"/>
    <w:rsid w:val="0050262C"/>
    <w:pPr>
      <w:widowControl/>
      <w:ind w:left="1540" w:hanging="220"/>
    </w:pPr>
    <w:rPr>
      <w:rFonts w:ascii="Times New Roman" w:hAnsi="Times New Roman"/>
      <w:sz w:val="22"/>
      <w:szCs w:val="22"/>
      <w:lang w:val="en-GB" w:eastAsia="zh-CN"/>
    </w:rPr>
  </w:style>
  <w:style w:type="paragraph" w:styleId="Index8">
    <w:name w:val="index 8"/>
    <w:basedOn w:val="Normal"/>
    <w:next w:val="Normal"/>
    <w:rsid w:val="0050262C"/>
    <w:pPr>
      <w:widowControl/>
      <w:ind w:left="1760" w:hanging="220"/>
    </w:pPr>
    <w:rPr>
      <w:rFonts w:ascii="Times New Roman" w:hAnsi="Times New Roman"/>
      <w:sz w:val="22"/>
      <w:szCs w:val="22"/>
      <w:lang w:val="en-GB" w:eastAsia="zh-CN"/>
    </w:rPr>
  </w:style>
  <w:style w:type="paragraph" w:styleId="Index9">
    <w:name w:val="index 9"/>
    <w:basedOn w:val="Normal"/>
    <w:next w:val="Normal"/>
    <w:rsid w:val="0050262C"/>
    <w:pPr>
      <w:widowControl/>
      <w:ind w:left="1980" w:hanging="220"/>
    </w:pPr>
    <w:rPr>
      <w:rFonts w:ascii="Times New Roman" w:hAnsi="Times New Roman"/>
      <w:sz w:val="22"/>
      <w:szCs w:val="22"/>
      <w:lang w:val="en-GB" w:eastAsia="zh-CN"/>
    </w:rPr>
  </w:style>
  <w:style w:type="paragraph" w:styleId="Caption">
    <w:name w:val="caption"/>
    <w:basedOn w:val="Normal"/>
    <w:next w:val="Normal"/>
    <w:qFormat/>
    <w:rsid w:val="0050262C"/>
    <w:pPr>
      <w:widowControl/>
      <w:tabs>
        <w:tab w:val="left" w:pos="850"/>
        <w:tab w:val="left" w:pos="1191"/>
        <w:tab w:val="left" w:pos="1531"/>
      </w:tabs>
      <w:spacing w:before="120" w:after="120"/>
      <w:ind w:firstLine="0"/>
    </w:pPr>
    <w:rPr>
      <w:rFonts w:ascii="Times New Roman" w:hAnsi="Times New Roman"/>
      <w:b/>
      <w:bCs/>
      <w:sz w:val="20"/>
      <w:lang w:val="en-GB" w:eastAsia="zh-CN"/>
    </w:rPr>
  </w:style>
  <w:style w:type="paragraph" w:styleId="NormalWeb">
    <w:name w:val="Normal (Web)"/>
    <w:basedOn w:val="Normal"/>
    <w:uiPriority w:val="99"/>
    <w:rsid w:val="0050262C"/>
    <w:pPr>
      <w:widowControl/>
      <w:tabs>
        <w:tab w:val="left" w:pos="850"/>
        <w:tab w:val="left" w:pos="1191"/>
        <w:tab w:val="left" w:pos="1531"/>
      </w:tabs>
      <w:ind w:firstLine="0"/>
    </w:pPr>
    <w:rPr>
      <w:rFonts w:ascii="Times New Roman" w:hAnsi="Times New Roman"/>
      <w:szCs w:val="24"/>
      <w:lang w:val="en-GB" w:eastAsia="zh-CN"/>
    </w:rPr>
  </w:style>
  <w:style w:type="paragraph" w:styleId="CommentSubject">
    <w:name w:val="annotation subject"/>
    <w:basedOn w:val="CommentText"/>
    <w:next w:val="CommentText"/>
    <w:link w:val="CommentSubjectChar"/>
    <w:rsid w:val="0050262C"/>
    <w:pPr>
      <w:widowControl/>
      <w:tabs>
        <w:tab w:val="left" w:pos="850"/>
        <w:tab w:val="left" w:pos="1191"/>
        <w:tab w:val="left" w:pos="1531"/>
      </w:tabs>
      <w:ind w:firstLine="0"/>
    </w:pPr>
    <w:rPr>
      <w:rFonts w:ascii="Times New Roman" w:hAnsi="Times New Roman"/>
      <w:b/>
      <w:bCs/>
      <w:lang w:val="en-GB" w:eastAsia="zh-CN"/>
    </w:rPr>
  </w:style>
  <w:style w:type="character" w:customStyle="1" w:styleId="CommentTextChar">
    <w:name w:val="Comment Text Char"/>
    <w:basedOn w:val="DefaultParagraphFont"/>
    <w:link w:val="CommentText"/>
    <w:semiHidden/>
    <w:rsid w:val="0050262C"/>
    <w:rPr>
      <w:rFonts w:ascii="CG Times" w:hAnsi="CG Times"/>
    </w:rPr>
  </w:style>
  <w:style w:type="character" w:customStyle="1" w:styleId="CommentSubjectChar">
    <w:name w:val="Comment Subject Char"/>
    <w:basedOn w:val="CommentTextChar"/>
    <w:link w:val="CommentSubject"/>
    <w:rsid w:val="0050262C"/>
    <w:rPr>
      <w:rFonts w:ascii="CG Times" w:hAnsi="CG Times"/>
      <w:b/>
      <w:bCs/>
      <w:lang w:val="en-GB" w:eastAsia="zh-CN"/>
    </w:rPr>
  </w:style>
  <w:style w:type="paragraph" w:styleId="HTMLPreformatted">
    <w:name w:val="HTML Preformatted"/>
    <w:basedOn w:val="Normal"/>
    <w:link w:val="HTMLPreformattedChar"/>
    <w:rsid w:val="0050262C"/>
    <w:pPr>
      <w:widowControl/>
      <w:tabs>
        <w:tab w:val="left" w:pos="850"/>
        <w:tab w:val="left" w:pos="1191"/>
        <w:tab w:val="left" w:pos="1531"/>
      </w:tabs>
      <w:ind w:firstLine="0"/>
    </w:pPr>
    <w:rPr>
      <w:rFonts w:ascii="Courier New" w:hAnsi="Courier New" w:cs="Courier New"/>
      <w:sz w:val="20"/>
      <w:lang w:val="en-GB" w:eastAsia="zh-CN"/>
    </w:rPr>
  </w:style>
  <w:style w:type="character" w:customStyle="1" w:styleId="HTMLPreformattedChar">
    <w:name w:val="HTML Preformatted Char"/>
    <w:basedOn w:val="DefaultParagraphFont"/>
    <w:link w:val="HTMLPreformatted"/>
    <w:rsid w:val="0050262C"/>
    <w:rPr>
      <w:rFonts w:ascii="Courier New" w:hAnsi="Courier New" w:cs="Courier New"/>
      <w:lang w:val="en-GB" w:eastAsia="zh-CN"/>
    </w:rPr>
  </w:style>
  <w:style w:type="paragraph" w:styleId="BodyTextFirstIndent">
    <w:name w:val="Body Text First Indent"/>
    <w:basedOn w:val="BodyText"/>
    <w:link w:val="BodyTextFirstIndentChar"/>
    <w:rsid w:val="0050262C"/>
    <w:pPr>
      <w:spacing w:after="120"/>
      <w:ind w:firstLine="210"/>
    </w:pPr>
  </w:style>
  <w:style w:type="character" w:customStyle="1" w:styleId="BodyTextFirstIndentChar">
    <w:name w:val="Body Text First Indent Char"/>
    <w:basedOn w:val="BodyTextChar"/>
    <w:link w:val="BodyTextFirstIndent"/>
    <w:rsid w:val="0050262C"/>
    <w:rPr>
      <w:sz w:val="22"/>
      <w:szCs w:val="22"/>
      <w:lang w:val="en-GB" w:eastAsia="zh-CN"/>
    </w:rPr>
  </w:style>
  <w:style w:type="paragraph" w:styleId="BodyTextIndent">
    <w:name w:val="Body Text Indent"/>
    <w:basedOn w:val="Normal"/>
    <w:link w:val="BodyTextIndentChar"/>
    <w:rsid w:val="0050262C"/>
    <w:pPr>
      <w:widowControl/>
      <w:tabs>
        <w:tab w:val="left" w:pos="850"/>
        <w:tab w:val="left" w:pos="1191"/>
        <w:tab w:val="left" w:pos="1531"/>
      </w:tabs>
      <w:spacing w:after="240"/>
      <w:ind w:left="442" w:firstLine="0"/>
    </w:pPr>
    <w:rPr>
      <w:rFonts w:ascii="Times New Roman" w:hAnsi="Times New Roman"/>
      <w:sz w:val="22"/>
      <w:szCs w:val="22"/>
      <w:lang w:val="en-GB" w:eastAsia="zh-CN"/>
    </w:rPr>
  </w:style>
  <w:style w:type="character" w:customStyle="1" w:styleId="BodyTextIndentChar">
    <w:name w:val="Body Text Indent Char"/>
    <w:basedOn w:val="DefaultParagraphFont"/>
    <w:link w:val="BodyTextIndent"/>
    <w:rsid w:val="0050262C"/>
    <w:rPr>
      <w:sz w:val="22"/>
      <w:szCs w:val="22"/>
      <w:lang w:val="en-GB" w:eastAsia="zh-CN"/>
    </w:rPr>
  </w:style>
  <w:style w:type="paragraph" w:styleId="BodyTextIndent2">
    <w:name w:val="Body Text Indent 2"/>
    <w:basedOn w:val="Normal"/>
    <w:link w:val="BodyTextIndent2Char"/>
    <w:rsid w:val="0050262C"/>
    <w:pPr>
      <w:widowControl/>
      <w:tabs>
        <w:tab w:val="left" w:pos="850"/>
        <w:tab w:val="left" w:pos="1191"/>
        <w:tab w:val="left" w:pos="1531"/>
      </w:tabs>
      <w:spacing w:after="120" w:line="480" w:lineRule="auto"/>
      <w:ind w:left="283" w:firstLine="0"/>
    </w:pPr>
    <w:rPr>
      <w:rFonts w:ascii="Times New Roman" w:hAnsi="Times New Roman"/>
      <w:sz w:val="22"/>
      <w:szCs w:val="22"/>
      <w:lang w:val="en-GB" w:eastAsia="zh-CN"/>
    </w:rPr>
  </w:style>
  <w:style w:type="character" w:customStyle="1" w:styleId="BodyTextIndent2Char">
    <w:name w:val="Body Text Indent 2 Char"/>
    <w:basedOn w:val="DefaultParagraphFont"/>
    <w:link w:val="BodyTextIndent2"/>
    <w:rsid w:val="0050262C"/>
    <w:rPr>
      <w:sz w:val="22"/>
      <w:szCs w:val="22"/>
      <w:lang w:val="en-GB" w:eastAsia="zh-CN"/>
    </w:rPr>
  </w:style>
  <w:style w:type="paragraph" w:styleId="BodyTextIndent3">
    <w:name w:val="Body Text Indent 3"/>
    <w:basedOn w:val="Normal"/>
    <w:link w:val="BodyTextIndent3Char"/>
    <w:rsid w:val="0050262C"/>
    <w:pPr>
      <w:widowControl/>
      <w:tabs>
        <w:tab w:val="left" w:pos="850"/>
        <w:tab w:val="left" w:pos="1191"/>
        <w:tab w:val="left" w:pos="1531"/>
      </w:tabs>
      <w:spacing w:after="120"/>
      <w:ind w:left="283" w:firstLine="0"/>
    </w:pPr>
    <w:rPr>
      <w:rFonts w:ascii="Times New Roman" w:hAnsi="Times New Roman"/>
      <w:sz w:val="16"/>
      <w:szCs w:val="16"/>
      <w:lang w:val="en-GB" w:eastAsia="zh-CN"/>
    </w:rPr>
  </w:style>
  <w:style w:type="character" w:customStyle="1" w:styleId="BodyTextIndent3Char">
    <w:name w:val="Body Text Indent 3 Char"/>
    <w:basedOn w:val="DefaultParagraphFont"/>
    <w:link w:val="BodyTextIndent3"/>
    <w:rsid w:val="0050262C"/>
    <w:rPr>
      <w:sz w:val="16"/>
      <w:szCs w:val="16"/>
      <w:lang w:val="en-GB" w:eastAsia="zh-CN"/>
    </w:rPr>
  </w:style>
  <w:style w:type="paragraph" w:styleId="BodyTextFirstIndent2">
    <w:name w:val="Body Text First Indent 2"/>
    <w:basedOn w:val="BodyTextIndent"/>
    <w:link w:val="BodyTextFirstIndent2Char"/>
    <w:rsid w:val="0050262C"/>
    <w:pPr>
      <w:ind w:firstLine="210"/>
    </w:pPr>
  </w:style>
  <w:style w:type="character" w:customStyle="1" w:styleId="BodyTextFirstIndent2Char">
    <w:name w:val="Body Text First Indent 2 Char"/>
    <w:basedOn w:val="BodyTextIndentChar"/>
    <w:link w:val="BodyTextFirstIndent2"/>
    <w:rsid w:val="0050262C"/>
    <w:rPr>
      <w:sz w:val="22"/>
      <w:szCs w:val="22"/>
      <w:lang w:val="en-GB" w:eastAsia="zh-CN"/>
    </w:rPr>
  </w:style>
  <w:style w:type="paragraph" w:styleId="NormalIndent">
    <w:name w:val="Normal Indent"/>
    <w:basedOn w:val="Normal"/>
    <w:rsid w:val="0050262C"/>
    <w:pPr>
      <w:widowControl/>
      <w:tabs>
        <w:tab w:val="left" w:pos="850"/>
        <w:tab w:val="left" w:pos="1191"/>
        <w:tab w:val="left" w:pos="1531"/>
      </w:tabs>
      <w:ind w:left="708" w:firstLine="0"/>
    </w:pPr>
    <w:rPr>
      <w:rFonts w:ascii="Times New Roman" w:hAnsi="Times New Roman"/>
      <w:sz w:val="22"/>
      <w:szCs w:val="22"/>
      <w:lang w:val="en-GB" w:eastAsia="zh-CN"/>
    </w:rPr>
  </w:style>
  <w:style w:type="paragraph" w:styleId="Salutation">
    <w:name w:val="Salutation"/>
    <w:basedOn w:val="Normal"/>
    <w:next w:val="Normal"/>
    <w:link w:val="SalutationChar"/>
    <w:rsid w:val="0050262C"/>
    <w:pPr>
      <w:widowControl/>
      <w:tabs>
        <w:tab w:val="left" w:pos="850"/>
        <w:tab w:val="left" w:pos="1191"/>
        <w:tab w:val="left" w:pos="1531"/>
      </w:tabs>
      <w:ind w:firstLine="0"/>
    </w:pPr>
    <w:rPr>
      <w:rFonts w:ascii="Times New Roman" w:hAnsi="Times New Roman"/>
      <w:sz w:val="22"/>
      <w:szCs w:val="22"/>
      <w:lang w:val="en-GB" w:eastAsia="zh-CN"/>
    </w:rPr>
  </w:style>
  <w:style w:type="character" w:customStyle="1" w:styleId="SalutationChar">
    <w:name w:val="Salutation Char"/>
    <w:basedOn w:val="DefaultParagraphFont"/>
    <w:link w:val="Salutation"/>
    <w:rsid w:val="0050262C"/>
    <w:rPr>
      <w:sz w:val="22"/>
      <w:szCs w:val="22"/>
      <w:lang w:val="en-GB" w:eastAsia="zh-CN"/>
    </w:rPr>
  </w:style>
  <w:style w:type="paragraph" w:styleId="Signature">
    <w:name w:val="Signature"/>
    <w:basedOn w:val="Normal"/>
    <w:link w:val="SignatureChar"/>
    <w:rsid w:val="0050262C"/>
    <w:pPr>
      <w:widowControl/>
      <w:tabs>
        <w:tab w:val="left" w:pos="850"/>
        <w:tab w:val="left" w:pos="1191"/>
        <w:tab w:val="left" w:pos="1531"/>
      </w:tabs>
      <w:ind w:left="4252" w:firstLine="0"/>
    </w:pPr>
    <w:rPr>
      <w:rFonts w:ascii="Times New Roman" w:hAnsi="Times New Roman"/>
      <w:sz w:val="22"/>
      <w:szCs w:val="22"/>
      <w:lang w:val="en-GB" w:eastAsia="zh-CN"/>
    </w:rPr>
  </w:style>
  <w:style w:type="character" w:customStyle="1" w:styleId="SignatureChar">
    <w:name w:val="Signature Char"/>
    <w:basedOn w:val="DefaultParagraphFont"/>
    <w:link w:val="Signature"/>
    <w:rsid w:val="0050262C"/>
    <w:rPr>
      <w:sz w:val="22"/>
      <w:szCs w:val="22"/>
      <w:lang w:val="en-GB" w:eastAsia="zh-CN"/>
    </w:rPr>
  </w:style>
  <w:style w:type="paragraph" w:styleId="E-mailSignature">
    <w:name w:val="E-mail Signature"/>
    <w:basedOn w:val="Normal"/>
    <w:link w:val="E-mailSignatureChar"/>
    <w:rsid w:val="0050262C"/>
    <w:pPr>
      <w:widowControl/>
      <w:tabs>
        <w:tab w:val="left" w:pos="850"/>
        <w:tab w:val="left" w:pos="1191"/>
        <w:tab w:val="left" w:pos="1531"/>
      </w:tabs>
      <w:ind w:firstLine="0"/>
    </w:pPr>
    <w:rPr>
      <w:rFonts w:ascii="Times New Roman" w:hAnsi="Times New Roman"/>
      <w:sz w:val="22"/>
      <w:szCs w:val="22"/>
      <w:lang w:val="en-GB" w:eastAsia="zh-CN"/>
    </w:rPr>
  </w:style>
  <w:style w:type="character" w:customStyle="1" w:styleId="E-mailSignatureChar">
    <w:name w:val="E-mail Signature Char"/>
    <w:basedOn w:val="DefaultParagraphFont"/>
    <w:link w:val="E-mailSignature"/>
    <w:rsid w:val="0050262C"/>
    <w:rPr>
      <w:sz w:val="22"/>
      <w:szCs w:val="22"/>
      <w:lang w:val="en-GB" w:eastAsia="zh-CN"/>
    </w:rPr>
  </w:style>
  <w:style w:type="paragraph" w:styleId="Subtitle">
    <w:name w:val="Subtitle"/>
    <w:basedOn w:val="Normal"/>
    <w:link w:val="SubtitleChar"/>
    <w:qFormat/>
    <w:rsid w:val="0050262C"/>
    <w:pPr>
      <w:widowControl/>
      <w:tabs>
        <w:tab w:val="left" w:pos="850"/>
        <w:tab w:val="left" w:pos="1191"/>
        <w:tab w:val="left" w:pos="1531"/>
      </w:tabs>
      <w:spacing w:after="60"/>
      <w:ind w:firstLine="0"/>
      <w:jc w:val="center"/>
      <w:outlineLvl w:val="1"/>
    </w:pPr>
    <w:rPr>
      <w:rFonts w:ascii="Arial" w:hAnsi="Arial" w:cs="Arial"/>
      <w:szCs w:val="24"/>
      <w:lang w:val="en-GB" w:eastAsia="zh-CN"/>
    </w:rPr>
  </w:style>
  <w:style w:type="character" w:customStyle="1" w:styleId="SubtitleChar">
    <w:name w:val="Subtitle Char"/>
    <w:basedOn w:val="DefaultParagraphFont"/>
    <w:link w:val="Subtitle"/>
    <w:rsid w:val="0050262C"/>
    <w:rPr>
      <w:rFonts w:ascii="Arial" w:hAnsi="Arial" w:cs="Arial"/>
      <w:sz w:val="24"/>
      <w:szCs w:val="24"/>
      <w:lang w:val="en-GB" w:eastAsia="zh-CN"/>
    </w:rPr>
  </w:style>
  <w:style w:type="paragraph" w:styleId="TableofFigures">
    <w:name w:val="table of figures"/>
    <w:basedOn w:val="Normal"/>
    <w:next w:val="Normal"/>
    <w:rsid w:val="0050262C"/>
    <w:pPr>
      <w:widowControl/>
      <w:ind w:left="440" w:hanging="440"/>
    </w:pPr>
    <w:rPr>
      <w:rFonts w:ascii="Times New Roman" w:hAnsi="Times New Roman"/>
      <w:sz w:val="22"/>
      <w:szCs w:val="22"/>
      <w:lang w:val="en-GB" w:eastAsia="zh-CN"/>
    </w:rPr>
  </w:style>
  <w:style w:type="paragraph" w:styleId="TableofAuthorities">
    <w:name w:val="table of authorities"/>
    <w:basedOn w:val="Normal"/>
    <w:next w:val="Normal"/>
    <w:rsid w:val="0050262C"/>
    <w:pPr>
      <w:widowControl/>
      <w:ind w:left="220" w:hanging="220"/>
    </w:pPr>
    <w:rPr>
      <w:rFonts w:ascii="Times New Roman" w:hAnsi="Times New Roman"/>
      <w:sz w:val="22"/>
      <w:szCs w:val="22"/>
      <w:lang w:val="en-GB" w:eastAsia="zh-CN"/>
    </w:rPr>
  </w:style>
  <w:style w:type="paragraph" w:styleId="PlainText">
    <w:name w:val="Plain Text"/>
    <w:basedOn w:val="Normal"/>
    <w:link w:val="PlainTextChar"/>
    <w:rsid w:val="0050262C"/>
    <w:pPr>
      <w:widowControl/>
      <w:tabs>
        <w:tab w:val="left" w:pos="850"/>
        <w:tab w:val="left" w:pos="1191"/>
        <w:tab w:val="left" w:pos="1531"/>
      </w:tabs>
      <w:ind w:firstLine="0"/>
    </w:pPr>
    <w:rPr>
      <w:rFonts w:ascii="Courier New" w:hAnsi="Courier New" w:cs="Courier New"/>
      <w:sz w:val="20"/>
      <w:lang w:val="en-GB" w:eastAsia="zh-CN"/>
    </w:rPr>
  </w:style>
  <w:style w:type="character" w:customStyle="1" w:styleId="PlainTextChar">
    <w:name w:val="Plain Text Char"/>
    <w:basedOn w:val="DefaultParagraphFont"/>
    <w:link w:val="PlainText"/>
    <w:rsid w:val="0050262C"/>
    <w:rPr>
      <w:rFonts w:ascii="Courier New" w:hAnsi="Courier New" w:cs="Courier New"/>
      <w:lang w:val="en-GB" w:eastAsia="zh-CN"/>
    </w:rPr>
  </w:style>
  <w:style w:type="paragraph" w:styleId="BalloonText">
    <w:name w:val="Balloon Text"/>
    <w:basedOn w:val="Normal"/>
    <w:link w:val="BalloonTextChar"/>
    <w:rsid w:val="0050262C"/>
    <w:pPr>
      <w:widowControl/>
      <w:tabs>
        <w:tab w:val="left" w:pos="850"/>
        <w:tab w:val="left" w:pos="1191"/>
        <w:tab w:val="left" w:pos="1531"/>
      </w:tabs>
      <w:ind w:firstLine="0"/>
    </w:pPr>
    <w:rPr>
      <w:rFonts w:ascii="Tahoma" w:hAnsi="Tahoma" w:cs="Tahoma"/>
      <w:sz w:val="16"/>
      <w:szCs w:val="16"/>
      <w:lang w:val="en-GB" w:eastAsia="zh-CN"/>
    </w:rPr>
  </w:style>
  <w:style w:type="character" w:customStyle="1" w:styleId="BalloonTextChar">
    <w:name w:val="Balloon Text Char"/>
    <w:basedOn w:val="DefaultParagraphFont"/>
    <w:link w:val="BalloonText"/>
    <w:rsid w:val="0050262C"/>
    <w:rPr>
      <w:rFonts w:ascii="Tahoma" w:hAnsi="Tahoma" w:cs="Tahoma"/>
      <w:sz w:val="16"/>
      <w:szCs w:val="16"/>
      <w:lang w:val="en-GB" w:eastAsia="zh-CN"/>
    </w:rPr>
  </w:style>
  <w:style w:type="paragraph" w:styleId="MacroText">
    <w:name w:val="macro"/>
    <w:link w:val="MacroTextChar"/>
    <w:rsid w:val="0050262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character" w:customStyle="1" w:styleId="MacroTextChar">
    <w:name w:val="Macro Text Char"/>
    <w:basedOn w:val="DefaultParagraphFont"/>
    <w:link w:val="MacroText"/>
    <w:rsid w:val="0050262C"/>
    <w:rPr>
      <w:rFonts w:ascii="Courier New" w:hAnsi="Courier New" w:cs="Courier New"/>
      <w:lang w:val="en-GB" w:eastAsia="zh-CN"/>
    </w:rPr>
  </w:style>
  <w:style w:type="paragraph" w:styleId="Title">
    <w:name w:val="Title"/>
    <w:basedOn w:val="Normal"/>
    <w:link w:val="TitleChar"/>
    <w:qFormat/>
    <w:rsid w:val="0050262C"/>
    <w:pPr>
      <w:widowControl/>
      <w:tabs>
        <w:tab w:val="left" w:pos="850"/>
        <w:tab w:val="left" w:pos="1191"/>
        <w:tab w:val="left" w:pos="1531"/>
      </w:tabs>
      <w:spacing w:before="240" w:after="60"/>
      <w:ind w:firstLine="0"/>
      <w:jc w:val="center"/>
      <w:outlineLvl w:val="0"/>
    </w:pPr>
    <w:rPr>
      <w:rFonts w:ascii="Arial" w:hAnsi="Arial" w:cs="Arial"/>
      <w:b/>
      <w:bCs/>
      <w:kern w:val="28"/>
      <w:sz w:val="32"/>
      <w:szCs w:val="32"/>
      <w:lang w:val="en-GB" w:eastAsia="zh-CN"/>
    </w:rPr>
  </w:style>
  <w:style w:type="character" w:customStyle="1" w:styleId="TitleChar">
    <w:name w:val="Title Char"/>
    <w:basedOn w:val="DefaultParagraphFont"/>
    <w:link w:val="Title"/>
    <w:rsid w:val="0050262C"/>
    <w:rPr>
      <w:rFonts w:ascii="Arial" w:hAnsi="Arial" w:cs="Arial"/>
      <w:b/>
      <w:bCs/>
      <w:kern w:val="28"/>
      <w:sz w:val="32"/>
      <w:szCs w:val="32"/>
      <w:lang w:val="en-GB" w:eastAsia="zh-CN"/>
    </w:rPr>
  </w:style>
  <w:style w:type="paragraph" w:styleId="NoteHeading">
    <w:name w:val="Note Heading"/>
    <w:basedOn w:val="Normal"/>
    <w:next w:val="Normal"/>
    <w:link w:val="NoteHeadingChar"/>
    <w:rsid w:val="0050262C"/>
    <w:pPr>
      <w:widowControl/>
      <w:tabs>
        <w:tab w:val="left" w:pos="850"/>
        <w:tab w:val="left" w:pos="1191"/>
        <w:tab w:val="left" w:pos="1531"/>
      </w:tabs>
      <w:ind w:firstLine="0"/>
    </w:pPr>
    <w:rPr>
      <w:rFonts w:ascii="Times New Roman" w:hAnsi="Times New Roman"/>
      <w:sz w:val="22"/>
      <w:szCs w:val="22"/>
      <w:lang w:val="en-GB" w:eastAsia="zh-CN"/>
    </w:rPr>
  </w:style>
  <w:style w:type="character" w:customStyle="1" w:styleId="NoteHeadingChar">
    <w:name w:val="Note Heading Char"/>
    <w:basedOn w:val="DefaultParagraphFont"/>
    <w:link w:val="NoteHeading"/>
    <w:rsid w:val="0050262C"/>
    <w:rPr>
      <w:sz w:val="22"/>
      <w:szCs w:val="22"/>
      <w:lang w:val="en-GB" w:eastAsia="zh-CN"/>
    </w:rPr>
  </w:style>
  <w:style w:type="paragraph" w:styleId="TOAHeading">
    <w:name w:val="toa heading"/>
    <w:basedOn w:val="Normal"/>
    <w:next w:val="Normal"/>
    <w:rsid w:val="0050262C"/>
    <w:pPr>
      <w:widowControl/>
      <w:tabs>
        <w:tab w:val="left" w:pos="850"/>
        <w:tab w:val="left" w:pos="1191"/>
        <w:tab w:val="left" w:pos="1531"/>
      </w:tabs>
      <w:spacing w:before="120"/>
      <w:ind w:firstLine="0"/>
    </w:pPr>
    <w:rPr>
      <w:rFonts w:ascii="Arial" w:hAnsi="Arial" w:cs="Arial"/>
      <w:b/>
      <w:bCs/>
      <w:szCs w:val="24"/>
      <w:lang w:val="en-GB" w:eastAsia="zh-CN"/>
    </w:rPr>
  </w:style>
  <w:style w:type="paragraph" w:customStyle="1" w:styleId="BoxBodyText">
    <w:name w:val="Box Body Text"/>
    <w:basedOn w:val="Normal"/>
    <w:rsid w:val="0050262C"/>
    <w:pPr>
      <w:widowControl/>
      <w:tabs>
        <w:tab w:val="left" w:pos="850"/>
        <w:tab w:val="left" w:pos="1191"/>
        <w:tab w:val="left" w:pos="1531"/>
      </w:tabs>
      <w:spacing w:after="240"/>
      <w:ind w:firstLine="442"/>
    </w:pPr>
    <w:rPr>
      <w:rFonts w:ascii="Arial" w:hAnsi="Arial" w:cs="Arial"/>
      <w:sz w:val="18"/>
      <w:szCs w:val="22"/>
      <w:lang w:eastAsia="zh-CN"/>
    </w:rPr>
  </w:style>
  <w:style w:type="paragraph" w:customStyle="1" w:styleId="BoxBodyTextIndent">
    <w:name w:val="Box Body Text Indent"/>
    <w:basedOn w:val="Normal"/>
    <w:rsid w:val="0050262C"/>
    <w:pPr>
      <w:widowControl/>
      <w:tabs>
        <w:tab w:val="left" w:pos="850"/>
        <w:tab w:val="left" w:pos="1191"/>
        <w:tab w:val="left" w:pos="1531"/>
      </w:tabs>
      <w:spacing w:after="240"/>
      <w:ind w:left="442" w:firstLine="0"/>
    </w:pPr>
    <w:rPr>
      <w:rFonts w:ascii="Arial" w:hAnsi="Arial" w:cs="Arial"/>
      <w:sz w:val="18"/>
      <w:szCs w:val="22"/>
      <w:lang w:eastAsia="zh-CN"/>
    </w:rPr>
  </w:style>
  <w:style w:type="paragraph" w:styleId="Bibliography">
    <w:name w:val="Bibliography"/>
    <w:basedOn w:val="Normal"/>
    <w:next w:val="Normal"/>
    <w:uiPriority w:val="37"/>
    <w:semiHidden/>
    <w:unhideWhenUsed/>
    <w:rsid w:val="0050262C"/>
    <w:pPr>
      <w:widowControl/>
      <w:tabs>
        <w:tab w:val="left" w:pos="850"/>
        <w:tab w:val="left" w:pos="1191"/>
        <w:tab w:val="left" w:pos="1531"/>
      </w:tabs>
      <w:ind w:firstLine="0"/>
    </w:pPr>
    <w:rPr>
      <w:rFonts w:ascii="Times New Roman" w:hAnsi="Times New Roman"/>
      <w:sz w:val="22"/>
      <w:szCs w:val="22"/>
      <w:lang w:val="en-GB" w:eastAsia="zh-CN"/>
    </w:rPr>
  </w:style>
  <w:style w:type="paragraph" w:styleId="IntenseQuote">
    <w:name w:val="Intense Quote"/>
    <w:basedOn w:val="Normal"/>
    <w:next w:val="Normal"/>
    <w:link w:val="IntenseQuoteChar"/>
    <w:uiPriority w:val="30"/>
    <w:qFormat/>
    <w:rsid w:val="0050262C"/>
    <w:pPr>
      <w:widowControl/>
      <w:pBdr>
        <w:bottom w:val="single" w:sz="4" w:space="4" w:color="4F81BD" w:themeColor="accent1"/>
      </w:pBdr>
      <w:tabs>
        <w:tab w:val="left" w:pos="850"/>
        <w:tab w:val="left" w:pos="1191"/>
        <w:tab w:val="left" w:pos="1531"/>
      </w:tabs>
      <w:spacing w:before="200" w:after="280"/>
      <w:ind w:left="936" w:right="936" w:firstLine="0"/>
    </w:pPr>
    <w:rPr>
      <w:rFonts w:ascii="Times New Roman" w:hAnsi="Times New Roman"/>
      <w:b/>
      <w:bCs/>
      <w:i/>
      <w:iCs/>
      <w:color w:val="4F81BD" w:themeColor="accent1"/>
      <w:sz w:val="22"/>
      <w:szCs w:val="22"/>
      <w:lang w:val="en-GB" w:eastAsia="zh-CN"/>
    </w:rPr>
  </w:style>
  <w:style w:type="character" w:customStyle="1" w:styleId="IntenseQuoteChar">
    <w:name w:val="Intense Quote Char"/>
    <w:basedOn w:val="DefaultParagraphFont"/>
    <w:link w:val="IntenseQuote"/>
    <w:uiPriority w:val="30"/>
    <w:rsid w:val="0050262C"/>
    <w:rPr>
      <w:b/>
      <w:bCs/>
      <w:i/>
      <w:iCs/>
      <w:color w:val="4F81BD" w:themeColor="accent1"/>
      <w:sz w:val="22"/>
      <w:szCs w:val="22"/>
      <w:lang w:val="en-GB" w:eastAsia="zh-CN"/>
    </w:rPr>
  </w:style>
  <w:style w:type="paragraph" w:styleId="NoSpacing">
    <w:name w:val="No Spacing"/>
    <w:uiPriority w:val="1"/>
    <w:qFormat/>
    <w:rsid w:val="0050262C"/>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sid w:val="0050262C"/>
    <w:pPr>
      <w:widowControl/>
      <w:tabs>
        <w:tab w:val="left" w:pos="850"/>
        <w:tab w:val="left" w:pos="1191"/>
        <w:tab w:val="left" w:pos="1531"/>
      </w:tabs>
      <w:ind w:firstLine="0"/>
    </w:pPr>
    <w:rPr>
      <w:rFonts w:ascii="Times New Roman" w:hAnsi="Times New Roman"/>
      <w:i/>
      <w:iCs/>
      <w:color w:val="000000" w:themeColor="text1"/>
      <w:sz w:val="22"/>
      <w:szCs w:val="22"/>
      <w:lang w:val="en-GB" w:eastAsia="zh-CN"/>
    </w:rPr>
  </w:style>
  <w:style w:type="character" w:customStyle="1" w:styleId="QuoteChar">
    <w:name w:val="Quote Char"/>
    <w:basedOn w:val="DefaultParagraphFont"/>
    <w:link w:val="Quote"/>
    <w:uiPriority w:val="29"/>
    <w:rsid w:val="0050262C"/>
    <w:rPr>
      <w:i/>
      <w:iCs/>
      <w:color w:val="000000" w:themeColor="text1"/>
      <w:sz w:val="22"/>
      <w:szCs w:val="22"/>
      <w:lang w:val="en-GB" w:eastAsia="zh-CN"/>
    </w:rPr>
  </w:style>
  <w:style w:type="paragraph" w:styleId="TOCHeading">
    <w:name w:val="TOC Heading"/>
    <w:basedOn w:val="Heading1"/>
    <w:next w:val="Normal"/>
    <w:uiPriority w:val="39"/>
    <w:semiHidden/>
    <w:unhideWhenUsed/>
    <w:qFormat/>
    <w:rsid w:val="0050262C"/>
    <w:pPr>
      <w:keepLines/>
      <w:numPr>
        <w:numId w:val="0"/>
      </w:numPr>
      <w:tabs>
        <w:tab w:val="left" w:pos="850"/>
        <w:tab w:val="left" w:pos="1191"/>
        <w:tab w:val="left" w:pos="1531"/>
      </w:tabs>
      <w:spacing w:before="480"/>
      <w:jc w:val="both"/>
      <w:outlineLvl w:val="9"/>
    </w:pPr>
    <w:rPr>
      <w:rFonts w:asciiTheme="majorHAnsi" w:eastAsiaTheme="majorEastAsia" w:hAnsiTheme="majorHAnsi" w:cstheme="majorBidi"/>
      <w:b/>
      <w:bCs/>
      <w:smallCaps w:val="0"/>
      <w:color w:val="365F91" w:themeColor="accent1" w:themeShade="BF"/>
      <w:kern w:val="0"/>
      <w:sz w:val="28"/>
      <w:szCs w:val="28"/>
      <w:lang w:val="en-GB" w:eastAsia="zh-CN"/>
    </w:rPr>
  </w:style>
  <w:style w:type="paragraph" w:customStyle="1" w:styleId="Citation">
    <w:name w:val="Citation"/>
    <w:basedOn w:val="BodyText"/>
    <w:link w:val="CitationChar"/>
    <w:rsid w:val="0050262C"/>
    <w:pPr>
      <w:ind w:left="850" w:firstLine="0"/>
      <w:jc w:val="left"/>
    </w:pPr>
  </w:style>
  <w:style w:type="character" w:customStyle="1" w:styleId="CitationChar">
    <w:name w:val="Citation Char"/>
    <w:basedOn w:val="DefaultParagraphFont"/>
    <w:link w:val="Citation"/>
    <w:rsid w:val="0050262C"/>
    <w:rPr>
      <w:sz w:val="22"/>
      <w:szCs w:val="22"/>
      <w:lang w:val="en-GB" w:eastAsia="zh-CN"/>
    </w:rPr>
  </w:style>
  <w:style w:type="character" w:styleId="Strong">
    <w:name w:val="Strong"/>
    <w:basedOn w:val="DefaultParagraphFont"/>
    <w:uiPriority w:val="22"/>
    <w:qFormat/>
    <w:rsid w:val="0050262C"/>
    <w:rPr>
      <w:b/>
      <w:bCs/>
    </w:rPr>
  </w:style>
  <w:style w:type="character" w:styleId="Emphasis">
    <w:name w:val="Emphasis"/>
    <w:basedOn w:val="DefaultParagraphFont"/>
    <w:uiPriority w:val="20"/>
    <w:qFormat/>
    <w:rsid w:val="0050262C"/>
    <w:rPr>
      <w:i/>
      <w:iCs/>
    </w:rPr>
  </w:style>
  <w:style w:type="character" w:customStyle="1" w:styleId="FootnoteTextChar">
    <w:name w:val="Footnote Text Char"/>
    <w:aliases w:val="Char Char,ft Char Char Char1,ft Char Char Char Char1,ft Char Char1,ft Char Char Char Char Char1,ft Char1,ft Char Char Char Char Char Char,Footnote Text Char2 Char Char,Footnote Text Char Char Char1 Char,fn Char,Footnotes Char"/>
    <w:link w:val="FootnoteText"/>
    <w:uiPriority w:val="99"/>
    <w:rsid w:val="0050262C"/>
    <w:rPr>
      <w:rFonts w:ascii="CG Times" w:hAnsi="CG Times"/>
    </w:rPr>
  </w:style>
  <w:style w:type="paragraph" w:customStyle="1" w:styleId="Document">
    <w:name w:val="_Document"/>
    <w:basedOn w:val="Normal"/>
    <w:rsid w:val="0050262C"/>
    <w:pPr>
      <w:suppressLineNumbers/>
      <w:tabs>
        <w:tab w:val="left" w:pos="0"/>
        <w:tab w:val="left" w:pos="440"/>
        <w:tab w:val="left" w:pos="620"/>
      </w:tabs>
      <w:spacing w:line="260" w:lineRule="exact"/>
      <w:ind w:firstLine="440"/>
    </w:pPr>
    <w:rPr>
      <w:rFonts w:ascii="NewCenturySchlbk LT Std" w:hAnsi="NewCenturySchlbk LT Std"/>
      <w:sz w:val="22"/>
      <w:szCs w:val="22"/>
    </w:rPr>
  </w:style>
  <w:style w:type="character" w:customStyle="1" w:styleId="documentbody">
    <w:name w:val="documentbody"/>
    <w:rsid w:val="0050262C"/>
  </w:style>
  <w:style w:type="paragraph" w:customStyle="1" w:styleId="FootNote0">
    <w:name w:val="_FootNote"/>
    <w:basedOn w:val="Document"/>
    <w:rsid w:val="0050262C"/>
    <w:pPr>
      <w:widowControl/>
      <w:tabs>
        <w:tab w:val="clear" w:pos="0"/>
        <w:tab w:val="clear" w:pos="440"/>
        <w:tab w:val="right" w:pos="460"/>
      </w:tabs>
      <w:spacing w:line="180" w:lineRule="exact"/>
      <w:ind w:firstLine="0"/>
    </w:pPr>
    <w:rPr>
      <w:rFonts w:ascii="Times Ten Roman" w:hAnsi="Times Ten Roman"/>
      <w:sz w:val="15"/>
      <w:szCs w:val="20"/>
    </w:rPr>
  </w:style>
  <w:style w:type="character" w:customStyle="1" w:styleId="NoterefInText">
    <w:name w:val="_NoterefInText"/>
    <w:rsid w:val="0050262C"/>
    <w:rPr>
      <w:rFonts w:ascii="Times Ten Roman" w:hAnsi="Times Ten Roman"/>
      <w:spacing w:val="0"/>
      <w:w w:val="100"/>
      <w:position w:val="-4"/>
      <w:sz w:val="23"/>
      <w:vertAlign w:val="superscript"/>
    </w:rPr>
  </w:style>
  <w:style w:type="character" w:customStyle="1" w:styleId="NoterefInNote">
    <w:name w:val="_NoterefInNote"/>
    <w:rsid w:val="0050262C"/>
    <w:rPr>
      <w:rFonts w:ascii="Times Ten Roman" w:hAnsi="Times Ten Roman"/>
      <w:sz w:val="15"/>
      <w:vertAlign w:val="baseline"/>
    </w:rPr>
  </w:style>
  <w:style w:type="paragraph" w:customStyle="1" w:styleId="1stQuoteTXT">
    <w:name w:val="_1stQuoteTXT"/>
    <w:basedOn w:val="Document"/>
    <w:next w:val="Document"/>
    <w:rsid w:val="0050262C"/>
    <w:pPr>
      <w:widowControl/>
      <w:suppressLineNumbers w:val="0"/>
      <w:tabs>
        <w:tab w:val="clear" w:pos="0"/>
        <w:tab w:val="clear" w:pos="440"/>
        <w:tab w:val="clear" w:pos="620"/>
      </w:tabs>
      <w:spacing w:before="180" w:after="180" w:line="240" w:lineRule="exact"/>
      <w:ind w:left="360" w:right="360" w:firstLine="0"/>
    </w:pPr>
    <w:rPr>
      <w:rFonts w:ascii="Century Schoolbook" w:hAnsi="Century Schoolbook"/>
      <w:sz w:val="20"/>
      <w:szCs w:val="24"/>
    </w:rPr>
  </w:style>
  <w:style w:type="character" w:styleId="FollowedHyperlink">
    <w:name w:val="FollowedHyperlink"/>
    <w:basedOn w:val="DefaultParagraphFont"/>
    <w:rsid w:val="0050262C"/>
    <w:rPr>
      <w:color w:val="800080" w:themeColor="followedHyperlink"/>
      <w:u w:val="single"/>
    </w:rPr>
  </w:style>
  <w:style w:type="character" w:customStyle="1" w:styleId="Heading1Char">
    <w:name w:val="Heading 1 Char"/>
    <w:link w:val="Heading1"/>
    <w:rsid w:val="0050262C"/>
    <w:rPr>
      <w:rFonts w:ascii="CG Times" w:hAnsi="CG Times"/>
      <w:smallCaps/>
      <w:kern w:val="28"/>
      <w:sz w:val="24"/>
    </w:rPr>
  </w:style>
  <w:style w:type="character" w:customStyle="1" w:styleId="Heading3Char">
    <w:name w:val="Heading 3 Char"/>
    <w:link w:val="Heading3"/>
    <w:rsid w:val="0050262C"/>
    <w:rPr>
      <w:rFonts w:ascii="CG Times" w:hAnsi="CG Times"/>
      <w:sz w:val="24"/>
    </w:rPr>
  </w:style>
  <w:style w:type="character" w:styleId="HTMLCite">
    <w:name w:val="HTML Cite"/>
    <w:basedOn w:val="DefaultParagraphFont"/>
    <w:uiPriority w:val="99"/>
    <w:unhideWhenUsed/>
    <w:rsid w:val="0050262C"/>
    <w:rPr>
      <w:i/>
      <w:iCs/>
    </w:rPr>
  </w:style>
  <w:style w:type="character" w:customStyle="1" w:styleId="personname">
    <w:name w:val="person_name"/>
    <w:basedOn w:val="DefaultParagraphFont"/>
    <w:rsid w:val="0050262C"/>
  </w:style>
  <w:style w:type="paragraph" w:styleId="Revision">
    <w:name w:val="Revision"/>
    <w:hidden/>
    <w:uiPriority w:val="99"/>
    <w:semiHidden/>
    <w:rsid w:val="0050262C"/>
    <w:rPr>
      <w:rFonts w:ascii="CG Times" w:hAnsi="CG 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9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15"/>
    <w:pPr>
      <w:widowControl w:val="0"/>
      <w:ind w:firstLine="360"/>
      <w:jc w:val="both"/>
    </w:pPr>
    <w:rPr>
      <w:rFonts w:ascii="CG Times" w:hAnsi="CG Times"/>
      <w:sz w:val="24"/>
    </w:rPr>
  </w:style>
  <w:style w:type="paragraph" w:styleId="Heading1">
    <w:name w:val="heading 1"/>
    <w:basedOn w:val="Normal"/>
    <w:next w:val="Normal"/>
    <w:link w:val="Heading1Char"/>
    <w:qFormat/>
    <w:rsid w:val="00E67E67"/>
    <w:pPr>
      <w:keepNext/>
      <w:widowControl/>
      <w:numPr>
        <w:numId w:val="1"/>
      </w:numPr>
      <w:jc w:val="center"/>
      <w:outlineLvl w:val="0"/>
    </w:pPr>
    <w:rPr>
      <w:smallCaps/>
      <w:kern w:val="28"/>
    </w:rPr>
  </w:style>
  <w:style w:type="paragraph" w:styleId="Heading2">
    <w:name w:val="heading 2"/>
    <w:basedOn w:val="Normal"/>
    <w:next w:val="Normal"/>
    <w:qFormat/>
    <w:rsid w:val="00E67E67"/>
    <w:pPr>
      <w:keepNext/>
      <w:widowControl/>
      <w:numPr>
        <w:ilvl w:val="1"/>
        <w:numId w:val="1"/>
      </w:numPr>
      <w:jc w:val="center"/>
      <w:outlineLvl w:val="1"/>
    </w:pPr>
    <w:rPr>
      <w:i/>
    </w:rPr>
  </w:style>
  <w:style w:type="paragraph" w:styleId="Heading3">
    <w:name w:val="heading 3"/>
    <w:basedOn w:val="Normal"/>
    <w:next w:val="Normal"/>
    <w:link w:val="Heading3Char"/>
    <w:qFormat/>
    <w:pPr>
      <w:keepNext/>
      <w:widowControl/>
      <w:numPr>
        <w:ilvl w:val="2"/>
        <w:numId w:val="1"/>
      </w:numPr>
      <w:outlineLvl w:val="2"/>
    </w:pPr>
  </w:style>
  <w:style w:type="paragraph" w:styleId="Heading4">
    <w:name w:val="heading 4"/>
    <w:basedOn w:val="Normal"/>
    <w:next w:val="Normal"/>
    <w:qFormat/>
    <w:rsid w:val="0050262C"/>
    <w:pPr>
      <w:keepNext/>
      <w:widowControl/>
      <w:spacing w:line="360" w:lineRule="auto"/>
      <w:ind w:left="360" w:hanging="360"/>
      <w:outlineLvl w:val="3"/>
    </w:pPr>
    <w:rPr>
      <w:szCs w:val="24"/>
    </w:rPr>
  </w:style>
  <w:style w:type="paragraph" w:styleId="Heading5">
    <w:name w:val="heading 5"/>
    <w:next w:val="Normal"/>
    <w:qFormat/>
    <w:rsid w:val="005C7763"/>
    <w:pPr>
      <w:numPr>
        <w:ilvl w:val="4"/>
        <w:numId w:val="1"/>
      </w:numPr>
      <w:spacing w:before="240" w:after="60"/>
      <w:outlineLvl w:val="4"/>
    </w:pPr>
    <w:rPr>
      <w:rFonts w:ascii="CG Times" w:hAnsi="CG Times"/>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customStyle="1" w:styleId="Footnote">
    <w:name w:val="Footnote"/>
    <w:rsid w:val="00471E15"/>
    <w:pPr>
      <w:widowControl w:val="0"/>
      <w:tabs>
        <w:tab w:val="left" w:pos="-720"/>
      </w:tabs>
      <w:suppressAutoHyphens/>
      <w:spacing w:line="200" w:lineRule="exact"/>
    </w:pPr>
    <w:rPr>
      <w:rFonts w:ascii="CG Times" w:hAnsi="CG Times"/>
      <w:kern w:val="2"/>
    </w:rPr>
  </w:style>
  <w:style w:type="character" w:styleId="FootnoteReference">
    <w:name w:val="footnote reference"/>
    <w:aliases w:val="Ref,de nota al pie,Char1"/>
    <w:rPr>
      <w:vertAlign w:val="superscript"/>
    </w:rPr>
  </w:style>
  <w:style w:type="paragraph" w:styleId="FootnoteText">
    <w:name w:val="footnote text"/>
    <w:aliases w:val="Char,ft Char Char,ft Char Char Char,ft Char,ft Char Char Char Char,ft,ft Char Char Char Char Char,Footnote Text Char2 Char,Footnote Text Char Char Char1,Footnote Text Char1 Char Char Char,fn,Footnotes,Footnote ak,fn Cha, Char,fn Ch"/>
    <w:basedOn w:val="Normal"/>
    <w:link w:val="FootnoteTextChar"/>
    <w:uiPriority w:val="99"/>
    <w:qFormat/>
    <w:rsid w:val="00870B12"/>
    <w:rPr>
      <w:sz w:val="20"/>
    </w:rPr>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customStyle="1" w:styleId="Level1">
    <w:name w:val="Level 1"/>
    <w:basedOn w:val="Normal"/>
    <w:pPr>
      <w:ind w:left="720" w:hanging="720"/>
    </w:pPr>
  </w:style>
  <w:style w:type="character" w:styleId="PageNumber">
    <w:name w:val="page number"/>
    <w:basedOn w:val="DefaultParagraphFont"/>
  </w:style>
  <w:style w:type="paragraph" w:customStyle="1" w:styleId="LetteredList">
    <w:name w:val="Lettered List"/>
    <w:basedOn w:val="Normal"/>
    <w:rsid w:val="00017D0A"/>
    <w:pPr>
      <w:numPr>
        <w:numId w:val="2"/>
      </w:numPr>
    </w:pPr>
  </w:style>
  <w:style w:type="paragraph" w:styleId="TOC1">
    <w:name w:val="toc 1"/>
    <w:basedOn w:val="Normal"/>
    <w:next w:val="Normal"/>
    <w:autoRedefine/>
    <w:qFormat/>
    <w:pPr>
      <w:tabs>
        <w:tab w:val="left" w:leader="dot" w:pos="7776"/>
      </w:tabs>
      <w:ind w:left="432" w:hanging="432"/>
    </w:pPr>
  </w:style>
  <w:style w:type="paragraph" w:styleId="TOC2">
    <w:name w:val="toc 2"/>
    <w:basedOn w:val="Normal"/>
    <w:next w:val="Normal"/>
    <w:autoRedefine/>
    <w:qFormat/>
    <w:pPr>
      <w:tabs>
        <w:tab w:val="left" w:pos="864"/>
        <w:tab w:val="left" w:leader="dot" w:pos="7776"/>
      </w:tabs>
      <w:ind w:left="864" w:hanging="432"/>
    </w:pPr>
    <w:rPr>
      <w:noProof/>
    </w:rPr>
  </w:style>
  <w:style w:type="paragraph" w:styleId="TOC3">
    <w:name w:val="toc 3"/>
    <w:basedOn w:val="Normal"/>
    <w:next w:val="Normal"/>
    <w:autoRedefine/>
    <w:qFormat/>
    <w:pPr>
      <w:tabs>
        <w:tab w:val="left" w:pos="1296"/>
        <w:tab w:val="left" w:leader="dot" w:pos="7776"/>
      </w:tabs>
      <w:ind w:left="1296" w:hanging="432"/>
    </w:pPr>
  </w:style>
  <w:style w:type="paragraph" w:styleId="TOC4">
    <w:name w:val="toc 4"/>
    <w:basedOn w:val="Normal"/>
    <w:next w:val="Normal"/>
    <w:autoRedefine/>
    <w:qFormat/>
    <w:pPr>
      <w:tabs>
        <w:tab w:val="left" w:pos="1296"/>
        <w:tab w:val="left" w:pos="1728"/>
        <w:tab w:val="left" w:leader="dot" w:pos="7776"/>
      </w:tabs>
      <w:ind w:left="1728" w:hanging="432"/>
    </w:pPr>
  </w:style>
  <w:style w:type="paragraph" w:styleId="TOC5">
    <w:name w:val="toc 5"/>
    <w:basedOn w:val="Normal"/>
    <w:next w:val="Normal"/>
    <w:autoRedefine/>
    <w:qFormat/>
    <w:pPr>
      <w:ind w:left="1040"/>
    </w:pPr>
  </w:style>
  <w:style w:type="paragraph" w:styleId="TOC6">
    <w:name w:val="toc 6"/>
    <w:basedOn w:val="Normal"/>
    <w:next w:val="Normal"/>
    <w:autoRedefine/>
    <w:qFormat/>
    <w:pPr>
      <w:ind w:left="1300"/>
    </w:pPr>
  </w:style>
  <w:style w:type="paragraph" w:styleId="TOC7">
    <w:name w:val="toc 7"/>
    <w:basedOn w:val="Normal"/>
    <w:next w:val="Normal"/>
    <w:autoRedefine/>
    <w:qFormat/>
    <w:pPr>
      <w:ind w:left="1560"/>
    </w:pPr>
  </w:style>
  <w:style w:type="paragraph" w:styleId="TOC8">
    <w:name w:val="toc 8"/>
    <w:basedOn w:val="Normal"/>
    <w:next w:val="Normal"/>
    <w:autoRedefine/>
    <w:qFormat/>
    <w:pPr>
      <w:ind w:left="1820"/>
    </w:pPr>
  </w:style>
  <w:style w:type="paragraph" w:styleId="TOC9">
    <w:name w:val="toc 9"/>
    <w:basedOn w:val="Normal"/>
    <w:next w:val="Normal"/>
    <w:autoRedefine/>
    <w:qFormat/>
    <w:pPr>
      <w:ind w:left="2080"/>
    </w:pPr>
  </w:style>
  <w:style w:type="paragraph" w:customStyle="1" w:styleId="BlockQuote">
    <w:name w:val="Block Quote"/>
    <w:basedOn w:val="Normal"/>
    <w:rsid w:val="00471E15"/>
    <w:pPr>
      <w:ind w:left="360" w:right="360"/>
    </w:pPr>
    <w:rPr>
      <w:sz w:val="21"/>
      <w:szCs w:val="19"/>
    </w:rPr>
  </w:style>
  <w:style w:type="paragraph" w:customStyle="1" w:styleId="Epigraph">
    <w:name w:val="Epigraph"/>
    <w:basedOn w:val="Normal"/>
    <w:rsid w:val="00471E15"/>
    <w:pPr>
      <w:ind w:left="3600" w:firstLine="0"/>
      <w:jc w:val="right"/>
    </w:pPr>
    <w:rPr>
      <w:sz w:val="21"/>
      <w:szCs w:val="21"/>
    </w:rPr>
  </w:style>
  <w:style w:type="paragraph" w:customStyle="1" w:styleId="ArticleTitle">
    <w:name w:val="Article Title"/>
    <w:basedOn w:val="Normal"/>
    <w:rsid w:val="00E67E67"/>
    <w:pPr>
      <w:ind w:firstLine="0"/>
      <w:jc w:val="center"/>
    </w:pPr>
    <w:rPr>
      <w:caps/>
    </w:rPr>
  </w:style>
  <w:style w:type="paragraph" w:customStyle="1" w:styleId="YourName">
    <w:name w:val="Your Name"/>
    <w:basedOn w:val="Normal"/>
    <w:rsid w:val="00E67E67"/>
    <w:pPr>
      <w:ind w:firstLine="0"/>
      <w:jc w:val="center"/>
    </w:pPr>
    <w:rPr>
      <w:i/>
      <w:iCs/>
      <w:sz w:val="23"/>
    </w:rPr>
  </w:style>
  <w:style w:type="paragraph" w:customStyle="1" w:styleId="BlockQuoteinFootnote">
    <w:name w:val="Block Quote in Footnote"/>
    <w:basedOn w:val="FootnoteText"/>
    <w:rsid w:val="00870B12"/>
    <w:pPr>
      <w:ind w:left="360" w:right="360"/>
    </w:pPr>
  </w:style>
  <w:style w:type="paragraph" w:styleId="ListParagraph">
    <w:name w:val="List Paragraph"/>
    <w:basedOn w:val="Normal"/>
    <w:uiPriority w:val="34"/>
    <w:qFormat/>
    <w:rsid w:val="00E978CC"/>
    <w:pPr>
      <w:ind w:left="720"/>
      <w:contextualSpacing/>
    </w:pPr>
  </w:style>
  <w:style w:type="paragraph" w:customStyle="1" w:styleId="AnnexHeading">
    <w:name w:val="Annex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styleId="BodyText">
    <w:name w:val="Body Text"/>
    <w:basedOn w:val="Normal"/>
    <w:link w:val="BodyTextChar"/>
    <w:rsid w:val="0050262C"/>
    <w:pPr>
      <w:widowControl/>
      <w:tabs>
        <w:tab w:val="left" w:pos="850"/>
        <w:tab w:val="left" w:pos="1191"/>
        <w:tab w:val="left" w:pos="1531"/>
      </w:tabs>
      <w:spacing w:after="240"/>
      <w:ind w:firstLine="442"/>
    </w:pPr>
    <w:rPr>
      <w:rFonts w:ascii="Times New Roman" w:hAnsi="Times New Roman"/>
      <w:sz w:val="22"/>
      <w:szCs w:val="22"/>
      <w:lang w:val="en-GB" w:eastAsia="zh-CN"/>
    </w:rPr>
  </w:style>
  <w:style w:type="character" w:customStyle="1" w:styleId="BodyTextChar">
    <w:name w:val="Body Text Char"/>
    <w:basedOn w:val="DefaultParagraphFont"/>
    <w:link w:val="BodyText"/>
    <w:rsid w:val="0050262C"/>
    <w:rPr>
      <w:sz w:val="22"/>
      <w:szCs w:val="22"/>
      <w:lang w:val="en-GB" w:eastAsia="zh-CN"/>
    </w:rPr>
  </w:style>
  <w:style w:type="paragraph" w:customStyle="1" w:styleId="Annotation">
    <w:name w:val="Annotation"/>
    <w:basedOn w:val="BodyText"/>
    <w:rsid w:val="0050262C"/>
    <w:pPr>
      <w:ind w:firstLine="0"/>
      <w:jc w:val="left"/>
    </w:pPr>
    <w:rPr>
      <w:b/>
      <w:bCs/>
      <w:i/>
      <w:iCs/>
    </w:rPr>
  </w:style>
  <w:style w:type="paragraph" w:customStyle="1" w:styleId="AppendixHeading">
    <w:name w:val="Appendix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Biblio-Entry">
    <w:name w:val="Biblio-Entry"/>
    <w:basedOn w:val="BodyText"/>
    <w:rsid w:val="0050262C"/>
    <w:pPr>
      <w:ind w:left="567" w:hanging="567"/>
      <w:jc w:val="left"/>
    </w:pPr>
  </w:style>
  <w:style w:type="paragraph" w:customStyle="1" w:styleId="BibliographyHeading">
    <w:name w:val="Bibliography Heading"/>
    <w:basedOn w:val="Normal"/>
    <w:next w:val="Biblio-Entry"/>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BoxHeading">
    <w:name w:val="Box Heading"/>
    <w:basedOn w:val="Normal"/>
    <w:next w:val="BoxBodyText"/>
    <w:rsid w:val="0050262C"/>
    <w:pPr>
      <w:widowControl/>
      <w:tabs>
        <w:tab w:val="left" w:pos="850"/>
        <w:tab w:val="left" w:pos="1191"/>
        <w:tab w:val="left" w:pos="1531"/>
      </w:tabs>
      <w:spacing w:before="240" w:after="240"/>
      <w:ind w:firstLine="0"/>
      <w:jc w:val="center"/>
    </w:pPr>
    <w:rPr>
      <w:rFonts w:ascii="Arial" w:hAnsi="Arial" w:cs="Arial"/>
      <w:b/>
      <w:bCs/>
      <w:sz w:val="18"/>
      <w:szCs w:val="22"/>
      <w:lang w:val="en-GB" w:eastAsia="zh-CN"/>
    </w:rPr>
  </w:style>
  <w:style w:type="paragraph" w:customStyle="1" w:styleId="Cell">
    <w:name w:val="Cell"/>
    <w:basedOn w:val="Normal"/>
    <w:rsid w:val="0050262C"/>
    <w:pPr>
      <w:widowControl/>
      <w:ind w:firstLine="0"/>
      <w:jc w:val="left"/>
    </w:pPr>
    <w:rPr>
      <w:rFonts w:ascii="Arial" w:hAnsi="Arial" w:cs="Arial"/>
      <w:sz w:val="18"/>
      <w:szCs w:val="18"/>
      <w:lang w:val="en-GB" w:eastAsia="zh-CN"/>
    </w:rPr>
  </w:style>
  <w:style w:type="paragraph" w:customStyle="1" w:styleId="ColumnsHeading">
    <w:name w:val="Columns Heading"/>
    <w:basedOn w:val="Normal"/>
    <w:rsid w:val="0050262C"/>
    <w:pPr>
      <w:widowControl/>
      <w:ind w:firstLine="0"/>
      <w:jc w:val="center"/>
    </w:pPr>
    <w:rPr>
      <w:rFonts w:ascii="Arial" w:hAnsi="Arial" w:cs="Arial"/>
      <w:sz w:val="18"/>
      <w:szCs w:val="18"/>
      <w:lang w:val="en-GB" w:eastAsia="zh-CN"/>
    </w:rPr>
  </w:style>
  <w:style w:type="paragraph" w:customStyle="1" w:styleId="ConclusionHeading">
    <w:name w:val="Conclusion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DefinitionList">
    <w:name w:val="Definition List"/>
    <w:basedOn w:val="BodyText"/>
    <w:rsid w:val="0050262C"/>
    <w:pPr>
      <w:tabs>
        <w:tab w:val="clear" w:pos="850"/>
        <w:tab w:val="clear" w:pos="1191"/>
        <w:tab w:val="clear" w:pos="1531"/>
      </w:tabs>
      <w:ind w:left="1984" w:hanging="1984"/>
      <w:jc w:val="center"/>
    </w:pPr>
  </w:style>
  <w:style w:type="paragraph" w:customStyle="1" w:styleId="EndnotesHeading">
    <w:name w:val="Endnotes Heading"/>
    <w:basedOn w:val="Normal"/>
    <w:next w:val="BodyText"/>
    <w:rsid w:val="0050262C"/>
    <w:pPr>
      <w:keepNext/>
      <w:widowControl/>
      <w:tabs>
        <w:tab w:val="left" w:pos="850"/>
        <w:tab w:val="left" w:pos="1191"/>
        <w:tab w:val="left" w:pos="1531"/>
      </w:tabs>
      <w:spacing w:before="1200" w:after="480"/>
      <w:ind w:firstLine="0"/>
      <w:jc w:val="center"/>
    </w:pPr>
    <w:rPr>
      <w:rFonts w:ascii="Times New Roman" w:hAnsi="Times New Roman"/>
      <w:b/>
      <w:bCs/>
      <w:caps/>
      <w:sz w:val="22"/>
      <w:szCs w:val="22"/>
      <w:lang w:val="en-GB" w:eastAsia="zh-CN"/>
    </w:rPr>
  </w:style>
  <w:style w:type="paragraph" w:customStyle="1" w:styleId="ExecutiveSummaryHeading">
    <w:name w:val="Executive Summary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FigureNote">
    <w:name w:val="Figure Note"/>
    <w:basedOn w:val="Normal"/>
    <w:rsid w:val="0050262C"/>
    <w:pPr>
      <w:widowControl/>
      <w:tabs>
        <w:tab w:val="left" w:pos="850"/>
        <w:tab w:val="left" w:pos="1191"/>
        <w:tab w:val="left" w:pos="1531"/>
      </w:tabs>
      <w:spacing w:after="120"/>
      <w:ind w:firstLine="0"/>
    </w:pPr>
    <w:rPr>
      <w:rFonts w:ascii="Arial" w:hAnsi="Arial" w:cs="Arial"/>
      <w:sz w:val="16"/>
      <w:szCs w:val="18"/>
      <w:lang w:val="en-GB" w:eastAsia="zh-CN"/>
    </w:rPr>
  </w:style>
  <w:style w:type="paragraph" w:customStyle="1" w:styleId="FigureSub-title">
    <w:name w:val="Figure Sub-title"/>
    <w:basedOn w:val="Normal"/>
    <w:rsid w:val="0050262C"/>
    <w:pPr>
      <w:keepNext/>
      <w:widowControl/>
      <w:tabs>
        <w:tab w:val="left" w:pos="850"/>
        <w:tab w:val="left" w:pos="1191"/>
        <w:tab w:val="left" w:pos="1531"/>
      </w:tabs>
      <w:spacing w:after="120"/>
      <w:ind w:firstLine="0"/>
      <w:jc w:val="center"/>
    </w:pPr>
    <w:rPr>
      <w:rFonts w:ascii="Arial" w:hAnsi="Arial" w:cs="Arial"/>
      <w:sz w:val="18"/>
      <w:szCs w:val="22"/>
      <w:lang w:val="en-GB" w:eastAsia="zh-CN"/>
    </w:rPr>
  </w:style>
  <w:style w:type="paragraph" w:customStyle="1" w:styleId="FigureTitle">
    <w:name w:val="Figure Title"/>
    <w:basedOn w:val="Normal"/>
    <w:next w:val="FigureSub-title"/>
    <w:rsid w:val="0050262C"/>
    <w:pPr>
      <w:keepNext/>
      <w:widowControl/>
      <w:tabs>
        <w:tab w:val="left" w:pos="850"/>
        <w:tab w:val="left" w:pos="1191"/>
        <w:tab w:val="left" w:pos="1531"/>
      </w:tabs>
      <w:spacing w:after="240"/>
      <w:ind w:firstLine="0"/>
      <w:jc w:val="center"/>
    </w:pPr>
    <w:rPr>
      <w:rFonts w:ascii="Arial" w:hAnsi="Arial" w:cs="Arial"/>
      <w:b/>
      <w:bCs/>
      <w:sz w:val="18"/>
      <w:szCs w:val="22"/>
      <w:lang w:val="en-GB" w:eastAsia="zh-CN"/>
    </w:rPr>
  </w:style>
  <w:style w:type="paragraph" w:customStyle="1" w:styleId="ForewordHeading">
    <w:name w:val="Foreword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GlossaryHeading">
    <w:name w:val="Glossary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Graphic">
    <w:name w:val="Graphic"/>
    <w:basedOn w:val="Normal"/>
    <w:next w:val="BodyText"/>
    <w:rsid w:val="0050262C"/>
    <w:pPr>
      <w:widowControl/>
      <w:tabs>
        <w:tab w:val="left" w:pos="850"/>
        <w:tab w:val="left" w:pos="1191"/>
        <w:tab w:val="left" w:pos="1531"/>
      </w:tabs>
      <w:spacing w:after="240"/>
      <w:ind w:firstLine="0"/>
      <w:jc w:val="center"/>
    </w:pPr>
    <w:rPr>
      <w:rFonts w:ascii="Times New Roman" w:hAnsi="Times New Roman"/>
      <w:sz w:val="22"/>
      <w:szCs w:val="22"/>
      <w:lang w:val="en-GB" w:eastAsia="zh-CN"/>
    </w:rPr>
  </w:style>
  <w:style w:type="paragraph" w:customStyle="1" w:styleId="HiddenText">
    <w:name w:val="Hidden Text"/>
    <w:basedOn w:val="BodyText"/>
    <w:rsid w:val="0050262C"/>
    <w:pPr>
      <w:keepNext/>
      <w:spacing w:after="0"/>
      <w:ind w:left="442" w:firstLine="0"/>
    </w:pPr>
    <w:rPr>
      <w:sz w:val="2"/>
      <w:szCs w:val="2"/>
    </w:rPr>
  </w:style>
  <w:style w:type="paragraph" w:customStyle="1" w:styleId="Highlight">
    <w:name w:val="Highlight"/>
    <w:basedOn w:val="BodyText"/>
    <w:rsid w:val="0050262C"/>
    <w:pPr>
      <w:ind w:left="442" w:firstLine="0"/>
    </w:pPr>
    <w:rPr>
      <w:i/>
      <w:iCs/>
    </w:rPr>
  </w:style>
  <w:style w:type="paragraph" w:customStyle="1" w:styleId="HighlightHeading">
    <w:name w:val="Highlight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styleId="Index1">
    <w:name w:val="index 1"/>
    <w:basedOn w:val="Normal"/>
    <w:next w:val="Normal"/>
    <w:rsid w:val="0050262C"/>
    <w:pPr>
      <w:widowControl/>
      <w:tabs>
        <w:tab w:val="left" w:pos="850"/>
        <w:tab w:val="left" w:pos="1191"/>
        <w:tab w:val="left" w:pos="1531"/>
      </w:tabs>
      <w:ind w:left="220" w:hanging="220"/>
    </w:pPr>
    <w:rPr>
      <w:rFonts w:ascii="Times New Roman" w:hAnsi="Times New Roman"/>
      <w:sz w:val="22"/>
      <w:szCs w:val="22"/>
      <w:lang w:val="en-GB" w:eastAsia="zh-CN"/>
    </w:rPr>
  </w:style>
  <w:style w:type="paragraph" w:styleId="IndexHeading">
    <w:name w:val="index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IntroductionHeading">
    <w:name w:val="Introduction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styleId="List">
    <w:name w:val="List"/>
    <w:basedOn w:val="Normal"/>
    <w:rsid w:val="0050262C"/>
    <w:pPr>
      <w:widowControl/>
      <w:tabs>
        <w:tab w:val="left" w:pos="850"/>
        <w:tab w:val="left" w:pos="1191"/>
        <w:tab w:val="left" w:pos="1531"/>
      </w:tabs>
      <w:spacing w:after="240"/>
      <w:ind w:left="850" w:hanging="283"/>
    </w:pPr>
    <w:rPr>
      <w:rFonts w:ascii="Times New Roman" w:hAnsi="Times New Roman"/>
      <w:sz w:val="22"/>
      <w:szCs w:val="22"/>
      <w:lang w:val="en-GB" w:eastAsia="zh-CN"/>
    </w:rPr>
  </w:style>
  <w:style w:type="paragraph" w:styleId="List2">
    <w:name w:val="List 2"/>
    <w:basedOn w:val="Normal"/>
    <w:rsid w:val="0050262C"/>
    <w:pPr>
      <w:widowControl/>
      <w:tabs>
        <w:tab w:val="left" w:pos="850"/>
        <w:tab w:val="left" w:pos="1191"/>
        <w:tab w:val="left" w:pos="1531"/>
      </w:tabs>
      <w:spacing w:after="240"/>
      <w:ind w:left="1134" w:hanging="283"/>
    </w:pPr>
    <w:rPr>
      <w:rFonts w:ascii="Times New Roman" w:hAnsi="Times New Roman"/>
      <w:sz w:val="22"/>
      <w:szCs w:val="22"/>
      <w:lang w:val="en-GB" w:eastAsia="zh-CN"/>
    </w:rPr>
  </w:style>
  <w:style w:type="paragraph" w:styleId="List3">
    <w:name w:val="List 3"/>
    <w:basedOn w:val="Normal"/>
    <w:rsid w:val="0050262C"/>
    <w:pPr>
      <w:widowControl/>
      <w:tabs>
        <w:tab w:val="left" w:pos="850"/>
        <w:tab w:val="left" w:pos="1191"/>
        <w:tab w:val="left" w:pos="1531"/>
      </w:tabs>
      <w:spacing w:after="240"/>
      <w:ind w:left="1417" w:hanging="283"/>
    </w:pPr>
    <w:rPr>
      <w:rFonts w:ascii="Times New Roman" w:hAnsi="Times New Roman"/>
      <w:sz w:val="22"/>
      <w:szCs w:val="22"/>
      <w:lang w:val="en-GB" w:eastAsia="zh-CN"/>
    </w:rPr>
  </w:style>
  <w:style w:type="paragraph" w:styleId="List4">
    <w:name w:val="List 4"/>
    <w:basedOn w:val="Normal"/>
    <w:rsid w:val="0050262C"/>
    <w:pPr>
      <w:widowControl/>
      <w:tabs>
        <w:tab w:val="left" w:pos="850"/>
        <w:tab w:val="left" w:pos="1191"/>
        <w:tab w:val="left" w:pos="1531"/>
      </w:tabs>
      <w:spacing w:after="240"/>
      <w:ind w:left="1701" w:hanging="283"/>
    </w:pPr>
    <w:rPr>
      <w:rFonts w:ascii="Times New Roman" w:hAnsi="Times New Roman"/>
      <w:sz w:val="22"/>
      <w:szCs w:val="22"/>
      <w:lang w:val="en-GB" w:eastAsia="zh-CN"/>
    </w:rPr>
  </w:style>
  <w:style w:type="paragraph" w:styleId="List5">
    <w:name w:val="List 5"/>
    <w:basedOn w:val="Normal"/>
    <w:rsid w:val="0050262C"/>
    <w:pPr>
      <w:widowControl/>
      <w:tabs>
        <w:tab w:val="left" w:pos="850"/>
        <w:tab w:val="left" w:pos="1191"/>
        <w:tab w:val="left" w:pos="1531"/>
      </w:tabs>
      <w:spacing w:after="240"/>
      <w:ind w:left="1984" w:hanging="283"/>
    </w:pPr>
    <w:rPr>
      <w:rFonts w:ascii="Times New Roman" w:hAnsi="Times New Roman"/>
      <w:sz w:val="22"/>
      <w:szCs w:val="22"/>
      <w:lang w:val="en-GB" w:eastAsia="zh-CN"/>
    </w:rPr>
  </w:style>
  <w:style w:type="paragraph" w:styleId="ListBullet">
    <w:name w:val="List Bullet"/>
    <w:basedOn w:val="Normal"/>
    <w:rsid w:val="0050262C"/>
    <w:pPr>
      <w:widowControl/>
      <w:numPr>
        <w:numId w:val="7"/>
      </w:numPr>
      <w:spacing w:after="240"/>
    </w:pPr>
    <w:rPr>
      <w:rFonts w:ascii="Times New Roman" w:hAnsi="Times New Roman"/>
      <w:sz w:val="22"/>
      <w:szCs w:val="22"/>
      <w:lang w:val="en-GB" w:eastAsia="zh-CN"/>
    </w:rPr>
  </w:style>
  <w:style w:type="paragraph" w:styleId="ListBullet2">
    <w:name w:val="List Bullet 2"/>
    <w:basedOn w:val="Normal"/>
    <w:rsid w:val="0050262C"/>
    <w:pPr>
      <w:widowControl/>
      <w:numPr>
        <w:numId w:val="8"/>
      </w:numPr>
      <w:spacing w:after="240"/>
    </w:pPr>
    <w:rPr>
      <w:rFonts w:ascii="Times New Roman" w:hAnsi="Times New Roman"/>
      <w:sz w:val="22"/>
      <w:szCs w:val="22"/>
      <w:lang w:val="en-GB" w:eastAsia="zh-CN"/>
    </w:rPr>
  </w:style>
  <w:style w:type="paragraph" w:styleId="ListBullet3">
    <w:name w:val="List Bullet 3"/>
    <w:basedOn w:val="Normal"/>
    <w:rsid w:val="0050262C"/>
    <w:pPr>
      <w:widowControl/>
      <w:numPr>
        <w:numId w:val="9"/>
      </w:numPr>
      <w:spacing w:after="240"/>
    </w:pPr>
    <w:rPr>
      <w:rFonts w:ascii="Times New Roman" w:hAnsi="Times New Roman"/>
      <w:sz w:val="22"/>
      <w:szCs w:val="22"/>
      <w:lang w:val="en-GB" w:eastAsia="zh-CN"/>
    </w:rPr>
  </w:style>
  <w:style w:type="paragraph" w:styleId="ListBullet4">
    <w:name w:val="List Bullet 4"/>
    <w:basedOn w:val="Normal"/>
    <w:rsid w:val="0050262C"/>
    <w:pPr>
      <w:widowControl/>
      <w:numPr>
        <w:numId w:val="10"/>
      </w:numPr>
      <w:spacing w:after="240"/>
    </w:pPr>
    <w:rPr>
      <w:rFonts w:ascii="Times New Roman" w:hAnsi="Times New Roman"/>
      <w:sz w:val="22"/>
      <w:szCs w:val="22"/>
      <w:lang w:val="en-GB" w:eastAsia="zh-CN"/>
    </w:rPr>
  </w:style>
  <w:style w:type="paragraph" w:styleId="ListBullet5">
    <w:name w:val="List Bullet 5"/>
    <w:basedOn w:val="Normal"/>
    <w:rsid w:val="0050262C"/>
    <w:pPr>
      <w:widowControl/>
      <w:numPr>
        <w:numId w:val="11"/>
      </w:numPr>
      <w:spacing w:after="240"/>
    </w:pPr>
    <w:rPr>
      <w:rFonts w:ascii="Times New Roman" w:hAnsi="Times New Roman"/>
      <w:sz w:val="22"/>
      <w:szCs w:val="22"/>
      <w:lang w:val="en-GB" w:eastAsia="zh-CN"/>
    </w:rPr>
  </w:style>
  <w:style w:type="paragraph" w:styleId="ListContinue">
    <w:name w:val="List Continue"/>
    <w:basedOn w:val="Normal"/>
    <w:rsid w:val="0050262C"/>
    <w:pPr>
      <w:widowControl/>
      <w:spacing w:after="240"/>
      <w:ind w:left="850" w:firstLine="0"/>
    </w:pPr>
    <w:rPr>
      <w:rFonts w:ascii="Times New Roman" w:hAnsi="Times New Roman"/>
      <w:sz w:val="22"/>
      <w:szCs w:val="22"/>
      <w:lang w:val="en-GB" w:eastAsia="zh-CN"/>
    </w:rPr>
  </w:style>
  <w:style w:type="paragraph" w:styleId="ListContinue2">
    <w:name w:val="List Continue 2"/>
    <w:basedOn w:val="Normal"/>
    <w:rsid w:val="0050262C"/>
    <w:pPr>
      <w:widowControl/>
      <w:spacing w:after="240"/>
      <w:ind w:left="1191" w:firstLine="0"/>
    </w:pPr>
    <w:rPr>
      <w:rFonts w:ascii="Times New Roman" w:hAnsi="Times New Roman"/>
      <w:sz w:val="22"/>
      <w:szCs w:val="22"/>
      <w:lang w:val="en-GB" w:eastAsia="zh-CN"/>
    </w:rPr>
  </w:style>
  <w:style w:type="paragraph" w:styleId="ListContinue3">
    <w:name w:val="List Continue 3"/>
    <w:basedOn w:val="Normal"/>
    <w:rsid w:val="0050262C"/>
    <w:pPr>
      <w:widowControl/>
      <w:spacing w:after="240"/>
      <w:ind w:left="1474" w:firstLine="0"/>
    </w:pPr>
    <w:rPr>
      <w:rFonts w:ascii="Times New Roman" w:hAnsi="Times New Roman"/>
      <w:sz w:val="22"/>
      <w:szCs w:val="22"/>
      <w:lang w:val="en-GB" w:eastAsia="zh-CN"/>
    </w:rPr>
  </w:style>
  <w:style w:type="paragraph" w:styleId="ListContinue4">
    <w:name w:val="List Continue 4"/>
    <w:basedOn w:val="Normal"/>
    <w:rsid w:val="0050262C"/>
    <w:pPr>
      <w:widowControl/>
      <w:spacing w:after="240"/>
      <w:ind w:left="1757" w:firstLine="0"/>
    </w:pPr>
    <w:rPr>
      <w:rFonts w:ascii="Times New Roman" w:hAnsi="Times New Roman"/>
      <w:sz w:val="22"/>
      <w:szCs w:val="22"/>
      <w:lang w:val="en-GB" w:eastAsia="zh-CN"/>
    </w:rPr>
  </w:style>
  <w:style w:type="paragraph" w:styleId="ListContinue5">
    <w:name w:val="List Continue 5"/>
    <w:basedOn w:val="Normal"/>
    <w:rsid w:val="0050262C"/>
    <w:pPr>
      <w:widowControl/>
      <w:spacing w:after="240"/>
      <w:ind w:left="2041" w:firstLine="0"/>
    </w:pPr>
    <w:rPr>
      <w:rFonts w:ascii="Times New Roman" w:hAnsi="Times New Roman"/>
      <w:sz w:val="22"/>
      <w:szCs w:val="22"/>
      <w:lang w:val="en-GB" w:eastAsia="zh-CN"/>
    </w:rPr>
  </w:style>
  <w:style w:type="paragraph" w:styleId="ListNumber">
    <w:name w:val="List Number"/>
    <w:basedOn w:val="Normal"/>
    <w:rsid w:val="0050262C"/>
    <w:pPr>
      <w:widowControl/>
      <w:numPr>
        <w:numId w:val="12"/>
      </w:numPr>
      <w:tabs>
        <w:tab w:val="left" w:pos="1134"/>
      </w:tabs>
      <w:spacing w:after="240"/>
    </w:pPr>
    <w:rPr>
      <w:rFonts w:ascii="Times New Roman" w:hAnsi="Times New Roman"/>
      <w:sz w:val="22"/>
      <w:szCs w:val="22"/>
      <w:lang w:val="en-GB" w:eastAsia="zh-CN"/>
    </w:rPr>
  </w:style>
  <w:style w:type="paragraph" w:styleId="ListNumber2">
    <w:name w:val="List Number 2"/>
    <w:basedOn w:val="Normal"/>
    <w:rsid w:val="0050262C"/>
    <w:pPr>
      <w:widowControl/>
      <w:numPr>
        <w:ilvl w:val="1"/>
        <w:numId w:val="12"/>
      </w:numPr>
      <w:tabs>
        <w:tab w:val="left" w:pos="1417"/>
      </w:tabs>
      <w:spacing w:after="240"/>
    </w:pPr>
    <w:rPr>
      <w:rFonts w:ascii="Times New Roman" w:hAnsi="Times New Roman"/>
      <w:sz w:val="22"/>
      <w:szCs w:val="22"/>
      <w:lang w:val="en-GB" w:eastAsia="zh-CN"/>
    </w:rPr>
  </w:style>
  <w:style w:type="paragraph" w:styleId="ListNumber3">
    <w:name w:val="List Number 3"/>
    <w:basedOn w:val="Normal"/>
    <w:rsid w:val="0050262C"/>
    <w:pPr>
      <w:widowControl/>
      <w:numPr>
        <w:ilvl w:val="2"/>
        <w:numId w:val="12"/>
      </w:numPr>
      <w:tabs>
        <w:tab w:val="left" w:pos="1701"/>
      </w:tabs>
      <w:spacing w:after="240"/>
    </w:pPr>
    <w:rPr>
      <w:rFonts w:ascii="Times New Roman" w:hAnsi="Times New Roman"/>
      <w:sz w:val="22"/>
      <w:szCs w:val="22"/>
      <w:lang w:val="en-GB" w:eastAsia="zh-CN"/>
    </w:rPr>
  </w:style>
  <w:style w:type="paragraph" w:styleId="ListNumber4">
    <w:name w:val="List Number 4"/>
    <w:basedOn w:val="Normal"/>
    <w:rsid w:val="0050262C"/>
    <w:pPr>
      <w:widowControl/>
      <w:numPr>
        <w:ilvl w:val="3"/>
        <w:numId w:val="12"/>
      </w:numPr>
      <w:tabs>
        <w:tab w:val="left" w:pos="1984"/>
      </w:tabs>
      <w:spacing w:after="240"/>
    </w:pPr>
    <w:rPr>
      <w:rFonts w:ascii="Times New Roman" w:hAnsi="Times New Roman"/>
      <w:sz w:val="22"/>
      <w:szCs w:val="22"/>
      <w:lang w:val="en-GB" w:eastAsia="zh-CN"/>
    </w:rPr>
  </w:style>
  <w:style w:type="paragraph" w:styleId="ListNumber5">
    <w:name w:val="List Number 5"/>
    <w:basedOn w:val="Normal"/>
    <w:rsid w:val="0050262C"/>
    <w:pPr>
      <w:widowControl/>
      <w:numPr>
        <w:ilvl w:val="4"/>
        <w:numId w:val="12"/>
      </w:numPr>
      <w:tabs>
        <w:tab w:val="left" w:pos="2268"/>
      </w:tabs>
      <w:spacing w:after="240"/>
    </w:pPr>
    <w:rPr>
      <w:rFonts w:ascii="Times New Roman" w:hAnsi="Times New Roman"/>
      <w:sz w:val="22"/>
      <w:szCs w:val="22"/>
      <w:lang w:val="en-GB" w:eastAsia="zh-CN"/>
    </w:rPr>
  </w:style>
  <w:style w:type="paragraph" w:customStyle="1" w:styleId="Num-ChapParagraph">
    <w:name w:val="Num-Chap Paragraph"/>
    <w:basedOn w:val="BodyText"/>
    <w:rsid w:val="0050262C"/>
    <w:pPr>
      <w:ind w:firstLine="0"/>
    </w:pPr>
  </w:style>
  <w:style w:type="paragraph" w:customStyle="1" w:styleId="Num-DocParagraph">
    <w:name w:val="Num-Doc Paragraph"/>
    <w:basedOn w:val="BodyText"/>
    <w:rsid w:val="0050262C"/>
    <w:pPr>
      <w:ind w:firstLine="0"/>
    </w:pPr>
  </w:style>
  <w:style w:type="paragraph" w:customStyle="1" w:styleId="PartHeading">
    <w:name w:val="Part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RowsHeading">
    <w:name w:val="Rows Heading"/>
    <w:basedOn w:val="Normal"/>
    <w:rsid w:val="0050262C"/>
    <w:pPr>
      <w:widowControl/>
      <w:ind w:firstLine="0"/>
      <w:jc w:val="left"/>
    </w:pPr>
    <w:rPr>
      <w:rFonts w:ascii="Arial" w:hAnsi="Arial" w:cs="Arial"/>
      <w:sz w:val="18"/>
      <w:szCs w:val="18"/>
      <w:lang w:val="en-GB" w:eastAsia="zh-CN"/>
    </w:rPr>
  </w:style>
  <w:style w:type="paragraph" w:customStyle="1" w:styleId="SourceDescription">
    <w:name w:val="Source Description"/>
    <w:basedOn w:val="Normal"/>
    <w:next w:val="BodyText"/>
    <w:rsid w:val="0050262C"/>
    <w:pPr>
      <w:widowControl/>
      <w:tabs>
        <w:tab w:val="left" w:pos="850"/>
        <w:tab w:val="left" w:pos="1191"/>
        <w:tab w:val="left" w:pos="1531"/>
      </w:tabs>
      <w:spacing w:after="360"/>
      <w:ind w:firstLine="0"/>
    </w:pPr>
    <w:rPr>
      <w:rFonts w:ascii="Arial" w:hAnsi="Arial" w:cs="Arial"/>
      <w:sz w:val="16"/>
      <w:szCs w:val="18"/>
      <w:lang w:val="en-GB" w:eastAsia="zh-CN"/>
    </w:rPr>
  </w:style>
  <w:style w:type="paragraph" w:customStyle="1" w:styleId="SubHeading">
    <w:name w:val="SubHeading"/>
    <w:basedOn w:val="BodyText"/>
    <w:rsid w:val="0050262C"/>
    <w:pPr>
      <w:ind w:left="442" w:firstLine="0"/>
    </w:pPr>
    <w:rPr>
      <w:i/>
      <w:iCs/>
    </w:rPr>
  </w:style>
  <w:style w:type="paragraph" w:customStyle="1" w:styleId="SummaryHeading">
    <w:name w:val="Summary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Table">
    <w:name w:val="Table"/>
    <w:basedOn w:val="Normal"/>
    <w:next w:val="BodyText"/>
    <w:rsid w:val="0050262C"/>
    <w:pPr>
      <w:widowControl/>
      <w:tabs>
        <w:tab w:val="left" w:pos="850"/>
        <w:tab w:val="left" w:pos="1191"/>
        <w:tab w:val="left" w:pos="1531"/>
      </w:tabs>
      <w:spacing w:after="240"/>
      <w:ind w:firstLine="0"/>
      <w:jc w:val="center"/>
    </w:pPr>
    <w:rPr>
      <w:rFonts w:ascii="Times New Roman" w:hAnsi="Times New Roman"/>
      <w:sz w:val="22"/>
      <w:szCs w:val="22"/>
      <w:lang w:val="en-GB" w:eastAsia="zh-CN"/>
    </w:rPr>
  </w:style>
  <w:style w:type="paragraph" w:customStyle="1" w:styleId="TableNote">
    <w:name w:val="Table Note"/>
    <w:basedOn w:val="Normal"/>
    <w:rsid w:val="0050262C"/>
    <w:pPr>
      <w:widowControl/>
      <w:tabs>
        <w:tab w:val="left" w:pos="850"/>
        <w:tab w:val="left" w:pos="1191"/>
        <w:tab w:val="left" w:pos="1531"/>
      </w:tabs>
      <w:spacing w:after="120"/>
      <w:ind w:firstLine="0"/>
      <w:jc w:val="left"/>
    </w:pPr>
    <w:rPr>
      <w:rFonts w:ascii="Arial" w:hAnsi="Arial" w:cs="Arial"/>
      <w:sz w:val="16"/>
      <w:szCs w:val="18"/>
      <w:lang w:val="en-GB" w:eastAsia="zh-CN"/>
    </w:rPr>
  </w:style>
  <w:style w:type="paragraph" w:customStyle="1" w:styleId="TableofContentsHeading">
    <w:name w:val="Table of Contents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bCs/>
      <w:caps/>
      <w:sz w:val="22"/>
      <w:szCs w:val="22"/>
      <w:lang w:val="en-GB" w:eastAsia="zh-CN"/>
    </w:rPr>
  </w:style>
  <w:style w:type="paragraph" w:customStyle="1" w:styleId="TableSub-title">
    <w:name w:val="Table Sub-title"/>
    <w:basedOn w:val="Normal"/>
    <w:rsid w:val="0050262C"/>
    <w:pPr>
      <w:keepNext/>
      <w:widowControl/>
      <w:tabs>
        <w:tab w:val="left" w:pos="850"/>
        <w:tab w:val="left" w:pos="1191"/>
        <w:tab w:val="left" w:pos="1531"/>
      </w:tabs>
      <w:spacing w:after="240"/>
      <w:ind w:firstLine="0"/>
      <w:jc w:val="center"/>
    </w:pPr>
    <w:rPr>
      <w:rFonts w:ascii="Arial" w:hAnsi="Arial" w:cs="Arial"/>
      <w:sz w:val="18"/>
      <w:szCs w:val="22"/>
      <w:lang w:val="en-GB" w:eastAsia="zh-CN"/>
    </w:rPr>
  </w:style>
  <w:style w:type="paragraph" w:customStyle="1" w:styleId="TableTitle">
    <w:name w:val="Table Title"/>
    <w:basedOn w:val="Normal"/>
    <w:rsid w:val="0050262C"/>
    <w:pPr>
      <w:keepNext/>
      <w:widowControl/>
      <w:tabs>
        <w:tab w:val="left" w:pos="850"/>
        <w:tab w:val="left" w:pos="1191"/>
        <w:tab w:val="left" w:pos="1531"/>
      </w:tabs>
      <w:spacing w:after="240"/>
      <w:ind w:firstLine="0"/>
      <w:jc w:val="center"/>
    </w:pPr>
    <w:rPr>
      <w:rFonts w:ascii="Arial" w:hAnsi="Arial" w:cs="Arial"/>
      <w:b/>
      <w:bCs/>
      <w:sz w:val="18"/>
      <w:szCs w:val="22"/>
      <w:lang w:val="en-GB" w:eastAsia="zh-CN"/>
    </w:rPr>
  </w:style>
  <w:style w:type="paragraph" w:customStyle="1" w:styleId="TextBox">
    <w:name w:val="Text Box"/>
    <w:basedOn w:val="BodyText"/>
    <w:rsid w:val="0050262C"/>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50262C"/>
    <w:pPr>
      <w:jc w:val="center"/>
    </w:pPr>
    <w:rPr>
      <w:b/>
      <w:bCs/>
    </w:rPr>
  </w:style>
  <w:style w:type="paragraph" w:customStyle="1" w:styleId="IndexHeading1">
    <w:name w:val="Index Heading1"/>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caps/>
      <w:sz w:val="22"/>
      <w:szCs w:val="22"/>
      <w:lang w:eastAsia="zh-CN"/>
    </w:rPr>
  </w:style>
  <w:style w:type="paragraph" w:styleId="BlockText">
    <w:name w:val="Block Text"/>
    <w:basedOn w:val="Normal"/>
    <w:rsid w:val="0050262C"/>
    <w:pPr>
      <w:widowControl/>
      <w:tabs>
        <w:tab w:val="left" w:pos="850"/>
        <w:tab w:val="left" w:pos="1191"/>
        <w:tab w:val="left" w:pos="1531"/>
      </w:tabs>
      <w:spacing w:after="120"/>
      <w:ind w:left="1440" w:right="1440" w:firstLine="0"/>
    </w:pPr>
    <w:rPr>
      <w:rFonts w:ascii="Times New Roman" w:hAnsi="Times New Roman"/>
      <w:sz w:val="22"/>
      <w:szCs w:val="22"/>
      <w:lang w:val="en-GB" w:eastAsia="zh-CN"/>
    </w:rPr>
  </w:style>
  <w:style w:type="paragraph" w:customStyle="1" w:styleId="Abstract">
    <w:name w:val="Abstract"/>
    <w:basedOn w:val="BodyText"/>
    <w:rsid w:val="0050262C"/>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rsid w:val="0050262C"/>
    <w:pPr>
      <w:ind w:firstLine="0"/>
    </w:pPr>
    <w:rPr>
      <w:lang w:val="en-US"/>
    </w:rPr>
  </w:style>
  <w:style w:type="paragraph" w:customStyle="1" w:styleId="Chart">
    <w:name w:val="Chart"/>
    <w:basedOn w:val="Normal"/>
    <w:next w:val="BodyText"/>
    <w:rsid w:val="0050262C"/>
    <w:pPr>
      <w:widowControl/>
      <w:tabs>
        <w:tab w:val="left" w:pos="850"/>
        <w:tab w:val="left" w:pos="1191"/>
        <w:tab w:val="left" w:pos="1531"/>
      </w:tabs>
      <w:spacing w:after="240"/>
      <w:ind w:firstLine="0"/>
      <w:jc w:val="center"/>
    </w:pPr>
    <w:rPr>
      <w:rFonts w:ascii="Times New Roman" w:hAnsi="Times New Roman"/>
      <w:sz w:val="22"/>
      <w:szCs w:val="22"/>
      <w:lang w:eastAsia="zh-CN"/>
    </w:rPr>
  </w:style>
  <w:style w:type="paragraph" w:customStyle="1" w:styleId="ChartSub-title">
    <w:name w:val="Chart Sub-title"/>
    <w:basedOn w:val="Normal"/>
    <w:rsid w:val="0050262C"/>
    <w:pPr>
      <w:keepNext/>
      <w:widowControl/>
      <w:tabs>
        <w:tab w:val="left" w:pos="850"/>
        <w:tab w:val="left" w:pos="1191"/>
        <w:tab w:val="left" w:pos="1531"/>
      </w:tabs>
      <w:spacing w:after="120"/>
      <w:ind w:firstLine="0"/>
      <w:jc w:val="center"/>
    </w:pPr>
    <w:rPr>
      <w:rFonts w:ascii="Arial" w:hAnsi="Arial" w:cs="Arial"/>
      <w:sz w:val="18"/>
      <w:szCs w:val="22"/>
      <w:lang w:eastAsia="zh-CN"/>
    </w:rPr>
  </w:style>
  <w:style w:type="paragraph" w:customStyle="1" w:styleId="ChartTitle">
    <w:name w:val="Chart Title"/>
    <w:basedOn w:val="Normal"/>
    <w:next w:val="ChartSub-title"/>
    <w:rsid w:val="0050262C"/>
    <w:pPr>
      <w:keepNext/>
      <w:widowControl/>
      <w:tabs>
        <w:tab w:val="left" w:pos="850"/>
        <w:tab w:val="left" w:pos="1191"/>
        <w:tab w:val="left" w:pos="1531"/>
      </w:tabs>
      <w:spacing w:after="240"/>
      <w:ind w:firstLine="0"/>
      <w:jc w:val="center"/>
    </w:pPr>
    <w:rPr>
      <w:rFonts w:ascii="Arial" w:hAnsi="Arial" w:cs="Arial"/>
      <w:b/>
      <w:sz w:val="18"/>
      <w:szCs w:val="22"/>
      <w:lang w:eastAsia="zh-CN"/>
    </w:rPr>
  </w:style>
  <w:style w:type="paragraph" w:customStyle="1" w:styleId="ChartNote">
    <w:name w:val="Chart Note"/>
    <w:basedOn w:val="Normal"/>
    <w:rsid w:val="0050262C"/>
    <w:pPr>
      <w:widowControl/>
      <w:tabs>
        <w:tab w:val="left" w:pos="850"/>
        <w:tab w:val="left" w:pos="1191"/>
        <w:tab w:val="left" w:pos="1531"/>
      </w:tabs>
      <w:spacing w:after="120"/>
      <w:ind w:firstLine="0"/>
      <w:jc w:val="left"/>
    </w:pPr>
    <w:rPr>
      <w:rFonts w:ascii="Arial" w:hAnsi="Arial" w:cs="Arial"/>
      <w:sz w:val="16"/>
      <w:szCs w:val="22"/>
      <w:lang w:eastAsia="zh-CN"/>
    </w:rPr>
  </w:style>
  <w:style w:type="paragraph" w:customStyle="1" w:styleId="BoxHeading2">
    <w:name w:val="Box Heading 2"/>
    <w:basedOn w:val="Normal"/>
    <w:next w:val="BoxBodyText"/>
    <w:rsid w:val="0050262C"/>
    <w:pPr>
      <w:widowControl/>
      <w:tabs>
        <w:tab w:val="left" w:pos="850"/>
        <w:tab w:val="left" w:pos="1191"/>
        <w:tab w:val="left" w:pos="1531"/>
      </w:tabs>
      <w:spacing w:before="240" w:after="240"/>
      <w:ind w:firstLine="0"/>
      <w:jc w:val="left"/>
    </w:pPr>
    <w:rPr>
      <w:rFonts w:ascii="Arial" w:hAnsi="Arial" w:cs="Arial"/>
      <w:b/>
      <w:sz w:val="18"/>
      <w:szCs w:val="22"/>
      <w:lang w:eastAsia="zh-CN"/>
    </w:rPr>
  </w:style>
  <w:style w:type="paragraph" w:customStyle="1" w:styleId="BoxHeading3">
    <w:name w:val="Box Heading 3"/>
    <w:basedOn w:val="Normal"/>
    <w:next w:val="BoxBodyText"/>
    <w:rsid w:val="0050262C"/>
    <w:pPr>
      <w:widowControl/>
      <w:tabs>
        <w:tab w:val="left" w:pos="850"/>
        <w:tab w:val="left" w:pos="1191"/>
        <w:tab w:val="left" w:pos="1531"/>
      </w:tabs>
      <w:spacing w:before="240" w:after="240"/>
      <w:ind w:firstLine="0"/>
      <w:jc w:val="left"/>
    </w:pPr>
    <w:rPr>
      <w:rFonts w:ascii="Arial" w:hAnsi="Arial" w:cs="Arial"/>
      <w:b/>
      <w:i/>
      <w:sz w:val="18"/>
      <w:szCs w:val="22"/>
      <w:lang w:eastAsia="zh-CN"/>
    </w:rPr>
  </w:style>
  <w:style w:type="paragraph" w:customStyle="1" w:styleId="BoxNote">
    <w:name w:val="Box Note"/>
    <w:basedOn w:val="Normal"/>
    <w:rsid w:val="0050262C"/>
    <w:pPr>
      <w:widowControl/>
      <w:tabs>
        <w:tab w:val="left" w:pos="340"/>
      </w:tabs>
      <w:spacing w:after="120"/>
      <w:ind w:firstLine="0"/>
      <w:jc w:val="left"/>
    </w:pPr>
    <w:rPr>
      <w:rFonts w:ascii="Arial" w:hAnsi="Arial" w:cs="Arial"/>
      <w:sz w:val="18"/>
      <w:szCs w:val="22"/>
      <w:lang w:eastAsia="zh-CN"/>
    </w:rPr>
  </w:style>
  <w:style w:type="paragraph" w:customStyle="1" w:styleId="ListBulletBox">
    <w:name w:val="List Bullet Box"/>
    <w:basedOn w:val="Normal"/>
    <w:rsid w:val="0050262C"/>
    <w:pPr>
      <w:widowControl/>
      <w:numPr>
        <w:numId w:val="13"/>
      </w:numPr>
      <w:spacing w:after="240"/>
    </w:pPr>
    <w:rPr>
      <w:rFonts w:ascii="Arial" w:hAnsi="Arial" w:cs="Arial"/>
      <w:sz w:val="18"/>
      <w:szCs w:val="22"/>
      <w:lang w:eastAsia="zh-CN"/>
    </w:rPr>
  </w:style>
  <w:style w:type="paragraph" w:customStyle="1" w:styleId="ListBulletBox2">
    <w:name w:val="List Bullet Box 2"/>
    <w:basedOn w:val="Normal"/>
    <w:rsid w:val="0050262C"/>
    <w:pPr>
      <w:widowControl/>
      <w:numPr>
        <w:numId w:val="14"/>
      </w:numPr>
      <w:spacing w:after="240"/>
    </w:pPr>
    <w:rPr>
      <w:rFonts w:ascii="Arial" w:hAnsi="Arial" w:cs="Arial"/>
      <w:sz w:val="18"/>
      <w:szCs w:val="22"/>
      <w:lang w:eastAsia="zh-CN"/>
    </w:rPr>
  </w:style>
  <w:style w:type="paragraph" w:customStyle="1" w:styleId="ListBulletBox3">
    <w:name w:val="List Bullet Box 3"/>
    <w:basedOn w:val="Normal"/>
    <w:rsid w:val="0050262C"/>
    <w:pPr>
      <w:widowControl/>
      <w:numPr>
        <w:numId w:val="15"/>
      </w:numPr>
      <w:spacing w:after="240"/>
    </w:pPr>
    <w:rPr>
      <w:rFonts w:ascii="Arial" w:hAnsi="Arial" w:cs="Arial"/>
      <w:sz w:val="18"/>
      <w:szCs w:val="22"/>
      <w:lang w:eastAsia="zh-CN"/>
    </w:rPr>
  </w:style>
  <w:style w:type="paragraph" w:customStyle="1" w:styleId="ListNumberBox">
    <w:name w:val="List Number Box"/>
    <w:basedOn w:val="Normal"/>
    <w:rsid w:val="0050262C"/>
    <w:pPr>
      <w:widowControl/>
      <w:numPr>
        <w:numId w:val="16"/>
      </w:numPr>
      <w:tabs>
        <w:tab w:val="clear" w:pos="1950"/>
        <w:tab w:val="left" w:pos="850"/>
      </w:tabs>
      <w:spacing w:after="240"/>
      <w:ind w:left="850"/>
    </w:pPr>
    <w:rPr>
      <w:rFonts w:ascii="Arial" w:hAnsi="Arial" w:cs="Arial"/>
      <w:sz w:val="18"/>
      <w:szCs w:val="22"/>
      <w:lang w:eastAsia="zh-CN"/>
    </w:rPr>
  </w:style>
  <w:style w:type="paragraph" w:customStyle="1" w:styleId="ListNumberBox2">
    <w:name w:val="List Number Box 2"/>
    <w:basedOn w:val="Normal"/>
    <w:rsid w:val="0050262C"/>
    <w:pPr>
      <w:widowControl/>
      <w:numPr>
        <w:ilvl w:val="1"/>
        <w:numId w:val="16"/>
      </w:numPr>
      <w:tabs>
        <w:tab w:val="clear" w:pos="2291"/>
        <w:tab w:val="left" w:pos="1191"/>
      </w:tabs>
      <w:spacing w:after="240"/>
      <w:ind w:left="1191" w:hanging="340"/>
    </w:pPr>
    <w:rPr>
      <w:rFonts w:ascii="Arial" w:hAnsi="Arial" w:cs="Arial"/>
      <w:sz w:val="18"/>
      <w:szCs w:val="22"/>
      <w:lang w:eastAsia="zh-CN"/>
    </w:rPr>
  </w:style>
  <w:style w:type="paragraph" w:customStyle="1" w:styleId="ListNumberBox3">
    <w:name w:val="List Number Box 3"/>
    <w:basedOn w:val="Normal"/>
    <w:rsid w:val="0050262C"/>
    <w:pPr>
      <w:widowControl/>
      <w:numPr>
        <w:ilvl w:val="2"/>
        <w:numId w:val="16"/>
      </w:numPr>
      <w:tabs>
        <w:tab w:val="clear" w:pos="2574"/>
        <w:tab w:val="left" w:pos="1474"/>
      </w:tabs>
      <w:spacing w:after="240"/>
      <w:ind w:left="1474"/>
    </w:pPr>
    <w:rPr>
      <w:rFonts w:ascii="Arial" w:hAnsi="Arial" w:cs="Arial"/>
      <w:sz w:val="18"/>
      <w:szCs w:val="22"/>
      <w:lang w:eastAsia="zh-CN"/>
    </w:rPr>
  </w:style>
  <w:style w:type="paragraph" w:customStyle="1" w:styleId="ListContinueBox">
    <w:name w:val="List Continue Box"/>
    <w:basedOn w:val="Normal"/>
    <w:rsid w:val="0050262C"/>
    <w:pPr>
      <w:widowControl/>
      <w:spacing w:after="240"/>
      <w:ind w:left="850" w:firstLine="0"/>
    </w:pPr>
    <w:rPr>
      <w:rFonts w:ascii="Arial" w:hAnsi="Arial" w:cs="Arial"/>
      <w:sz w:val="18"/>
      <w:szCs w:val="22"/>
      <w:lang w:eastAsia="zh-CN"/>
    </w:rPr>
  </w:style>
  <w:style w:type="paragraph" w:customStyle="1" w:styleId="ListContinueBox2">
    <w:name w:val="List Continue Box 2"/>
    <w:basedOn w:val="Normal"/>
    <w:rsid w:val="0050262C"/>
    <w:pPr>
      <w:widowControl/>
      <w:spacing w:after="240"/>
      <w:ind w:left="1191" w:firstLine="0"/>
    </w:pPr>
    <w:rPr>
      <w:rFonts w:ascii="Arial" w:hAnsi="Arial" w:cs="Arial"/>
      <w:sz w:val="18"/>
      <w:szCs w:val="22"/>
      <w:lang w:eastAsia="zh-CN"/>
    </w:rPr>
  </w:style>
  <w:style w:type="paragraph" w:customStyle="1" w:styleId="ListContinueBox3">
    <w:name w:val="List Continue Box 3"/>
    <w:basedOn w:val="Normal"/>
    <w:rsid w:val="0050262C"/>
    <w:pPr>
      <w:widowControl/>
      <w:spacing w:after="240"/>
      <w:ind w:left="1474" w:firstLine="0"/>
    </w:pPr>
    <w:rPr>
      <w:rFonts w:ascii="Arial" w:hAnsi="Arial" w:cs="Arial"/>
      <w:sz w:val="18"/>
      <w:szCs w:val="22"/>
      <w:lang w:eastAsia="zh-CN"/>
    </w:rPr>
  </w:style>
  <w:style w:type="paragraph" w:customStyle="1" w:styleId="BoxSource">
    <w:name w:val="Box Source"/>
    <w:basedOn w:val="Normal"/>
    <w:next w:val="BodyText"/>
    <w:rsid w:val="0050262C"/>
    <w:pPr>
      <w:widowControl/>
      <w:tabs>
        <w:tab w:val="left" w:pos="850"/>
        <w:tab w:val="left" w:pos="1191"/>
        <w:tab w:val="left" w:pos="1531"/>
      </w:tabs>
      <w:spacing w:after="360"/>
      <w:ind w:firstLine="0"/>
    </w:pPr>
    <w:rPr>
      <w:rFonts w:ascii="Arial" w:hAnsi="Arial" w:cs="Arial"/>
      <w:sz w:val="16"/>
      <w:szCs w:val="22"/>
      <w:lang w:eastAsia="zh-CN"/>
    </w:rPr>
  </w:style>
  <w:style w:type="character" w:customStyle="1" w:styleId="Cote">
    <w:name w:val="Cote"/>
    <w:basedOn w:val="DefaultParagraphFont"/>
    <w:rsid w:val="0050262C"/>
    <w:rPr>
      <w:caps/>
      <w:smallCaps w:val="0"/>
      <w:lang w:val="en-US"/>
    </w:rPr>
  </w:style>
  <w:style w:type="numbering" w:customStyle="1" w:styleId="NumberedNote">
    <w:name w:val="Numbered Note"/>
    <w:basedOn w:val="NoList"/>
    <w:rsid w:val="0050262C"/>
    <w:pPr>
      <w:numPr>
        <w:numId w:val="3"/>
      </w:numPr>
    </w:pPr>
  </w:style>
  <w:style w:type="numbering" w:customStyle="1" w:styleId="BulletedNote">
    <w:name w:val="Bulleted Note"/>
    <w:basedOn w:val="NoList"/>
    <w:rsid w:val="0050262C"/>
    <w:pPr>
      <w:numPr>
        <w:numId w:val="4"/>
      </w:numPr>
    </w:pPr>
  </w:style>
  <w:style w:type="numbering" w:customStyle="1" w:styleId="NumericNote">
    <w:name w:val="Numeric Note"/>
    <w:basedOn w:val="NoList"/>
    <w:rsid w:val="0050262C"/>
    <w:pPr>
      <w:numPr>
        <w:numId w:val="5"/>
      </w:numPr>
    </w:pPr>
  </w:style>
  <w:style w:type="numbering" w:customStyle="1" w:styleId="AlphaNote">
    <w:name w:val="Alpha Note"/>
    <w:basedOn w:val="NoList"/>
    <w:rsid w:val="0050262C"/>
    <w:pPr>
      <w:numPr>
        <w:numId w:val="6"/>
      </w:numPr>
    </w:pPr>
  </w:style>
  <w:style w:type="paragraph" w:customStyle="1" w:styleId="AcknowledgementHeading">
    <w:name w:val="Acknowledgement Heading"/>
    <w:basedOn w:val="Normal"/>
    <w:next w:val="BodyText"/>
    <w:rsid w:val="0050262C"/>
    <w:pPr>
      <w:keepNext/>
      <w:widowControl/>
      <w:tabs>
        <w:tab w:val="left" w:pos="850"/>
        <w:tab w:val="left" w:pos="1191"/>
        <w:tab w:val="left" w:pos="1531"/>
      </w:tabs>
      <w:spacing w:before="1200" w:after="720"/>
      <w:ind w:firstLine="0"/>
      <w:jc w:val="center"/>
    </w:pPr>
    <w:rPr>
      <w:rFonts w:ascii="Times New Roman" w:hAnsi="Times New Roman"/>
      <w:b/>
      <w:caps/>
      <w:sz w:val="22"/>
      <w:szCs w:val="22"/>
      <w:lang w:eastAsia="zh-CN"/>
    </w:rPr>
  </w:style>
  <w:style w:type="paragraph" w:styleId="EnvelopeAddress">
    <w:name w:val="envelope address"/>
    <w:basedOn w:val="Normal"/>
    <w:rsid w:val="0050262C"/>
    <w:pPr>
      <w:framePr w:w="7938" w:h="1985" w:hRule="exact" w:hSpace="141" w:wrap="auto" w:hAnchor="page" w:xAlign="center" w:yAlign="bottom"/>
      <w:widowControl/>
      <w:tabs>
        <w:tab w:val="left" w:pos="850"/>
        <w:tab w:val="left" w:pos="1191"/>
        <w:tab w:val="left" w:pos="1531"/>
      </w:tabs>
      <w:ind w:left="2835" w:firstLine="0"/>
    </w:pPr>
    <w:rPr>
      <w:rFonts w:ascii="Arial" w:hAnsi="Arial" w:cs="Arial"/>
      <w:szCs w:val="24"/>
      <w:lang w:val="en-GB" w:eastAsia="zh-CN"/>
    </w:rPr>
  </w:style>
  <w:style w:type="paragraph" w:styleId="EnvelopeReturn">
    <w:name w:val="envelope return"/>
    <w:basedOn w:val="Normal"/>
    <w:rsid w:val="0050262C"/>
    <w:pPr>
      <w:widowControl/>
      <w:tabs>
        <w:tab w:val="left" w:pos="850"/>
        <w:tab w:val="left" w:pos="1191"/>
        <w:tab w:val="left" w:pos="1531"/>
      </w:tabs>
      <w:ind w:firstLine="0"/>
    </w:pPr>
    <w:rPr>
      <w:rFonts w:ascii="Arial" w:hAnsi="Arial" w:cs="Arial"/>
      <w:sz w:val="20"/>
      <w:lang w:val="en-GB" w:eastAsia="zh-CN"/>
    </w:rPr>
  </w:style>
  <w:style w:type="paragraph" w:styleId="HTMLAddress">
    <w:name w:val="HTML Address"/>
    <w:basedOn w:val="Normal"/>
    <w:link w:val="HTMLAddressChar"/>
    <w:rsid w:val="0050262C"/>
    <w:pPr>
      <w:widowControl/>
      <w:tabs>
        <w:tab w:val="left" w:pos="850"/>
        <w:tab w:val="left" w:pos="1191"/>
        <w:tab w:val="left" w:pos="1531"/>
      </w:tabs>
      <w:ind w:firstLine="0"/>
    </w:pPr>
    <w:rPr>
      <w:rFonts w:ascii="Times New Roman" w:hAnsi="Times New Roman"/>
      <w:i/>
      <w:iCs/>
      <w:sz w:val="22"/>
      <w:szCs w:val="22"/>
      <w:lang w:val="en-GB" w:eastAsia="zh-CN"/>
    </w:rPr>
  </w:style>
  <w:style w:type="character" w:customStyle="1" w:styleId="HTMLAddressChar">
    <w:name w:val="HTML Address Char"/>
    <w:basedOn w:val="DefaultParagraphFont"/>
    <w:link w:val="HTMLAddress"/>
    <w:rsid w:val="0050262C"/>
    <w:rPr>
      <w:i/>
      <w:iCs/>
      <w:sz w:val="22"/>
      <w:szCs w:val="22"/>
      <w:lang w:val="en-GB" w:eastAsia="zh-CN"/>
    </w:rPr>
  </w:style>
  <w:style w:type="paragraph" w:styleId="BodyText2">
    <w:name w:val="Body Text 2"/>
    <w:basedOn w:val="Normal"/>
    <w:link w:val="BodyText2Char"/>
    <w:rsid w:val="0050262C"/>
    <w:pPr>
      <w:widowControl/>
      <w:tabs>
        <w:tab w:val="left" w:pos="850"/>
        <w:tab w:val="left" w:pos="1191"/>
        <w:tab w:val="left" w:pos="1531"/>
      </w:tabs>
      <w:spacing w:after="120" w:line="480" w:lineRule="auto"/>
      <w:ind w:firstLine="0"/>
    </w:pPr>
    <w:rPr>
      <w:rFonts w:ascii="Times New Roman" w:hAnsi="Times New Roman"/>
      <w:sz w:val="22"/>
      <w:szCs w:val="22"/>
      <w:lang w:val="en-GB" w:eastAsia="zh-CN"/>
    </w:rPr>
  </w:style>
  <w:style w:type="character" w:customStyle="1" w:styleId="BodyText2Char">
    <w:name w:val="Body Text 2 Char"/>
    <w:basedOn w:val="DefaultParagraphFont"/>
    <w:link w:val="BodyText2"/>
    <w:rsid w:val="0050262C"/>
    <w:rPr>
      <w:sz w:val="22"/>
      <w:szCs w:val="22"/>
      <w:lang w:val="en-GB" w:eastAsia="zh-CN"/>
    </w:rPr>
  </w:style>
  <w:style w:type="paragraph" w:styleId="BodyText3">
    <w:name w:val="Body Text 3"/>
    <w:basedOn w:val="Normal"/>
    <w:link w:val="BodyText3Char"/>
    <w:rsid w:val="0050262C"/>
    <w:pPr>
      <w:widowControl/>
      <w:tabs>
        <w:tab w:val="left" w:pos="850"/>
        <w:tab w:val="left" w:pos="1191"/>
        <w:tab w:val="left" w:pos="1531"/>
      </w:tabs>
      <w:spacing w:after="120"/>
      <w:ind w:firstLine="0"/>
    </w:pPr>
    <w:rPr>
      <w:rFonts w:ascii="Times New Roman" w:hAnsi="Times New Roman"/>
      <w:sz w:val="16"/>
      <w:szCs w:val="16"/>
      <w:lang w:val="en-GB" w:eastAsia="zh-CN"/>
    </w:rPr>
  </w:style>
  <w:style w:type="character" w:customStyle="1" w:styleId="BodyText3Char">
    <w:name w:val="Body Text 3 Char"/>
    <w:basedOn w:val="DefaultParagraphFont"/>
    <w:link w:val="BodyText3"/>
    <w:rsid w:val="0050262C"/>
    <w:rPr>
      <w:sz w:val="16"/>
      <w:szCs w:val="16"/>
      <w:lang w:val="en-GB" w:eastAsia="zh-CN"/>
    </w:rPr>
  </w:style>
  <w:style w:type="paragraph" w:styleId="Date">
    <w:name w:val="Date"/>
    <w:basedOn w:val="Normal"/>
    <w:next w:val="Normal"/>
    <w:link w:val="DateChar"/>
    <w:rsid w:val="0050262C"/>
    <w:pPr>
      <w:widowControl/>
      <w:tabs>
        <w:tab w:val="left" w:pos="850"/>
        <w:tab w:val="left" w:pos="1191"/>
        <w:tab w:val="left" w:pos="1531"/>
      </w:tabs>
      <w:ind w:firstLine="0"/>
    </w:pPr>
    <w:rPr>
      <w:rFonts w:ascii="Times New Roman" w:hAnsi="Times New Roman"/>
      <w:sz w:val="22"/>
      <w:szCs w:val="22"/>
      <w:lang w:val="en-GB" w:eastAsia="zh-CN"/>
    </w:rPr>
  </w:style>
  <w:style w:type="character" w:customStyle="1" w:styleId="DateChar">
    <w:name w:val="Date Char"/>
    <w:basedOn w:val="DefaultParagraphFont"/>
    <w:link w:val="Date"/>
    <w:rsid w:val="0050262C"/>
    <w:rPr>
      <w:sz w:val="22"/>
      <w:szCs w:val="22"/>
      <w:lang w:val="en-GB" w:eastAsia="zh-CN"/>
    </w:rPr>
  </w:style>
  <w:style w:type="paragraph" w:styleId="MessageHeader">
    <w:name w:val="Message Header"/>
    <w:basedOn w:val="Normal"/>
    <w:link w:val="MessageHeaderChar"/>
    <w:rsid w:val="0050262C"/>
    <w:pPr>
      <w:widowControl/>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pPr>
    <w:rPr>
      <w:rFonts w:ascii="Arial" w:hAnsi="Arial" w:cs="Arial"/>
      <w:szCs w:val="24"/>
      <w:lang w:val="en-GB" w:eastAsia="zh-CN"/>
    </w:rPr>
  </w:style>
  <w:style w:type="character" w:customStyle="1" w:styleId="MessageHeaderChar">
    <w:name w:val="Message Header Char"/>
    <w:basedOn w:val="DefaultParagraphFont"/>
    <w:link w:val="MessageHeader"/>
    <w:rsid w:val="0050262C"/>
    <w:rPr>
      <w:rFonts w:ascii="Arial" w:hAnsi="Arial" w:cs="Arial"/>
      <w:sz w:val="24"/>
      <w:szCs w:val="24"/>
      <w:shd w:val="pct20" w:color="auto" w:fill="auto"/>
      <w:lang w:val="en-GB" w:eastAsia="zh-CN"/>
    </w:rPr>
  </w:style>
  <w:style w:type="paragraph" w:styleId="Closing">
    <w:name w:val="Closing"/>
    <w:basedOn w:val="Normal"/>
    <w:link w:val="ClosingChar"/>
    <w:rsid w:val="0050262C"/>
    <w:pPr>
      <w:widowControl/>
      <w:tabs>
        <w:tab w:val="left" w:pos="850"/>
        <w:tab w:val="left" w:pos="1191"/>
        <w:tab w:val="left" w:pos="1531"/>
      </w:tabs>
      <w:ind w:left="4252" w:firstLine="0"/>
    </w:pPr>
    <w:rPr>
      <w:rFonts w:ascii="Times New Roman" w:hAnsi="Times New Roman"/>
      <w:sz w:val="22"/>
      <w:szCs w:val="22"/>
      <w:lang w:val="en-GB" w:eastAsia="zh-CN"/>
    </w:rPr>
  </w:style>
  <w:style w:type="character" w:customStyle="1" w:styleId="ClosingChar">
    <w:name w:val="Closing Char"/>
    <w:basedOn w:val="DefaultParagraphFont"/>
    <w:link w:val="Closing"/>
    <w:rsid w:val="0050262C"/>
    <w:rPr>
      <w:sz w:val="22"/>
      <w:szCs w:val="22"/>
      <w:lang w:val="en-GB" w:eastAsia="zh-CN"/>
    </w:rPr>
  </w:style>
  <w:style w:type="paragraph" w:styleId="Index2">
    <w:name w:val="index 2"/>
    <w:basedOn w:val="Normal"/>
    <w:next w:val="Normal"/>
    <w:rsid w:val="0050262C"/>
    <w:pPr>
      <w:widowControl/>
      <w:ind w:left="440" w:hanging="220"/>
    </w:pPr>
    <w:rPr>
      <w:rFonts w:ascii="Times New Roman" w:hAnsi="Times New Roman"/>
      <w:sz w:val="22"/>
      <w:szCs w:val="22"/>
      <w:lang w:val="en-GB" w:eastAsia="zh-CN"/>
    </w:rPr>
  </w:style>
  <w:style w:type="paragraph" w:styleId="Index3">
    <w:name w:val="index 3"/>
    <w:basedOn w:val="Normal"/>
    <w:next w:val="Normal"/>
    <w:rsid w:val="0050262C"/>
    <w:pPr>
      <w:widowControl/>
      <w:ind w:left="660" w:hanging="220"/>
    </w:pPr>
    <w:rPr>
      <w:rFonts w:ascii="Times New Roman" w:hAnsi="Times New Roman"/>
      <w:sz w:val="22"/>
      <w:szCs w:val="22"/>
      <w:lang w:val="en-GB" w:eastAsia="zh-CN"/>
    </w:rPr>
  </w:style>
  <w:style w:type="paragraph" w:styleId="Index4">
    <w:name w:val="index 4"/>
    <w:basedOn w:val="Normal"/>
    <w:next w:val="Normal"/>
    <w:rsid w:val="0050262C"/>
    <w:pPr>
      <w:widowControl/>
      <w:ind w:left="880" w:hanging="220"/>
    </w:pPr>
    <w:rPr>
      <w:rFonts w:ascii="Times New Roman" w:hAnsi="Times New Roman"/>
      <w:sz w:val="22"/>
      <w:szCs w:val="22"/>
      <w:lang w:val="en-GB" w:eastAsia="zh-CN"/>
    </w:rPr>
  </w:style>
  <w:style w:type="paragraph" w:styleId="Index5">
    <w:name w:val="index 5"/>
    <w:basedOn w:val="Normal"/>
    <w:next w:val="Normal"/>
    <w:rsid w:val="0050262C"/>
    <w:pPr>
      <w:widowControl/>
      <w:ind w:left="1100" w:hanging="220"/>
    </w:pPr>
    <w:rPr>
      <w:rFonts w:ascii="Times New Roman" w:hAnsi="Times New Roman"/>
      <w:sz w:val="22"/>
      <w:szCs w:val="22"/>
      <w:lang w:val="en-GB" w:eastAsia="zh-CN"/>
    </w:rPr>
  </w:style>
  <w:style w:type="paragraph" w:styleId="Index6">
    <w:name w:val="index 6"/>
    <w:basedOn w:val="Normal"/>
    <w:next w:val="Normal"/>
    <w:rsid w:val="0050262C"/>
    <w:pPr>
      <w:widowControl/>
      <w:ind w:left="1320" w:hanging="220"/>
    </w:pPr>
    <w:rPr>
      <w:rFonts w:ascii="Times New Roman" w:hAnsi="Times New Roman"/>
      <w:sz w:val="22"/>
      <w:szCs w:val="22"/>
      <w:lang w:val="en-GB" w:eastAsia="zh-CN"/>
    </w:rPr>
  </w:style>
  <w:style w:type="paragraph" w:styleId="Index7">
    <w:name w:val="index 7"/>
    <w:basedOn w:val="Normal"/>
    <w:next w:val="Normal"/>
    <w:rsid w:val="0050262C"/>
    <w:pPr>
      <w:widowControl/>
      <w:ind w:left="1540" w:hanging="220"/>
    </w:pPr>
    <w:rPr>
      <w:rFonts w:ascii="Times New Roman" w:hAnsi="Times New Roman"/>
      <w:sz w:val="22"/>
      <w:szCs w:val="22"/>
      <w:lang w:val="en-GB" w:eastAsia="zh-CN"/>
    </w:rPr>
  </w:style>
  <w:style w:type="paragraph" w:styleId="Index8">
    <w:name w:val="index 8"/>
    <w:basedOn w:val="Normal"/>
    <w:next w:val="Normal"/>
    <w:rsid w:val="0050262C"/>
    <w:pPr>
      <w:widowControl/>
      <w:ind w:left="1760" w:hanging="220"/>
    </w:pPr>
    <w:rPr>
      <w:rFonts w:ascii="Times New Roman" w:hAnsi="Times New Roman"/>
      <w:sz w:val="22"/>
      <w:szCs w:val="22"/>
      <w:lang w:val="en-GB" w:eastAsia="zh-CN"/>
    </w:rPr>
  </w:style>
  <w:style w:type="paragraph" w:styleId="Index9">
    <w:name w:val="index 9"/>
    <w:basedOn w:val="Normal"/>
    <w:next w:val="Normal"/>
    <w:rsid w:val="0050262C"/>
    <w:pPr>
      <w:widowControl/>
      <w:ind w:left="1980" w:hanging="220"/>
    </w:pPr>
    <w:rPr>
      <w:rFonts w:ascii="Times New Roman" w:hAnsi="Times New Roman"/>
      <w:sz w:val="22"/>
      <w:szCs w:val="22"/>
      <w:lang w:val="en-GB" w:eastAsia="zh-CN"/>
    </w:rPr>
  </w:style>
  <w:style w:type="paragraph" w:styleId="Caption">
    <w:name w:val="caption"/>
    <w:basedOn w:val="Normal"/>
    <w:next w:val="Normal"/>
    <w:qFormat/>
    <w:rsid w:val="0050262C"/>
    <w:pPr>
      <w:widowControl/>
      <w:tabs>
        <w:tab w:val="left" w:pos="850"/>
        <w:tab w:val="left" w:pos="1191"/>
        <w:tab w:val="left" w:pos="1531"/>
      </w:tabs>
      <w:spacing w:before="120" w:after="120"/>
      <w:ind w:firstLine="0"/>
    </w:pPr>
    <w:rPr>
      <w:rFonts w:ascii="Times New Roman" w:hAnsi="Times New Roman"/>
      <w:b/>
      <w:bCs/>
      <w:sz w:val="20"/>
      <w:lang w:val="en-GB" w:eastAsia="zh-CN"/>
    </w:rPr>
  </w:style>
  <w:style w:type="paragraph" w:styleId="NormalWeb">
    <w:name w:val="Normal (Web)"/>
    <w:basedOn w:val="Normal"/>
    <w:uiPriority w:val="99"/>
    <w:rsid w:val="0050262C"/>
    <w:pPr>
      <w:widowControl/>
      <w:tabs>
        <w:tab w:val="left" w:pos="850"/>
        <w:tab w:val="left" w:pos="1191"/>
        <w:tab w:val="left" w:pos="1531"/>
      </w:tabs>
      <w:ind w:firstLine="0"/>
    </w:pPr>
    <w:rPr>
      <w:rFonts w:ascii="Times New Roman" w:hAnsi="Times New Roman"/>
      <w:szCs w:val="24"/>
      <w:lang w:val="en-GB" w:eastAsia="zh-CN"/>
    </w:rPr>
  </w:style>
  <w:style w:type="paragraph" w:styleId="CommentSubject">
    <w:name w:val="annotation subject"/>
    <w:basedOn w:val="CommentText"/>
    <w:next w:val="CommentText"/>
    <w:link w:val="CommentSubjectChar"/>
    <w:rsid w:val="0050262C"/>
    <w:pPr>
      <w:widowControl/>
      <w:tabs>
        <w:tab w:val="left" w:pos="850"/>
        <w:tab w:val="left" w:pos="1191"/>
        <w:tab w:val="left" w:pos="1531"/>
      </w:tabs>
      <w:ind w:firstLine="0"/>
    </w:pPr>
    <w:rPr>
      <w:rFonts w:ascii="Times New Roman" w:hAnsi="Times New Roman"/>
      <w:b/>
      <w:bCs/>
      <w:lang w:val="en-GB" w:eastAsia="zh-CN"/>
    </w:rPr>
  </w:style>
  <w:style w:type="character" w:customStyle="1" w:styleId="CommentTextChar">
    <w:name w:val="Comment Text Char"/>
    <w:basedOn w:val="DefaultParagraphFont"/>
    <w:link w:val="CommentText"/>
    <w:semiHidden/>
    <w:rsid w:val="0050262C"/>
    <w:rPr>
      <w:rFonts w:ascii="CG Times" w:hAnsi="CG Times"/>
    </w:rPr>
  </w:style>
  <w:style w:type="character" w:customStyle="1" w:styleId="CommentSubjectChar">
    <w:name w:val="Comment Subject Char"/>
    <w:basedOn w:val="CommentTextChar"/>
    <w:link w:val="CommentSubject"/>
    <w:rsid w:val="0050262C"/>
    <w:rPr>
      <w:rFonts w:ascii="CG Times" w:hAnsi="CG Times"/>
      <w:b/>
      <w:bCs/>
      <w:lang w:val="en-GB" w:eastAsia="zh-CN"/>
    </w:rPr>
  </w:style>
  <w:style w:type="paragraph" w:styleId="HTMLPreformatted">
    <w:name w:val="HTML Preformatted"/>
    <w:basedOn w:val="Normal"/>
    <w:link w:val="HTMLPreformattedChar"/>
    <w:rsid w:val="0050262C"/>
    <w:pPr>
      <w:widowControl/>
      <w:tabs>
        <w:tab w:val="left" w:pos="850"/>
        <w:tab w:val="left" w:pos="1191"/>
        <w:tab w:val="left" w:pos="1531"/>
      </w:tabs>
      <w:ind w:firstLine="0"/>
    </w:pPr>
    <w:rPr>
      <w:rFonts w:ascii="Courier New" w:hAnsi="Courier New" w:cs="Courier New"/>
      <w:sz w:val="20"/>
      <w:lang w:val="en-GB" w:eastAsia="zh-CN"/>
    </w:rPr>
  </w:style>
  <w:style w:type="character" w:customStyle="1" w:styleId="HTMLPreformattedChar">
    <w:name w:val="HTML Preformatted Char"/>
    <w:basedOn w:val="DefaultParagraphFont"/>
    <w:link w:val="HTMLPreformatted"/>
    <w:rsid w:val="0050262C"/>
    <w:rPr>
      <w:rFonts w:ascii="Courier New" w:hAnsi="Courier New" w:cs="Courier New"/>
      <w:lang w:val="en-GB" w:eastAsia="zh-CN"/>
    </w:rPr>
  </w:style>
  <w:style w:type="paragraph" w:styleId="BodyTextFirstIndent">
    <w:name w:val="Body Text First Indent"/>
    <w:basedOn w:val="BodyText"/>
    <w:link w:val="BodyTextFirstIndentChar"/>
    <w:rsid w:val="0050262C"/>
    <w:pPr>
      <w:spacing w:after="120"/>
      <w:ind w:firstLine="210"/>
    </w:pPr>
  </w:style>
  <w:style w:type="character" w:customStyle="1" w:styleId="BodyTextFirstIndentChar">
    <w:name w:val="Body Text First Indent Char"/>
    <w:basedOn w:val="BodyTextChar"/>
    <w:link w:val="BodyTextFirstIndent"/>
    <w:rsid w:val="0050262C"/>
    <w:rPr>
      <w:sz w:val="22"/>
      <w:szCs w:val="22"/>
      <w:lang w:val="en-GB" w:eastAsia="zh-CN"/>
    </w:rPr>
  </w:style>
  <w:style w:type="paragraph" w:styleId="BodyTextIndent">
    <w:name w:val="Body Text Indent"/>
    <w:basedOn w:val="Normal"/>
    <w:link w:val="BodyTextIndentChar"/>
    <w:rsid w:val="0050262C"/>
    <w:pPr>
      <w:widowControl/>
      <w:tabs>
        <w:tab w:val="left" w:pos="850"/>
        <w:tab w:val="left" w:pos="1191"/>
        <w:tab w:val="left" w:pos="1531"/>
      </w:tabs>
      <w:spacing w:after="240"/>
      <w:ind w:left="442" w:firstLine="0"/>
    </w:pPr>
    <w:rPr>
      <w:rFonts w:ascii="Times New Roman" w:hAnsi="Times New Roman"/>
      <w:sz w:val="22"/>
      <w:szCs w:val="22"/>
      <w:lang w:val="en-GB" w:eastAsia="zh-CN"/>
    </w:rPr>
  </w:style>
  <w:style w:type="character" w:customStyle="1" w:styleId="BodyTextIndentChar">
    <w:name w:val="Body Text Indent Char"/>
    <w:basedOn w:val="DefaultParagraphFont"/>
    <w:link w:val="BodyTextIndent"/>
    <w:rsid w:val="0050262C"/>
    <w:rPr>
      <w:sz w:val="22"/>
      <w:szCs w:val="22"/>
      <w:lang w:val="en-GB" w:eastAsia="zh-CN"/>
    </w:rPr>
  </w:style>
  <w:style w:type="paragraph" w:styleId="BodyTextIndent2">
    <w:name w:val="Body Text Indent 2"/>
    <w:basedOn w:val="Normal"/>
    <w:link w:val="BodyTextIndent2Char"/>
    <w:rsid w:val="0050262C"/>
    <w:pPr>
      <w:widowControl/>
      <w:tabs>
        <w:tab w:val="left" w:pos="850"/>
        <w:tab w:val="left" w:pos="1191"/>
        <w:tab w:val="left" w:pos="1531"/>
      </w:tabs>
      <w:spacing w:after="120" w:line="480" w:lineRule="auto"/>
      <w:ind w:left="283" w:firstLine="0"/>
    </w:pPr>
    <w:rPr>
      <w:rFonts w:ascii="Times New Roman" w:hAnsi="Times New Roman"/>
      <w:sz w:val="22"/>
      <w:szCs w:val="22"/>
      <w:lang w:val="en-GB" w:eastAsia="zh-CN"/>
    </w:rPr>
  </w:style>
  <w:style w:type="character" w:customStyle="1" w:styleId="BodyTextIndent2Char">
    <w:name w:val="Body Text Indent 2 Char"/>
    <w:basedOn w:val="DefaultParagraphFont"/>
    <w:link w:val="BodyTextIndent2"/>
    <w:rsid w:val="0050262C"/>
    <w:rPr>
      <w:sz w:val="22"/>
      <w:szCs w:val="22"/>
      <w:lang w:val="en-GB" w:eastAsia="zh-CN"/>
    </w:rPr>
  </w:style>
  <w:style w:type="paragraph" w:styleId="BodyTextIndent3">
    <w:name w:val="Body Text Indent 3"/>
    <w:basedOn w:val="Normal"/>
    <w:link w:val="BodyTextIndent3Char"/>
    <w:rsid w:val="0050262C"/>
    <w:pPr>
      <w:widowControl/>
      <w:tabs>
        <w:tab w:val="left" w:pos="850"/>
        <w:tab w:val="left" w:pos="1191"/>
        <w:tab w:val="left" w:pos="1531"/>
      </w:tabs>
      <w:spacing w:after="120"/>
      <w:ind w:left="283" w:firstLine="0"/>
    </w:pPr>
    <w:rPr>
      <w:rFonts w:ascii="Times New Roman" w:hAnsi="Times New Roman"/>
      <w:sz w:val="16"/>
      <w:szCs w:val="16"/>
      <w:lang w:val="en-GB" w:eastAsia="zh-CN"/>
    </w:rPr>
  </w:style>
  <w:style w:type="character" w:customStyle="1" w:styleId="BodyTextIndent3Char">
    <w:name w:val="Body Text Indent 3 Char"/>
    <w:basedOn w:val="DefaultParagraphFont"/>
    <w:link w:val="BodyTextIndent3"/>
    <w:rsid w:val="0050262C"/>
    <w:rPr>
      <w:sz w:val="16"/>
      <w:szCs w:val="16"/>
      <w:lang w:val="en-GB" w:eastAsia="zh-CN"/>
    </w:rPr>
  </w:style>
  <w:style w:type="paragraph" w:styleId="BodyTextFirstIndent2">
    <w:name w:val="Body Text First Indent 2"/>
    <w:basedOn w:val="BodyTextIndent"/>
    <w:link w:val="BodyTextFirstIndent2Char"/>
    <w:rsid w:val="0050262C"/>
    <w:pPr>
      <w:ind w:firstLine="210"/>
    </w:pPr>
  </w:style>
  <w:style w:type="character" w:customStyle="1" w:styleId="BodyTextFirstIndent2Char">
    <w:name w:val="Body Text First Indent 2 Char"/>
    <w:basedOn w:val="BodyTextIndentChar"/>
    <w:link w:val="BodyTextFirstIndent2"/>
    <w:rsid w:val="0050262C"/>
    <w:rPr>
      <w:sz w:val="22"/>
      <w:szCs w:val="22"/>
      <w:lang w:val="en-GB" w:eastAsia="zh-CN"/>
    </w:rPr>
  </w:style>
  <w:style w:type="paragraph" w:styleId="NormalIndent">
    <w:name w:val="Normal Indent"/>
    <w:basedOn w:val="Normal"/>
    <w:rsid w:val="0050262C"/>
    <w:pPr>
      <w:widowControl/>
      <w:tabs>
        <w:tab w:val="left" w:pos="850"/>
        <w:tab w:val="left" w:pos="1191"/>
        <w:tab w:val="left" w:pos="1531"/>
      </w:tabs>
      <w:ind w:left="708" w:firstLine="0"/>
    </w:pPr>
    <w:rPr>
      <w:rFonts w:ascii="Times New Roman" w:hAnsi="Times New Roman"/>
      <w:sz w:val="22"/>
      <w:szCs w:val="22"/>
      <w:lang w:val="en-GB" w:eastAsia="zh-CN"/>
    </w:rPr>
  </w:style>
  <w:style w:type="paragraph" w:styleId="Salutation">
    <w:name w:val="Salutation"/>
    <w:basedOn w:val="Normal"/>
    <w:next w:val="Normal"/>
    <w:link w:val="SalutationChar"/>
    <w:rsid w:val="0050262C"/>
    <w:pPr>
      <w:widowControl/>
      <w:tabs>
        <w:tab w:val="left" w:pos="850"/>
        <w:tab w:val="left" w:pos="1191"/>
        <w:tab w:val="left" w:pos="1531"/>
      </w:tabs>
      <w:ind w:firstLine="0"/>
    </w:pPr>
    <w:rPr>
      <w:rFonts w:ascii="Times New Roman" w:hAnsi="Times New Roman"/>
      <w:sz w:val="22"/>
      <w:szCs w:val="22"/>
      <w:lang w:val="en-GB" w:eastAsia="zh-CN"/>
    </w:rPr>
  </w:style>
  <w:style w:type="character" w:customStyle="1" w:styleId="SalutationChar">
    <w:name w:val="Salutation Char"/>
    <w:basedOn w:val="DefaultParagraphFont"/>
    <w:link w:val="Salutation"/>
    <w:rsid w:val="0050262C"/>
    <w:rPr>
      <w:sz w:val="22"/>
      <w:szCs w:val="22"/>
      <w:lang w:val="en-GB" w:eastAsia="zh-CN"/>
    </w:rPr>
  </w:style>
  <w:style w:type="paragraph" w:styleId="Signature">
    <w:name w:val="Signature"/>
    <w:basedOn w:val="Normal"/>
    <w:link w:val="SignatureChar"/>
    <w:rsid w:val="0050262C"/>
    <w:pPr>
      <w:widowControl/>
      <w:tabs>
        <w:tab w:val="left" w:pos="850"/>
        <w:tab w:val="left" w:pos="1191"/>
        <w:tab w:val="left" w:pos="1531"/>
      </w:tabs>
      <w:ind w:left="4252" w:firstLine="0"/>
    </w:pPr>
    <w:rPr>
      <w:rFonts w:ascii="Times New Roman" w:hAnsi="Times New Roman"/>
      <w:sz w:val="22"/>
      <w:szCs w:val="22"/>
      <w:lang w:val="en-GB" w:eastAsia="zh-CN"/>
    </w:rPr>
  </w:style>
  <w:style w:type="character" w:customStyle="1" w:styleId="SignatureChar">
    <w:name w:val="Signature Char"/>
    <w:basedOn w:val="DefaultParagraphFont"/>
    <w:link w:val="Signature"/>
    <w:rsid w:val="0050262C"/>
    <w:rPr>
      <w:sz w:val="22"/>
      <w:szCs w:val="22"/>
      <w:lang w:val="en-GB" w:eastAsia="zh-CN"/>
    </w:rPr>
  </w:style>
  <w:style w:type="paragraph" w:styleId="E-mailSignature">
    <w:name w:val="E-mail Signature"/>
    <w:basedOn w:val="Normal"/>
    <w:link w:val="E-mailSignatureChar"/>
    <w:rsid w:val="0050262C"/>
    <w:pPr>
      <w:widowControl/>
      <w:tabs>
        <w:tab w:val="left" w:pos="850"/>
        <w:tab w:val="left" w:pos="1191"/>
        <w:tab w:val="left" w:pos="1531"/>
      </w:tabs>
      <w:ind w:firstLine="0"/>
    </w:pPr>
    <w:rPr>
      <w:rFonts w:ascii="Times New Roman" w:hAnsi="Times New Roman"/>
      <w:sz w:val="22"/>
      <w:szCs w:val="22"/>
      <w:lang w:val="en-GB" w:eastAsia="zh-CN"/>
    </w:rPr>
  </w:style>
  <w:style w:type="character" w:customStyle="1" w:styleId="E-mailSignatureChar">
    <w:name w:val="E-mail Signature Char"/>
    <w:basedOn w:val="DefaultParagraphFont"/>
    <w:link w:val="E-mailSignature"/>
    <w:rsid w:val="0050262C"/>
    <w:rPr>
      <w:sz w:val="22"/>
      <w:szCs w:val="22"/>
      <w:lang w:val="en-GB" w:eastAsia="zh-CN"/>
    </w:rPr>
  </w:style>
  <w:style w:type="paragraph" w:styleId="Subtitle">
    <w:name w:val="Subtitle"/>
    <w:basedOn w:val="Normal"/>
    <w:link w:val="SubtitleChar"/>
    <w:qFormat/>
    <w:rsid w:val="0050262C"/>
    <w:pPr>
      <w:widowControl/>
      <w:tabs>
        <w:tab w:val="left" w:pos="850"/>
        <w:tab w:val="left" w:pos="1191"/>
        <w:tab w:val="left" w:pos="1531"/>
      </w:tabs>
      <w:spacing w:after="60"/>
      <w:ind w:firstLine="0"/>
      <w:jc w:val="center"/>
      <w:outlineLvl w:val="1"/>
    </w:pPr>
    <w:rPr>
      <w:rFonts w:ascii="Arial" w:hAnsi="Arial" w:cs="Arial"/>
      <w:szCs w:val="24"/>
      <w:lang w:val="en-GB" w:eastAsia="zh-CN"/>
    </w:rPr>
  </w:style>
  <w:style w:type="character" w:customStyle="1" w:styleId="SubtitleChar">
    <w:name w:val="Subtitle Char"/>
    <w:basedOn w:val="DefaultParagraphFont"/>
    <w:link w:val="Subtitle"/>
    <w:rsid w:val="0050262C"/>
    <w:rPr>
      <w:rFonts w:ascii="Arial" w:hAnsi="Arial" w:cs="Arial"/>
      <w:sz w:val="24"/>
      <w:szCs w:val="24"/>
      <w:lang w:val="en-GB" w:eastAsia="zh-CN"/>
    </w:rPr>
  </w:style>
  <w:style w:type="paragraph" w:styleId="TableofFigures">
    <w:name w:val="table of figures"/>
    <w:basedOn w:val="Normal"/>
    <w:next w:val="Normal"/>
    <w:rsid w:val="0050262C"/>
    <w:pPr>
      <w:widowControl/>
      <w:ind w:left="440" w:hanging="440"/>
    </w:pPr>
    <w:rPr>
      <w:rFonts w:ascii="Times New Roman" w:hAnsi="Times New Roman"/>
      <w:sz w:val="22"/>
      <w:szCs w:val="22"/>
      <w:lang w:val="en-GB" w:eastAsia="zh-CN"/>
    </w:rPr>
  </w:style>
  <w:style w:type="paragraph" w:styleId="TableofAuthorities">
    <w:name w:val="table of authorities"/>
    <w:basedOn w:val="Normal"/>
    <w:next w:val="Normal"/>
    <w:rsid w:val="0050262C"/>
    <w:pPr>
      <w:widowControl/>
      <w:ind w:left="220" w:hanging="220"/>
    </w:pPr>
    <w:rPr>
      <w:rFonts w:ascii="Times New Roman" w:hAnsi="Times New Roman"/>
      <w:sz w:val="22"/>
      <w:szCs w:val="22"/>
      <w:lang w:val="en-GB" w:eastAsia="zh-CN"/>
    </w:rPr>
  </w:style>
  <w:style w:type="paragraph" w:styleId="PlainText">
    <w:name w:val="Plain Text"/>
    <w:basedOn w:val="Normal"/>
    <w:link w:val="PlainTextChar"/>
    <w:rsid w:val="0050262C"/>
    <w:pPr>
      <w:widowControl/>
      <w:tabs>
        <w:tab w:val="left" w:pos="850"/>
        <w:tab w:val="left" w:pos="1191"/>
        <w:tab w:val="left" w:pos="1531"/>
      </w:tabs>
      <w:ind w:firstLine="0"/>
    </w:pPr>
    <w:rPr>
      <w:rFonts w:ascii="Courier New" w:hAnsi="Courier New" w:cs="Courier New"/>
      <w:sz w:val="20"/>
      <w:lang w:val="en-GB" w:eastAsia="zh-CN"/>
    </w:rPr>
  </w:style>
  <w:style w:type="character" w:customStyle="1" w:styleId="PlainTextChar">
    <w:name w:val="Plain Text Char"/>
    <w:basedOn w:val="DefaultParagraphFont"/>
    <w:link w:val="PlainText"/>
    <w:rsid w:val="0050262C"/>
    <w:rPr>
      <w:rFonts w:ascii="Courier New" w:hAnsi="Courier New" w:cs="Courier New"/>
      <w:lang w:val="en-GB" w:eastAsia="zh-CN"/>
    </w:rPr>
  </w:style>
  <w:style w:type="paragraph" w:styleId="BalloonText">
    <w:name w:val="Balloon Text"/>
    <w:basedOn w:val="Normal"/>
    <w:link w:val="BalloonTextChar"/>
    <w:rsid w:val="0050262C"/>
    <w:pPr>
      <w:widowControl/>
      <w:tabs>
        <w:tab w:val="left" w:pos="850"/>
        <w:tab w:val="left" w:pos="1191"/>
        <w:tab w:val="left" w:pos="1531"/>
      </w:tabs>
      <w:ind w:firstLine="0"/>
    </w:pPr>
    <w:rPr>
      <w:rFonts w:ascii="Tahoma" w:hAnsi="Tahoma" w:cs="Tahoma"/>
      <w:sz w:val="16"/>
      <w:szCs w:val="16"/>
      <w:lang w:val="en-GB" w:eastAsia="zh-CN"/>
    </w:rPr>
  </w:style>
  <w:style w:type="character" w:customStyle="1" w:styleId="BalloonTextChar">
    <w:name w:val="Balloon Text Char"/>
    <w:basedOn w:val="DefaultParagraphFont"/>
    <w:link w:val="BalloonText"/>
    <w:rsid w:val="0050262C"/>
    <w:rPr>
      <w:rFonts w:ascii="Tahoma" w:hAnsi="Tahoma" w:cs="Tahoma"/>
      <w:sz w:val="16"/>
      <w:szCs w:val="16"/>
      <w:lang w:val="en-GB" w:eastAsia="zh-CN"/>
    </w:rPr>
  </w:style>
  <w:style w:type="paragraph" w:styleId="MacroText">
    <w:name w:val="macro"/>
    <w:link w:val="MacroTextChar"/>
    <w:rsid w:val="0050262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character" w:customStyle="1" w:styleId="MacroTextChar">
    <w:name w:val="Macro Text Char"/>
    <w:basedOn w:val="DefaultParagraphFont"/>
    <w:link w:val="MacroText"/>
    <w:rsid w:val="0050262C"/>
    <w:rPr>
      <w:rFonts w:ascii="Courier New" w:hAnsi="Courier New" w:cs="Courier New"/>
      <w:lang w:val="en-GB" w:eastAsia="zh-CN"/>
    </w:rPr>
  </w:style>
  <w:style w:type="paragraph" w:styleId="Title">
    <w:name w:val="Title"/>
    <w:basedOn w:val="Normal"/>
    <w:link w:val="TitleChar"/>
    <w:qFormat/>
    <w:rsid w:val="0050262C"/>
    <w:pPr>
      <w:widowControl/>
      <w:tabs>
        <w:tab w:val="left" w:pos="850"/>
        <w:tab w:val="left" w:pos="1191"/>
        <w:tab w:val="left" w:pos="1531"/>
      </w:tabs>
      <w:spacing w:before="240" w:after="60"/>
      <w:ind w:firstLine="0"/>
      <w:jc w:val="center"/>
      <w:outlineLvl w:val="0"/>
    </w:pPr>
    <w:rPr>
      <w:rFonts w:ascii="Arial" w:hAnsi="Arial" w:cs="Arial"/>
      <w:b/>
      <w:bCs/>
      <w:kern w:val="28"/>
      <w:sz w:val="32"/>
      <w:szCs w:val="32"/>
      <w:lang w:val="en-GB" w:eastAsia="zh-CN"/>
    </w:rPr>
  </w:style>
  <w:style w:type="character" w:customStyle="1" w:styleId="TitleChar">
    <w:name w:val="Title Char"/>
    <w:basedOn w:val="DefaultParagraphFont"/>
    <w:link w:val="Title"/>
    <w:rsid w:val="0050262C"/>
    <w:rPr>
      <w:rFonts w:ascii="Arial" w:hAnsi="Arial" w:cs="Arial"/>
      <w:b/>
      <w:bCs/>
      <w:kern w:val="28"/>
      <w:sz w:val="32"/>
      <w:szCs w:val="32"/>
      <w:lang w:val="en-GB" w:eastAsia="zh-CN"/>
    </w:rPr>
  </w:style>
  <w:style w:type="paragraph" w:styleId="NoteHeading">
    <w:name w:val="Note Heading"/>
    <w:basedOn w:val="Normal"/>
    <w:next w:val="Normal"/>
    <w:link w:val="NoteHeadingChar"/>
    <w:rsid w:val="0050262C"/>
    <w:pPr>
      <w:widowControl/>
      <w:tabs>
        <w:tab w:val="left" w:pos="850"/>
        <w:tab w:val="left" w:pos="1191"/>
        <w:tab w:val="left" w:pos="1531"/>
      </w:tabs>
      <w:ind w:firstLine="0"/>
    </w:pPr>
    <w:rPr>
      <w:rFonts w:ascii="Times New Roman" w:hAnsi="Times New Roman"/>
      <w:sz w:val="22"/>
      <w:szCs w:val="22"/>
      <w:lang w:val="en-GB" w:eastAsia="zh-CN"/>
    </w:rPr>
  </w:style>
  <w:style w:type="character" w:customStyle="1" w:styleId="NoteHeadingChar">
    <w:name w:val="Note Heading Char"/>
    <w:basedOn w:val="DefaultParagraphFont"/>
    <w:link w:val="NoteHeading"/>
    <w:rsid w:val="0050262C"/>
    <w:rPr>
      <w:sz w:val="22"/>
      <w:szCs w:val="22"/>
      <w:lang w:val="en-GB" w:eastAsia="zh-CN"/>
    </w:rPr>
  </w:style>
  <w:style w:type="paragraph" w:styleId="TOAHeading">
    <w:name w:val="toa heading"/>
    <w:basedOn w:val="Normal"/>
    <w:next w:val="Normal"/>
    <w:rsid w:val="0050262C"/>
    <w:pPr>
      <w:widowControl/>
      <w:tabs>
        <w:tab w:val="left" w:pos="850"/>
        <w:tab w:val="left" w:pos="1191"/>
        <w:tab w:val="left" w:pos="1531"/>
      </w:tabs>
      <w:spacing w:before="120"/>
      <w:ind w:firstLine="0"/>
    </w:pPr>
    <w:rPr>
      <w:rFonts w:ascii="Arial" w:hAnsi="Arial" w:cs="Arial"/>
      <w:b/>
      <w:bCs/>
      <w:szCs w:val="24"/>
      <w:lang w:val="en-GB" w:eastAsia="zh-CN"/>
    </w:rPr>
  </w:style>
  <w:style w:type="paragraph" w:customStyle="1" w:styleId="BoxBodyText">
    <w:name w:val="Box Body Text"/>
    <w:basedOn w:val="Normal"/>
    <w:rsid w:val="0050262C"/>
    <w:pPr>
      <w:widowControl/>
      <w:tabs>
        <w:tab w:val="left" w:pos="850"/>
        <w:tab w:val="left" w:pos="1191"/>
        <w:tab w:val="left" w:pos="1531"/>
      </w:tabs>
      <w:spacing w:after="240"/>
      <w:ind w:firstLine="442"/>
    </w:pPr>
    <w:rPr>
      <w:rFonts w:ascii="Arial" w:hAnsi="Arial" w:cs="Arial"/>
      <w:sz w:val="18"/>
      <w:szCs w:val="22"/>
      <w:lang w:eastAsia="zh-CN"/>
    </w:rPr>
  </w:style>
  <w:style w:type="paragraph" w:customStyle="1" w:styleId="BoxBodyTextIndent">
    <w:name w:val="Box Body Text Indent"/>
    <w:basedOn w:val="Normal"/>
    <w:rsid w:val="0050262C"/>
    <w:pPr>
      <w:widowControl/>
      <w:tabs>
        <w:tab w:val="left" w:pos="850"/>
        <w:tab w:val="left" w:pos="1191"/>
        <w:tab w:val="left" w:pos="1531"/>
      </w:tabs>
      <w:spacing w:after="240"/>
      <w:ind w:left="442" w:firstLine="0"/>
    </w:pPr>
    <w:rPr>
      <w:rFonts w:ascii="Arial" w:hAnsi="Arial" w:cs="Arial"/>
      <w:sz w:val="18"/>
      <w:szCs w:val="22"/>
      <w:lang w:eastAsia="zh-CN"/>
    </w:rPr>
  </w:style>
  <w:style w:type="paragraph" w:styleId="Bibliography">
    <w:name w:val="Bibliography"/>
    <w:basedOn w:val="Normal"/>
    <w:next w:val="Normal"/>
    <w:uiPriority w:val="37"/>
    <w:semiHidden/>
    <w:unhideWhenUsed/>
    <w:rsid w:val="0050262C"/>
    <w:pPr>
      <w:widowControl/>
      <w:tabs>
        <w:tab w:val="left" w:pos="850"/>
        <w:tab w:val="left" w:pos="1191"/>
        <w:tab w:val="left" w:pos="1531"/>
      </w:tabs>
      <w:ind w:firstLine="0"/>
    </w:pPr>
    <w:rPr>
      <w:rFonts w:ascii="Times New Roman" w:hAnsi="Times New Roman"/>
      <w:sz w:val="22"/>
      <w:szCs w:val="22"/>
      <w:lang w:val="en-GB" w:eastAsia="zh-CN"/>
    </w:rPr>
  </w:style>
  <w:style w:type="paragraph" w:styleId="IntenseQuote">
    <w:name w:val="Intense Quote"/>
    <w:basedOn w:val="Normal"/>
    <w:next w:val="Normal"/>
    <w:link w:val="IntenseQuoteChar"/>
    <w:uiPriority w:val="30"/>
    <w:qFormat/>
    <w:rsid w:val="0050262C"/>
    <w:pPr>
      <w:widowControl/>
      <w:pBdr>
        <w:bottom w:val="single" w:sz="4" w:space="4" w:color="4F81BD" w:themeColor="accent1"/>
      </w:pBdr>
      <w:tabs>
        <w:tab w:val="left" w:pos="850"/>
        <w:tab w:val="left" w:pos="1191"/>
        <w:tab w:val="left" w:pos="1531"/>
      </w:tabs>
      <w:spacing w:before="200" w:after="280"/>
      <w:ind w:left="936" w:right="936" w:firstLine="0"/>
    </w:pPr>
    <w:rPr>
      <w:rFonts w:ascii="Times New Roman" w:hAnsi="Times New Roman"/>
      <w:b/>
      <w:bCs/>
      <w:i/>
      <w:iCs/>
      <w:color w:val="4F81BD" w:themeColor="accent1"/>
      <w:sz w:val="22"/>
      <w:szCs w:val="22"/>
      <w:lang w:val="en-GB" w:eastAsia="zh-CN"/>
    </w:rPr>
  </w:style>
  <w:style w:type="character" w:customStyle="1" w:styleId="IntenseQuoteChar">
    <w:name w:val="Intense Quote Char"/>
    <w:basedOn w:val="DefaultParagraphFont"/>
    <w:link w:val="IntenseQuote"/>
    <w:uiPriority w:val="30"/>
    <w:rsid w:val="0050262C"/>
    <w:rPr>
      <w:b/>
      <w:bCs/>
      <w:i/>
      <w:iCs/>
      <w:color w:val="4F81BD" w:themeColor="accent1"/>
      <w:sz w:val="22"/>
      <w:szCs w:val="22"/>
      <w:lang w:val="en-GB" w:eastAsia="zh-CN"/>
    </w:rPr>
  </w:style>
  <w:style w:type="paragraph" w:styleId="NoSpacing">
    <w:name w:val="No Spacing"/>
    <w:uiPriority w:val="1"/>
    <w:qFormat/>
    <w:rsid w:val="0050262C"/>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sid w:val="0050262C"/>
    <w:pPr>
      <w:widowControl/>
      <w:tabs>
        <w:tab w:val="left" w:pos="850"/>
        <w:tab w:val="left" w:pos="1191"/>
        <w:tab w:val="left" w:pos="1531"/>
      </w:tabs>
      <w:ind w:firstLine="0"/>
    </w:pPr>
    <w:rPr>
      <w:rFonts w:ascii="Times New Roman" w:hAnsi="Times New Roman"/>
      <w:i/>
      <w:iCs/>
      <w:color w:val="000000" w:themeColor="text1"/>
      <w:sz w:val="22"/>
      <w:szCs w:val="22"/>
      <w:lang w:val="en-GB" w:eastAsia="zh-CN"/>
    </w:rPr>
  </w:style>
  <w:style w:type="character" w:customStyle="1" w:styleId="QuoteChar">
    <w:name w:val="Quote Char"/>
    <w:basedOn w:val="DefaultParagraphFont"/>
    <w:link w:val="Quote"/>
    <w:uiPriority w:val="29"/>
    <w:rsid w:val="0050262C"/>
    <w:rPr>
      <w:i/>
      <w:iCs/>
      <w:color w:val="000000" w:themeColor="text1"/>
      <w:sz w:val="22"/>
      <w:szCs w:val="22"/>
      <w:lang w:val="en-GB" w:eastAsia="zh-CN"/>
    </w:rPr>
  </w:style>
  <w:style w:type="paragraph" w:styleId="TOCHeading">
    <w:name w:val="TOC Heading"/>
    <w:basedOn w:val="Heading1"/>
    <w:next w:val="Normal"/>
    <w:uiPriority w:val="39"/>
    <w:semiHidden/>
    <w:unhideWhenUsed/>
    <w:qFormat/>
    <w:rsid w:val="0050262C"/>
    <w:pPr>
      <w:keepLines/>
      <w:numPr>
        <w:numId w:val="0"/>
      </w:numPr>
      <w:tabs>
        <w:tab w:val="left" w:pos="850"/>
        <w:tab w:val="left" w:pos="1191"/>
        <w:tab w:val="left" w:pos="1531"/>
      </w:tabs>
      <w:spacing w:before="480"/>
      <w:jc w:val="both"/>
      <w:outlineLvl w:val="9"/>
    </w:pPr>
    <w:rPr>
      <w:rFonts w:asciiTheme="majorHAnsi" w:eastAsiaTheme="majorEastAsia" w:hAnsiTheme="majorHAnsi" w:cstheme="majorBidi"/>
      <w:b/>
      <w:bCs/>
      <w:smallCaps w:val="0"/>
      <w:color w:val="365F91" w:themeColor="accent1" w:themeShade="BF"/>
      <w:kern w:val="0"/>
      <w:sz w:val="28"/>
      <w:szCs w:val="28"/>
      <w:lang w:val="en-GB" w:eastAsia="zh-CN"/>
    </w:rPr>
  </w:style>
  <w:style w:type="paragraph" w:customStyle="1" w:styleId="Citation">
    <w:name w:val="Citation"/>
    <w:basedOn w:val="BodyText"/>
    <w:link w:val="CitationChar"/>
    <w:rsid w:val="0050262C"/>
    <w:pPr>
      <w:ind w:left="850" w:firstLine="0"/>
      <w:jc w:val="left"/>
    </w:pPr>
  </w:style>
  <w:style w:type="character" w:customStyle="1" w:styleId="CitationChar">
    <w:name w:val="Citation Char"/>
    <w:basedOn w:val="DefaultParagraphFont"/>
    <w:link w:val="Citation"/>
    <w:rsid w:val="0050262C"/>
    <w:rPr>
      <w:sz w:val="22"/>
      <w:szCs w:val="22"/>
      <w:lang w:val="en-GB" w:eastAsia="zh-CN"/>
    </w:rPr>
  </w:style>
  <w:style w:type="character" w:styleId="Strong">
    <w:name w:val="Strong"/>
    <w:basedOn w:val="DefaultParagraphFont"/>
    <w:uiPriority w:val="22"/>
    <w:qFormat/>
    <w:rsid w:val="0050262C"/>
    <w:rPr>
      <w:b/>
      <w:bCs/>
    </w:rPr>
  </w:style>
  <w:style w:type="character" w:styleId="Emphasis">
    <w:name w:val="Emphasis"/>
    <w:basedOn w:val="DefaultParagraphFont"/>
    <w:uiPriority w:val="20"/>
    <w:qFormat/>
    <w:rsid w:val="0050262C"/>
    <w:rPr>
      <w:i/>
      <w:iCs/>
    </w:rPr>
  </w:style>
  <w:style w:type="character" w:customStyle="1" w:styleId="FootnoteTextChar">
    <w:name w:val="Footnote Text Char"/>
    <w:aliases w:val="Char Char,ft Char Char Char1,ft Char Char Char Char1,ft Char Char1,ft Char Char Char Char Char1,ft Char1,ft Char Char Char Char Char Char,Footnote Text Char2 Char Char,Footnote Text Char Char Char1 Char,fn Char,Footnotes Char"/>
    <w:link w:val="FootnoteText"/>
    <w:uiPriority w:val="99"/>
    <w:rsid w:val="0050262C"/>
    <w:rPr>
      <w:rFonts w:ascii="CG Times" w:hAnsi="CG Times"/>
    </w:rPr>
  </w:style>
  <w:style w:type="paragraph" w:customStyle="1" w:styleId="Document">
    <w:name w:val="_Document"/>
    <w:basedOn w:val="Normal"/>
    <w:rsid w:val="0050262C"/>
    <w:pPr>
      <w:suppressLineNumbers/>
      <w:tabs>
        <w:tab w:val="left" w:pos="0"/>
        <w:tab w:val="left" w:pos="440"/>
        <w:tab w:val="left" w:pos="620"/>
      </w:tabs>
      <w:spacing w:line="260" w:lineRule="exact"/>
      <w:ind w:firstLine="440"/>
    </w:pPr>
    <w:rPr>
      <w:rFonts w:ascii="NewCenturySchlbk LT Std" w:hAnsi="NewCenturySchlbk LT Std"/>
      <w:sz w:val="22"/>
      <w:szCs w:val="22"/>
    </w:rPr>
  </w:style>
  <w:style w:type="character" w:customStyle="1" w:styleId="documentbody">
    <w:name w:val="documentbody"/>
    <w:rsid w:val="0050262C"/>
  </w:style>
  <w:style w:type="paragraph" w:customStyle="1" w:styleId="FootNote0">
    <w:name w:val="_FootNote"/>
    <w:basedOn w:val="Document"/>
    <w:rsid w:val="0050262C"/>
    <w:pPr>
      <w:widowControl/>
      <w:tabs>
        <w:tab w:val="clear" w:pos="0"/>
        <w:tab w:val="clear" w:pos="440"/>
        <w:tab w:val="right" w:pos="460"/>
      </w:tabs>
      <w:spacing w:line="180" w:lineRule="exact"/>
      <w:ind w:firstLine="0"/>
    </w:pPr>
    <w:rPr>
      <w:rFonts w:ascii="Times Ten Roman" w:hAnsi="Times Ten Roman"/>
      <w:sz w:val="15"/>
      <w:szCs w:val="20"/>
    </w:rPr>
  </w:style>
  <w:style w:type="character" w:customStyle="1" w:styleId="NoterefInText">
    <w:name w:val="_NoterefInText"/>
    <w:rsid w:val="0050262C"/>
    <w:rPr>
      <w:rFonts w:ascii="Times Ten Roman" w:hAnsi="Times Ten Roman"/>
      <w:spacing w:val="0"/>
      <w:w w:val="100"/>
      <w:position w:val="-4"/>
      <w:sz w:val="23"/>
      <w:vertAlign w:val="superscript"/>
    </w:rPr>
  </w:style>
  <w:style w:type="character" w:customStyle="1" w:styleId="NoterefInNote">
    <w:name w:val="_NoterefInNote"/>
    <w:rsid w:val="0050262C"/>
    <w:rPr>
      <w:rFonts w:ascii="Times Ten Roman" w:hAnsi="Times Ten Roman"/>
      <w:sz w:val="15"/>
      <w:vertAlign w:val="baseline"/>
    </w:rPr>
  </w:style>
  <w:style w:type="paragraph" w:customStyle="1" w:styleId="1stQuoteTXT">
    <w:name w:val="_1stQuoteTXT"/>
    <w:basedOn w:val="Document"/>
    <w:next w:val="Document"/>
    <w:rsid w:val="0050262C"/>
    <w:pPr>
      <w:widowControl/>
      <w:suppressLineNumbers w:val="0"/>
      <w:tabs>
        <w:tab w:val="clear" w:pos="0"/>
        <w:tab w:val="clear" w:pos="440"/>
        <w:tab w:val="clear" w:pos="620"/>
      </w:tabs>
      <w:spacing w:before="180" w:after="180" w:line="240" w:lineRule="exact"/>
      <w:ind w:left="360" w:right="360" w:firstLine="0"/>
    </w:pPr>
    <w:rPr>
      <w:rFonts w:ascii="Century Schoolbook" w:hAnsi="Century Schoolbook"/>
      <w:sz w:val="20"/>
      <w:szCs w:val="24"/>
    </w:rPr>
  </w:style>
  <w:style w:type="character" w:styleId="FollowedHyperlink">
    <w:name w:val="FollowedHyperlink"/>
    <w:basedOn w:val="DefaultParagraphFont"/>
    <w:rsid w:val="0050262C"/>
    <w:rPr>
      <w:color w:val="800080" w:themeColor="followedHyperlink"/>
      <w:u w:val="single"/>
    </w:rPr>
  </w:style>
  <w:style w:type="character" w:customStyle="1" w:styleId="Heading1Char">
    <w:name w:val="Heading 1 Char"/>
    <w:link w:val="Heading1"/>
    <w:rsid w:val="0050262C"/>
    <w:rPr>
      <w:rFonts w:ascii="CG Times" w:hAnsi="CG Times"/>
      <w:smallCaps/>
      <w:kern w:val="28"/>
      <w:sz w:val="24"/>
    </w:rPr>
  </w:style>
  <w:style w:type="character" w:customStyle="1" w:styleId="Heading3Char">
    <w:name w:val="Heading 3 Char"/>
    <w:link w:val="Heading3"/>
    <w:rsid w:val="0050262C"/>
    <w:rPr>
      <w:rFonts w:ascii="CG Times" w:hAnsi="CG Times"/>
      <w:sz w:val="24"/>
    </w:rPr>
  </w:style>
  <w:style w:type="character" w:styleId="HTMLCite">
    <w:name w:val="HTML Cite"/>
    <w:basedOn w:val="DefaultParagraphFont"/>
    <w:uiPriority w:val="99"/>
    <w:unhideWhenUsed/>
    <w:rsid w:val="0050262C"/>
    <w:rPr>
      <w:i/>
      <w:iCs/>
    </w:rPr>
  </w:style>
  <w:style w:type="character" w:customStyle="1" w:styleId="personname">
    <w:name w:val="person_name"/>
    <w:basedOn w:val="DefaultParagraphFont"/>
    <w:rsid w:val="0050262C"/>
  </w:style>
  <w:style w:type="paragraph" w:styleId="Revision">
    <w:name w:val="Revision"/>
    <w:hidden/>
    <w:uiPriority w:val="99"/>
    <w:semiHidden/>
    <w:rsid w:val="0050262C"/>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www.oecd.org/dataoecd/10/27/37082099.pdf" TargetMode="External"/><Relationship Id="rId12" Type="http://schemas.openxmlformats.org/officeDocument/2006/relationships/hyperlink" Target="http://www.pbs.org/wgbh/pages/frontline/creditcards/view/" TargetMode="External"/><Relationship Id="rId13" Type="http://schemas.openxmlformats.org/officeDocument/2006/relationships/hyperlink" Target="http://europa.eu/rapid/pressReleasesAction.do?reference=IP/10/216&amp;format=HTML&amp;aged=0&amp;language=EN" TargetMode="External"/><Relationship Id="rId14" Type="http://schemas.openxmlformats.org/officeDocument/2006/relationships/hyperlink" Target="http://www.internationalcompetitionnetwork.org/uploads/library/doc353.pdf" TargetMode="External"/><Relationship Id="rId15" Type="http://schemas.openxmlformats.org/officeDocument/2006/relationships/hyperlink" Target="http://www.ftc.gov/speeches/kovacic/080602bateswhitepdf" TargetMode="External"/><Relationship Id="rId16" Type="http://schemas.openxmlformats.org/officeDocument/2006/relationships/hyperlink" Target="http://wwwwashingtonpostcom/politics/justice-department-lawyers-say-theyll-quit-if-regional-offices-close/2011/10/18/gIQA0JzNvL_storyhtml" TargetMode="External"/><Relationship Id="rId17" Type="http://schemas.openxmlformats.org/officeDocument/2006/relationships/hyperlink" Target="http://wwwftcgov/speeches/%20rosch/100106financial-productspdf" TargetMode="External"/><Relationship Id="rId18" Type="http://schemas.openxmlformats.org/officeDocument/2006/relationships/hyperlink" Target="http://europa.eu/rapid/pressReleasesAction.do?reference=IP/08/1836&amp;format=HTML&amp;%20aged=0&amp;language=EN&amp;guiLanguage=en" TargetMode="External"/><Relationship Id="rId19" Type="http://schemas.openxmlformats.org/officeDocument/2006/relationships/hyperlink" Target="http://eceuropaeu/consumers/dyna/conference/programme_enhtm" TargetMode="External"/><Relationship Id="rId1" Type="http://schemas.openxmlformats.org/officeDocument/2006/relationships/hyperlink" Target="http://ec.europa.eu/competition/elojade/isef/case_details.cfm?proc_code=1_37792" TargetMode="External"/><Relationship Id="rId2" Type="http://schemas.openxmlformats.org/officeDocument/2006/relationships/hyperlink" Target="http://www.netmarketshare.com/operating-system-market-share.aspx?qprid=8&amp;qpcustomd=0" TargetMode="External"/><Relationship Id="rId3" Type="http://schemas.openxmlformats.org/officeDocument/2006/relationships/hyperlink" Target="http://www.real.com/realplayer" TargetMode="External"/><Relationship Id="rId4" Type="http://schemas.openxmlformats.org/officeDocument/2006/relationships/hyperlink" Target="http://www.apple.com/quicktime/download/" TargetMode="External"/><Relationship Id="rId5" Type="http://schemas.openxmlformats.org/officeDocument/2006/relationships/hyperlink" Target="http://ec.europa.eu/consumers/empowerment/docs/ECCG_opinion_on_actions_for_damages_18112010.pdf" TargetMode="External"/><Relationship Id="rId6" Type="http://schemas.openxmlformats.org/officeDocument/2006/relationships/hyperlink" Target="http://www.federalreserve.gov/newsevents/press/bcreg/bcreg20091112a1.pdf" TargetMode="External"/><Relationship Id="rId7" Type="http://schemas.openxmlformats.org/officeDocument/2006/relationships/hyperlink" Target="http://www.justice.gov/atr/public/guidelines/hmg-2010.html" TargetMode="External"/><Relationship Id="rId8" Type="http://schemas.openxmlformats.org/officeDocument/2006/relationships/hyperlink" Target="http://www.justice.gov/atr/public/guidelines/hmg-2010.html" TargetMode="External"/><Relationship Id="rId9" Type="http://schemas.openxmlformats.org/officeDocument/2006/relationships/hyperlink" Target="http://www.usdoj.gov/atr/public/201898.htm" TargetMode="External"/><Relationship Id="rId10" Type="http://schemas.openxmlformats.org/officeDocument/2006/relationships/hyperlink" Target="http://dx.doi.org/10.2139/ssrn.19176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stucke:Documents:Law%20Reviews:My%20Articl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946</TotalTime>
  <Pages>52</Pages>
  <Words>10200</Words>
  <Characters>60384</Characters>
  <Application>Microsoft Macintosh Word</Application>
  <DocSecurity>0</DocSecurity>
  <Lines>1078</Lines>
  <Paragraphs>190</Paragraphs>
  <ScaleCrop>false</ScaleCrop>
  <HeadingPairs>
    <vt:vector size="2" baseType="variant">
      <vt:variant>
        <vt:lpstr>Title</vt:lpstr>
      </vt:variant>
      <vt:variant>
        <vt:i4>1</vt:i4>
      </vt:variant>
    </vt:vector>
  </HeadingPairs>
  <TitlesOfParts>
    <vt:vector size="1" baseType="lpstr">
      <vt:lpstr>TITLE OF YOUR ARTICLE</vt:lpstr>
    </vt:vector>
  </TitlesOfParts>
  <Company>UCLA School of Law</Company>
  <LinksUpToDate>false</LinksUpToDate>
  <CharactersWithSpaces>70394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 ARTICLE</dc:title>
  <dc:subject/>
  <dc:creator>Maurice Stucke</dc:creator>
  <cp:keywords/>
  <dc:description/>
  <cp:lastModifiedBy>Maurice Stucke</cp:lastModifiedBy>
  <cp:revision>18</cp:revision>
  <cp:lastPrinted>2012-07-16T18:15:00Z</cp:lastPrinted>
  <dcterms:created xsi:type="dcterms:W3CDTF">2012-07-15T21:49:00Z</dcterms:created>
  <dcterms:modified xsi:type="dcterms:W3CDTF">2013-05-11T00:24:00Z</dcterms:modified>
</cp:coreProperties>
</file>