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C287B" w14:textId="769BA58F" w:rsidR="006919F4" w:rsidRPr="00506576" w:rsidRDefault="00EF3FEA" w:rsidP="00C56C1A">
      <w:pPr>
        <w:pStyle w:val="Head1-Articles"/>
        <w:rPr>
          <w:rFonts w:ascii="Times New Roman" w:hAnsi="Times New Roman"/>
          <w:sz w:val="22"/>
          <w:szCs w:val="22"/>
        </w:rPr>
      </w:pPr>
      <w:r w:rsidRPr="00506576">
        <w:rPr>
          <w:rFonts w:ascii="Times New Roman" w:hAnsi="Times New Roman"/>
          <w:sz w:val="22"/>
          <w:szCs w:val="22"/>
        </w:rPr>
        <w:t>Sham Transactions</w:t>
      </w:r>
      <w:r w:rsidR="00C64D42" w:rsidRPr="00506576">
        <w:rPr>
          <w:rFonts w:ascii="Times New Roman" w:hAnsi="Times New Roman"/>
          <w:sz w:val="22"/>
          <w:szCs w:val="22"/>
        </w:rPr>
        <w:t xml:space="preserve"> in the United States</w:t>
      </w:r>
      <w:bookmarkStart w:id="0" w:name="_GoBack"/>
      <w:r w:rsidR="00827219" w:rsidRPr="00506576">
        <w:rPr>
          <w:rStyle w:val="FootnoteReference"/>
          <w:rFonts w:ascii="Times New Roman" w:hAnsi="Times New Roman"/>
          <w:sz w:val="22"/>
          <w:szCs w:val="22"/>
        </w:rPr>
        <w:footnoteReference w:id="1"/>
      </w:r>
      <w:bookmarkEnd w:id="0"/>
      <w:r w:rsidRPr="00506576">
        <w:rPr>
          <w:rFonts w:ascii="Times New Roman" w:hAnsi="Times New Roman"/>
          <w:sz w:val="22"/>
          <w:szCs w:val="22"/>
        </w:rPr>
        <w:t xml:space="preserve"> </w:t>
      </w:r>
    </w:p>
    <w:p w14:paraId="4B590138" w14:textId="713C0BED" w:rsidR="001C7E28" w:rsidRPr="00506576" w:rsidRDefault="006919F4" w:rsidP="00222DCD">
      <w:pPr>
        <w:pStyle w:val="AuthorName1-Articles"/>
        <w:rPr>
          <w:rFonts w:ascii="Times New Roman" w:hAnsi="Times New Roman"/>
          <w:szCs w:val="22"/>
        </w:rPr>
      </w:pPr>
      <w:bookmarkStart w:id="1" w:name="_Ref140758977"/>
      <w:r w:rsidRPr="00506576">
        <w:rPr>
          <w:rFonts w:ascii="Times New Roman" w:hAnsi="Times New Roman"/>
          <w:szCs w:val="22"/>
        </w:rPr>
        <w:t>Joshua D. Blank</w:t>
      </w:r>
      <w:bookmarkStart w:id="2" w:name="_Ref173065034"/>
      <w:r w:rsidRPr="00506576">
        <w:rPr>
          <w:rFonts w:ascii="Times New Roman" w:hAnsi="Times New Roman"/>
          <w:szCs w:val="22"/>
        </w:rPr>
        <w:t xml:space="preserve"> </w:t>
      </w:r>
      <w:r w:rsidR="00C56C1A" w:rsidRPr="00506576">
        <w:rPr>
          <w:rFonts w:ascii="Times New Roman" w:hAnsi="Times New Roman"/>
          <w:szCs w:val="22"/>
        </w:rPr>
        <w:t>&amp;</w:t>
      </w:r>
      <w:r w:rsidRPr="00506576">
        <w:rPr>
          <w:rFonts w:ascii="Times New Roman" w:hAnsi="Times New Roman"/>
          <w:szCs w:val="22"/>
        </w:rPr>
        <w:t xml:space="preserve"> </w:t>
      </w:r>
      <w:bookmarkEnd w:id="1"/>
      <w:bookmarkEnd w:id="2"/>
      <w:r w:rsidRPr="00506576">
        <w:rPr>
          <w:rFonts w:ascii="Times New Roman" w:hAnsi="Times New Roman"/>
          <w:szCs w:val="22"/>
        </w:rPr>
        <w:t>Nancy Staudt</w:t>
      </w:r>
    </w:p>
    <w:p w14:paraId="30908EAC" w14:textId="6AB795C6" w:rsidR="006919F4" w:rsidRPr="00506576" w:rsidRDefault="006919F4" w:rsidP="001C7E28">
      <w:pPr>
        <w:pStyle w:val="Subhead1"/>
        <w:rPr>
          <w:rFonts w:ascii="Times New Roman" w:hAnsi="Times New Roman"/>
          <w:sz w:val="22"/>
          <w:szCs w:val="22"/>
        </w:rPr>
      </w:pPr>
    </w:p>
    <w:p w14:paraId="1F306FEF" w14:textId="060709D9" w:rsidR="006919F4" w:rsidRPr="00506576" w:rsidRDefault="00132905" w:rsidP="006919F4">
      <w:pPr>
        <w:pStyle w:val="Document"/>
        <w:rPr>
          <w:rFonts w:ascii="Times New Roman" w:hAnsi="Times New Roman"/>
          <w:szCs w:val="22"/>
        </w:rPr>
      </w:pPr>
      <w:r>
        <w:rPr>
          <w:rFonts w:ascii="Times New Roman" w:hAnsi="Times New Roman"/>
          <w:szCs w:val="22"/>
        </w:rPr>
        <w:t>P</w:t>
      </w:r>
      <w:r w:rsidR="006919F4" w:rsidRPr="00506576">
        <w:rPr>
          <w:rFonts w:ascii="Times New Roman" w:hAnsi="Times New Roman"/>
          <w:szCs w:val="22"/>
        </w:rPr>
        <w:t xml:space="preserve">olicymakers </w:t>
      </w:r>
      <w:r>
        <w:rPr>
          <w:rFonts w:ascii="Times New Roman" w:hAnsi="Times New Roman"/>
          <w:szCs w:val="22"/>
        </w:rPr>
        <w:t xml:space="preserve">in the US </w:t>
      </w:r>
      <w:r w:rsidR="006919F4" w:rsidRPr="00506576">
        <w:rPr>
          <w:rFonts w:ascii="Times New Roman" w:hAnsi="Times New Roman"/>
          <w:szCs w:val="22"/>
        </w:rPr>
        <w:t xml:space="preserve">have noted that individuals and businesses have become alarmingly adept at using </w:t>
      </w:r>
      <w:r w:rsidR="00466B53" w:rsidRPr="00506576">
        <w:rPr>
          <w:rFonts w:ascii="Times New Roman" w:hAnsi="Times New Roman"/>
          <w:szCs w:val="22"/>
        </w:rPr>
        <w:t>the letter of the law to obtain unintended benefits and advantages.  This deception and pretense can be found in a wide variety of legal contexts</w:t>
      </w:r>
      <w:r w:rsidR="00A01125" w:rsidRPr="00506576">
        <w:rPr>
          <w:rFonts w:ascii="Times New Roman" w:hAnsi="Times New Roman"/>
          <w:szCs w:val="22"/>
        </w:rPr>
        <w:t xml:space="preserve">, </w:t>
      </w:r>
      <w:r w:rsidR="00466B53" w:rsidRPr="00506576">
        <w:rPr>
          <w:rFonts w:ascii="Times New Roman" w:hAnsi="Times New Roman"/>
          <w:szCs w:val="22"/>
        </w:rPr>
        <w:t xml:space="preserve">and includes activites and plans </w:t>
      </w:r>
      <w:r w:rsidR="00A01125" w:rsidRPr="00506576">
        <w:rPr>
          <w:rFonts w:ascii="Times New Roman" w:hAnsi="Times New Roman"/>
          <w:szCs w:val="22"/>
        </w:rPr>
        <w:t xml:space="preserve">that are labeled </w:t>
      </w:r>
      <w:r w:rsidR="00466B53" w:rsidRPr="00506576">
        <w:rPr>
          <w:rFonts w:ascii="Times New Roman" w:hAnsi="Times New Roman"/>
          <w:szCs w:val="22"/>
        </w:rPr>
        <w:t>“sham marriages,”</w:t>
      </w:r>
      <w:r w:rsidR="00800EE5" w:rsidRPr="00506576">
        <w:rPr>
          <w:rStyle w:val="FootnoteReference"/>
          <w:rFonts w:ascii="Times New Roman" w:hAnsi="Times New Roman"/>
          <w:szCs w:val="22"/>
        </w:rPr>
        <w:footnoteReference w:id="2"/>
      </w:r>
      <w:r w:rsidR="00466B53" w:rsidRPr="00506576">
        <w:rPr>
          <w:rFonts w:ascii="Times New Roman" w:hAnsi="Times New Roman"/>
          <w:szCs w:val="22"/>
        </w:rPr>
        <w:t xml:space="preserve"> “sham retirements,”</w:t>
      </w:r>
      <w:r w:rsidR="009C0E21" w:rsidRPr="00506576">
        <w:rPr>
          <w:rStyle w:val="FootnoteReference"/>
          <w:rFonts w:ascii="Times New Roman" w:hAnsi="Times New Roman"/>
          <w:szCs w:val="22"/>
        </w:rPr>
        <w:footnoteReference w:id="3"/>
      </w:r>
      <w:r w:rsidR="00466B53" w:rsidRPr="00506576">
        <w:rPr>
          <w:rFonts w:ascii="Times New Roman" w:hAnsi="Times New Roman"/>
          <w:szCs w:val="22"/>
        </w:rPr>
        <w:t xml:space="preserve"> “sham </w:t>
      </w:r>
      <w:r w:rsidR="007A56E6" w:rsidRPr="00506576">
        <w:rPr>
          <w:rFonts w:ascii="Times New Roman" w:hAnsi="Times New Roman"/>
          <w:szCs w:val="22"/>
        </w:rPr>
        <w:t>leases</w:t>
      </w:r>
      <w:r w:rsidR="00466B53" w:rsidRPr="00506576">
        <w:rPr>
          <w:rFonts w:ascii="Times New Roman" w:hAnsi="Times New Roman"/>
          <w:szCs w:val="22"/>
        </w:rPr>
        <w:t>,”</w:t>
      </w:r>
      <w:r w:rsidR="007A56E6" w:rsidRPr="00506576">
        <w:rPr>
          <w:rStyle w:val="FootnoteReference"/>
          <w:rFonts w:ascii="Times New Roman" w:hAnsi="Times New Roman"/>
          <w:szCs w:val="22"/>
        </w:rPr>
        <w:footnoteReference w:id="4"/>
      </w:r>
      <w:r w:rsidR="00466B53" w:rsidRPr="00506576">
        <w:rPr>
          <w:rFonts w:ascii="Times New Roman" w:hAnsi="Times New Roman"/>
          <w:szCs w:val="22"/>
        </w:rPr>
        <w:t xml:space="preserve"> “sham litigation,”</w:t>
      </w:r>
      <w:r w:rsidR="007A56E6" w:rsidRPr="00506576">
        <w:rPr>
          <w:rStyle w:val="FootnoteReference"/>
          <w:rFonts w:ascii="Times New Roman" w:hAnsi="Times New Roman"/>
          <w:szCs w:val="22"/>
        </w:rPr>
        <w:footnoteReference w:id="5"/>
      </w:r>
      <w:r w:rsidR="00466B53" w:rsidRPr="00506576">
        <w:rPr>
          <w:rFonts w:ascii="Times New Roman" w:hAnsi="Times New Roman"/>
          <w:szCs w:val="22"/>
        </w:rPr>
        <w:t xml:space="preserve"> and so forth.  Government lawyers </w:t>
      </w:r>
      <w:r w:rsidR="00A01125" w:rsidRPr="00506576">
        <w:rPr>
          <w:rFonts w:ascii="Times New Roman" w:hAnsi="Times New Roman"/>
          <w:szCs w:val="22"/>
        </w:rPr>
        <w:t xml:space="preserve">note that </w:t>
      </w:r>
      <w:r w:rsidR="00466B53" w:rsidRPr="00506576">
        <w:rPr>
          <w:rFonts w:ascii="Times New Roman" w:hAnsi="Times New Roman"/>
          <w:szCs w:val="22"/>
        </w:rPr>
        <w:t xml:space="preserve">these and other similar types of transactions </w:t>
      </w:r>
      <w:r w:rsidR="00A01125" w:rsidRPr="00506576">
        <w:rPr>
          <w:rFonts w:ascii="Times New Roman" w:hAnsi="Times New Roman"/>
          <w:szCs w:val="22"/>
        </w:rPr>
        <w:t xml:space="preserve">have the appearance of law-abiding behavior, but are in fact nothing </w:t>
      </w:r>
      <w:r w:rsidR="00466B53" w:rsidRPr="00506576">
        <w:rPr>
          <w:rFonts w:ascii="Times New Roman" w:hAnsi="Times New Roman"/>
          <w:szCs w:val="22"/>
        </w:rPr>
        <w:t>more than fraud</w:t>
      </w:r>
      <w:r w:rsidR="00A01125" w:rsidRPr="00506576">
        <w:rPr>
          <w:rFonts w:ascii="Times New Roman" w:hAnsi="Times New Roman"/>
          <w:szCs w:val="22"/>
        </w:rPr>
        <w:t xml:space="preserve">.  </w:t>
      </w:r>
      <w:r w:rsidR="006919F4" w:rsidRPr="00506576">
        <w:rPr>
          <w:rFonts w:ascii="Times New Roman" w:hAnsi="Times New Roman"/>
          <w:szCs w:val="22"/>
        </w:rPr>
        <w:t>The problem for government</w:t>
      </w:r>
      <w:r w:rsidR="00A01125" w:rsidRPr="00506576">
        <w:rPr>
          <w:rFonts w:ascii="Times New Roman" w:hAnsi="Times New Roman"/>
          <w:szCs w:val="22"/>
        </w:rPr>
        <w:t xml:space="preserve"> litigators</w:t>
      </w:r>
      <w:r w:rsidR="006919F4" w:rsidRPr="00506576">
        <w:rPr>
          <w:rFonts w:ascii="Times New Roman" w:hAnsi="Times New Roman"/>
          <w:szCs w:val="22"/>
        </w:rPr>
        <w:t xml:space="preserve">, however, is that many sham activities </w:t>
      </w:r>
      <w:r w:rsidR="006919F4" w:rsidRPr="00506576">
        <w:rPr>
          <w:rFonts w:ascii="Times New Roman" w:hAnsi="Times New Roman"/>
          <w:i/>
          <w:szCs w:val="22"/>
        </w:rPr>
        <w:t xml:space="preserve">are </w:t>
      </w:r>
      <w:r w:rsidR="006919F4" w:rsidRPr="00506576">
        <w:rPr>
          <w:rFonts w:ascii="Times New Roman" w:hAnsi="Times New Roman"/>
          <w:szCs w:val="22"/>
        </w:rPr>
        <w:t xml:space="preserve">entirely consistent with </w:t>
      </w:r>
      <w:r w:rsidR="00EC0589" w:rsidRPr="00506576">
        <w:rPr>
          <w:rFonts w:ascii="Times New Roman" w:hAnsi="Times New Roman"/>
          <w:szCs w:val="22"/>
        </w:rPr>
        <w:t xml:space="preserve">statutory and administrative </w:t>
      </w:r>
      <w:r w:rsidR="006919F4" w:rsidRPr="00506576">
        <w:rPr>
          <w:rFonts w:ascii="Times New Roman" w:hAnsi="Times New Roman"/>
          <w:szCs w:val="22"/>
        </w:rPr>
        <w:t>law</w:t>
      </w:r>
      <w:r w:rsidR="00A01125" w:rsidRPr="00506576">
        <w:rPr>
          <w:rFonts w:ascii="Times New Roman" w:hAnsi="Times New Roman"/>
          <w:szCs w:val="22"/>
        </w:rPr>
        <w:t xml:space="preserve"> and thus are particularly difficult to challenge in court. </w:t>
      </w:r>
    </w:p>
    <w:p w14:paraId="2042EB4F" w14:textId="5D885CE6" w:rsidR="006919F4" w:rsidRPr="00506576" w:rsidRDefault="00533058" w:rsidP="006919F4">
      <w:pPr>
        <w:pStyle w:val="Document"/>
        <w:rPr>
          <w:rFonts w:ascii="Times New Roman" w:hAnsi="Times New Roman"/>
          <w:szCs w:val="22"/>
        </w:rPr>
      </w:pPr>
      <w:r w:rsidRPr="00506576">
        <w:rPr>
          <w:rFonts w:ascii="Times New Roman" w:hAnsi="Times New Roman"/>
          <w:szCs w:val="22"/>
        </w:rPr>
        <w:t>In this chapter</w:t>
      </w:r>
      <w:r w:rsidR="006919F4" w:rsidRPr="00506576">
        <w:rPr>
          <w:rFonts w:ascii="Times New Roman" w:hAnsi="Times New Roman"/>
          <w:szCs w:val="22"/>
        </w:rPr>
        <w:t>, we</w:t>
      </w:r>
      <w:r w:rsidR="008541C7" w:rsidRPr="00506576">
        <w:rPr>
          <w:rFonts w:ascii="Times New Roman" w:hAnsi="Times New Roman"/>
          <w:szCs w:val="22"/>
        </w:rPr>
        <w:t xml:space="preserve"> focus on alleged corporate tax shams and </w:t>
      </w:r>
      <w:r w:rsidR="00116F55" w:rsidRPr="00506576">
        <w:rPr>
          <w:rFonts w:ascii="Times New Roman" w:hAnsi="Times New Roman"/>
          <w:szCs w:val="22"/>
        </w:rPr>
        <w:t>the American judiciary’s response</w:t>
      </w:r>
      <w:r w:rsidR="006919F4" w:rsidRPr="00506576">
        <w:rPr>
          <w:rFonts w:ascii="Times New Roman" w:hAnsi="Times New Roman"/>
          <w:szCs w:val="22"/>
        </w:rPr>
        <w:t xml:space="preserve"> to </w:t>
      </w:r>
      <w:r w:rsidR="008541C7" w:rsidRPr="00506576">
        <w:rPr>
          <w:rFonts w:ascii="Times New Roman" w:hAnsi="Times New Roman"/>
          <w:szCs w:val="22"/>
        </w:rPr>
        <w:t xml:space="preserve">these transactions when they are litigated in </w:t>
      </w:r>
      <w:r w:rsidR="00A838E9">
        <w:rPr>
          <w:rFonts w:ascii="Times New Roman" w:hAnsi="Times New Roman"/>
          <w:szCs w:val="22"/>
        </w:rPr>
        <w:t xml:space="preserve">the high </w:t>
      </w:r>
      <w:r w:rsidR="008541C7" w:rsidRPr="00506576">
        <w:rPr>
          <w:rFonts w:ascii="Times New Roman" w:hAnsi="Times New Roman"/>
          <w:szCs w:val="22"/>
        </w:rPr>
        <w:t>court</w:t>
      </w:r>
      <w:r w:rsidR="006919F4" w:rsidRPr="00506576">
        <w:rPr>
          <w:rFonts w:ascii="Times New Roman" w:hAnsi="Times New Roman"/>
          <w:szCs w:val="22"/>
        </w:rPr>
        <w:t xml:space="preserve">. </w:t>
      </w:r>
      <w:r w:rsidR="00A01125" w:rsidRPr="00506576">
        <w:rPr>
          <w:rFonts w:ascii="Times New Roman" w:hAnsi="Times New Roman"/>
          <w:szCs w:val="22"/>
        </w:rPr>
        <w:t xml:space="preserve"> </w:t>
      </w:r>
      <w:r w:rsidR="006919F4" w:rsidRPr="00506576">
        <w:rPr>
          <w:rFonts w:ascii="Times New Roman" w:hAnsi="Times New Roman"/>
          <w:szCs w:val="22"/>
        </w:rPr>
        <w:t xml:space="preserve">While </w:t>
      </w:r>
      <w:r w:rsidR="00BA59F8" w:rsidRPr="00506576">
        <w:rPr>
          <w:rFonts w:ascii="Times New Roman" w:hAnsi="Times New Roman"/>
          <w:szCs w:val="22"/>
        </w:rPr>
        <w:t xml:space="preserve">US </w:t>
      </w:r>
      <w:r w:rsidR="006919F4" w:rsidRPr="00506576">
        <w:rPr>
          <w:rFonts w:ascii="Times New Roman" w:hAnsi="Times New Roman"/>
          <w:szCs w:val="22"/>
        </w:rPr>
        <w:t>corporations have engaged in creative financial planning—or</w:t>
      </w:r>
      <w:r w:rsidR="00C7160A" w:rsidRPr="00506576">
        <w:rPr>
          <w:rFonts w:ascii="Times New Roman" w:hAnsi="Times New Roman"/>
          <w:szCs w:val="22"/>
        </w:rPr>
        <w:t>,</w:t>
      </w:r>
      <w:r w:rsidR="006919F4" w:rsidRPr="00506576">
        <w:rPr>
          <w:rFonts w:ascii="Times New Roman" w:hAnsi="Times New Roman"/>
          <w:szCs w:val="22"/>
        </w:rPr>
        <w:t xml:space="preserve"> in the government’s view</w:t>
      </w:r>
      <w:r w:rsidR="00C7160A" w:rsidRPr="00506576">
        <w:rPr>
          <w:rFonts w:ascii="Times New Roman" w:hAnsi="Times New Roman"/>
          <w:szCs w:val="22"/>
        </w:rPr>
        <w:t>,</w:t>
      </w:r>
      <w:r w:rsidR="006919F4" w:rsidRPr="00506576">
        <w:rPr>
          <w:rFonts w:ascii="Times New Roman" w:hAnsi="Times New Roman"/>
          <w:szCs w:val="22"/>
        </w:rPr>
        <w:t xml:space="preserve"> deceit and manipulation—in a wide range of legal areas, some of the most innovative, complex, and lucrative schemes have emerged with the help of the tax law. </w:t>
      </w:r>
      <w:r w:rsidR="008541C7" w:rsidRPr="00506576">
        <w:rPr>
          <w:rFonts w:ascii="Times New Roman" w:hAnsi="Times New Roman"/>
          <w:szCs w:val="22"/>
        </w:rPr>
        <w:t xml:space="preserve"> </w:t>
      </w:r>
      <w:r w:rsidR="006919F4" w:rsidRPr="00506576">
        <w:rPr>
          <w:rFonts w:ascii="Times New Roman" w:hAnsi="Times New Roman"/>
          <w:szCs w:val="22"/>
        </w:rPr>
        <w:t xml:space="preserve">Accordingly, we </w:t>
      </w:r>
      <w:r w:rsidR="00C64D42" w:rsidRPr="00506576">
        <w:rPr>
          <w:rFonts w:ascii="Times New Roman" w:hAnsi="Times New Roman"/>
          <w:szCs w:val="22"/>
        </w:rPr>
        <w:t>focus on</w:t>
      </w:r>
      <w:r w:rsidR="006919F4" w:rsidRPr="00506576">
        <w:rPr>
          <w:rFonts w:ascii="Times New Roman" w:hAnsi="Times New Roman"/>
          <w:szCs w:val="22"/>
        </w:rPr>
        <w:t xml:space="preserve"> corporate tax planning in an effort to explain how and why </w:t>
      </w:r>
      <w:r w:rsidR="000A2E64" w:rsidRPr="00506576">
        <w:rPr>
          <w:rFonts w:ascii="Times New Roman" w:hAnsi="Times New Roman"/>
          <w:szCs w:val="22"/>
        </w:rPr>
        <w:t>US</w:t>
      </w:r>
      <w:r w:rsidR="00116F55" w:rsidRPr="00506576">
        <w:rPr>
          <w:rFonts w:ascii="Times New Roman" w:hAnsi="Times New Roman"/>
          <w:szCs w:val="22"/>
        </w:rPr>
        <w:t xml:space="preserve"> </w:t>
      </w:r>
      <w:r w:rsidR="006919F4" w:rsidRPr="00506576">
        <w:rPr>
          <w:rFonts w:ascii="Times New Roman" w:hAnsi="Times New Roman"/>
          <w:szCs w:val="22"/>
        </w:rPr>
        <w:t xml:space="preserve">courts draw the line between law-abiding and abusive activities. </w:t>
      </w:r>
      <w:r w:rsidR="008541C7" w:rsidRPr="00506576">
        <w:rPr>
          <w:rFonts w:ascii="Times New Roman" w:hAnsi="Times New Roman"/>
          <w:szCs w:val="22"/>
        </w:rPr>
        <w:t xml:space="preserve"> </w:t>
      </w:r>
      <w:r w:rsidR="00DB6CC7" w:rsidRPr="00506576">
        <w:rPr>
          <w:rFonts w:ascii="Times New Roman" w:hAnsi="Times New Roman"/>
          <w:szCs w:val="22"/>
        </w:rPr>
        <w:t>In doing so, w</w:t>
      </w:r>
      <w:r w:rsidR="00C7160A" w:rsidRPr="00506576">
        <w:rPr>
          <w:rFonts w:ascii="Times New Roman" w:hAnsi="Times New Roman"/>
          <w:szCs w:val="22"/>
        </w:rPr>
        <w:t>e aim</w:t>
      </w:r>
      <w:r w:rsidR="006919F4" w:rsidRPr="00506576">
        <w:rPr>
          <w:rFonts w:ascii="Times New Roman" w:hAnsi="Times New Roman"/>
          <w:szCs w:val="22"/>
        </w:rPr>
        <w:t xml:space="preserve"> to identify the factors that convince judges that certain behavior crosses the line from legal acceptability to abusive activity. </w:t>
      </w:r>
      <w:r w:rsidR="00A01125" w:rsidRPr="00506576">
        <w:rPr>
          <w:rFonts w:ascii="Times New Roman" w:hAnsi="Times New Roman"/>
          <w:szCs w:val="22"/>
        </w:rPr>
        <w:t xml:space="preserve"> Judicial treatment of alleged corporate tax shams has long been viewed as </w:t>
      </w:r>
      <w:r w:rsidR="006919F4" w:rsidRPr="00506576">
        <w:rPr>
          <w:rFonts w:ascii="Times New Roman" w:hAnsi="Times New Roman"/>
          <w:szCs w:val="22"/>
        </w:rPr>
        <w:t>erratic,</w:t>
      </w:r>
      <w:r w:rsidR="006919F4" w:rsidRPr="00506576" w:rsidDel="003C0903">
        <w:rPr>
          <w:rFonts w:ascii="Times New Roman" w:hAnsi="Times New Roman"/>
          <w:b/>
          <w:szCs w:val="22"/>
        </w:rPr>
        <w:t xml:space="preserve"> </w:t>
      </w:r>
      <w:r w:rsidR="006919F4" w:rsidRPr="00506576">
        <w:rPr>
          <w:rFonts w:ascii="Times New Roman" w:hAnsi="Times New Roman"/>
          <w:szCs w:val="22"/>
        </w:rPr>
        <w:t>confusing, and indeterminate</w:t>
      </w:r>
      <w:r w:rsidR="00A01125" w:rsidRPr="00506576">
        <w:rPr>
          <w:rFonts w:ascii="Times New Roman" w:hAnsi="Times New Roman"/>
          <w:szCs w:val="22"/>
        </w:rPr>
        <w:t xml:space="preserve">, but our study suggests that US courts </w:t>
      </w:r>
      <w:r w:rsidR="008541C7" w:rsidRPr="00506576">
        <w:rPr>
          <w:rFonts w:ascii="Times New Roman" w:hAnsi="Times New Roman"/>
          <w:szCs w:val="22"/>
        </w:rPr>
        <w:t xml:space="preserve">are </w:t>
      </w:r>
      <w:r w:rsidR="00A01125" w:rsidRPr="00506576">
        <w:rPr>
          <w:rFonts w:ascii="Times New Roman" w:hAnsi="Times New Roman"/>
          <w:szCs w:val="22"/>
        </w:rPr>
        <w:t xml:space="preserve">more more systematic than heretofore believed.  We </w:t>
      </w:r>
      <w:r w:rsidR="008541C7" w:rsidRPr="00506576">
        <w:rPr>
          <w:rFonts w:ascii="Times New Roman" w:hAnsi="Times New Roman"/>
          <w:szCs w:val="22"/>
        </w:rPr>
        <w:t xml:space="preserve">collected every </w:t>
      </w:r>
      <w:r w:rsidR="00A01125" w:rsidRPr="00506576">
        <w:rPr>
          <w:rFonts w:ascii="Times New Roman" w:hAnsi="Times New Roman"/>
          <w:szCs w:val="22"/>
        </w:rPr>
        <w:t xml:space="preserve">US Supreme Court </w:t>
      </w:r>
      <w:r w:rsidR="008541C7" w:rsidRPr="00506576">
        <w:rPr>
          <w:rFonts w:ascii="Times New Roman" w:hAnsi="Times New Roman"/>
          <w:szCs w:val="22"/>
        </w:rPr>
        <w:t xml:space="preserve">case that involved </w:t>
      </w:r>
      <w:r w:rsidR="00487AE2" w:rsidRPr="00506576">
        <w:rPr>
          <w:rFonts w:ascii="Times New Roman" w:hAnsi="Times New Roman"/>
          <w:szCs w:val="22"/>
        </w:rPr>
        <w:t xml:space="preserve">sham allegations between the years 1909-2011 </w:t>
      </w:r>
      <w:r w:rsidR="00A01125" w:rsidRPr="00506576">
        <w:rPr>
          <w:rFonts w:ascii="Times New Roman" w:hAnsi="Times New Roman"/>
          <w:szCs w:val="22"/>
        </w:rPr>
        <w:t xml:space="preserve">and found </w:t>
      </w:r>
      <w:r w:rsidR="008541C7" w:rsidRPr="00506576">
        <w:rPr>
          <w:rFonts w:ascii="Times New Roman" w:hAnsi="Times New Roman"/>
          <w:szCs w:val="22"/>
        </w:rPr>
        <w:t xml:space="preserve">that </w:t>
      </w:r>
      <w:r w:rsidR="00A01125" w:rsidRPr="00506576">
        <w:rPr>
          <w:rFonts w:ascii="Times New Roman" w:hAnsi="Times New Roman"/>
          <w:szCs w:val="22"/>
        </w:rPr>
        <w:t xml:space="preserve">certain factors, such as </w:t>
      </w:r>
      <w:r w:rsidR="00A01125" w:rsidRPr="00506576">
        <w:rPr>
          <w:rFonts w:ascii="Times New Roman" w:hAnsi="Times New Roman"/>
          <w:szCs w:val="22"/>
        </w:rPr>
        <w:lastRenderedPageBreak/>
        <w:t xml:space="preserve">accounting irregularities and requests for unusually large </w:t>
      </w:r>
      <w:r w:rsidR="00487AE2" w:rsidRPr="00506576">
        <w:rPr>
          <w:rFonts w:ascii="Times New Roman" w:hAnsi="Times New Roman"/>
          <w:szCs w:val="22"/>
        </w:rPr>
        <w:t xml:space="preserve">tax </w:t>
      </w:r>
      <w:r w:rsidR="00A01125" w:rsidRPr="00506576">
        <w:rPr>
          <w:rFonts w:ascii="Times New Roman" w:hAnsi="Times New Roman"/>
          <w:szCs w:val="22"/>
        </w:rPr>
        <w:t xml:space="preserve">refunds, </w:t>
      </w:r>
      <w:r w:rsidR="00487AE2" w:rsidRPr="00506576">
        <w:rPr>
          <w:rFonts w:ascii="Times New Roman" w:hAnsi="Times New Roman"/>
          <w:szCs w:val="22"/>
        </w:rPr>
        <w:t xml:space="preserve">increase the likelihood that </w:t>
      </w:r>
      <w:r w:rsidR="00A01125" w:rsidRPr="00506576">
        <w:rPr>
          <w:rFonts w:ascii="Times New Roman" w:hAnsi="Times New Roman"/>
          <w:szCs w:val="22"/>
        </w:rPr>
        <w:t xml:space="preserve">the </w:t>
      </w:r>
      <w:r w:rsidR="00487AE2" w:rsidRPr="00506576">
        <w:rPr>
          <w:rFonts w:ascii="Times New Roman" w:hAnsi="Times New Roman"/>
          <w:szCs w:val="22"/>
        </w:rPr>
        <w:t xml:space="preserve">justices will find the corporation </w:t>
      </w:r>
      <w:r w:rsidR="008541C7" w:rsidRPr="00506576">
        <w:rPr>
          <w:rFonts w:ascii="Times New Roman" w:hAnsi="Times New Roman"/>
          <w:szCs w:val="22"/>
        </w:rPr>
        <w:t xml:space="preserve">has </w:t>
      </w:r>
      <w:r w:rsidR="00487AE2" w:rsidRPr="00506576">
        <w:rPr>
          <w:rFonts w:ascii="Times New Roman" w:hAnsi="Times New Roman"/>
          <w:szCs w:val="22"/>
        </w:rPr>
        <w:t xml:space="preserve">engaged in a sham transaction and </w:t>
      </w:r>
      <w:r w:rsidR="008541C7" w:rsidRPr="00506576">
        <w:rPr>
          <w:rFonts w:ascii="Times New Roman" w:hAnsi="Times New Roman"/>
          <w:szCs w:val="22"/>
        </w:rPr>
        <w:t xml:space="preserve">thus should be denied </w:t>
      </w:r>
      <w:r w:rsidR="00487AE2" w:rsidRPr="00506576">
        <w:rPr>
          <w:rFonts w:ascii="Times New Roman" w:hAnsi="Times New Roman"/>
          <w:szCs w:val="22"/>
        </w:rPr>
        <w:t>the benefits claimed</w:t>
      </w:r>
      <w:r w:rsidR="006919F4" w:rsidRPr="00506576">
        <w:rPr>
          <w:rFonts w:ascii="Times New Roman" w:hAnsi="Times New Roman"/>
          <w:szCs w:val="22"/>
        </w:rPr>
        <w:t>.</w:t>
      </w:r>
      <w:r w:rsidR="00487AE2" w:rsidRPr="00506576">
        <w:rPr>
          <w:rFonts w:ascii="Times New Roman" w:hAnsi="Times New Roman"/>
          <w:szCs w:val="22"/>
        </w:rPr>
        <w:t xml:space="preserve"> </w:t>
      </w:r>
      <w:r w:rsidR="00A838E9">
        <w:rPr>
          <w:rFonts w:ascii="Times New Roman" w:hAnsi="Times New Roman"/>
          <w:szCs w:val="22"/>
        </w:rPr>
        <w:t xml:space="preserve"> We also found that the justicies have continually looked to these same factors throughtout the last century.  </w:t>
      </w:r>
      <w:r w:rsidR="00487AE2" w:rsidRPr="00506576">
        <w:rPr>
          <w:rFonts w:ascii="Times New Roman" w:hAnsi="Times New Roman"/>
          <w:szCs w:val="22"/>
        </w:rPr>
        <w:t xml:space="preserve">We hope that our study provides transparency to judicial decision making in the context of corporate tax shams, but also </w:t>
      </w:r>
      <w:r w:rsidR="006919F4" w:rsidRPr="00506576">
        <w:rPr>
          <w:rFonts w:ascii="Times New Roman" w:hAnsi="Times New Roman"/>
          <w:szCs w:val="22"/>
        </w:rPr>
        <w:t>into other legal contexts in which courts characterize ostensibly legal behavior as abusive and fraudulent.</w:t>
      </w:r>
    </w:p>
    <w:p w14:paraId="69571310" w14:textId="3267E8D7" w:rsidR="00614460" w:rsidRPr="00506576" w:rsidRDefault="00614460" w:rsidP="006919F4">
      <w:pPr>
        <w:pStyle w:val="Document"/>
        <w:rPr>
          <w:rFonts w:ascii="Times New Roman" w:hAnsi="Times New Roman"/>
          <w:szCs w:val="22"/>
        </w:rPr>
      </w:pPr>
      <w:r w:rsidRPr="00506576">
        <w:rPr>
          <w:rFonts w:ascii="Times New Roman" w:hAnsi="Times New Roman"/>
          <w:szCs w:val="22"/>
        </w:rPr>
        <w:t>Before we continue, we would</w:t>
      </w:r>
      <w:r w:rsidR="000A2E64" w:rsidRPr="00506576">
        <w:rPr>
          <w:rFonts w:ascii="Times New Roman" w:hAnsi="Times New Roman"/>
          <w:szCs w:val="22"/>
        </w:rPr>
        <w:t xml:space="preserve"> like to clarify our terminology.  In this chapter, a </w:t>
      </w:r>
      <w:r w:rsidR="00BA59F8" w:rsidRPr="00506576">
        <w:rPr>
          <w:rFonts w:ascii="Times New Roman" w:hAnsi="Times New Roman"/>
          <w:szCs w:val="22"/>
        </w:rPr>
        <w:t>“</w:t>
      </w:r>
      <w:r w:rsidR="00C64D42" w:rsidRPr="00506576">
        <w:rPr>
          <w:rFonts w:ascii="Times New Roman" w:hAnsi="Times New Roman"/>
          <w:szCs w:val="22"/>
        </w:rPr>
        <w:t>sham transaction</w:t>
      </w:r>
      <w:r w:rsidR="00BA59F8" w:rsidRPr="00506576">
        <w:rPr>
          <w:rFonts w:ascii="Times New Roman" w:hAnsi="Times New Roman"/>
          <w:szCs w:val="22"/>
        </w:rPr>
        <w:t>”</w:t>
      </w:r>
      <w:r w:rsidR="00C64D42" w:rsidRPr="00506576">
        <w:rPr>
          <w:rFonts w:ascii="Times New Roman" w:hAnsi="Times New Roman"/>
          <w:szCs w:val="22"/>
        </w:rPr>
        <w:t xml:space="preserve"> refers to </w:t>
      </w:r>
      <w:r w:rsidR="000A2E64" w:rsidRPr="00506576">
        <w:rPr>
          <w:rFonts w:ascii="Times New Roman" w:hAnsi="Times New Roman"/>
          <w:szCs w:val="22"/>
        </w:rPr>
        <w:t xml:space="preserve">any </w:t>
      </w:r>
      <w:r w:rsidR="00A72E13" w:rsidRPr="00506576">
        <w:rPr>
          <w:rFonts w:ascii="Times New Roman" w:hAnsi="Times New Roman"/>
          <w:szCs w:val="22"/>
        </w:rPr>
        <w:t xml:space="preserve">corporate </w:t>
      </w:r>
      <w:r w:rsidR="000A2E64" w:rsidRPr="00506576">
        <w:rPr>
          <w:rFonts w:ascii="Times New Roman" w:hAnsi="Times New Roman"/>
          <w:szCs w:val="22"/>
        </w:rPr>
        <w:t xml:space="preserve">transaction or position </w:t>
      </w:r>
      <w:r w:rsidR="00A72E13" w:rsidRPr="00506576">
        <w:rPr>
          <w:rFonts w:ascii="Times New Roman" w:hAnsi="Times New Roman"/>
          <w:szCs w:val="22"/>
        </w:rPr>
        <w:t xml:space="preserve">that government lawyers urge </w:t>
      </w:r>
      <w:r w:rsidR="00067A2C" w:rsidRPr="00506576">
        <w:rPr>
          <w:rFonts w:ascii="Times New Roman" w:hAnsi="Times New Roman"/>
          <w:szCs w:val="22"/>
        </w:rPr>
        <w:t xml:space="preserve">courts </w:t>
      </w:r>
      <w:r w:rsidR="00A72E13" w:rsidRPr="00506576">
        <w:rPr>
          <w:rFonts w:ascii="Times New Roman" w:hAnsi="Times New Roman"/>
          <w:szCs w:val="22"/>
        </w:rPr>
        <w:t xml:space="preserve">to void </w:t>
      </w:r>
      <w:r w:rsidR="00067A2C" w:rsidRPr="00506576">
        <w:rPr>
          <w:rFonts w:ascii="Times New Roman" w:hAnsi="Times New Roman"/>
          <w:szCs w:val="22"/>
        </w:rPr>
        <w:t xml:space="preserve">on the theory that the </w:t>
      </w:r>
      <w:r w:rsidR="00A72E13" w:rsidRPr="00506576">
        <w:rPr>
          <w:rFonts w:ascii="Times New Roman" w:hAnsi="Times New Roman"/>
          <w:szCs w:val="22"/>
        </w:rPr>
        <w:t xml:space="preserve">corporation </w:t>
      </w:r>
      <w:r w:rsidR="00067A2C" w:rsidRPr="00506576">
        <w:rPr>
          <w:rFonts w:ascii="Times New Roman" w:hAnsi="Times New Roman"/>
          <w:szCs w:val="22"/>
        </w:rPr>
        <w:t>has unfairly</w:t>
      </w:r>
      <w:r w:rsidR="00A72E13" w:rsidRPr="00506576">
        <w:rPr>
          <w:rFonts w:ascii="Times New Roman" w:hAnsi="Times New Roman"/>
          <w:szCs w:val="22"/>
        </w:rPr>
        <w:t xml:space="preserve"> used the laws to undermine policy </w:t>
      </w:r>
      <w:r w:rsidR="00067A2C" w:rsidRPr="00506576">
        <w:rPr>
          <w:rFonts w:ascii="Times New Roman" w:hAnsi="Times New Roman"/>
          <w:szCs w:val="22"/>
        </w:rPr>
        <w:t xml:space="preserve">aims and goals. </w:t>
      </w:r>
      <w:r w:rsidR="00B05534" w:rsidRPr="00506576">
        <w:rPr>
          <w:rFonts w:ascii="Times New Roman" w:hAnsi="Times New Roman"/>
          <w:szCs w:val="22"/>
        </w:rPr>
        <w:t xml:space="preserve">To reach this conclusion, as we note below, US courts use a variety of judicially-created doctrines, such as the sham doctrine, the step transaction doctrine, the economic substance doctrine and so forth.  </w:t>
      </w:r>
      <w:r w:rsidR="000A2E64" w:rsidRPr="00506576">
        <w:rPr>
          <w:rFonts w:ascii="Times New Roman" w:hAnsi="Times New Roman"/>
          <w:szCs w:val="22"/>
        </w:rPr>
        <w:t xml:space="preserve">Importantly, the activity that we study </w:t>
      </w:r>
      <w:r w:rsidR="007E34A8" w:rsidRPr="00506576">
        <w:rPr>
          <w:rFonts w:ascii="Times New Roman" w:hAnsi="Times New Roman"/>
          <w:szCs w:val="22"/>
        </w:rPr>
        <w:t xml:space="preserve">in this chapter </w:t>
      </w:r>
      <w:r w:rsidR="000A2E64" w:rsidRPr="00506576">
        <w:rPr>
          <w:rFonts w:ascii="Times New Roman" w:hAnsi="Times New Roman"/>
          <w:szCs w:val="22"/>
        </w:rPr>
        <w:t>is not fraudulent or illegal</w:t>
      </w:r>
      <w:r w:rsidR="00067A2C" w:rsidRPr="00506576">
        <w:rPr>
          <w:rFonts w:ascii="Times New Roman" w:hAnsi="Times New Roman"/>
          <w:szCs w:val="22"/>
        </w:rPr>
        <w:t>, but is nonetheless perceived to be “distortive,</w:t>
      </w:r>
      <w:r w:rsidR="00B05534" w:rsidRPr="00506576">
        <w:rPr>
          <w:rFonts w:ascii="Times New Roman" w:hAnsi="Times New Roman"/>
          <w:szCs w:val="22"/>
        </w:rPr>
        <w:t xml:space="preserve">” “evasive,” </w:t>
      </w:r>
      <w:r w:rsidR="00C64D42" w:rsidRPr="00506576">
        <w:rPr>
          <w:rFonts w:ascii="Times New Roman" w:hAnsi="Times New Roman"/>
          <w:szCs w:val="22"/>
        </w:rPr>
        <w:t>and</w:t>
      </w:r>
      <w:r w:rsidR="00B05534" w:rsidRPr="00506576">
        <w:rPr>
          <w:rFonts w:ascii="Times New Roman" w:hAnsi="Times New Roman"/>
          <w:szCs w:val="22"/>
        </w:rPr>
        <w:t xml:space="preserve"> “manipulative.”  The definition of a sham transaction that we have in mind appears </w:t>
      </w:r>
      <w:r w:rsidR="00C64D42" w:rsidRPr="00506576">
        <w:rPr>
          <w:rFonts w:ascii="Times New Roman" w:hAnsi="Times New Roman"/>
          <w:szCs w:val="22"/>
        </w:rPr>
        <w:t xml:space="preserve">is </w:t>
      </w:r>
      <w:r w:rsidR="00B05534" w:rsidRPr="00506576">
        <w:rPr>
          <w:rFonts w:ascii="Times New Roman" w:hAnsi="Times New Roman"/>
          <w:szCs w:val="22"/>
        </w:rPr>
        <w:t xml:space="preserve">similar to that used in other countries, including Australia, New Zealand, and Canada.  An important difference between these countries and the US, however, is that the US courts </w:t>
      </w:r>
      <w:r w:rsidR="00E33132" w:rsidRPr="00506576">
        <w:rPr>
          <w:rFonts w:ascii="Times New Roman" w:hAnsi="Times New Roman"/>
          <w:szCs w:val="22"/>
        </w:rPr>
        <w:t>appear to be</w:t>
      </w:r>
      <w:r w:rsidR="00B05534" w:rsidRPr="00506576">
        <w:rPr>
          <w:rFonts w:ascii="Times New Roman" w:hAnsi="Times New Roman"/>
          <w:szCs w:val="22"/>
        </w:rPr>
        <w:t xml:space="preserve"> far more willing to unwind a trans</w:t>
      </w:r>
      <w:r w:rsidR="00C64D42" w:rsidRPr="00506576">
        <w:rPr>
          <w:rFonts w:ascii="Times New Roman" w:hAnsi="Times New Roman"/>
          <w:szCs w:val="22"/>
        </w:rPr>
        <w:t>action given its sham qualities while the judiciaries of the other named countries have expressed a strong resistance to unwinding a deal.</w:t>
      </w:r>
      <w:r w:rsidR="009C0E21" w:rsidRPr="000123C1">
        <w:rPr>
          <w:rStyle w:val="FootnoteReference"/>
          <w:rFonts w:ascii="Times New Roman" w:hAnsi="Times New Roman"/>
          <w:szCs w:val="22"/>
        </w:rPr>
        <w:footnoteReference w:id="6"/>
      </w:r>
      <w:r w:rsidR="00C64D42" w:rsidRPr="00506576">
        <w:rPr>
          <w:rFonts w:ascii="Times New Roman" w:hAnsi="Times New Roman"/>
          <w:szCs w:val="22"/>
        </w:rPr>
        <w:t xml:space="preserve">  </w:t>
      </w:r>
      <w:r w:rsidR="00E33132" w:rsidRPr="00506576">
        <w:rPr>
          <w:rFonts w:ascii="Times New Roman" w:hAnsi="Times New Roman"/>
          <w:szCs w:val="22"/>
        </w:rPr>
        <w:t>Why this difference exists is unclear:  perhaps US corporations are exceptionally aggressive</w:t>
      </w:r>
      <w:r w:rsidR="0084295B" w:rsidRPr="00506576">
        <w:rPr>
          <w:rFonts w:ascii="Times New Roman" w:hAnsi="Times New Roman"/>
          <w:szCs w:val="22"/>
        </w:rPr>
        <w:t xml:space="preserve">, </w:t>
      </w:r>
      <w:r w:rsidR="00E33132" w:rsidRPr="00506576">
        <w:rPr>
          <w:rFonts w:ascii="Times New Roman" w:hAnsi="Times New Roman"/>
          <w:szCs w:val="22"/>
        </w:rPr>
        <w:t>perhaps US judges are less tolerant of corporate machinations</w:t>
      </w:r>
      <w:r w:rsidR="0084295B" w:rsidRPr="00506576">
        <w:rPr>
          <w:rFonts w:ascii="Times New Roman" w:hAnsi="Times New Roman"/>
          <w:szCs w:val="22"/>
        </w:rPr>
        <w:t xml:space="preserve">, or perhaps </w:t>
      </w:r>
      <w:r w:rsidR="00905F8A" w:rsidRPr="00506576">
        <w:rPr>
          <w:rFonts w:ascii="Times New Roman" w:hAnsi="Times New Roman"/>
          <w:szCs w:val="22"/>
        </w:rPr>
        <w:t xml:space="preserve">US judges rely </w:t>
      </w:r>
      <w:r w:rsidR="00C64D42" w:rsidRPr="00506576">
        <w:rPr>
          <w:rFonts w:ascii="Times New Roman" w:hAnsi="Times New Roman"/>
          <w:szCs w:val="22"/>
        </w:rPr>
        <w:t xml:space="preserve">heavily </w:t>
      </w:r>
      <w:r w:rsidR="00905F8A" w:rsidRPr="00506576">
        <w:rPr>
          <w:rFonts w:ascii="Times New Roman" w:hAnsi="Times New Roman"/>
          <w:szCs w:val="22"/>
        </w:rPr>
        <w:t xml:space="preserve">on the </w:t>
      </w:r>
      <w:r w:rsidR="0084295B" w:rsidRPr="00506576">
        <w:rPr>
          <w:rFonts w:ascii="Times New Roman" w:hAnsi="Times New Roman"/>
          <w:szCs w:val="22"/>
        </w:rPr>
        <w:t xml:space="preserve">judicially-created sham doctrines </w:t>
      </w:r>
      <w:r w:rsidR="00905F8A" w:rsidRPr="00506576">
        <w:rPr>
          <w:rFonts w:ascii="Times New Roman" w:hAnsi="Times New Roman"/>
          <w:szCs w:val="22"/>
        </w:rPr>
        <w:t xml:space="preserve">due to the historic lack of </w:t>
      </w:r>
      <w:r w:rsidR="00C87519" w:rsidRPr="00506576">
        <w:rPr>
          <w:rFonts w:ascii="Times New Roman" w:hAnsi="Times New Roman"/>
          <w:szCs w:val="22"/>
        </w:rPr>
        <w:t xml:space="preserve">statutory General Anti-Avoidance Rule </w:t>
      </w:r>
      <w:r w:rsidR="00905F8A" w:rsidRPr="00506576">
        <w:rPr>
          <w:rFonts w:ascii="Times New Roman" w:hAnsi="Times New Roman"/>
          <w:szCs w:val="22"/>
        </w:rPr>
        <w:t xml:space="preserve">similar to the one that </w:t>
      </w:r>
      <w:r w:rsidR="00C87519" w:rsidRPr="00506576">
        <w:rPr>
          <w:rFonts w:ascii="Times New Roman" w:hAnsi="Times New Roman"/>
          <w:szCs w:val="22"/>
        </w:rPr>
        <w:t xml:space="preserve">exists </w:t>
      </w:r>
      <w:r w:rsidR="00905F8A" w:rsidRPr="00506576">
        <w:rPr>
          <w:rFonts w:ascii="Times New Roman" w:hAnsi="Times New Roman"/>
          <w:szCs w:val="22"/>
        </w:rPr>
        <w:t>in many other countries</w:t>
      </w:r>
      <w:r w:rsidR="00E33132" w:rsidRPr="00506576">
        <w:rPr>
          <w:rFonts w:ascii="Times New Roman" w:hAnsi="Times New Roman"/>
          <w:szCs w:val="22"/>
        </w:rPr>
        <w:t xml:space="preserve">.  We do not have </w:t>
      </w:r>
      <w:r w:rsidR="0084295B" w:rsidRPr="00506576">
        <w:rPr>
          <w:rFonts w:ascii="Times New Roman" w:hAnsi="Times New Roman"/>
          <w:szCs w:val="22"/>
        </w:rPr>
        <w:t xml:space="preserve">the </w:t>
      </w:r>
      <w:r w:rsidR="00E33132" w:rsidRPr="00506576">
        <w:rPr>
          <w:rFonts w:ascii="Times New Roman" w:hAnsi="Times New Roman"/>
          <w:szCs w:val="22"/>
        </w:rPr>
        <w:t xml:space="preserve">data to provide insight into these </w:t>
      </w:r>
      <w:r w:rsidR="002412CA" w:rsidRPr="00506576">
        <w:rPr>
          <w:rFonts w:ascii="Times New Roman" w:hAnsi="Times New Roman"/>
          <w:szCs w:val="22"/>
        </w:rPr>
        <w:t>comparative</w:t>
      </w:r>
      <w:r w:rsidR="00BA59F8" w:rsidRPr="00506576">
        <w:rPr>
          <w:rFonts w:ascii="Times New Roman" w:hAnsi="Times New Roman"/>
          <w:szCs w:val="22"/>
        </w:rPr>
        <w:t xml:space="preserve"> </w:t>
      </w:r>
      <w:r w:rsidR="00E33132" w:rsidRPr="00506576">
        <w:rPr>
          <w:rFonts w:ascii="Times New Roman" w:hAnsi="Times New Roman"/>
          <w:szCs w:val="22"/>
        </w:rPr>
        <w:t xml:space="preserve">issues, but we do have the data necessary </w:t>
      </w:r>
      <w:r w:rsidR="002948D8" w:rsidRPr="00506576">
        <w:rPr>
          <w:rFonts w:ascii="Times New Roman" w:hAnsi="Times New Roman"/>
          <w:szCs w:val="22"/>
        </w:rPr>
        <w:t xml:space="preserve">to identify </w:t>
      </w:r>
      <w:r w:rsidR="00E33132" w:rsidRPr="00506576">
        <w:rPr>
          <w:rFonts w:ascii="Times New Roman" w:hAnsi="Times New Roman"/>
          <w:szCs w:val="22"/>
        </w:rPr>
        <w:t xml:space="preserve">the factors that persuade </w:t>
      </w:r>
      <w:r w:rsidR="002948D8" w:rsidRPr="00506576">
        <w:rPr>
          <w:rFonts w:ascii="Times New Roman" w:hAnsi="Times New Roman"/>
          <w:szCs w:val="22"/>
        </w:rPr>
        <w:t>US courts</w:t>
      </w:r>
      <w:r w:rsidR="00E33132" w:rsidRPr="00506576">
        <w:rPr>
          <w:rFonts w:ascii="Times New Roman" w:hAnsi="Times New Roman"/>
          <w:szCs w:val="22"/>
        </w:rPr>
        <w:t xml:space="preserve"> that a corporation has engaged in a sham activitiy. </w:t>
      </w:r>
      <w:r w:rsidR="00C64D42" w:rsidRPr="00506576">
        <w:rPr>
          <w:rFonts w:ascii="Times New Roman" w:hAnsi="Times New Roman"/>
          <w:szCs w:val="22"/>
        </w:rPr>
        <w:t xml:space="preserve"> After we investigate shams in the US tax context, we provide a brief overview of </w:t>
      </w:r>
      <w:r w:rsidR="00A838E9">
        <w:rPr>
          <w:rFonts w:ascii="Times New Roman" w:hAnsi="Times New Roman"/>
          <w:szCs w:val="22"/>
        </w:rPr>
        <w:t>the types of sham activities that</w:t>
      </w:r>
      <w:r w:rsidR="00C64D42" w:rsidRPr="00506576">
        <w:rPr>
          <w:rFonts w:ascii="Times New Roman" w:hAnsi="Times New Roman"/>
          <w:szCs w:val="22"/>
        </w:rPr>
        <w:t xml:space="preserve"> US courts have considered in a variety of other legal contexts.</w:t>
      </w:r>
    </w:p>
    <w:p w14:paraId="30BE3E3E" w14:textId="2680F306" w:rsidR="0088548E" w:rsidRPr="00506576" w:rsidRDefault="009E4FE1" w:rsidP="0038208A">
      <w:pPr>
        <w:pStyle w:val="Subhead1"/>
        <w:rPr>
          <w:rFonts w:ascii="Times New Roman" w:hAnsi="Times New Roman"/>
          <w:sz w:val="22"/>
          <w:szCs w:val="22"/>
        </w:rPr>
      </w:pPr>
      <w:bookmarkStart w:id="3" w:name="_Toc319267148"/>
      <w:bookmarkStart w:id="4" w:name="_Toc332272300"/>
      <w:bookmarkStart w:id="5" w:name="_Toc337045511"/>
      <w:bookmarkStart w:id="6" w:name="_Toc338056854"/>
      <w:r>
        <w:rPr>
          <w:rFonts w:ascii="Times New Roman" w:hAnsi="Times New Roman"/>
          <w:sz w:val="22"/>
          <w:szCs w:val="22"/>
        </w:rPr>
        <w:t>I.</w:t>
      </w:r>
      <w:r w:rsidR="00C56C1A" w:rsidRPr="00506576">
        <w:rPr>
          <w:rFonts w:ascii="Times New Roman" w:hAnsi="Times New Roman"/>
          <w:sz w:val="22"/>
          <w:szCs w:val="22"/>
        </w:rPr>
        <w:br/>
      </w:r>
      <w:r w:rsidR="006919F4" w:rsidRPr="00506576">
        <w:rPr>
          <w:rFonts w:ascii="Times New Roman" w:hAnsi="Times New Roman"/>
          <w:sz w:val="22"/>
          <w:szCs w:val="22"/>
        </w:rPr>
        <w:t>Corporate Tax Abuse and Judicial Uncertainty</w:t>
      </w:r>
      <w:bookmarkEnd w:id="3"/>
      <w:bookmarkEnd w:id="4"/>
      <w:bookmarkEnd w:id="5"/>
      <w:bookmarkEnd w:id="6"/>
      <w:r w:rsidR="00B715D5" w:rsidRPr="00506576">
        <w:rPr>
          <w:rFonts w:ascii="Times New Roman" w:hAnsi="Times New Roman"/>
          <w:sz w:val="22"/>
          <w:szCs w:val="22"/>
        </w:rPr>
        <w:t xml:space="preserve"> in the US</w:t>
      </w:r>
    </w:p>
    <w:p w14:paraId="37579B4F" w14:textId="6D7F0DC0" w:rsidR="006919F4" w:rsidRPr="00506576" w:rsidRDefault="0088548E" w:rsidP="006919F4">
      <w:pPr>
        <w:pStyle w:val="Document"/>
        <w:rPr>
          <w:rFonts w:ascii="Times New Roman" w:eastAsia="Calibri" w:hAnsi="Times New Roman"/>
          <w:szCs w:val="22"/>
        </w:rPr>
      </w:pPr>
      <w:r w:rsidRPr="00506576">
        <w:rPr>
          <w:rFonts w:ascii="Times New Roman" w:eastAsia="Calibri" w:hAnsi="Times New Roman"/>
          <w:szCs w:val="22"/>
        </w:rPr>
        <w:t>T</w:t>
      </w:r>
      <w:r w:rsidR="006919F4" w:rsidRPr="00506576">
        <w:rPr>
          <w:rFonts w:ascii="Times New Roman" w:eastAsia="Calibri" w:hAnsi="Times New Roman"/>
          <w:szCs w:val="22"/>
        </w:rPr>
        <w:t xml:space="preserve">axes are a prime focus of </w:t>
      </w:r>
      <w:r w:rsidRPr="00506576">
        <w:rPr>
          <w:rFonts w:ascii="Times New Roman" w:eastAsia="Calibri" w:hAnsi="Times New Roman"/>
          <w:szCs w:val="22"/>
        </w:rPr>
        <w:t>corporate cost-reduction strategies</w:t>
      </w:r>
      <w:r w:rsidR="006919F4" w:rsidRPr="00506576">
        <w:rPr>
          <w:rFonts w:ascii="Times New Roman" w:eastAsia="Calibri" w:hAnsi="Times New Roman"/>
          <w:szCs w:val="22"/>
        </w:rPr>
        <w:t xml:space="preserve">. As discussed in detail below, tax planning offers a lucrative means </w:t>
      </w:r>
      <w:r w:rsidRPr="00506576">
        <w:rPr>
          <w:rFonts w:ascii="Times New Roman" w:eastAsia="Calibri" w:hAnsi="Times New Roman"/>
          <w:szCs w:val="22"/>
        </w:rPr>
        <w:t xml:space="preserve">to preserve corporate profits precisely because the tax law is so complex. </w:t>
      </w:r>
      <w:r w:rsidR="00EA0178" w:rsidRPr="00506576">
        <w:rPr>
          <w:rFonts w:ascii="Times New Roman" w:eastAsia="Calibri" w:hAnsi="Times New Roman"/>
          <w:szCs w:val="22"/>
        </w:rPr>
        <w:t>US c</w:t>
      </w:r>
      <w:r w:rsidRPr="00506576">
        <w:rPr>
          <w:rFonts w:ascii="Times New Roman" w:eastAsia="Calibri" w:hAnsi="Times New Roman"/>
          <w:szCs w:val="22"/>
        </w:rPr>
        <w:t>orporate m</w:t>
      </w:r>
      <w:r w:rsidR="006919F4" w:rsidRPr="00506576">
        <w:rPr>
          <w:rFonts w:ascii="Times New Roman" w:eastAsia="Calibri" w:hAnsi="Times New Roman"/>
          <w:szCs w:val="22"/>
        </w:rPr>
        <w:t>anagers</w:t>
      </w:r>
      <w:r w:rsidR="002412CA" w:rsidRPr="00506576">
        <w:rPr>
          <w:rFonts w:ascii="Times New Roman" w:eastAsia="Calibri" w:hAnsi="Times New Roman"/>
          <w:szCs w:val="22"/>
        </w:rPr>
        <w:t xml:space="preserve"> </w:t>
      </w:r>
      <w:r w:rsidR="006919F4" w:rsidRPr="00506576">
        <w:rPr>
          <w:rFonts w:ascii="Times New Roman" w:eastAsia="Calibri" w:hAnsi="Times New Roman"/>
          <w:szCs w:val="22"/>
        </w:rPr>
        <w:t xml:space="preserve">may take advantage of explicit corporate tax preferences in the </w:t>
      </w:r>
      <w:r w:rsidR="00116F55" w:rsidRPr="00506576">
        <w:rPr>
          <w:rFonts w:ascii="Times New Roman" w:eastAsia="Calibri" w:hAnsi="Times New Roman"/>
          <w:szCs w:val="22"/>
        </w:rPr>
        <w:t xml:space="preserve"> </w:t>
      </w:r>
      <w:r w:rsidR="006919F4" w:rsidRPr="00506576">
        <w:rPr>
          <w:rFonts w:ascii="Times New Roman" w:eastAsia="Calibri" w:hAnsi="Times New Roman"/>
          <w:szCs w:val="22"/>
        </w:rPr>
        <w:lastRenderedPageBreak/>
        <w:t>Internal Revenue Code</w:t>
      </w:r>
      <w:r w:rsidRPr="00506576">
        <w:rPr>
          <w:rFonts w:ascii="Times New Roman" w:eastAsia="Calibri" w:hAnsi="Times New Roman"/>
          <w:szCs w:val="22"/>
        </w:rPr>
        <w:t xml:space="preserve"> (IRC)</w:t>
      </w:r>
      <w:r w:rsidR="002412CA" w:rsidRPr="00506576">
        <w:rPr>
          <w:rFonts w:ascii="Times New Roman" w:eastAsia="Calibri" w:hAnsi="Times New Roman"/>
          <w:szCs w:val="22"/>
        </w:rPr>
        <w:t xml:space="preserve">.  For example, they </w:t>
      </w:r>
      <w:r w:rsidR="00F821A9" w:rsidRPr="00506576">
        <w:rPr>
          <w:rFonts w:ascii="Times New Roman" w:eastAsia="Calibri" w:hAnsi="Times New Roman"/>
          <w:szCs w:val="22"/>
        </w:rPr>
        <w:t xml:space="preserve">may </w:t>
      </w:r>
      <w:r w:rsidR="00116F55" w:rsidRPr="00506576">
        <w:rPr>
          <w:rFonts w:ascii="Times New Roman" w:eastAsia="Calibri" w:hAnsi="Times New Roman"/>
          <w:szCs w:val="22"/>
        </w:rPr>
        <w:t>purchase</w:t>
      </w:r>
      <w:r w:rsidR="006919F4" w:rsidRPr="00506576">
        <w:rPr>
          <w:rFonts w:ascii="Times New Roman" w:eastAsia="Calibri" w:hAnsi="Times New Roman"/>
          <w:szCs w:val="22"/>
        </w:rPr>
        <w:t xml:space="preserve"> particular types of software or transportation vehicles that are entitled to highly accelerated depreciation. On the other hand, </w:t>
      </w:r>
      <w:r w:rsidRPr="00506576">
        <w:rPr>
          <w:rFonts w:ascii="Times New Roman" w:eastAsia="Calibri" w:hAnsi="Times New Roman"/>
          <w:szCs w:val="22"/>
        </w:rPr>
        <w:t>managers</w:t>
      </w:r>
      <w:r w:rsidR="006919F4" w:rsidRPr="00506576">
        <w:rPr>
          <w:rFonts w:ascii="Times New Roman" w:eastAsia="Calibri" w:hAnsi="Times New Roman"/>
          <w:szCs w:val="22"/>
        </w:rPr>
        <w:t xml:space="preserve"> may pursue t</w:t>
      </w:r>
      <w:r w:rsidR="004E7BD0" w:rsidRPr="00506576">
        <w:rPr>
          <w:rFonts w:ascii="Times New Roman" w:eastAsia="Calibri" w:hAnsi="Times New Roman"/>
          <w:szCs w:val="22"/>
        </w:rPr>
        <w:t>ax strategies that employ hyper</w:t>
      </w:r>
      <w:r w:rsidR="006919F4" w:rsidRPr="00506576">
        <w:rPr>
          <w:rFonts w:ascii="Times New Roman" w:eastAsia="Calibri" w:hAnsi="Times New Roman"/>
          <w:szCs w:val="22"/>
        </w:rPr>
        <w:t xml:space="preserve">literal readings of the </w:t>
      </w:r>
      <w:r w:rsidRPr="00506576">
        <w:rPr>
          <w:rFonts w:ascii="Times New Roman" w:eastAsia="Calibri" w:hAnsi="Times New Roman"/>
          <w:szCs w:val="22"/>
        </w:rPr>
        <w:t>IRC</w:t>
      </w:r>
      <w:r w:rsidR="006919F4" w:rsidRPr="00506576">
        <w:rPr>
          <w:rFonts w:ascii="Times New Roman" w:eastAsia="Calibri" w:hAnsi="Times New Roman"/>
          <w:szCs w:val="22"/>
        </w:rPr>
        <w:t xml:space="preserve"> that produce valuable tax benefits (such as tax deductions, tax credits</w:t>
      </w:r>
      <w:r w:rsidR="00CE6A4D" w:rsidRPr="00506576">
        <w:rPr>
          <w:rFonts w:ascii="Times New Roman" w:eastAsia="Calibri" w:hAnsi="Times New Roman"/>
          <w:szCs w:val="22"/>
        </w:rPr>
        <w:t>,</w:t>
      </w:r>
      <w:r w:rsidR="006919F4" w:rsidRPr="00506576">
        <w:rPr>
          <w:rFonts w:ascii="Times New Roman" w:eastAsia="Calibri" w:hAnsi="Times New Roman"/>
          <w:szCs w:val="22"/>
        </w:rPr>
        <w:t xml:space="preserve"> and tax exemptions) without having any meaningful effect on the economic positions of their corporations. The latter collection of tax strategies is widely perceived to be “abusive” because the plans fail to reflect economic reality and produce tax results that Congress</w:t>
      </w:r>
      <w:r w:rsidR="003D1F3E" w:rsidRPr="00506576">
        <w:rPr>
          <w:rFonts w:ascii="Times New Roman" w:eastAsia="Calibri" w:hAnsi="Times New Roman"/>
          <w:szCs w:val="22"/>
        </w:rPr>
        <w:t xml:space="preserve"> never envisioned</w:t>
      </w:r>
      <w:r w:rsidR="006919F4" w:rsidRPr="00506576">
        <w:rPr>
          <w:rFonts w:ascii="Times New Roman" w:eastAsia="Calibri" w:hAnsi="Times New Roman"/>
          <w:szCs w:val="22"/>
        </w:rPr>
        <w:t>.</w:t>
      </w:r>
    </w:p>
    <w:p w14:paraId="36EE0802" w14:textId="76AB9356"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szCs w:val="22"/>
        </w:rPr>
        <w:t>In the earliest forms of corporate tax abuse, corporations deployed relatively simple strategies. For example, business taxpayers</w:t>
      </w:r>
      <w:r w:rsidR="0088548E" w:rsidRPr="00506576">
        <w:rPr>
          <w:rFonts w:ascii="Times New Roman" w:eastAsia="Calibri" w:hAnsi="Times New Roman"/>
          <w:szCs w:val="22"/>
        </w:rPr>
        <w:t xml:space="preserve"> attempt</w:t>
      </w:r>
      <w:r w:rsidR="003E487B" w:rsidRPr="00506576">
        <w:rPr>
          <w:rFonts w:ascii="Times New Roman" w:eastAsia="Calibri" w:hAnsi="Times New Roman"/>
          <w:szCs w:val="22"/>
        </w:rPr>
        <w:t>ed</w:t>
      </w:r>
      <w:r w:rsidRPr="00506576">
        <w:rPr>
          <w:rFonts w:ascii="Times New Roman" w:eastAsia="Calibri" w:hAnsi="Times New Roman"/>
          <w:szCs w:val="22"/>
        </w:rPr>
        <w:t xml:space="preserve"> to characterize themselves as partnerships, which were not subject to entity-level taxation, as opposed to corporations, which were.</w:t>
      </w:r>
      <w:r w:rsidR="0088548E" w:rsidRPr="00506576">
        <w:rPr>
          <w:rFonts w:ascii="Times New Roman" w:eastAsia="Calibri" w:hAnsi="Times New Roman"/>
          <w:szCs w:val="22"/>
        </w:rPr>
        <w:t xml:space="preserve"> In another early strategy,</w:t>
      </w:r>
      <w:r w:rsidRPr="00506576">
        <w:rPr>
          <w:rFonts w:ascii="Times New Roman" w:eastAsia="Calibri" w:hAnsi="Times New Roman"/>
          <w:szCs w:val="22"/>
        </w:rPr>
        <w:t xml:space="preserve"> corporations</w:t>
      </w:r>
      <w:r w:rsidR="0088548E" w:rsidRPr="00506576">
        <w:rPr>
          <w:rFonts w:ascii="Times New Roman" w:eastAsia="Calibri" w:hAnsi="Times New Roman"/>
          <w:szCs w:val="22"/>
        </w:rPr>
        <w:t xml:space="preserve"> frequently </w:t>
      </w:r>
      <w:r w:rsidR="00C30CB4" w:rsidRPr="00506576">
        <w:rPr>
          <w:rFonts w:ascii="Times New Roman" w:eastAsia="Calibri" w:hAnsi="Times New Roman"/>
          <w:szCs w:val="22"/>
        </w:rPr>
        <w:t xml:space="preserve">sought </w:t>
      </w:r>
      <w:r w:rsidRPr="00506576">
        <w:rPr>
          <w:rFonts w:ascii="Times New Roman" w:eastAsia="Calibri" w:hAnsi="Times New Roman"/>
          <w:szCs w:val="22"/>
        </w:rPr>
        <w:t xml:space="preserve">to eliminate corporate taxation by disguising payments to shareholders as items </w:t>
      </w:r>
      <w:r w:rsidR="00C30CB4" w:rsidRPr="00506576">
        <w:rPr>
          <w:rFonts w:ascii="Times New Roman" w:eastAsia="Calibri" w:hAnsi="Times New Roman"/>
          <w:szCs w:val="22"/>
        </w:rPr>
        <w:t>generating</w:t>
      </w:r>
      <w:r w:rsidRPr="00506576">
        <w:rPr>
          <w:rFonts w:ascii="Times New Roman" w:eastAsia="Calibri" w:hAnsi="Times New Roman"/>
          <w:szCs w:val="22"/>
        </w:rPr>
        <w:t xml:space="preserve"> tax deductions, such as rental or salary payments, even though in reality </w:t>
      </w:r>
      <w:r w:rsidR="0088548E" w:rsidRPr="00506576">
        <w:rPr>
          <w:rFonts w:ascii="Times New Roman" w:eastAsia="Calibri" w:hAnsi="Times New Roman"/>
          <w:szCs w:val="22"/>
        </w:rPr>
        <w:t xml:space="preserve">such payments </w:t>
      </w:r>
      <w:r w:rsidR="004E7BD0" w:rsidRPr="00506576">
        <w:rPr>
          <w:rFonts w:ascii="Times New Roman" w:eastAsia="Calibri" w:hAnsi="Times New Roman"/>
          <w:szCs w:val="22"/>
        </w:rPr>
        <w:t xml:space="preserve">constituted </w:t>
      </w:r>
      <w:r w:rsidR="00441E24" w:rsidRPr="00506576">
        <w:rPr>
          <w:rFonts w:ascii="Times New Roman" w:eastAsia="Calibri" w:hAnsi="Times New Roman"/>
          <w:szCs w:val="22"/>
        </w:rPr>
        <w:t>non</w:t>
      </w:r>
      <w:r w:rsidRPr="00506576">
        <w:rPr>
          <w:rFonts w:ascii="Times New Roman" w:eastAsia="Calibri" w:hAnsi="Times New Roman"/>
          <w:szCs w:val="22"/>
        </w:rPr>
        <w:t>deductible dividends. Other corporations attempted to manipulate the characterization of their tax years by exploiting differences between the calendar year and their fiscal year.</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In each </w:t>
      </w:r>
      <w:r w:rsidR="00C30CB4" w:rsidRPr="00506576">
        <w:rPr>
          <w:rFonts w:ascii="Times New Roman" w:eastAsia="Calibri" w:hAnsi="Times New Roman"/>
          <w:szCs w:val="22"/>
        </w:rPr>
        <w:t>case</w:t>
      </w:r>
      <w:r w:rsidRPr="00506576">
        <w:rPr>
          <w:rFonts w:ascii="Times New Roman" w:eastAsia="Calibri" w:hAnsi="Times New Roman"/>
          <w:szCs w:val="22"/>
        </w:rPr>
        <w:t>, corporations aimed to exploit ambiguities in the newly forming statutory law</w:t>
      </w:r>
      <w:r w:rsidR="00394163" w:rsidRPr="00506576">
        <w:rPr>
          <w:rFonts w:ascii="Times New Roman" w:eastAsia="Calibri" w:hAnsi="Times New Roman"/>
          <w:szCs w:val="22"/>
        </w:rPr>
        <w:t xml:space="preserve"> in order</w:t>
      </w:r>
      <w:r w:rsidRPr="00506576">
        <w:rPr>
          <w:rFonts w:ascii="Times New Roman" w:eastAsia="Calibri" w:hAnsi="Times New Roman"/>
          <w:szCs w:val="22"/>
        </w:rPr>
        <w:t xml:space="preserve"> to reduce, or</w:t>
      </w:r>
      <w:r w:rsidR="00394163" w:rsidRPr="00506576">
        <w:rPr>
          <w:rFonts w:ascii="Times New Roman" w:eastAsia="Calibri" w:hAnsi="Times New Roman"/>
          <w:szCs w:val="22"/>
        </w:rPr>
        <w:t xml:space="preserve"> </w:t>
      </w:r>
      <w:r w:rsidRPr="00506576">
        <w:rPr>
          <w:rFonts w:ascii="Times New Roman" w:eastAsia="Calibri" w:hAnsi="Times New Roman"/>
          <w:szCs w:val="22"/>
        </w:rPr>
        <w:t>eliminate altogether, corporate tax liability.</w:t>
      </w:r>
    </w:p>
    <w:p w14:paraId="64B5F430" w14:textId="3E3F7EBA"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szCs w:val="22"/>
        </w:rPr>
        <w:t xml:space="preserve">Over </w:t>
      </w:r>
      <w:r w:rsidR="00C30CB4" w:rsidRPr="00506576">
        <w:rPr>
          <w:rFonts w:ascii="Times New Roman" w:eastAsia="Calibri" w:hAnsi="Times New Roman"/>
          <w:szCs w:val="22"/>
        </w:rPr>
        <w:t xml:space="preserve">the last </w:t>
      </w:r>
      <w:r w:rsidRPr="00506576">
        <w:rPr>
          <w:rFonts w:ascii="Times New Roman" w:eastAsia="Calibri" w:hAnsi="Times New Roman"/>
          <w:szCs w:val="22"/>
        </w:rPr>
        <w:t>century</w:t>
      </w:r>
      <w:r w:rsidR="00C30CB4" w:rsidRPr="00506576">
        <w:rPr>
          <w:rFonts w:ascii="Times New Roman" w:eastAsia="Calibri" w:hAnsi="Times New Roman"/>
          <w:szCs w:val="22"/>
        </w:rPr>
        <w:t>,</w:t>
      </w:r>
      <w:r w:rsidRPr="00506576">
        <w:rPr>
          <w:rFonts w:ascii="Times New Roman" w:eastAsia="Calibri" w:hAnsi="Times New Roman"/>
          <w:szCs w:val="22"/>
        </w:rPr>
        <w:t xml:space="preserve"> corporate tax strategies have </w:t>
      </w:r>
      <w:r w:rsidR="00C30CB4" w:rsidRPr="00506576">
        <w:rPr>
          <w:rFonts w:ascii="Times New Roman" w:eastAsia="Calibri" w:hAnsi="Times New Roman"/>
          <w:szCs w:val="22"/>
        </w:rPr>
        <w:t xml:space="preserve">increased in </w:t>
      </w:r>
      <w:r w:rsidR="00F821A9" w:rsidRPr="00506576">
        <w:rPr>
          <w:rFonts w:ascii="Times New Roman" w:eastAsia="Calibri" w:hAnsi="Times New Roman"/>
          <w:szCs w:val="22"/>
        </w:rPr>
        <w:t xml:space="preserve">variety </w:t>
      </w:r>
      <w:r w:rsidR="00C30CB4" w:rsidRPr="00506576">
        <w:rPr>
          <w:rFonts w:ascii="Times New Roman" w:eastAsia="Calibri" w:hAnsi="Times New Roman"/>
          <w:szCs w:val="22"/>
        </w:rPr>
        <w:t xml:space="preserve">and </w:t>
      </w:r>
      <w:r w:rsidRPr="00506576">
        <w:rPr>
          <w:rFonts w:ascii="Times New Roman" w:eastAsia="Calibri" w:hAnsi="Times New Roman"/>
          <w:szCs w:val="22"/>
        </w:rPr>
        <w:t>complexity. The mass marketing of these strategies by major accounting firms and other tax advisors in the late 1990s and early 2000s led to a corporate tax abuse boom that commentators described in terms such as an “epidemic,”</w:t>
      </w:r>
      <w:r w:rsidR="00AA7699" w:rsidRPr="00506576">
        <w:rPr>
          <w:rFonts w:ascii="Times New Roman" w:eastAsia="Calibri" w:hAnsi="Times New Roman"/>
          <w:szCs w:val="22"/>
        </w:rPr>
        <w:t xml:space="preserve"> </w:t>
      </w:r>
      <w:r w:rsidRPr="00506576">
        <w:rPr>
          <w:rFonts w:ascii="Times New Roman" w:eastAsia="Calibri" w:hAnsi="Times New Roman"/>
          <w:szCs w:val="22"/>
        </w:rPr>
        <w:t>a “crisis,”</w:t>
      </w:r>
      <w:r w:rsidR="00AA7699" w:rsidRPr="00506576">
        <w:rPr>
          <w:rFonts w:ascii="Times New Roman" w:eastAsia="Calibri" w:hAnsi="Times New Roman"/>
          <w:szCs w:val="22"/>
        </w:rPr>
        <w:t xml:space="preserve"> </w:t>
      </w:r>
      <w:r w:rsidRPr="00506576">
        <w:rPr>
          <w:rFonts w:ascii="Times New Roman" w:eastAsia="Calibri" w:hAnsi="Times New Roman"/>
          <w:szCs w:val="22"/>
        </w:rPr>
        <w:t>and a “beast”</w:t>
      </w:r>
      <w:r w:rsidR="00AA7699" w:rsidRPr="00506576">
        <w:rPr>
          <w:rFonts w:ascii="Times New Roman" w:eastAsia="Calibri" w:hAnsi="Times New Roman"/>
          <w:szCs w:val="22"/>
        </w:rPr>
        <w:t xml:space="preserve"> </w:t>
      </w:r>
      <w:r w:rsidRPr="00506576">
        <w:rPr>
          <w:rFonts w:ascii="Times New Roman" w:eastAsia="Calibri" w:hAnsi="Times New Roman"/>
          <w:szCs w:val="22"/>
        </w:rPr>
        <w:t>that must be “slay[ed].”</w:t>
      </w:r>
      <w:r w:rsidR="00AA7699" w:rsidRPr="00506576">
        <w:rPr>
          <w:rFonts w:ascii="Times New Roman" w:eastAsia="Calibri" w:hAnsi="Times New Roman"/>
          <w:szCs w:val="22"/>
        </w:rPr>
        <w:t xml:space="preserve"> </w:t>
      </w:r>
      <w:r w:rsidRPr="00506576">
        <w:rPr>
          <w:rFonts w:ascii="Times New Roman" w:eastAsia="Calibri" w:hAnsi="Times New Roman"/>
          <w:szCs w:val="22"/>
        </w:rPr>
        <w:t>Modern corporate tax abuse strategies often involve multiple transaction steps, parties</w:t>
      </w:r>
      <w:r w:rsidR="00CF5EEE" w:rsidRPr="00506576">
        <w:rPr>
          <w:rFonts w:ascii="Times New Roman" w:eastAsia="Calibri" w:hAnsi="Times New Roman"/>
          <w:szCs w:val="22"/>
        </w:rPr>
        <w:t>,</w:t>
      </w:r>
      <w:r w:rsidRPr="00506576">
        <w:rPr>
          <w:rFonts w:ascii="Times New Roman" w:eastAsia="Calibri" w:hAnsi="Times New Roman"/>
          <w:szCs w:val="22"/>
        </w:rPr>
        <w:t xml:space="preserve"> and tax jurisdictions. An abusive</w:t>
      </w:r>
      <w:r w:rsidR="00C30CB4" w:rsidRPr="00506576">
        <w:rPr>
          <w:rFonts w:ascii="Times New Roman" w:eastAsia="Calibri" w:hAnsi="Times New Roman"/>
          <w:szCs w:val="22"/>
        </w:rPr>
        <w:t xml:space="preserve"> corporate tax strategy today </w:t>
      </w:r>
      <w:r w:rsidRPr="00506576">
        <w:rPr>
          <w:rFonts w:ascii="Times New Roman" w:eastAsia="Calibri" w:hAnsi="Times New Roman"/>
          <w:szCs w:val="22"/>
        </w:rPr>
        <w:t>may feature a transaction in which a corporation purchases millions of dollars of stock, sells that stock back to its original owner several minutes later, and then claims millions of dollars in foreign tax credits. Or it may involve multiple steps in which a corporation participates in a transaction with a Luxembourg bank that enables it to increase its tax basis in stock, which it then sells to a third party, generating a large tax-deductible loss. While the latest forms of abusive corporate tax strategies are certainly more sophisticated than their predecessors, their basic objective—avoidance of corporate tax liability through an application of tax law that Congress never envisioned—remains the same.</w:t>
      </w:r>
    </w:p>
    <w:p w14:paraId="3365CFDF" w14:textId="49C61079" w:rsidR="006919F4" w:rsidRPr="00506576" w:rsidRDefault="00935A86" w:rsidP="00935A86">
      <w:pPr>
        <w:pStyle w:val="SubHead3"/>
        <w:rPr>
          <w:rFonts w:ascii="Times New Roman" w:eastAsia="Calibri" w:hAnsi="Times New Roman"/>
          <w:szCs w:val="22"/>
        </w:rPr>
      </w:pPr>
      <w:bookmarkStart w:id="7" w:name="_Toc319267150"/>
      <w:bookmarkStart w:id="8" w:name="_Toc332272302"/>
      <w:bookmarkStart w:id="9" w:name="_Toc337045081"/>
      <w:bookmarkStart w:id="10" w:name="_Toc337045513"/>
      <w:bookmarkStart w:id="11" w:name="_Toc338056856"/>
      <w:r w:rsidRPr="00506576">
        <w:rPr>
          <w:rFonts w:ascii="Times New Roman" w:eastAsia="Calibri" w:hAnsi="Times New Roman"/>
          <w:szCs w:val="22"/>
        </w:rPr>
        <w:t>A.</w:t>
      </w:r>
      <w:r w:rsidRPr="00506576">
        <w:rPr>
          <w:rFonts w:ascii="Times New Roman" w:eastAsia="Calibri" w:hAnsi="Times New Roman"/>
          <w:szCs w:val="22"/>
        </w:rPr>
        <w:tab/>
      </w:r>
      <w:r w:rsidR="007B4716" w:rsidRPr="00506576">
        <w:rPr>
          <w:rFonts w:ascii="Times New Roman" w:eastAsia="Calibri" w:hAnsi="Times New Roman"/>
          <w:szCs w:val="22"/>
        </w:rPr>
        <w:t>Anti-A</w:t>
      </w:r>
      <w:r w:rsidR="006919F4" w:rsidRPr="00506576">
        <w:rPr>
          <w:rFonts w:ascii="Times New Roman" w:eastAsia="Calibri" w:hAnsi="Times New Roman"/>
          <w:szCs w:val="22"/>
        </w:rPr>
        <w:t>buse Standards</w:t>
      </w:r>
      <w:bookmarkEnd w:id="7"/>
      <w:bookmarkEnd w:id="8"/>
      <w:bookmarkEnd w:id="9"/>
      <w:bookmarkEnd w:id="10"/>
      <w:bookmarkEnd w:id="11"/>
      <w:r w:rsidR="00EA0178" w:rsidRPr="00506576">
        <w:rPr>
          <w:rFonts w:ascii="Times New Roman" w:eastAsia="Calibri" w:hAnsi="Times New Roman"/>
          <w:szCs w:val="22"/>
        </w:rPr>
        <w:t xml:space="preserve"> in US Courts</w:t>
      </w:r>
    </w:p>
    <w:p w14:paraId="63E47035" w14:textId="63601FF6"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szCs w:val="22"/>
        </w:rPr>
        <w:t xml:space="preserve">Corporate tax abuse is distinct from other forms of tax noncompliance because its legitimacy is judicially determined </w:t>
      </w:r>
      <w:r w:rsidR="00207283" w:rsidRPr="00506576">
        <w:rPr>
          <w:rFonts w:ascii="Times New Roman" w:eastAsia="Calibri" w:hAnsi="Times New Roman"/>
          <w:szCs w:val="22"/>
        </w:rPr>
        <w:t>ex post</w:t>
      </w:r>
      <w:r w:rsidRPr="00506576">
        <w:rPr>
          <w:rFonts w:ascii="Times New Roman" w:eastAsia="Calibri" w:hAnsi="Times New Roman"/>
          <w:szCs w:val="22"/>
        </w:rPr>
        <w:t xml:space="preserve">. To appreciate this distinction, consider corporate tax behavior that involves the violation of an </w:t>
      </w:r>
      <w:r w:rsidRPr="00506576">
        <w:rPr>
          <w:rFonts w:ascii="Times New Roman" w:eastAsia="Calibri" w:hAnsi="Times New Roman"/>
          <w:szCs w:val="22"/>
        </w:rPr>
        <w:lastRenderedPageBreak/>
        <w:t xml:space="preserve">explicit tax rule, such as claiming a fraudulent tax deduction for a business expense that never actually was incurred, an activity that is illegal </w:t>
      </w:r>
      <w:r w:rsidR="004A44E3" w:rsidRPr="00506576">
        <w:rPr>
          <w:rFonts w:ascii="Times New Roman" w:eastAsia="Calibri" w:hAnsi="Times New Roman"/>
          <w:szCs w:val="22"/>
        </w:rPr>
        <w:t>ex ante</w:t>
      </w:r>
      <w:r w:rsidRPr="00506576">
        <w:rPr>
          <w:rFonts w:ascii="Times New Roman" w:eastAsia="Calibri" w:hAnsi="Times New Roman"/>
          <w:szCs w:val="22"/>
        </w:rPr>
        <w:t xml:space="preserve">. In other words, a clear tax rule informs corporate managers that </w:t>
      </w:r>
      <w:r w:rsidR="001647F1" w:rsidRPr="00506576">
        <w:rPr>
          <w:rFonts w:ascii="Times New Roman" w:eastAsia="Calibri" w:hAnsi="Times New Roman"/>
          <w:szCs w:val="22"/>
        </w:rPr>
        <w:t>a</w:t>
      </w:r>
      <w:r w:rsidRPr="00506576">
        <w:rPr>
          <w:rFonts w:ascii="Times New Roman" w:eastAsia="Calibri" w:hAnsi="Times New Roman"/>
          <w:szCs w:val="22"/>
        </w:rPr>
        <w:t xml:space="preserve"> tax position is prohibited </w:t>
      </w:r>
      <w:r w:rsidRPr="00506576">
        <w:rPr>
          <w:rFonts w:ascii="Times New Roman" w:eastAsia="Calibri" w:hAnsi="Times New Roman"/>
          <w:i/>
          <w:szCs w:val="22"/>
        </w:rPr>
        <w:t xml:space="preserve">before </w:t>
      </w:r>
      <w:r w:rsidRPr="00506576">
        <w:rPr>
          <w:rFonts w:ascii="Times New Roman" w:eastAsia="Calibri" w:hAnsi="Times New Roman"/>
          <w:szCs w:val="22"/>
        </w:rPr>
        <w:t xml:space="preserve">they claim it on </w:t>
      </w:r>
      <w:r w:rsidR="001647F1" w:rsidRPr="00506576">
        <w:rPr>
          <w:rFonts w:ascii="Times New Roman" w:eastAsia="Calibri" w:hAnsi="Times New Roman"/>
          <w:szCs w:val="22"/>
        </w:rPr>
        <w:t>a</w:t>
      </w:r>
      <w:r w:rsidRPr="00506576">
        <w:rPr>
          <w:rFonts w:ascii="Times New Roman" w:eastAsia="Calibri" w:hAnsi="Times New Roman"/>
          <w:szCs w:val="22"/>
        </w:rPr>
        <w:t xml:space="preserve"> corporate tax return. Now consider a tax strategy that corporate managers believe—or at least convince themselves they believe—complies with the literal language of the </w:t>
      </w:r>
      <w:r w:rsidR="00AB1257" w:rsidRPr="00506576">
        <w:rPr>
          <w:rFonts w:ascii="Times New Roman" w:eastAsia="Calibri" w:hAnsi="Times New Roman"/>
          <w:szCs w:val="22"/>
        </w:rPr>
        <w:t>IRC</w:t>
      </w:r>
      <w:r w:rsidRPr="00506576">
        <w:rPr>
          <w:rFonts w:ascii="Times New Roman" w:eastAsia="Calibri" w:hAnsi="Times New Roman"/>
          <w:szCs w:val="22"/>
        </w:rPr>
        <w:t xml:space="preserve">. Although no explicit rule in tax law prohibits </w:t>
      </w:r>
      <w:r w:rsidR="001647F1" w:rsidRPr="00506576">
        <w:rPr>
          <w:rFonts w:ascii="Times New Roman" w:eastAsia="Calibri" w:hAnsi="Times New Roman"/>
          <w:szCs w:val="22"/>
        </w:rPr>
        <w:t>a</w:t>
      </w:r>
      <w:r w:rsidRPr="00506576">
        <w:rPr>
          <w:rFonts w:ascii="Times New Roman" w:eastAsia="Calibri" w:hAnsi="Times New Roman"/>
          <w:szCs w:val="22"/>
        </w:rPr>
        <w:t xml:space="preserve"> corporation from claiming the resulting tax benefits, the</w:t>
      </w:r>
      <w:r w:rsidR="00556462" w:rsidRPr="00506576">
        <w:rPr>
          <w:rFonts w:ascii="Times New Roman" w:eastAsia="Calibri" w:hAnsi="Times New Roman"/>
          <w:szCs w:val="22"/>
        </w:rPr>
        <w:t xml:space="preserve"> Internal Revenue Service</w:t>
      </w:r>
      <w:r w:rsidRPr="00506576">
        <w:rPr>
          <w:rFonts w:ascii="Times New Roman" w:eastAsia="Calibri" w:hAnsi="Times New Roman"/>
          <w:szCs w:val="22"/>
        </w:rPr>
        <w:t xml:space="preserve"> </w:t>
      </w:r>
      <w:r w:rsidR="00556462" w:rsidRPr="00506576">
        <w:rPr>
          <w:rFonts w:ascii="Times New Roman" w:eastAsia="Calibri" w:hAnsi="Times New Roman"/>
          <w:szCs w:val="22"/>
        </w:rPr>
        <w:t>(</w:t>
      </w:r>
      <w:r w:rsidRPr="00506576">
        <w:rPr>
          <w:rFonts w:ascii="Times New Roman" w:eastAsia="Calibri" w:hAnsi="Times New Roman"/>
          <w:szCs w:val="22"/>
        </w:rPr>
        <w:t>IRS</w:t>
      </w:r>
      <w:r w:rsidR="00556462" w:rsidRPr="00506576">
        <w:rPr>
          <w:rFonts w:ascii="Times New Roman" w:eastAsia="Calibri" w:hAnsi="Times New Roman"/>
          <w:szCs w:val="22"/>
        </w:rPr>
        <w:t>)</w:t>
      </w:r>
      <w:r w:rsidRPr="00506576">
        <w:rPr>
          <w:rFonts w:ascii="Times New Roman" w:eastAsia="Calibri" w:hAnsi="Times New Roman"/>
          <w:szCs w:val="22"/>
        </w:rPr>
        <w:t xml:space="preserve"> may challenge the strategy and ask a court to declare it abusive </w:t>
      </w:r>
      <w:r w:rsidR="00207283" w:rsidRPr="00506576">
        <w:rPr>
          <w:rFonts w:ascii="Times New Roman" w:eastAsia="Calibri" w:hAnsi="Times New Roman"/>
          <w:szCs w:val="22"/>
        </w:rPr>
        <w:t>ex post</w:t>
      </w:r>
      <w:r w:rsidR="007F2F8B" w:rsidRPr="00506576">
        <w:rPr>
          <w:rFonts w:ascii="Times New Roman" w:eastAsia="Calibri" w:hAnsi="Times New Roman"/>
          <w:szCs w:val="22"/>
        </w:rPr>
        <w:t xml:space="preserve"> on the ground</w:t>
      </w:r>
      <w:r w:rsidRPr="00506576">
        <w:rPr>
          <w:rFonts w:ascii="Times New Roman" w:eastAsia="Calibri" w:hAnsi="Times New Roman"/>
          <w:szCs w:val="22"/>
        </w:rPr>
        <w:t xml:space="preserve"> that it enables the corporation to obtain unintended tax benefits that clash with the </w:t>
      </w:r>
      <w:r w:rsidR="00AB1257" w:rsidRPr="00506576">
        <w:rPr>
          <w:rFonts w:ascii="Times New Roman" w:eastAsia="Calibri" w:hAnsi="Times New Roman"/>
          <w:szCs w:val="22"/>
        </w:rPr>
        <w:t>IRC</w:t>
      </w:r>
      <w:r w:rsidRPr="00506576">
        <w:rPr>
          <w:rFonts w:ascii="Times New Roman" w:eastAsia="Calibri" w:hAnsi="Times New Roman"/>
          <w:szCs w:val="22"/>
        </w:rPr>
        <w:t>’s revenue-raising policy objectives</w:t>
      </w:r>
      <w:r w:rsidRPr="00506576">
        <w:rPr>
          <w:rFonts w:ascii="Times New Roman" w:eastAsia="Calibri" w:hAnsi="Times New Roman"/>
          <w:i/>
          <w:szCs w:val="22"/>
        </w:rPr>
        <w:t>.</w:t>
      </w:r>
      <w:r w:rsidRPr="00506576">
        <w:rPr>
          <w:rFonts w:ascii="Times New Roman" w:eastAsia="Calibri" w:hAnsi="Times New Roman"/>
          <w:szCs w:val="22"/>
        </w:rPr>
        <w:t xml:space="preserve"> The most prominent anti-abuse standards that courts apply when considering whether or not to respect corporate tax strategies </w:t>
      </w:r>
      <w:r w:rsidR="00207283" w:rsidRPr="00506576">
        <w:rPr>
          <w:rFonts w:ascii="Times New Roman" w:eastAsia="Calibri" w:hAnsi="Times New Roman"/>
          <w:szCs w:val="22"/>
        </w:rPr>
        <w:t>ex post</w:t>
      </w:r>
      <w:r w:rsidRPr="00506576">
        <w:rPr>
          <w:rFonts w:ascii="Times New Roman" w:eastAsia="Calibri" w:hAnsi="Times New Roman"/>
          <w:i/>
          <w:szCs w:val="22"/>
        </w:rPr>
        <w:t xml:space="preserve"> </w:t>
      </w:r>
      <w:r w:rsidRPr="00506576">
        <w:rPr>
          <w:rFonts w:ascii="Times New Roman" w:eastAsia="Calibri" w:hAnsi="Times New Roman"/>
          <w:szCs w:val="22"/>
        </w:rPr>
        <w:t xml:space="preserve">are </w:t>
      </w:r>
      <w:r w:rsidR="00533058" w:rsidRPr="00506576">
        <w:rPr>
          <w:rFonts w:ascii="Times New Roman" w:eastAsia="Calibri" w:hAnsi="Times New Roman"/>
          <w:szCs w:val="22"/>
        </w:rPr>
        <w:t>listed immediately below</w:t>
      </w:r>
      <w:r w:rsidRPr="00506576">
        <w:rPr>
          <w:rFonts w:ascii="Times New Roman" w:eastAsia="Calibri" w:hAnsi="Times New Roman"/>
          <w:szCs w:val="22"/>
        </w:rPr>
        <w:t>.</w:t>
      </w:r>
    </w:p>
    <w:p w14:paraId="4DB1850F" w14:textId="24ED88B4" w:rsidR="006919F4" w:rsidRPr="00506576" w:rsidRDefault="006919F4" w:rsidP="006919F4">
      <w:pPr>
        <w:pStyle w:val="Document"/>
        <w:rPr>
          <w:rFonts w:ascii="Times New Roman" w:eastAsia="Calibri" w:hAnsi="Times New Roman"/>
          <w:b/>
          <w:szCs w:val="22"/>
        </w:rPr>
      </w:pPr>
      <w:r w:rsidRPr="00506576">
        <w:rPr>
          <w:rFonts w:ascii="Times New Roman" w:eastAsia="Calibri" w:hAnsi="Times New Roman"/>
          <w:i/>
          <w:szCs w:val="22"/>
        </w:rPr>
        <w:t>Sham Transaction Doctrine</w:t>
      </w:r>
      <w:r w:rsidRPr="00506576">
        <w:rPr>
          <w:rFonts w:ascii="Times New Roman" w:eastAsia="Calibri" w:hAnsi="Times New Roman"/>
          <w:szCs w:val="22"/>
        </w:rPr>
        <w:t xml:space="preserve">. Under </w:t>
      </w:r>
      <w:r w:rsidR="00C30CB4" w:rsidRPr="00506576">
        <w:rPr>
          <w:rFonts w:ascii="Times New Roman" w:eastAsia="Calibri" w:hAnsi="Times New Roman"/>
          <w:szCs w:val="22"/>
        </w:rPr>
        <w:t>this</w:t>
      </w:r>
      <w:r w:rsidRPr="00506576">
        <w:rPr>
          <w:rFonts w:ascii="Times New Roman" w:eastAsia="Calibri" w:hAnsi="Times New Roman"/>
          <w:szCs w:val="22"/>
        </w:rPr>
        <w:t xml:space="preserve"> doctrine, a court disallow</w:t>
      </w:r>
      <w:r w:rsidR="00F821A9" w:rsidRPr="00506576">
        <w:rPr>
          <w:rFonts w:ascii="Times New Roman" w:eastAsia="Calibri" w:hAnsi="Times New Roman"/>
          <w:szCs w:val="22"/>
        </w:rPr>
        <w:t>s</w:t>
      </w:r>
      <w:r w:rsidRPr="00506576">
        <w:rPr>
          <w:rFonts w:ascii="Times New Roman" w:eastAsia="Calibri" w:hAnsi="Times New Roman"/>
          <w:szCs w:val="22"/>
        </w:rPr>
        <w:t xml:space="preserve"> a taxpayer’s claimed tax treatment if it determines that the substance of the underlying transaction at issue lacked any purpose other than tax avoidance.</w:t>
      </w:r>
      <w:r w:rsidRPr="00506576">
        <w:rPr>
          <w:rFonts w:ascii="Times New Roman" w:hAnsi="Times New Roman"/>
          <w:szCs w:val="22"/>
        </w:rPr>
        <w:t xml:space="preserve"> </w:t>
      </w:r>
      <w:r w:rsidRPr="00506576">
        <w:rPr>
          <w:rFonts w:ascii="Times New Roman" w:eastAsia="Calibri" w:hAnsi="Times New Roman"/>
          <w:szCs w:val="22"/>
        </w:rPr>
        <w:t>For example, if a corporation’s tax position in a particular year stemmed from</w:t>
      </w:r>
      <w:r w:rsidR="00AE17A6" w:rsidRPr="00506576">
        <w:rPr>
          <w:rFonts w:ascii="Times New Roman" w:eastAsia="Calibri" w:hAnsi="Times New Roman"/>
          <w:szCs w:val="22"/>
        </w:rPr>
        <w:t xml:space="preserve"> the corporation’s purchase of t</w:t>
      </w:r>
      <w:r w:rsidRPr="00506576">
        <w:rPr>
          <w:rFonts w:ascii="Times New Roman" w:eastAsia="Calibri" w:hAnsi="Times New Roman"/>
          <w:szCs w:val="22"/>
        </w:rPr>
        <w:t>reasury notes, but the corporation did not actually purchase the notes, a court could reject the corporation’s tax position as a sham.</w:t>
      </w:r>
    </w:p>
    <w:p w14:paraId="2E4A6831" w14:textId="79C7765C"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i/>
          <w:szCs w:val="22"/>
        </w:rPr>
        <w:t>Economic Substance Doctrine</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The precise contours of t</w:t>
      </w:r>
      <w:r w:rsidR="008B5B0B" w:rsidRPr="00506576">
        <w:rPr>
          <w:rFonts w:ascii="Times New Roman" w:eastAsia="Calibri" w:hAnsi="Times New Roman"/>
          <w:szCs w:val="22"/>
        </w:rPr>
        <w:t>he “economic substance” doctrine</w:t>
      </w:r>
      <w:r w:rsidRPr="00506576">
        <w:rPr>
          <w:rFonts w:ascii="Times New Roman" w:eastAsia="Calibri" w:hAnsi="Times New Roman"/>
          <w:szCs w:val="22"/>
        </w:rPr>
        <w:t xml:space="preserve"> have varied </w:t>
      </w:r>
      <w:r w:rsidR="00AB1257" w:rsidRPr="00506576">
        <w:rPr>
          <w:rFonts w:ascii="Times New Roman" w:eastAsia="Calibri" w:hAnsi="Times New Roman"/>
          <w:szCs w:val="22"/>
        </w:rPr>
        <w:t xml:space="preserve">historically </w:t>
      </w:r>
      <w:r w:rsidRPr="00506576">
        <w:rPr>
          <w:rFonts w:ascii="Times New Roman" w:eastAsia="Calibri" w:hAnsi="Times New Roman"/>
          <w:szCs w:val="22"/>
        </w:rPr>
        <w:t>from court to court. But under this doctrine, many courts will respect a corporation’s claimed tax treat</w:t>
      </w:r>
      <w:r w:rsidR="00E60EDD" w:rsidRPr="00506576">
        <w:rPr>
          <w:rFonts w:ascii="Times New Roman" w:eastAsia="Calibri" w:hAnsi="Times New Roman"/>
          <w:szCs w:val="22"/>
        </w:rPr>
        <w:t>ment of a transaction only if (1</w:t>
      </w:r>
      <w:r w:rsidRPr="00506576">
        <w:rPr>
          <w:rFonts w:ascii="Times New Roman" w:eastAsia="Calibri" w:hAnsi="Times New Roman"/>
          <w:szCs w:val="22"/>
        </w:rPr>
        <w:t>) the corporation possessed a non-tax business purpose in</w:t>
      </w:r>
      <w:r w:rsidR="00E60EDD" w:rsidRPr="00506576">
        <w:rPr>
          <w:rFonts w:ascii="Times New Roman" w:eastAsia="Calibri" w:hAnsi="Times New Roman"/>
          <w:szCs w:val="22"/>
        </w:rPr>
        <w:t xml:space="preserve"> pursuing the transaction and (2</w:t>
      </w:r>
      <w:r w:rsidRPr="00506576">
        <w:rPr>
          <w:rFonts w:ascii="Times New Roman" w:eastAsia="Calibri" w:hAnsi="Times New Roman"/>
          <w:szCs w:val="22"/>
        </w:rPr>
        <w:t>) the transaction meaningfully improved the corporation’s economic position (apart from reducing its tax liability).</w:t>
      </w:r>
    </w:p>
    <w:p w14:paraId="778BEE2C" w14:textId="47A220C8" w:rsidR="006919F4" w:rsidRPr="00506576" w:rsidRDefault="00932B48" w:rsidP="006919F4">
      <w:pPr>
        <w:pStyle w:val="Document"/>
        <w:rPr>
          <w:rFonts w:ascii="Times New Roman" w:eastAsia="Calibri" w:hAnsi="Times New Roman"/>
          <w:b/>
          <w:szCs w:val="22"/>
        </w:rPr>
      </w:pPr>
      <w:r w:rsidRPr="00506576">
        <w:rPr>
          <w:rFonts w:ascii="Times New Roman" w:eastAsia="Calibri" w:hAnsi="Times New Roman"/>
          <w:i/>
          <w:szCs w:val="22"/>
        </w:rPr>
        <w:t>Substance o</w:t>
      </w:r>
      <w:r w:rsidR="006919F4" w:rsidRPr="00506576">
        <w:rPr>
          <w:rFonts w:ascii="Times New Roman" w:eastAsia="Calibri" w:hAnsi="Times New Roman"/>
          <w:i/>
          <w:szCs w:val="22"/>
        </w:rPr>
        <w:t>ver Form Doctrine</w:t>
      </w:r>
      <w:r w:rsidR="006919F4"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 xml:space="preserve">Consistent with the principle that the government should not tax economically similar transactions differently, a </w:t>
      </w:r>
      <w:r w:rsidR="00F821A9" w:rsidRPr="00506576">
        <w:rPr>
          <w:rFonts w:ascii="Times New Roman" w:eastAsia="Calibri" w:hAnsi="Times New Roman"/>
          <w:szCs w:val="22"/>
        </w:rPr>
        <w:t>courts also</w:t>
      </w:r>
      <w:r w:rsidR="006919F4" w:rsidRPr="00506576">
        <w:rPr>
          <w:rFonts w:ascii="Times New Roman" w:eastAsia="Calibri" w:hAnsi="Times New Roman"/>
          <w:szCs w:val="22"/>
        </w:rPr>
        <w:t xml:space="preserve"> apply the “substance over form” doctrine</w:t>
      </w:r>
      <w:r w:rsidR="00AB1257" w:rsidRPr="00506576">
        <w:rPr>
          <w:rFonts w:ascii="Times New Roman" w:eastAsia="Calibri" w:hAnsi="Times New Roman"/>
          <w:szCs w:val="22"/>
        </w:rPr>
        <w:t>. In doing so, the court ignores</w:t>
      </w:r>
      <w:r w:rsidR="006919F4" w:rsidRPr="00506576">
        <w:rPr>
          <w:rFonts w:ascii="Times New Roman" w:eastAsia="Calibri" w:hAnsi="Times New Roman"/>
          <w:szCs w:val="22"/>
        </w:rPr>
        <w:t xml:space="preserve"> the transac</w:t>
      </w:r>
      <w:r w:rsidR="0046771F" w:rsidRPr="00506576">
        <w:rPr>
          <w:rFonts w:ascii="Times New Roman" w:eastAsia="Calibri" w:hAnsi="Times New Roman"/>
          <w:szCs w:val="22"/>
        </w:rPr>
        <w:t>tion’s form and instead</w:t>
      </w:r>
      <w:r w:rsidR="00AB1257" w:rsidRPr="00506576">
        <w:rPr>
          <w:rFonts w:ascii="Times New Roman" w:eastAsia="Calibri" w:hAnsi="Times New Roman"/>
          <w:szCs w:val="22"/>
        </w:rPr>
        <w:t xml:space="preserve"> taxes</w:t>
      </w:r>
      <w:r w:rsidR="006919F4" w:rsidRPr="00506576">
        <w:rPr>
          <w:rFonts w:ascii="Times New Roman" w:eastAsia="Calibri" w:hAnsi="Times New Roman"/>
          <w:szCs w:val="22"/>
        </w:rPr>
        <w:t xml:space="preserve"> the transaction based on its underlying economic substance.</w:t>
      </w:r>
      <w:r w:rsidR="007F58D6" w:rsidRPr="00506576">
        <w:rPr>
          <w:rFonts w:ascii="Times New Roman" w:eastAsia="Calibri" w:hAnsi="Times New Roman"/>
          <w:szCs w:val="22"/>
        </w:rPr>
        <w:t xml:space="preserve"> </w:t>
      </w:r>
    </w:p>
    <w:p w14:paraId="4E3D0E09" w14:textId="79B6FA34" w:rsidR="006919F4" w:rsidRPr="00506576" w:rsidRDefault="006919F4" w:rsidP="006919F4">
      <w:pPr>
        <w:pStyle w:val="Document"/>
        <w:rPr>
          <w:rFonts w:ascii="Times New Roman" w:eastAsia="Calibri" w:hAnsi="Times New Roman"/>
          <w:b/>
          <w:szCs w:val="22"/>
        </w:rPr>
      </w:pPr>
      <w:r w:rsidRPr="00506576">
        <w:rPr>
          <w:rFonts w:ascii="Times New Roman" w:eastAsia="Calibri" w:hAnsi="Times New Roman"/>
          <w:i/>
          <w:szCs w:val="22"/>
        </w:rPr>
        <w:t>Step Transaction Doctrine</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Last</w:t>
      </w:r>
      <w:r w:rsidR="001647F1" w:rsidRPr="00506576">
        <w:rPr>
          <w:rFonts w:ascii="Times New Roman" w:eastAsia="Calibri" w:hAnsi="Times New Roman"/>
          <w:szCs w:val="22"/>
        </w:rPr>
        <w:t>ly</w:t>
      </w:r>
      <w:r w:rsidRPr="00506576">
        <w:rPr>
          <w:rFonts w:ascii="Times New Roman" w:eastAsia="Calibri" w:hAnsi="Times New Roman"/>
          <w:szCs w:val="22"/>
        </w:rPr>
        <w:t>, the “step transaction” doctrine enables a court to reject a corporation’s tax position by integrating a “series of formally separate ‘steps’ as a single transaction” and then by applying the appropriate tax treatment to the integrated transaction.</w:t>
      </w:r>
      <w:r w:rsidR="00AA7699" w:rsidRPr="00506576">
        <w:rPr>
          <w:rFonts w:ascii="Times New Roman" w:eastAsia="Calibri" w:hAnsi="Times New Roman"/>
          <w:szCs w:val="22"/>
        </w:rPr>
        <w:t xml:space="preserve"> </w:t>
      </w:r>
      <w:r w:rsidRPr="00506576">
        <w:rPr>
          <w:rFonts w:ascii="Times New Roman" w:eastAsia="Calibri" w:hAnsi="Times New Roman"/>
          <w:szCs w:val="22"/>
        </w:rPr>
        <w:t>The effect of this integration is often to treat portions of the transaction—individual steps—as if they never occurred, thereby eliminating the sought-after tax benefits.</w:t>
      </w:r>
      <w:r w:rsidR="007F58D6" w:rsidRPr="00506576">
        <w:rPr>
          <w:rFonts w:ascii="Times New Roman" w:eastAsia="Calibri" w:hAnsi="Times New Roman"/>
          <w:szCs w:val="22"/>
        </w:rPr>
        <w:t xml:space="preserve"> </w:t>
      </w:r>
    </w:p>
    <w:p w14:paraId="17505972" w14:textId="5C6D5B0C" w:rsidR="006919F4" w:rsidRPr="00506576" w:rsidRDefault="00935A86" w:rsidP="00C56C1A">
      <w:pPr>
        <w:pStyle w:val="SubHead3"/>
        <w:rPr>
          <w:rFonts w:ascii="Times New Roman" w:eastAsia="Calibri" w:hAnsi="Times New Roman"/>
          <w:szCs w:val="22"/>
        </w:rPr>
      </w:pPr>
      <w:bookmarkStart w:id="12" w:name="_Toc319267151"/>
      <w:bookmarkStart w:id="13" w:name="_Toc332272303"/>
      <w:bookmarkStart w:id="14" w:name="_Toc337045082"/>
      <w:bookmarkStart w:id="15" w:name="_Toc337045514"/>
      <w:bookmarkStart w:id="16" w:name="_Toc338056857"/>
      <w:r w:rsidRPr="00506576">
        <w:rPr>
          <w:rFonts w:ascii="Times New Roman" w:eastAsia="Calibri" w:hAnsi="Times New Roman"/>
          <w:szCs w:val="22"/>
        </w:rPr>
        <w:t>B.</w:t>
      </w:r>
      <w:r w:rsidR="00C56C1A" w:rsidRPr="00506576">
        <w:rPr>
          <w:rFonts w:ascii="Times New Roman" w:eastAsia="Calibri" w:hAnsi="Times New Roman"/>
          <w:szCs w:val="22"/>
        </w:rPr>
        <w:tab/>
      </w:r>
      <w:r w:rsidR="006919F4" w:rsidRPr="00506576">
        <w:rPr>
          <w:rFonts w:ascii="Times New Roman" w:eastAsia="Calibri" w:hAnsi="Times New Roman"/>
          <w:szCs w:val="22"/>
        </w:rPr>
        <w:t>Judicial Uncertainty</w:t>
      </w:r>
      <w:bookmarkEnd w:id="12"/>
      <w:bookmarkEnd w:id="13"/>
      <w:bookmarkEnd w:id="14"/>
      <w:bookmarkEnd w:id="15"/>
      <w:bookmarkEnd w:id="16"/>
      <w:r w:rsidR="00EA0178" w:rsidRPr="00506576">
        <w:rPr>
          <w:rFonts w:ascii="Times New Roman" w:eastAsia="Calibri" w:hAnsi="Times New Roman"/>
          <w:szCs w:val="22"/>
        </w:rPr>
        <w:t xml:space="preserve"> in the US</w:t>
      </w:r>
    </w:p>
    <w:p w14:paraId="00842CA8" w14:textId="3EB384B7" w:rsidR="006919F4" w:rsidRPr="00506576" w:rsidRDefault="00EA0178" w:rsidP="006919F4">
      <w:pPr>
        <w:pStyle w:val="Document"/>
        <w:rPr>
          <w:rFonts w:ascii="Times New Roman" w:eastAsia="Calibri" w:hAnsi="Times New Roman"/>
          <w:b/>
          <w:szCs w:val="22"/>
        </w:rPr>
      </w:pPr>
      <w:r w:rsidRPr="00506576">
        <w:rPr>
          <w:rFonts w:ascii="Times New Roman" w:eastAsia="Calibri" w:hAnsi="Times New Roman"/>
          <w:szCs w:val="22"/>
        </w:rPr>
        <w:t>US t</w:t>
      </w:r>
      <w:r w:rsidR="006919F4" w:rsidRPr="00506576">
        <w:rPr>
          <w:rFonts w:ascii="Times New Roman" w:eastAsia="Calibri" w:hAnsi="Times New Roman"/>
          <w:szCs w:val="22"/>
        </w:rPr>
        <w:t xml:space="preserve">ax lawyers and scholars have commented for generations that the courts apply anti-abuse standards in unpredictable ways. Some commentators </w:t>
      </w:r>
      <w:r w:rsidR="0042438F" w:rsidRPr="00506576">
        <w:rPr>
          <w:rFonts w:ascii="Times New Roman" w:eastAsia="Calibri" w:hAnsi="Times New Roman"/>
          <w:szCs w:val="22"/>
        </w:rPr>
        <w:t>focus</w:t>
      </w:r>
      <w:r w:rsidR="00567DE6" w:rsidRPr="00506576">
        <w:rPr>
          <w:rFonts w:ascii="Times New Roman" w:eastAsia="Calibri" w:hAnsi="Times New Roman"/>
          <w:szCs w:val="22"/>
        </w:rPr>
        <w:t xml:space="preserve"> on the vague elements incorporated into particular </w:t>
      </w:r>
      <w:r w:rsidR="00567DE6" w:rsidRPr="00506576">
        <w:rPr>
          <w:rFonts w:ascii="Times New Roman" w:eastAsia="Calibri" w:hAnsi="Times New Roman"/>
          <w:szCs w:val="22"/>
        </w:rPr>
        <w:lastRenderedPageBreak/>
        <w:t>standards</w:t>
      </w:r>
      <w:r w:rsidR="006919F4" w:rsidRPr="00506576">
        <w:rPr>
          <w:rFonts w:ascii="Times New Roman" w:eastAsia="Calibri" w:hAnsi="Times New Roman"/>
          <w:szCs w:val="22"/>
        </w:rPr>
        <w:t xml:space="preserve"> </w:t>
      </w:r>
      <w:r w:rsidR="00567DE6" w:rsidRPr="00506576">
        <w:rPr>
          <w:rFonts w:ascii="Times New Roman" w:eastAsia="Calibri" w:hAnsi="Times New Roman"/>
          <w:szCs w:val="22"/>
        </w:rPr>
        <w:t>(</w:t>
      </w:r>
      <w:r w:rsidR="006919F4" w:rsidRPr="00506576">
        <w:rPr>
          <w:rFonts w:ascii="Times New Roman" w:eastAsia="Calibri" w:hAnsi="Times New Roman"/>
          <w:szCs w:val="22"/>
        </w:rPr>
        <w:t>such as the business purpose requirement</w:t>
      </w:r>
      <w:r w:rsidR="00567DE6" w:rsidRPr="00506576">
        <w:rPr>
          <w:rFonts w:ascii="Times New Roman" w:eastAsia="Calibri" w:hAnsi="Times New Roman"/>
          <w:szCs w:val="22"/>
        </w:rPr>
        <w:t>)</w:t>
      </w:r>
      <w:r w:rsidR="006919F4" w:rsidRPr="00506576">
        <w:rPr>
          <w:rFonts w:ascii="Times New Roman" w:eastAsia="Calibri" w:hAnsi="Times New Roman"/>
          <w:szCs w:val="22"/>
        </w:rPr>
        <w:t>, arguing that as a result of their breadth</w:t>
      </w:r>
      <w:r w:rsidR="00567DE6" w:rsidRPr="00506576">
        <w:rPr>
          <w:rFonts w:ascii="Times New Roman" w:eastAsia="Calibri" w:hAnsi="Times New Roman"/>
          <w:szCs w:val="22"/>
        </w:rPr>
        <w:t>, these standards</w:t>
      </w:r>
      <w:r w:rsidR="006919F4" w:rsidRPr="00506576">
        <w:rPr>
          <w:rFonts w:ascii="Times New Roman" w:eastAsia="Calibri" w:hAnsi="Times New Roman"/>
          <w:szCs w:val="22"/>
        </w:rPr>
        <w:t xml:space="preserve"> “apply to everything and nothing.”</w:t>
      </w:r>
      <w:r w:rsidR="00AA7699" w:rsidRPr="00506576">
        <w:rPr>
          <w:rFonts w:ascii="Times New Roman" w:eastAsia="Calibri" w:hAnsi="Times New Roman"/>
          <w:szCs w:val="22"/>
        </w:rPr>
        <w:t xml:space="preserve"> </w:t>
      </w:r>
      <w:r w:rsidR="006919F4" w:rsidRPr="00506576">
        <w:rPr>
          <w:rFonts w:ascii="Times New Roman" w:eastAsia="Calibri" w:hAnsi="Times New Roman"/>
          <w:szCs w:val="22"/>
        </w:rPr>
        <w:t xml:space="preserve">Others </w:t>
      </w:r>
      <w:r w:rsidR="0042438F" w:rsidRPr="00506576">
        <w:rPr>
          <w:rFonts w:ascii="Times New Roman" w:eastAsia="Calibri" w:hAnsi="Times New Roman"/>
          <w:szCs w:val="22"/>
        </w:rPr>
        <w:t>focus</w:t>
      </w:r>
      <w:r w:rsidR="006919F4" w:rsidRPr="00506576">
        <w:rPr>
          <w:rFonts w:ascii="Times New Roman" w:eastAsia="Calibri" w:hAnsi="Times New Roman"/>
          <w:szCs w:val="22"/>
        </w:rPr>
        <w:t xml:space="preserve"> more closely on the difficulty of distinguishing </w:t>
      </w:r>
      <w:r w:rsidR="0068744A" w:rsidRPr="00506576">
        <w:rPr>
          <w:rFonts w:ascii="Times New Roman" w:eastAsia="Calibri" w:hAnsi="Times New Roman"/>
          <w:szCs w:val="22"/>
        </w:rPr>
        <w:t xml:space="preserve">among </w:t>
      </w:r>
      <w:r w:rsidR="00AC2096" w:rsidRPr="00506576">
        <w:rPr>
          <w:rFonts w:ascii="Times New Roman" w:eastAsia="Calibri" w:hAnsi="Times New Roman"/>
          <w:szCs w:val="22"/>
        </w:rPr>
        <w:t>the various standards—</w:t>
      </w:r>
      <w:r w:rsidR="006919F4" w:rsidRPr="00506576">
        <w:rPr>
          <w:rFonts w:ascii="Times New Roman" w:eastAsia="Calibri" w:hAnsi="Times New Roman"/>
          <w:szCs w:val="22"/>
        </w:rPr>
        <w:t>for example, they claim that</w:t>
      </w:r>
      <w:r w:rsidR="0068744A" w:rsidRPr="00506576">
        <w:rPr>
          <w:rFonts w:ascii="Times New Roman" w:eastAsia="Calibri" w:hAnsi="Times New Roman"/>
          <w:szCs w:val="22"/>
        </w:rPr>
        <w:t xml:space="preserve"> different versions of the step </w:t>
      </w:r>
      <w:r w:rsidR="006919F4" w:rsidRPr="00506576">
        <w:rPr>
          <w:rFonts w:ascii="Times New Roman" w:eastAsia="Calibri" w:hAnsi="Times New Roman"/>
          <w:szCs w:val="22"/>
        </w:rPr>
        <w:t xml:space="preserve">transaction doctrine are not very different from one another. </w:t>
      </w:r>
      <w:r w:rsidR="0042438F" w:rsidRPr="00506576">
        <w:rPr>
          <w:rFonts w:ascii="Times New Roman" w:eastAsia="Calibri" w:hAnsi="Times New Roman"/>
          <w:szCs w:val="22"/>
        </w:rPr>
        <w:t>M</w:t>
      </w:r>
      <w:r w:rsidR="006919F4" w:rsidRPr="00506576">
        <w:rPr>
          <w:rFonts w:ascii="Times New Roman" w:eastAsia="Calibri" w:hAnsi="Times New Roman"/>
          <w:szCs w:val="22"/>
        </w:rPr>
        <w:t xml:space="preserve">any </w:t>
      </w:r>
      <w:r w:rsidR="0042438F" w:rsidRPr="00506576">
        <w:rPr>
          <w:rFonts w:ascii="Times New Roman" w:eastAsia="Calibri" w:hAnsi="Times New Roman"/>
          <w:szCs w:val="22"/>
        </w:rPr>
        <w:t>highlight</w:t>
      </w:r>
      <w:r w:rsidR="006919F4" w:rsidRPr="00506576">
        <w:rPr>
          <w:rFonts w:ascii="Times New Roman" w:eastAsia="Calibri" w:hAnsi="Times New Roman"/>
          <w:szCs w:val="22"/>
        </w:rPr>
        <w:t xml:space="preserve"> cases that involve similar facts but that nonetheless result in different judicial outcomes. Regar</w:t>
      </w:r>
      <w:r w:rsidR="00890AF9" w:rsidRPr="00506576">
        <w:rPr>
          <w:rFonts w:ascii="Times New Roman" w:eastAsia="Calibri" w:hAnsi="Times New Roman"/>
          <w:szCs w:val="22"/>
        </w:rPr>
        <w:t>dless of their specific criticisms</w:t>
      </w:r>
      <w:r w:rsidR="006919F4" w:rsidRPr="00506576">
        <w:rPr>
          <w:rFonts w:ascii="Times New Roman" w:eastAsia="Calibri" w:hAnsi="Times New Roman"/>
          <w:szCs w:val="22"/>
        </w:rPr>
        <w:t xml:space="preserve">, many commentators </w:t>
      </w:r>
      <w:r w:rsidR="00890AF9" w:rsidRPr="00506576">
        <w:rPr>
          <w:rFonts w:ascii="Times New Roman" w:eastAsia="Calibri" w:hAnsi="Times New Roman"/>
          <w:szCs w:val="22"/>
        </w:rPr>
        <w:t>argue</w:t>
      </w:r>
      <w:r w:rsidR="006919F4" w:rsidRPr="00506576">
        <w:rPr>
          <w:rFonts w:ascii="Times New Roman" w:eastAsia="Calibri" w:hAnsi="Times New Roman"/>
          <w:szCs w:val="22"/>
        </w:rPr>
        <w:t xml:space="preserve"> that the possible application of one or more judicial anti-abuse standards introduces uncertainty into the practice of corporate tax planning.</w:t>
      </w:r>
    </w:p>
    <w:p w14:paraId="11D1A381" w14:textId="471345BE" w:rsidR="002A1303" w:rsidRDefault="006919F4" w:rsidP="002A1303">
      <w:pPr>
        <w:pStyle w:val="Document"/>
        <w:rPr>
          <w:rFonts w:ascii="Times New Roman" w:eastAsia="Calibri" w:hAnsi="Times New Roman"/>
          <w:szCs w:val="22"/>
        </w:rPr>
      </w:pPr>
      <w:r w:rsidRPr="00506576">
        <w:rPr>
          <w:rFonts w:ascii="Times New Roman" w:eastAsia="Calibri" w:hAnsi="Times New Roman"/>
          <w:szCs w:val="22"/>
        </w:rPr>
        <w:t>Predicting whether a court will apply a particular judicial anti-abuse standar</w:t>
      </w:r>
      <w:r w:rsidR="001005B0" w:rsidRPr="00506576">
        <w:rPr>
          <w:rFonts w:ascii="Times New Roman" w:eastAsia="Calibri" w:hAnsi="Times New Roman"/>
          <w:szCs w:val="22"/>
        </w:rPr>
        <w:t>d, or any standard at all, is challenging</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While one court may respect the separate, independent steps of a taxpayer’s transaction, a different court may review the same transaction and determine that the steps should instead be viewed, and taxed, as one.</w:t>
      </w:r>
      <w:r w:rsidR="007F58D6" w:rsidRPr="00506576">
        <w:rPr>
          <w:rFonts w:ascii="Times New Roman" w:eastAsia="Calibri" w:hAnsi="Times New Roman"/>
          <w:szCs w:val="22"/>
        </w:rPr>
        <w:t xml:space="preserve"> </w:t>
      </w:r>
      <w:r w:rsidRPr="00506576">
        <w:rPr>
          <w:rFonts w:ascii="Times New Roman" w:eastAsia="Calibri" w:hAnsi="Times New Roman"/>
          <w:szCs w:val="22"/>
        </w:rPr>
        <w:t>Figure 1 draws on the insights of Professor Kyle Logue</w:t>
      </w:r>
      <w:r w:rsidRPr="000123C1">
        <w:rPr>
          <w:rStyle w:val="NoterefInText"/>
          <w:vertAlign w:val="superscript"/>
        </w:rPr>
        <w:footnoteReference w:id="7"/>
      </w:r>
      <w:r w:rsidRPr="00506576">
        <w:rPr>
          <w:rFonts w:ascii="Times New Roman" w:eastAsia="Calibri" w:hAnsi="Times New Roman"/>
          <w:szCs w:val="22"/>
        </w:rPr>
        <w:t xml:space="preserve"> and illustrates the challenge of identifying transactions that may be characterized as “abusive” by describing the judicial characterizations that may apply to corporations’ tax reduction strategies:</w:t>
      </w:r>
    </w:p>
    <w:p w14:paraId="327A3706" w14:textId="77777777" w:rsidR="002A1303" w:rsidRPr="00506576" w:rsidRDefault="002A1303" w:rsidP="006919F4">
      <w:pPr>
        <w:pStyle w:val="Document"/>
        <w:rPr>
          <w:rFonts w:ascii="Times New Roman" w:eastAsia="Calibri" w:hAnsi="Times New Roman"/>
          <w:szCs w:val="22"/>
        </w:rPr>
      </w:pPr>
    </w:p>
    <w:p w14:paraId="6B009D0A" w14:textId="6CA9312C" w:rsidR="002A1303" w:rsidRPr="00A927A5" w:rsidRDefault="002A1303" w:rsidP="002A1303"/>
    <w:p w14:paraId="34B0F171" w14:textId="43921170" w:rsidR="002A1303" w:rsidRDefault="002A1303" w:rsidP="002A1303">
      <w:r w:rsidRPr="00A927A5">
        <w:rPr>
          <w:noProof/>
        </w:rPr>
        <mc:AlternateContent>
          <mc:Choice Requires="wpg">
            <w:drawing>
              <wp:anchor distT="0" distB="0" distL="114300" distR="114300" simplePos="0" relativeHeight="251665408" behindDoc="0" locked="1" layoutInCell="1" allowOverlap="1" wp14:anchorId="181FD373" wp14:editId="17FFA8D7">
                <wp:simplePos x="0" y="0"/>
                <wp:positionH relativeFrom="column">
                  <wp:posOffset>306705</wp:posOffset>
                </wp:positionH>
                <wp:positionV relativeFrom="paragraph">
                  <wp:posOffset>9553575</wp:posOffset>
                </wp:positionV>
                <wp:extent cx="5092700" cy="1983740"/>
                <wp:effectExtent l="0" t="0" r="12700" b="355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983740"/>
                          <a:chOff x="2398" y="5914"/>
                          <a:chExt cx="8019" cy="3125"/>
                        </a:xfrm>
                      </wpg:grpSpPr>
                      <wps:wsp>
                        <wps:cNvPr id="38" name="Text Box 39"/>
                        <wps:cNvSpPr txBox="1">
                          <a:spLocks noChangeArrowheads="1"/>
                        </wps:cNvSpPr>
                        <wps:spPr bwMode="auto">
                          <a:xfrm>
                            <a:off x="2398" y="5914"/>
                            <a:ext cx="8019" cy="1067"/>
                          </a:xfrm>
                          <a:prstGeom prst="rect">
                            <a:avLst/>
                          </a:prstGeom>
                          <a:solidFill>
                            <a:srgbClr val="FFFFFF"/>
                          </a:solidFill>
                          <a:ln w="9525">
                            <a:solidFill>
                              <a:srgbClr val="FFFFFF"/>
                            </a:solidFill>
                            <a:miter lim="800000"/>
                            <a:headEnd/>
                            <a:tailEnd/>
                          </a:ln>
                        </wps:spPr>
                        <wps:txbx>
                          <w:txbxContent>
                            <w:p w14:paraId="7578BA91" w14:textId="77777777" w:rsidR="00E94A88" w:rsidRPr="00A927A5" w:rsidRDefault="00E94A88" w:rsidP="002A1303">
                              <w:pPr>
                                <w:keepNext/>
                                <w:keepLines/>
                                <w:spacing w:after="100"/>
                                <w:jc w:val="center"/>
                                <w:rPr>
                                  <w:smallCaps/>
                                </w:rPr>
                              </w:pPr>
                              <w:r w:rsidRPr="00A927A5">
                                <w:rPr>
                                  <w:smallCaps/>
                                </w:rPr>
                                <w:t>Figure 1</w:t>
                              </w:r>
                            </w:p>
                            <w:p w14:paraId="339A50DA" w14:textId="77777777" w:rsidR="00E94A88" w:rsidRPr="00A927A5" w:rsidRDefault="00E94A88" w:rsidP="002A1303">
                              <w:pPr>
                                <w:keepNext/>
                                <w:keepLines/>
                                <w:jc w:val="center"/>
                              </w:pPr>
                              <w:r w:rsidRPr="00A927A5">
                                <w:t>Continuum of Corporate Tax Planning Controversies</w:t>
                              </w:r>
                            </w:p>
                          </w:txbxContent>
                        </wps:txbx>
                        <wps:bodyPr rot="0" vert="horz" wrap="square" lIns="91440" tIns="45720" rIns="91440" bIns="45720" anchor="t" anchorCtr="0" upright="1">
                          <a:noAutofit/>
                        </wps:bodyPr>
                      </wps:wsp>
                      <wps:wsp>
                        <wps:cNvPr id="39" name="AutoShape 30"/>
                        <wps:cNvCnPr>
                          <a:cxnSpLocks noChangeShapeType="1"/>
                        </wps:cNvCnPr>
                        <wps:spPr bwMode="auto">
                          <a:xfrm flipV="1">
                            <a:off x="2654" y="8632"/>
                            <a:ext cx="6965" cy="11"/>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1"/>
                        <wps:cNvCnPr>
                          <a:cxnSpLocks noChangeShapeType="1"/>
                        </wps:cNvCnPr>
                        <wps:spPr bwMode="auto">
                          <a:xfrm>
                            <a:off x="5122" y="8213"/>
                            <a:ext cx="0" cy="82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2"/>
                        <wps:cNvCnPr>
                          <a:cxnSpLocks noChangeShapeType="1"/>
                        </wps:cNvCnPr>
                        <wps:spPr bwMode="auto">
                          <a:xfrm>
                            <a:off x="7290" y="8213"/>
                            <a:ext cx="0" cy="82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3"/>
                        <wps:cNvSpPr>
                          <a:spLocks/>
                        </wps:cNvSpPr>
                        <wps:spPr bwMode="auto">
                          <a:xfrm rot="16200000">
                            <a:off x="3834" y="7075"/>
                            <a:ext cx="431" cy="1845"/>
                          </a:xfrm>
                          <a:prstGeom prst="rightBrace">
                            <a:avLst>
                              <a:gd name="adj1" fmla="val 3567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34"/>
                        <wps:cNvSpPr>
                          <a:spLocks/>
                        </wps:cNvSpPr>
                        <wps:spPr bwMode="auto">
                          <a:xfrm rot="16200000">
                            <a:off x="6025" y="7098"/>
                            <a:ext cx="431" cy="1800"/>
                          </a:xfrm>
                          <a:prstGeom prst="rightBrace">
                            <a:avLst>
                              <a:gd name="adj1" fmla="val 3480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5"/>
                        <wps:cNvSpPr>
                          <a:spLocks/>
                        </wps:cNvSpPr>
                        <wps:spPr bwMode="auto">
                          <a:xfrm rot="16200000">
                            <a:off x="8172" y="7097"/>
                            <a:ext cx="431" cy="1802"/>
                          </a:xfrm>
                          <a:prstGeom prst="rightBrace">
                            <a:avLst>
                              <a:gd name="adj1" fmla="val 34841"/>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0"/>
                        <wpg:cNvGrpSpPr>
                          <a:grpSpLocks/>
                        </wpg:cNvGrpSpPr>
                        <wpg:grpSpPr bwMode="auto">
                          <a:xfrm>
                            <a:off x="3648" y="7304"/>
                            <a:ext cx="6769" cy="479"/>
                            <a:chOff x="3925" y="7607"/>
                            <a:chExt cx="5869" cy="479"/>
                          </a:xfrm>
                        </wpg:grpSpPr>
                        <wps:wsp>
                          <wps:cNvPr id="46" name="Text Box 36"/>
                          <wps:cNvSpPr txBox="1">
                            <a:spLocks noChangeArrowheads="1"/>
                          </wps:cNvSpPr>
                          <wps:spPr bwMode="auto">
                            <a:xfrm>
                              <a:off x="3925" y="7633"/>
                              <a:ext cx="2127" cy="452"/>
                            </a:xfrm>
                            <a:prstGeom prst="rect">
                              <a:avLst/>
                            </a:prstGeom>
                            <a:solidFill>
                              <a:srgbClr val="FFFFFF"/>
                            </a:solidFill>
                            <a:ln w="9525">
                              <a:solidFill>
                                <a:srgbClr val="FFFFFF"/>
                              </a:solidFill>
                              <a:miter lim="800000"/>
                              <a:headEnd/>
                              <a:tailEnd/>
                            </a:ln>
                          </wps:spPr>
                          <wps:txbx>
                            <w:txbxContent>
                              <w:p w14:paraId="5A2FF2BD" w14:textId="77777777" w:rsidR="00E94A88" w:rsidRPr="00A927A5" w:rsidRDefault="00E94A88" w:rsidP="002A1303">
                                <w:pPr>
                                  <w:keepNext/>
                                  <w:keepLines/>
                                  <w:rPr>
                                    <w:b/>
                                  </w:rPr>
                                </w:pPr>
                                <w:r w:rsidRPr="00A927A5">
                                  <w:rPr>
                                    <w:b/>
                                  </w:rPr>
                                  <w:t>Legal</w:t>
                                </w:r>
                              </w:p>
                            </w:txbxContent>
                          </wps:txbx>
                          <wps:bodyPr rot="0" vert="horz" wrap="square" lIns="91440" tIns="45720" rIns="91440" bIns="45720" anchor="t" anchorCtr="0" upright="1">
                            <a:noAutofit/>
                          </wps:bodyPr>
                        </wps:wsp>
                        <wps:wsp>
                          <wps:cNvPr id="47" name="Text Box 37"/>
                          <wps:cNvSpPr txBox="1">
                            <a:spLocks noChangeArrowheads="1"/>
                          </wps:cNvSpPr>
                          <wps:spPr bwMode="auto">
                            <a:xfrm>
                              <a:off x="5094" y="7607"/>
                              <a:ext cx="2350" cy="479"/>
                            </a:xfrm>
                            <a:prstGeom prst="rect">
                              <a:avLst/>
                            </a:prstGeom>
                            <a:solidFill>
                              <a:srgbClr val="FFFFFF">
                                <a:alpha val="0"/>
                              </a:srgbClr>
                            </a:solidFill>
                            <a:ln w="9525">
                              <a:solidFill>
                                <a:srgbClr val="FFFFFF"/>
                              </a:solidFill>
                              <a:miter lim="800000"/>
                              <a:headEnd/>
                              <a:tailEnd/>
                            </a:ln>
                          </wps:spPr>
                          <wps:txbx>
                            <w:txbxContent>
                              <w:p w14:paraId="5A282FF2" w14:textId="77777777" w:rsidR="00E94A88" w:rsidRPr="00A927A5" w:rsidRDefault="00E94A88" w:rsidP="002A1303">
                                <w:pPr>
                                  <w:keepNext/>
                                  <w:keepLines/>
                                  <w:jc w:val="center"/>
                                  <w:rPr>
                                    <w:b/>
                                    <w:i/>
                                  </w:rPr>
                                </w:pPr>
                                <w:r w:rsidRPr="00A927A5">
                                  <w:rPr>
                                    <w:b/>
                                  </w:rPr>
                                  <w:t xml:space="preserve">Legal, </w:t>
                                </w:r>
                                <w:r w:rsidRPr="00A927A5">
                                  <w:rPr>
                                    <w:b/>
                                    <w:i/>
                                  </w:rPr>
                                  <w:t>ex ante</w:t>
                                </w:r>
                                <w:r w:rsidRPr="00A927A5">
                                  <w:rPr>
                                    <w:b/>
                                  </w:rPr>
                                  <w:t>;</w:t>
                                </w:r>
                              </w:p>
                              <w:p w14:paraId="52C43759" w14:textId="77777777" w:rsidR="00E94A88" w:rsidRDefault="00E94A88" w:rsidP="002A1303">
                                <w:pPr>
                                  <w:keepNext/>
                                  <w:keepLines/>
                                  <w:jc w:val="center"/>
                                  <w:rPr>
                                    <w:b/>
                                  </w:rPr>
                                </w:pPr>
                                <w:r>
                                  <w:rPr>
                                    <w:b/>
                                  </w:rPr>
                                  <w:t xml:space="preserve">Abusive, </w:t>
                                </w:r>
                                <w:r>
                                  <w:rPr>
                                    <w:b/>
                                    <w:i/>
                                  </w:rPr>
                                  <w:t>ex post</w:t>
                                </w:r>
                              </w:p>
                            </w:txbxContent>
                          </wps:txbx>
                          <wps:bodyPr rot="0" vert="horz" wrap="square" lIns="91440" tIns="45720" rIns="91440" bIns="45720" anchor="t" anchorCtr="0" upright="1">
                            <a:noAutofit/>
                          </wps:bodyPr>
                        </wps:wsp>
                        <wps:wsp>
                          <wps:cNvPr id="48" name="Text Box 38"/>
                          <wps:cNvSpPr txBox="1">
                            <a:spLocks noChangeArrowheads="1"/>
                          </wps:cNvSpPr>
                          <wps:spPr bwMode="auto">
                            <a:xfrm>
                              <a:off x="7444" y="7607"/>
                              <a:ext cx="2350" cy="452"/>
                            </a:xfrm>
                            <a:prstGeom prst="rect">
                              <a:avLst/>
                            </a:prstGeom>
                            <a:solidFill>
                              <a:srgbClr val="FFFFFF">
                                <a:alpha val="0"/>
                              </a:srgbClr>
                            </a:solidFill>
                            <a:ln w="9525">
                              <a:solidFill>
                                <a:srgbClr val="FFFFFF"/>
                              </a:solidFill>
                              <a:miter lim="800000"/>
                              <a:headEnd/>
                              <a:tailEnd/>
                            </a:ln>
                          </wps:spPr>
                          <wps:txbx>
                            <w:txbxContent>
                              <w:p w14:paraId="3710B7CA" w14:textId="77777777" w:rsidR="00E94A88" w:rsidRPr="00A927A5" w:rsidRDefault="00E94A88" w:rsidP="002A1303">
                                <w:pPr>
                                  <w:keepNext/>
                                  <w:keepLines/>
                                  <w:rPr>
                                    <w:b/>
                                  </w:rPr>
                                </w:pPr>
                                <w:r w:rsidRPr="00A927A5">
                                  <w:rPr>
                                    <w:b/>
                                  </w:rPr>
                                  <w:t xml:space="preserve">    Illegal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4.15pt;margin-top:752.25pt;width:401pt;height:156.2pt;z-index:251665408" coordorigin="2398,5914" coordsize="8019,3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">
                <v:shapetype id="_x0000_t202" coordsize="21600,21600" o:spt="202" path="m0,0l0,21600,21600,21600,21600,0xe">
                  <v:stroke joinstyle="miter"/>
                  <v:path gradientshapeok="t" o:connecttype="rect"/>
                </v:shapetype>
                <v:shape id="Text Box 39" o:spid="_x0000_s1027" type="#_x0000_t202" style="position:absolute;left:2398;top:5914;width:8019;height:10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pZQvgAA&#10;ANsAAAAPAAAAZHJzL2Rvd25yZXYueG1sRE/LqsIwEN0L/kMYwY1oai+IVKOIKLr1sXE3NGNbbCZt&#10;E231628WgsvDeS/XnSnFixpXWFYwnUQgiFOrC84UXC/78RyE88gaS8uk4E0O1qt+b4mJti2f6HX2&#10;mQgh7BJUkHtfJVK6NCeDbmIr4sDdbWPQB9hkUjfYhnBTyjiKZtJgwaEhx4q2OaWP89MosO3ubSzV&#10;UTy6fcxhu6lP97hWajjoNgsQnjr/E3/dR63gL4wNX8IPkKt/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j6WUL4AAADbAAAADwAAAAAAAAAAAAAAAACXAgAAZHJzL2Rvd25yZXYu&#10;eG1sUEsFBgAAAAAEAAQA9QAAAIIDAAAAAA==&#10;" strokecolor="white">
                  <v:textbox>
                    <w:txbxContent>
                      <w:p w14:paraId="7578BA91" w14:textId="77777777" w:rsidR="00E94A88" w:rsidRPr="00A927A5" w:rsidRDefault="00E94A88" w:rsidP="002A1303">
                        <w:pPr>
                          <w:keepNext/>
                          <w:keepLines/>
                          <w:spacing w:after="100"/>
                          <w:jc w:val="center"/>
                          <w:rPr>
                            <w:smallCaps/>
                          </w:rPr>
                        </w:pPr>
                        <w:r w:rsidRPr="00A927A5">
                          <w:rPr>
                            <w:smallCaps/>
                          </w:rPr>
                          <w:t>Figure 1</w:t>
                        </w:r>
                      </w:p>
                      <w:p w14:paraId="339A50DA" w14:textId="77777777" w:rsidR="00E94A88" w:rsidRPr="00A927A5" w:rsidRDefault="00E94A88" w:rsidP="002A1303">
                        <w:pPr>
                          <w:keepNext/>
                          <w:keepLines/>
                          <w:jc w:val="center"/>
                        </w:pPr>
                        <w:r w:rsidRPr="00A927A5">
                          <w:t>Continuum of Corporate Tax Planning Controversies</w:t>
                        </w:r>
                      </w:p>
                    </w:txbxContent>
                  </v:textbox>
                </v:shape>
                <v:shapetype id="_x0000_t32" coordsize="21600,21600" o:spt="32" o:oned="t" path="m0,0l21600,21600e" filled="f">
                  <v:path arrowok="t" fillok="f" o:connecttype="none"/>
                  <o:lock v:ext="edit" shapetype="t"/>
                </v:shapetype>
                <v:shape id="AutoShape 30" o:spid="_x0000_s1028" type="#_x0000_t32" style="position:absolute;left:2654;top:8632;width:6965;height:1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39ncQAAADbAAAADwAAAGRycy9kb3ducmV2LnhtbESP0WrCQBRE3wv9h+UWfCm6qVIxaVYp&#10;BaGCIKb9gEv2mmyavZtmV5P+vSsIfRxm5gyTb0bbigv13jhW8DJLQBCXThuuFHx/bacrED4ga2wd&#10;k4I/8rBZPz7kmGk38JEuRahEhLDPUEEdQpdJ6cuaLPqZ64ijd3K9xRBlX0nd4xDhtpXzJFlKi4bj&#10;Qo0dfdRU/hRnqwD5tXE781wcdua3KfaYnsKQKjV5Gt/fQAQaw3/43v7UChYp3L7EHy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Lf2dxAAAANsAAAAPAAAAAAAAAAAA&#10;AAAAAKECAABkcnMvZG93bnJldi54bWxQSwUGAAAAAAQABAD5AAAAkgMAAAAA&#10;" strokeweight="1.25pt">
                  <v:stroke startarrow="block" endarrow="block"/>
                </v:shape>
                <v:shape id="AutoShape 31" o:spid="_x0000_s1029" type="#_x0000_t32" style="position:absolute;left:5122;top:8213;width:0;height:8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GEgL4AAADbAAAADwAAAGRycy9kb3ducmV2LnhtbERPz2vCMBS+C/sfwhvspqlSVDpjKYOB&#10;13bF86N5tmXNS21SG//75TDw+PH9PuXBDOJBk+stK9huEhDEjdU9twrqn+/1EYTzyBoHy6TgSQ7y&#10;89vqhJm2C5f0qHwrYgi7DBV03o+ZlK7pyKDb2JE4cjc7GfQRTq3UEy4x3AxylyR7abDn2NDhSF8d&#10;Nb/VbBSU5b29zi4sxfEWDmmtU5PMF6U+3kPxCcJT8C/xv/uiFaRxffwSf4A8/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kgYSAvgAAANsAAAAPAAAAAAAAAAAAAAAAAKEC&#10;AABkcnMvZG93bnJldi54bWxQSwUGAAAAAAQABAD5AAAAjAMAAAAA&#10;" strokeweight="1.25pt"/>
                <v:shape id="AutoShape 32" o:spid="_x0000_s1030" type="#_x0000_t32" style="position:absolute;left:7290;top:8213;width:0;height:8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0hG8EAAADbAAAADwAAAGRycy9kb3ducmV2LnhtbESPzWrDMBCE74W+g9hCb4mcYJLgWgmh&#10;EPDVSch5sdY/1Fq5lmyrb18VAj0OM/MNk5+C6cVMo+ssK9isExDEldUdNwrut8vqAMJ5ZI29ZVLw&#10;Qw5Ox9eXHDNtFy5pvvpGRAi7DBW03g+ZlK5qyaBb24E4erUdDfoox0bqEZcIN73cJslOGuw4LrQ4&#10;0GdL1dd1MgrK8rt5TC4s50Md9uldpyaZCqXe38L5A4Sn4P/Dz3ahFaQb+PsSf4A8/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zSEbwQAAANsAAAAPAAAAAAAAAAAAAAAA&#10;AKECAABkcnMvZG93bnJldi54bWxQSwUGAAAAAAQABAD5AAAAjwMAAAAA&#10;" strokeweight="1.25p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3" o:spid="_x0000_s1031" type="#_x0000_t88" style="position:absolute;left:3834;top:7075;width:431;height:18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rvRxAAA&#10;ANsAAAAPAAAAZHJzL2Rvd25yZXYueG1sRI9Pi8IwFMTvC/sdwhO8rWmLiFSjLIIiouCfPezx0Tzb&#10;ss1Ltola/fRmYcHjMDO/YabzzjTiSq2vLStIBwkI4sLqmksFX6flxxiED8gaG8uk4E4e5rP3tynm&#10;2t74QNdjKEWEsM9RQRWCy6X0RUUG/cA64uidbWswRNmWUrd4i3DTyCxJRtJgzXGhQkeLioqf48Uo&#10;yH6tu6+WRbrX6Xpbf7vHxuweSvV73ecERKAuvML/7bVWMMzg70v8AXL2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a70cQAAADbAAAADwAAAAAAAAAAAAAAAACXAgAAZHJzL2Rv&#10;d25yZXYueG1sUEsFBgAAAAAEAAQA9QAAAIgDAAAAAA==&#10;" strokeweight="1.25pt"/>
                <v:shape id="AutoShape 34" o:spid="_x0000_s1032" type="#_x0000_t88" style="position:absolute;left:6025;top:7098;width:431;height:18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5KxAAA&#10;ANsAAAAPAAAAZHJzL2Rvd25yZXYueG1sRI9BawIxFITvQv9DeIXeNLu2SFmNIoIipYJaDx4fm+fu&#10;4uYlbqKu/vpGEDwOM/MNM5q0phYXanxlWUHaS0AQ51ZXXCjY/c273yB8QNZYWyYFN/IwGb91Rphp&#10;e+UNXbahEBHCPkMFZQguk9LnJRn0PeuIo3ewjcEQZVNI3eA1wk0t+0kykAYrjgslOpqVlB+3Z6Og&#10;f7Lutpjn6Vqny99q7+4/ZnVX6uO9nQ5BBGrDK/xsL7WCr094fIk/QI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oeSsQAAADbAAAADwAAAAAAAAAAAAAAAACXAgAAZHJzL2Rv&#10;d25yZXYueG1sUEsFBgAAAAAEAAQA9QAAAIgDAAAAAA==&#10;" strokeweight="1.25pt"/>
                <v:shape id="AutoShape 35" o:spid="_x0000_s1033" type="#_x0000_t88" style="position:absolute;left:8172;top:7097;width:431;height:1802;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4Y+xQAA&#10;ANsAAAAPAAAAZHJzL2Rvd25yZXYueG1sRI9PawIxFMTvQr9DeAVvml2RIlujlIJFxEK1PfT42Dx3&#10;Fzcv6Sbuv0/fFAoeh5n5DbPe9qYWLTW+sqwgnScgiHOrKy4UfH3uZisQPiBrrC2TgoE8bDcPkzVm&#10;2nZ8ovYcChEh7DNUUIbgMil9XpJBP7eOOHoX2xgMUTaF1A12EW5quUiSJ2mw4rhQoqPXkvLr+WYU&#10;LH6sG952efqh0/2x+nbjwbyPSk0f+5dnEIH6cA//t/dawXIJf1/iD5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Thj7FAAAA2wAAAA8AAAAAAAAAAAAAAAAAlwIAAGRycy9k&#10;b3ducmV2LnhtbFBLBQYAAAAABAAEAPUAAACJAwAAAAA=&#10;" strokeweight="1.25pt"/>
                <v:group id="Group 40" o:spid="_x0000_s1034" style="position:absolute;left:3648;top:7304;width:6769;height:479" coordorigin="3925,7607" coordsize="5869,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Text Box 36" o:spid="_x0000_s1035" type="#_x0000_t202" style="position:absolute;left:3925;top:7633;width:2127;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69TEwwAA&#10;ANsAAAAPAAAAZHJzL2Rvd25yZXYueG1sRI9Pi8IwFMTvC36H8AQvi6aWRaQaSxEX9+qfi7dH82yL&#10;zUvbZG3dT78RBI/DzPyGWaeDqcWdOldZVjCfRSCIc6srLhScT9/TJQjnkTXWlknBgxykm9HHGhNt&#10;ez7Q/egLESDsElRQet8kUrq8JINuZhvi4F1tZ9AH2RVSd9gHuKllHEULabDisFBiQ9uS8tvx1yiw&#10;/e5hLLVR/Hn5M/tt1h6ucavUZDxkKxCeBv8Ov9o/WsHXAp5fwg+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69TEwwAAANsAAAAPAAAAAAAAAAAAAAAAAJcCAABkcnMvZG93&#10;bnJldi54bWxQSwUGAAAAAAQABAD1AAAAhwMAAAAA&#10;" strokecolor="white">
                    <v:textbox>
                      <w:txbxContent>
                        <w:p w14:paraId="5A2FF2BD" w14:textId="77777777" w:rsidR="00E94A88" w:rsidRPr="00A927A5" w:rsidRDefault="00E94A88" w:rsidP="002A1303">
                          <w:pPr>
                            <w:keepNext/>
                            <w:keepLines/>
                            <w:rPr>
                              <w:b/>
                            </w:rPr>
                          </w:pPr>
                          <w:r w:rsidRPr="00A927A5">
                            <w:rPr>
                              <w:b/>
                            </w:rPr>
                            <w:t>Legal</w:t>
                          </w:r>
                        </w:p>
                      </w:txbxContent>
                    </v:textbox>
                  </v:shape>
                  <v:shape id="Text Box 37" o:spid="_x0000_s1036" type="#_x0000_t202" style="position:absolute;left:5094;top:7607;width:2350;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g5dxAAA&#10;ANsAAAAPAAAAZHJzL2Rvd25yZXYueG1sRI/RagIxFETfC/2HcAXfatYibVmNYivaUqTg6gdcNtfN&#10;anKzbKK7/r0pFPo4zMwZZrbonRVXakPtWcF4lIEgLr2uuVJw2K+f3kCEiKzReiYFNwqwmD8+zDDX&#10;vuMdXYtYiQThkKMCE2OTSxlKQw7DyDfEyTv61mFMsq2kbrFLcGflc5a9SIc1pwWDDX0YKs/FxSl4&#10;t9/dahP8WX/2l+Kn2K23J2OVGg765RREpD7+h//aX1rB5BV+v6QfIO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oOXcQAAADbAAAADwAAAAAAAAAAAAAAAACXAgAAZHJzL2Rv&#10;d25yZXYueG1sUEsFBgAAAAAEAAQA9QAAAIgDAAAAAA==&#10;" strokecolor="white">
                    <v:fill opacity="0"/>
                    <v:textbox>
                      <w:txbxContent>
                        <w:p w14:paraId="5A282FF2" w14:textId="77777777" w:rsidR="00E94A88" w:rsidRPr="00A927A5" w:rsidRDefault="00E94A88" w:rsidP="002A1303">
                          <w:pPr>
                            <w:keepNext/>
                            <w:keepLines/>
                            <w:jc w:val="center"/>
                            <w:rPr>
                              <w:b/>
                              <w:i/>
                            </w:rPr>
                          </w:pPr>
                          <w:r w:rsidRPr="00A927A5">
                            <w:rPr>
                              <w:b/>
                            </w:rPr>
                            <w:t xml:space="preserve">Legal, </w:t>
                          </w:r>
                          <w:r w:rsidRPr="00A927A5">
                            <w:rPr>
                              <w:b/>
                              <w:i/>
                            </w:rPr>
                            <w:t>ex ante</w:t>
                          </w:r>
                          <w:r w:rsidRPr="00A927A5">
                            <w:rPr>
                              <w:b/>
                            </w:rPr>
                            <w:t>;</w:t>
                          </w:r>
                        </w:p>
                        <w:p w14:paraId="52C43759" w14:textId="77777777" w:rsidR="00E94A88" w:rsidRDefault="00E94A88" w:rsidP="002A1303">
                          <w:pPr>
                            <w:keepNext/>
                            <w:keepLines/>
                            <w:jc w:val="center"/>
                            <w:rPr>
                              <w:b/>
                            </w:rPr>
                          </w:pPr>
                          <w:r>
                            <w:rPr>
                              <w:b/>
                            </w:rPr>
                            <w:t xml:space="preserve">Abusive, </w:t>
                          </w:r>
                          <w:r>
                            <w:rPr>
                              <w:b/>
                              <w:i/>
                            </w:rPr>
                            <w:t>ex post</w:t>
                          </w:r>
                        </w:p>
                      </w:txbxContent>
                    </v:textbox>
                  </v:shape>
                  <v:shape id="Text Box 38" o:spid="_x0000_s1037" type="#_x0000_t202" style="position:absolute;left:7444;top:7607;width:2350;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ZovwAAA&#10;ANsAAAAPAAAAZHJzL2Rvd25yZXYueG1sRE/dasIwFL4f7B3CGXg3U0VkVKPohk7GEKw+wKE5NtXk&#10;pDTRdm+/XAhefnz/82XvrLhTG2rPCkbDDARx6XXNlYLTcfP+ASJEZI3WMyn4owDLxevLHHPtOz7Q&#10;vYiVSCEcclRgYmxyKUNpyGEY+oY4cWffOowJtpXULXYp3Fk5zrKpdFhzajDY0Keh8lrcnIK1/em+&#10;tsFf9Xd/K/bFYfN7MVapwVu/moGI1Men+OHeaQWTNDZ9ST9AL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tZovwAAAANsAAAAPAAAAAAAAAAAAAAAAAJcCAABkcnMvZG93bnJl&#10;di54bWxQSwUGAAAAAAQABAD1AAAAhAMAAAAA&#10;" strokecolor="white">
                    <v:fill opacity="0"/>
                    <v:textbox>
                      <w:txbxContent>
                        <w:p w14:paraId="3710B7CA" w14:textId="77777777" w:rsidR="00E94A88" w:rsidRPr="00A927A5" w:rsidRDefault="00E94A88" w:rsidP="002A1303">
                          <w:pPr>
                            <w:keepNext/>
                            <w:keepLines/>
                            <w:rPr>
                              <w:b/>
                            </w:rPr>
                          </w:pPr>
                          <w:r w:rsidRPr="00A927A5">
                            <w:rPr>
                              <w:b/>
                            </w:rPr>
                            <w:t xml:space="preserve">    Illegal</w:t>
                          </w:r>
                        </w:p>
                      </w:txbxContent>
                    </v:textbox>
                  </v:shape>
                </v:group>
                <w10:anchorlock/>
              </v:group>
            </w:pict>
          </mc:Fallback>
        </mc:AlternateContent>
      </w:r>
      <w:r w:rsidRPr="00A927A5">
        <w:rPr>
          <w:noProof/>
        </w:rPr>
        <mc:AlternateContent>
          <mc:Choice Requires="wpg">
            <w:drawing>
              <wp:anchor distT="0" distB="0" distL="114300" distR="114300" simplePos="0" relativeHeight="251669504" behindDoc="0" locked="1" layoutInCell="1" allowOverlap="1" wp14:anchorId="43585AC9" wp14:editId="49B74C03">
                <wp:simplePos x="0" y="0"/>
                <wp:positionH relativeFrom="column">
                  <wp:posOffset>344170</wp:posOffset>
                </wp:positionH>
                <wp:positionV relativeFrom="paragraph">
                  <wp:posOffset>-290830</wp:posOffset>
                </wp:positionV>
                <wp:extent cx="3657600" cy="1772920"/>
                <wp:effectExtent l="0" t="0" r="25400" b="3048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772920"/>
                          <a:chOff x="2398" y="5914"/>
                          <a:chExt cx="8019" cy="2853"/>
                        </a:xfrm>
                      </wpg:grpSpPr>
                      <wps:wsp>
                        <wps:cNvPr id="74" name="Text Box 39"/>
                        <wps:cNvSpPr txBox="1">
                          <a:spLocks noChangeArrowheads="1"/>
                        </wps:cNvSpPr>
                        <wps:spPr bwMode="auto">
                          <a:xfrm>
                            <a:off x="2398" y="5914"/>
                            <a:ext cx="8019" cy="1067"/>
                          </a:xfrm>
                          <a:prstGeom prst="rect">
                            <a:avLst/>
                          </a:prstGeom>
                          <a:solidFill>
                            <a:srgbClr val="FFFFFF"/>
                          </a:solidFill>
                          <a:ln w="9525">
                            <a:solidFill>
                              <a:srgbClr val="FFFFFF"/>
                            </a:solidFill>
                            <a:miter lim="800000"/>
                            <a:headEnd/>
                            <a:tailEnd/>
                          </a:ln>
                        </wps:spPr>
                        <wps:txbx>
                          <w:txbxContent>
                            <w:p w14:paraId="1406D471" w14:textId="77777777" w:rsidR="00E94A88" w:rsidRPr="002A1303" w:rsidRDefault="00E94A88" w:rsidP="002A1303">
                              <w:pPr>
                                <w:keepNext/>
                                <w:keepLines/>
                                <w:spacing w:after="100"/>
                                <w:jc w:val="center"/>
                                <w:rPr>
                                  <w:smallCaps/>
                                  <w:sz w:val="22"/>
                                  <w:szCs w:val="22"/>
                                </w:rPr>
                              </w:pPr>
                              <w:r w:rsidRPr="002A1303">
                                <w:rPr>
                                  <w:smallCaps/>
                                  <w:sz w:val="22"/>
                                  <w:szCs w:val="22"/>
                                </w:rPr>
                                <w:t>Figure 1</w:t>
                              </w:r>
                            </w:p>
                            <w:p w14:paraId="6510B5BC" w14:textId="18103DE7" w:rsidR="00E94A88" w:rsidRPr="002A1303" w:rsidRDefault="00E94A88" w:rsidP="002A1303">
                              <w:pPr>
                                <w:keepNext/>
                                <w:keepLines/>
                                <w:jc w:val="center"/>
                                <w:rPr>
                                  <w:sz w:val="22"/>
                                  <w:szCs w:val="22"/>
                                </w:rPr>
                              </w:pPr>
                              <w:r>
                                <w:rPr>
                                  <w:sz w:val="22"/>
                                  <w:szCs w:val="22"/>
                                </w:rPr>
                                <w:t>Continuum of corporate tax planning c</w:t>
                              </w:r>
                              <w:r w:rsidRPr="002A1303">
                                <w:rPr>
                                  <w:sz w:val="22"/>
                                  <w:szCs w:val="22"/>
                                </w:rPr>
                                <w:t>ontroversies</w:t>
                              </w:r>
                            </w:p>
                          </w:txbxContent>
                        </wps:txbx>
                        <wps:bodyPr rot="0" vert="horz" wrap="square" lIns="91440" tIns="45720" rIns="91440" bIns="45720" anchor="t" anchorCtr="0" upright="1">
                          <a:noAutofit/>
                        </wps:bodyPr>
                      </wps:wsp>
                      <wps:wsp>
                        <wps:cNvPr id="75" name="AutoShape 30"/>
                        <wps:cNvCnPr>
                          <a:cxnSpLocks noChangeShapeType="1"/>
                        </wps:cNvCnPr>
                        <wps:spPr bwMode="auto">
                          <a:xfrm flipV="1">
                            <a:off x="2654" y="8308"/>
                            <a:ext cx="6965" cy="11"/>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31"/>
                        <wps:cNvCnPr>
                          <a:cxnSpLocks noChangeShapeType="1"/>
                        </wps:cNvCnPr>
                        <wps:spPr bwMode="auto">
                          <a:xfrm>
                            <a:off x="5122" y="7940"/>
                            <a:ext cx="0" cy="82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2"/>
                        <wps:cNvCnPr>
                          <a:cxnSpLocks noChangeShapeType="1"/>
                        </wps:cNvCnPr>
                        <wps:spPr bwMode="auto">
                          <a:xfrm>
                            <a:off x="7290" y="7941"/>
                            <a:ext cx="0" cy="82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3"/>
                        <wps:cNvSpPr>
                          <a:spLocks/>
                        </wps:cNvSpPr>
                        <wps:spPr bwMode="auto">
                          <a:xfrm rot="16200000">
                            <a:off x="3834" y="6865"/>
                            <a:ext cx="431" cy="1845"/>
                          </a:xfrm>
                          <a:prstGeom prst="rightBrace">
                            <a:avLst>
                              <a:gd name="adj1" fmla="val 3567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34"/>
                        <wps:cNvSpPr>
                          <a:spLocks/>
                        </wps:cNvSpPr>
                        <wps:spPr bwMode="auto">
                          <a:xfrm rot="16200000">
                            <a:off x="6025" y="6888"/>
                            <a:ext cx="431" cy="1800"/>
                          </a:xfrm>
                          <a:prstGeom prst="rightBrace">
                            <a:avLst>
                              <a:gd name="adj1" fmla="val 3480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35"/>
                        <wps:cNvSpPr>
                          <a:spLocks/>
                        </wps:cNvSpPr>
                        <wps:spPr bwMode="auto">
                          <a:xfrm rot="16200000">
                            <a:off x="8172" y="6887"/>
                            <a:ext cx="431" cy="1802"/>
                          </a:xfrm>
                          <a:prstGeom prst="rightBrace">
                            <a:avLst>
                              <a:gd name="adj1" fmla="val 34841"/>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40"/>
                        <wpg:cNvGrpSpPr>
                          <a:grpSpLocks/>
                        </wpg:cNvGrpSpPr>
                        <wpg:grpSpPr bwMode="auto">
                          <a:xfrm>
                            <a:off x="3648" y="7021"/>
                            <a:ext cx="6769" cy="479"/>
                            <a:chOff x="3925" y="7324"/>
                            <a:chExt cx="5869" cy="479"/>
                          </a:xfrm>
                        </wpg:grpSpPr>
                        <wps:wsp>
                          <wps:cNvPr id="82" name="Text Box 36"/>
                          <wps:cNvSpPr txBox="1">
                            <a:spLocks noChangeArrowheads="1"/>
                          </wps:cNvSpPr>
                          <wps:spPr bwMode="auto">
                            <a:xfrm>
                              <a:off x="3925" y="7324"/>
                              <a:ext cx="1140" cy="452"/>
                            </a:xfrm>
                            <a:prstGeom prst="rect">
                              <a:avLst/>
                            </a:prstGeom>
                            <a:solidFill>
                              <a:srgbClr val="FFFFFF"/>
                            </a:solidFill>
                            <a:ln w="9525">
                              <a:solidFill>
                                <a:srgbClr val="FFFFFF"/>
                              </a:solidFill>
                              <a:miter lim="800000"/>
                              <a:headEnd/>
                              <a:tailEnd/>
                            </a:ln>
                          </wps:spPr>
                          <wps:txbx>
                            <w:txbxContent>
                              <w:p w14:paraId="4D18E076" w14:textId="77777777" w:rsidR="00E94A88" w:rsidRPr="002A1303" w:rsidRDefault="00E94A88" w:rsidP="002A1303">
                                <w:pPr>
                                  <w:keepNext/>
                                  <w:keepLines/>
                                  <w:rPr>
                                    <w:b/>
                                    <w:sz w:val="22"/>
                                    <w:szCs w:val="22"/>
                                  </w:rPr>
                                </w:pPr>
                                <w:r w:rsidRPr="002A1303">
                                  <w:rPr>
                                    <w:b/>
                                    <w:sz w:val="22"/>
                                    <w:szCs w:val="22"/>
                                  </w:rPr>
                                  <w:t>Legal</w:t>
                                </w:r>
                              </w:p>
                            </w:txbxContent>
                          </wps:txbx>
                          <wps:bodyPr rot="0" vert="horz" wrap="square" lIns="91440" tIns="45720" rIns="91440" bIns="45720" anchor="t" anchorCtr="0" upright="1">
                            <a:noAutofit/>
                          </wps:bodyPr>
                        </wps:wsp>
                        <wps:wsp>
                          <wps:cNvPr id="83" name="Text Box 37"/>
                          <wps:cNvSpPr txBox="1">
                            <a:spLocks noChangeArrowheads="1"/>
                          </wps:cNvSpPr>
                          <wps:spPr bwMode="auto">
                            <a:xfrm>
                              <a:off x="5094" y="7324"/>
                              <a:ext cx="2350" cy="479"/>
                            </a:xfrm>
                            <a:prstGeom prst="rect">
                              <a:avLst/>
                            </a:prstGeom>
                            <a:solidFill>
                              <a:srgbClr val="FFFFFF">
                                <a:alpha val="0"/>
                              </a:srgbClr>
                            </a:solidFill>
                            <a:ln w="9525">
                              <a:solidFill>
                                <a:srgbClr val="FFFFFF"/>
                              </a:solidFill>
                              <a:miter lim="800000"/>
                              <a:headEnd/>
                              <a:tailEnd/>
                            </a:ln>
                          </wps:spPr>
                          <wps:txbx>
                            <w:txbxContent>
                              <w:p w14:paraId="4E67EFAD" w14:textId="77777777" w:rsidR="00E94A88" w:rsidRPr="002A1303" w:rsidRDefault="00E94A88" w:rsidP="002A1303">
                                <w:pPr>
                                  <w:keepNext/>
                                  <w:keepLines/>
                                  <w:jc w:val="center"/>
                                  <w:rPr>
                                    <w:b/>
                                    <w:i/>
                                    <w:sz w:val="22"/>
                                    <w:szCs w:val="22"/>
                                  </w:rPr>
                                </w:pPr>
                                <w:r w:rsidRPr="002A1303">
                                  <w:rPr>
                                    <w:b/>
                                    <w:sz w:val="22"/>
                                    <w:szCs w:val="22"/>
                                  </w:rPr>
                                  <w:t xml:space="preserve">Legal, </w:t>
                                </w:r>
                                <w:r w:rsidRPr="002A1303">
                                  <w:rPr>
                                    <w:b/>
                                    <w:i/>
                                    <w:sz w:val="22"/>
                                    <w:szCs w:val="22"/>
                                  </w:rPr>
                                  <w:t>ex ante</w:t>
                                </w:r>
                                <w:r w:rsidRPr="002A1303">
                                  <w:rPr>
                                    <w:b/>
                                    <w:sz w:val="22"/>
                                    <w:szCs w:val="22"/>
                                  </w:rPr>
                                  <w:t>;</w:t>
                                </w:r>
                              </w:p>
                              <w:p w14:paraId="04628D67" w14:textId="77777777" w:rsidR="00E94A88" w:rsidRDefault="00E94A88" w:rsidP="002A1303">
                                <w:pPr>
                                  <w:keepNext/>
                                  <w:keepLines/>
                                  <w:jc w:val="center"/>
                                  <w:rPr>
                                    <w:b/>
                                  </w:rPr>
                                </w:pPr>
                                <w:r>
                                  <w:rPr>
                                    <w:b/>
                                  </w:rPr>
                                  <w:t xml:space="preserve">Abusive, </w:t>
                                </w:r>
                                <w:r>
                                  <w:rPr>
                                    <w:b/>
                                    <w:i/>
                                  </w:rPr>
                                  <w:t>ex post</w:t>
                                </w:r>
                              </w:p>
                            </w:txbxContent>
                          </wps:txbx>
                          <wps:bodyPr rot="0" vert="horz" wrap="square" lIns="91440" tIns="45720" rIns="91440" bIns="45720" anchor="t" anchorCtr="0" upright="1">
                            <a:noAutofit/>
                          </wps:bodyPr>
                        </wps:wsp>
                        <wps:wsp>
                          <wps:cNvPr id="84" name="Text Box 38"/>
                          <wps:cNvSpPr txBox="1">
                            <a:spLocks noChangeArrowheads="1"/>
                          </wps:cNvSpPr>
                          <wps:spPr bwMode="auto">
                            <a:xfrm>
                              <a:off x="7444" y="7324"/>
                              <a:ext cx="2350" cy="452"/>
                            </a:xfrm>
                            <a:prstGeom prst="rect">
                              <a:avLst/>
                            </a:prstGeom>
                            <a:solidFill>
                              <a:srgbClr val="FFFFFF">
                                <a:alpha val="0"/>
                              </a:srgbClr>
                            </a:solidFill>
                            <a:ln w="9525">
                              <a:solidFill>
                                <a:srgbClr val="FFFFFF"/>
                              </a:solidFill>
                              <a:miter lim="800000"/>
                              <a:headEnd/>
                              <a:tailEnd/>
                            </a:ln>
                          </wps:spPr>
                          <wps:txbx>
                            <w:txbxContent>
                              <w:p w14:paraId="53D75BD1" w14:textId="77777777" w:rsidR="00E94A88" w:rsidRPr="002A1303" w:rsidRDefault="00E94A88" w:rsidP="002A1303">
                                <w:pPr>
                                  <w:keepNext/>
                                  <w:keepLines/>
                                  <w:rPr>
                                    <w:b/>
                                    <w:sz w:val="22"/>
                                    <w:szCs w:val="22"/>
                                  </w:rPr>
                                </w:pPr>
                                <w:r w:rsidRPr="002A1303">
                                  <w:rPr>
                                    <w:b/>
                                    <w:sz w:val="22"/>
                                    <w:szCs w:val="22"/>
                                  </w:rPr>
                                  <w:t xml:space="preserve">    Illegal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38" style="position:absolute;margin-left:27.1pt;margin-top:-22.85pt;width:4in;height:139.6pt;z-index:251669504" coordorigin="2398,5914" coordsize="8019,28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">
                <v:shape id="Text Box 39" o:spid="_x0000_s1039" type="#_x0000_t202" style="position:absolute;left:2398;top:5914;width:8019;height:10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SWVwgAA&#10;ANsAAAAPAAAAZHJzL2Rvd25yZXYueG1sRI9Pi8IwFMTvgt8hPMGLaGoRla5RRBS96u7F26N5/cM2&#10;L20Tbd1Pv1lY8DjMzG+Yza43lXhS60rLCuazCARxanXJuYKvz9N0DcJ5ZI2VZVLwIge77XCwwUTb&#10;jq/0vPlcBAi7BBUU3teJlC4tyKCb2Zo4eJltDfog21zqFrsAN5WMo2gpDZYcFgqs6VBQ+n17GAW2&#10;O76MpSaKJ/cfcz7sm2sWN0qNR/3+A4Sn3r/D/+2LVrBawN+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ZJZXCAAAA2wAAAA8AAAAAAAAAAAAAAAAAlwIAAGRycy9kb3du&#10;cmV2LnhtbFBLBQYAAAAABAAEAPUAAACGAwAAAAA=&#10;" strokecolor="white">
                  <v:textbox>
                    <w:txbxContent>
                      <w:p w14:paraId="1406D471" w14:textId="77777777" w:rsidR="00E94A88" w:rsidRPr="002A1303" w:rsidRDefault="00E94A88" w:rsidP="002A1303">
                        <w:pPr>
                          <w:keepNext/>
                          <w:keepLines/>
                          <w:spacing w:after="100"/>
                          <w:jc w:val="center"/>
                          <w:rPr>
                            <w:smallCaps/>
                            <w:sz w:val="22"/>
                            <w:szCs w:val="22"/>
                          </w:rPr>
                        </w:pPr>
                        <w:r w:rsidRPr="002A1303">
                          <w:rPr>
                            <w:smallCaps/>
                            <w:sz w:val="22"/>
                            <w:szCs w:val="22"/>
                          </w:rPr>
                          <w:t>Figure 1</w:t>
                        </w:r>
                      </w:p>
                      <w:p w14:paraId="6510B5BC" w14:textId="18103DE7" w:rsidR="00E94A88" w:rsidRPr="002A1303" w:rsidRDefault="00E94A88" w:rsidP="002A1303">
                        <w:pPr>
                          <w:keepNext/>
                          <w:keepLines/>
                          <w:jc w:val="center"/>
                          <w:rPr>
                            <w:sz w:val="22"/>
                            <w:szCs w:val="22"/>
                          </w:rPr>
                        </w:pPr>
                        <w:r>
                          <w:rPr>
                            <w:sz w:val="22"/>
                            <w:szCs w:val="22"/>
                          </w:rPr>
                          <w:t>Continuum of corporate tax planning c</w:t>
                        </w:r>
                        <w:r w:rsidRPr="002A1303">
                          <w:rPr>
                            <w:sz w:val="22"/>
                            <w:szCs w:val="22"/>
                          </w:rPr>
                          <w:t>ontroversies</w:t>
                        </w:r>
                      </w:p>
                    </w:txbxContent>
                  </v:textbox>
                </v:shape>
                <v:shape id="AutoShape 30" o:spid="_x0000_s1040" type="#_x0000_t32" style="position:absolute;left:2654;top:8308;width:6965;height:1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pOWMMAAADbAAAADwAAAGRycy9kb3ducmV2LnhtbESP0WrCQBRE3wX/YbmFvohuKqg1ZpUi&#10;CBUKxdgPuGSvyabZuzG7mvTvu4WCj8PMnGGy3WAbcafOG8cKXmYJCOLCacOlgq/zYfoKwgdkjY1j&#10;UvBDHnbb8SjDVLueT3TPQykihH2KCqoQ2lRKX1Rk0c9cSxy9i+sshii7UuoO+wi3jZwnyVJaNBwX&#10;KmxpX1Hxnd+sAuRF7Y5mkn8ezbXOP3B9Cf1aqeen4W0DItAQHuH/9rtWsFrA35f4A+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MKTljDAAAA2wAAAA8AAAAAAAAAAAAA&#10;AAAAoQIAAGRycy9kb3ducmV2LnhtbFBLBQYAAAAABAAEAPkAAACRAwAAAAA=&#10;" strokeweight="1.25pt">
                  <v:stroke startarrow="block" endarrow="block"/>
                </v:shape>
                <v:shape id="AutoShape 31" o:spid="_x0000_s1041" type="#_x0000_t32" style="position:absolute;left:5122;top:7940;width:0;height:8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hz0sEAAADbAAAADwAAAGRycy9kb3ducmV2LnhtbESPQWvCQBSE7wX/w/IKvdVNS4gSXUWE&#10;gtekoedH9pkEs29jdmPWf+8WBI/DzHzDbPfB9OJGo+ssK/haJiCIa6s7bhRUvz+faxDOI2vsLZOC&#10;OznY7xZvW8y1nbmgW+kbESHsclTQej/kUrq6JYNuaQfi6J3taNBHOTZSjzhHuOnld5Jk0mDHcaHF&#10;gY4t1ZdyMgqK4tr8TS7Mh/U5rNJKpyaZTkp9vIfDBoSn4F/hZ/ukFawy+P8Sf4DcP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SHPSwQAAANsAAAAPAAAAAAAAAAAAAAAA&#10;AKECAABkcnMvZG93bnJldi54bWxQSwUGAAAAAAQABAD5AAAAjwMAAAAA&#10;" strokeweight="1.25pt"/>
                <v:shape id="AutoShape 32" o:spid="_x0000_s1042" type="#_x0000_t32" style="position:absolute;left:7290;top:7941;width:0;height:8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TWSb8AAADbAAAADwAAAGRycy9kb3ducmV2LnhtbESPQYvCMBSE74L/ITzBm6YuYqUaRQTB&#10;a1U8P5pnW2xeapPa7L83Cwseh5n5htnug2nEmzpXW1awmCcgiAuray4V3K6n2RqE88gaG8uk4Jcc&#10;7Hfj0RYzbQfO6X3xpYgQdhkqqLxvMyldUZFBN7ctcfQetjPoo+xKqTscItw08idJVtJgzXGhwpaO&#10;FRXPS28U5PmrvPcuDIf1I6TLm16apD8rNZ2EwwaEp+C/4f/2WStIU/j7En+A3H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QTWSb8AAADbAAAADwAAAAAAAAAAAAAAAACh&#10;AgAAZHJzL2Rvd25yZXYueG1sUEsFBgAAAAAEAAQA+QAAAI0DAAAAAA==&#10;" strokeweight="1.25pt"/>
                <v:shape id="AutoShape 33" o:spid="_x0000_s1043" type="#_x0000_t88" style="position:absolute;left:3834;top:6865;width:431;height:18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kaGwAAA&#10;ANsAAAAPAAAAZHJzL2Rvd25yZXYueG1sRE/LisIwFN0P+A/hCrMb07pQqUYRwUFkBF8Ll5fm2hab&#10;m9hktPr1ZiG4PJz3ZNaaWtyo8ZVlBWkvAUGcW11xoeB4WP6MQPiArLG2TAoe5GE27XxNMNP2zju6&#10;7UMhYgj7DBWUIbhMSp+XZND3rCOO3Nk2BkOETSF1g/cYbmrZT5KBNFhxbCjR0aKk/LL/Nwr6V+se&#10;v8s83ep09Ved3HNtNk+lvrvtfAwiUBs+4rd7pRUM49j4Jf4AOX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MkaGwAAAANsAAAAPAAAAAAAAAAAAAAAAAJcCAABkcnMvZG93bnJl&#10;di54bWxQSwUGAAAAAAQABAD1AAAAhAMAAAAA&#10;" strokeweight="1.25pt"/>
                <v:shape id="AutoShape 34" o:spid="_x0000_s1044" type="#_x0000_t88" style="position:absolute;left:6025;top:6888;width:431;height:18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uMdxAAA&#10;ANsAAAAPAAAAZHJzL2Rvd25yZXYueG1sRI9BawIxFITvQv9DeIXeNLseWrsaRQRFSgW1Hjw+Ns/d&#10;xc1L3ERd/fWNIHgcZuYbZjRpTS0u1PjKsoK0l4Agzq2uuFCw+5t3ByB8QNZYWyYFN/IwGb91Rphp&#10;e+UNXbahEBHCPkMFZQguk9LnJRn0PeuIo3ewjcEQZVNI3eA1wk0t+0nyKQ1WHBdKdDQrKT9uz0ZB&#10;/2TdbTHP07VOl7/V3t1/zOqu1Md7Ox2CCNSGV/jZXmoFX9/w+BJ/gB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7jHcQAAADbAAAADwAAAAAAAAAAAAAAAACXAgAAZHJzL2Rv&#10;d25yZXYueG1sUEsFBgAAAAAEAAQA9QAAAIgDAAAAAA==&#10;" strokeweight="1.25pt"/>
                <v:shape id="AutoShape 35" o:spid="_x0000_s1045" type="#_x0000_t88" style="position:absolute;left:8172;top:6887;width:431;height:1802;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TqnwgAA&#10;ANsAAAAPAAAAZHJzL2Rvd25yZXYueG1sRE+7asMwFN0L+QdxC90a2RlKcCKbUkgxpYW8ho4X6dY2&#10;ta4US3WcfH01BDIezntdTbYXIw2hc6wgn2cgiLUzHTcKjofN8xJEiMgGe8ek4EIBqnL2sMbCuDPv&#10;aNzHRqQQDgUqaGP0hZRBt2QxzJ0nTtyPGyzGBIdGmgHPKdz2cpFlL9Jix6mhRU9vLenf/Z9VsDg5&#10;f3nf6Hxr8vqz+/bXD/t1VerpcXpdgYg0xbv45q6NgmVan76kHy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ROqfCAAAA2wAAAA8AAAAAAAAAAAAAAAAAlwIAAGRycy9kb3du&#10;cmV2LnhtbFBLBQYAAAAABAAEAPUAAACGAwAAAAA=&#10;" strokeweight="1.25pt"/>
                <v:group id="Group 40" o:spid="_x0000_s1046" style="position:absolute;left:3648;top:7021;width:6769;height:479" coordorigin="3925,7324" coordsize="5869,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Text Box 36" o:spid="_x0000_s1047" type="#_x0000_t202" style="position:absolute;left:3925;top:7324;width:1140;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WhdwwAA&#10;ANsAAAAPAAAAZHJzL2Rvd25yZXYueG1sRI9La8MwEITvhfwHsYVeSizXhxAcKyGElPZqt5fcFmv9&#10;oNbKtlQ/+uurQKHHYWa+YbLTYjox0ehaywpeohgEcWl1y7WCz4/X7R6E88gaO8ukYCUHp+PmIcNU&#10;25lzmgpfiwBhl6KCxvs+ldKVDRl0ke2Jg1fZ0aAPcqylHnEOcNPJJI530mDLYaHBni4NlV/Ft1Fg&#10;5+tqLA1x8nz7MW+X85BXyaDU0+NyPoDwtPj/8F/7XSvYJ3D/En6AP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aWhdwwAAANsAAAAPAAAAAAAAAAAAAAAAAJcCAABkcnMvZG93&#10;bnJldi54bWxQSwUGAAAAAAQABAD1AAAAhwMAAAAA&#10;" strokecolor="white">
                    <v:textbox>
                      <w:txbxContent>
                        <w:p w14:paraId="4D18E076" w14:textId="77777777" w:rsidR="00E94A88" w:rsidRPr="002A1303" w:rsidRDefault="00E94A88" w:rsidP="002A1303">
                          <w:pPr>
                            <w:keepNext/>
                            <w:keepLines/>
                            <w:rPr>
                              <w:b/>
                              <w:sz w:val="22"/>
                              <w:szCs w:val="22"/>
                            </w:rPr>
                          </w:pPr>
                          <w:r w:rsidRPr="002A1303">
                            <w:rPr>
                              <w:b/>
                              <w:sz w:val="22"/>
                              <w:szCs w:val="22"/>
                            </w:rPr>
                            <w:t>Legal</w:t>
                          </w:r>
                        </w:p>
                      </w:txbxContent>
                    </v:textbox>
                  </v:shape>
                  <v:shape id="Text Box 37" o:spid="_x0000_s1048" type="#_x0000_t202" style="position:absolute;left:5094;top:7324;width:2350;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LLEwwAA&#10;ANsAAAAPAAAAZHJzL2Rvd25yZXYueG1sRI/RagIxFETfBf8hXKFvmlWhyNYoraKVUgpu+wGXzXWz&#10;mtwsm+iuf98UCj4OM3OGWa57Z8WN2lB7VjCdZCCIS69rrhT8fO/GCxAhImu0nknBnQKsV8PBEnPt&#10;Oz7SrYiVSBAOOSowMTa5lKE05DBMfEOcvJNvHcYk20rqFrsEd1bOsuxZOqw5LRhsaGOovBRXp+DN&#10;fnTbffAX/d5fi6/iuPs8G6vU06h/fQERqY+P8H/7oBUs5vD3Jf0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qLLEwwAAANsAAAAPAAAAAAAAAAAAAAAAAJcCAABkcnMvZG93&#10;bnJldi54bWxQSwUGAAAAAAQABAD1AAAAhwMAAAAA&#10;" strokecolor="white">
                    <v:fill opacity="0"/>
                    <v:textbox>
                      <w:txbxContent>
                        <w:p w14:paraId="4E67EFAD" w14:textId="77777777" w:rsidR="00E94A88" w:rsidRPr="002A1303" w:rsidRDefault="00E94A88" w:rsidP="002A1303">
                          <w:pPr>
                            <w:keepNext/>
                            <w:keepLines/>
                            <w:jc w:val="center"/>
                            <w:rPr>
                              <w:b/>
                              <w:i/>
                              <w:sz w:val="22"/>
                              <w:szCs w:val="22"/>
                            </w:rPr>
                          </w:pPr>
                          <w:r w:rsidRPr="002A1303">
                            <w:rPr>
                              <w:b/>
                              <w:sz w:val="22"/>
                              <w:szCs w:val="22"/>
                            </w:rPr>
                            <w:t xml:space="preserve">Legal, </w:t>
                          </w:r>
                          <w:r w:rsidRPr="002A1303">
                            <w:rPr>
                              <w:b/>
                              <w:i/>
                              <w:sz w:val="22"/>
                              <w:szCs w:val="22"/>
                            </w:rPr>
                            <w:t>ex ante</w:t>
                          </w:r>
                          <w:r w:rsidRPr="002A1303">
                            <w:rPr>
                              <w:b/>
                              <w:sz w:val="22"/>
                              <w:szCs w:val="22"/>
                            </w:rPr>
                            <w:t>;</w:t>
                          </w:r>
                        </w:p>
                        <w:p w14:paraId="04628D67" w14:textId="77777777" w:rsidR="00E94A88" w:rsidRDefault="00E94A88" w:rsidP="002A1303">
                          <w:pPr>
                            <w:keepNext/>
                            <w:keepLines/>
                            <w:jc w:val="center"/>
                            <w:rPr>
                              <w:b/>
                            </w:rPr>
                          </w:pPr>
                          <w:r>
                            <w:rPr>
                              <w:b/>
                            </w:rPr>
                            <w:t xml:space="preserve">Abusive, </w:t>
                          </w:r>
                          <w:r>
                            <w:rPr>
                              <w:b/>
                              <w:i/>
                            </w:rPr>
                            <w:t>ex post</w:t>
                          </w:r>
                        </w:p>
                      </w:txbxContent>
                    </v:textbox>
                  </v:shape>
                  <v:shape id="Text Box 38" o:spid="_x0000_s1049" type="#_x0000_t202" style="position:absolute;left:7444;top:7324;width:2350;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SqwwwAA&#10;ANsAAAAPAAAAZHJzL2Rvd25yZXYueG1sRI/RagIxFETfBf8hXKFvmlWkyNYoraKVUgpu+wGXzXWz&#10;mtwsm+iuf98UCj4OM3OGWa57Z8WN2lB7VjCdZCCIS69rrhT8fO/GCxAhImu0nknBnQKsV8PBEnPt&#10;Oz7SrYiVSBAOOSowMTa5lKE05DBMfEOcvJNvHcYk20rqFrsEd1bOsuxZOqw5LRhsaGOovBRXp+DN&#10;fnTbffAX/d5fi6/iuPs8G6vU06h/fQERqY+P8H/7oBUs5vD3Jf0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QSqwwwAAANsAAAAPAAAAAAAAAAAAAAAAAJcCAABkcnMvZG93&#10;bnJldi54bWxQSwUGAAAAAAQABAD1AAAAhwMAAAAA&#10;" strokecolor="white">
                    <v:fill opacity="0"/>
                    <v:textbox>
                      <w:txbxContent>
                        <w:p w14:paraId="53D75BD1" w14:textId="77777777" w:rsidR="00E94A88" w:rsidRPr="002A1303" w:rsidRDefault="00E94A88" w:rsidP="002A1303">
                          <w:pPr>
                            <w:keepNext/>
                            <w:keepLines/>
                            <w:rPr>
                              <w:b/>
                              <w:sz w:val="22"/>
                              <w:szCs w:val="22"/>
                            </w:rPr>
                          </w:pPr>
                          <w:r w:rsidRPr="002A1303">
                            <w:rPr>
                              <w:b/>
                              <w:sz w:val="22"/>
                              <w:szCs w:val="22"/>
                            </w:rPr>
                            <w:t xml:space="preserve">    Illegal</w:t>
                          </w:r>
                        </w:p>
                      </w:txbxContent>
                    </v:textbox>
                  </v:shape>
                </v:group>
                <w10:anchorlock/>
              </v:group>
            </w:pict>
          </mc:Fallback>
        </mc:AlternateContent>
      </w:r>
    </w:p>
    <w:p w14:paraId="17AA6A65" w14:textId="77777777" w:rsidR="002A1303" w:rsidRDefault="002A1303" w:rsidP="002A1303"/>
    <w:p w14:paraId="7FC0661A" w14:textId="77777777" w:rsidR="002A1303" w:rsidRDefault="002A1303" w:rsidP="002A1303"/>
    <w:p w14:paraId="1319E33E" w14:textId="77777777" w:rsidR="002A1303" w:rsidRDefault="002A1303" w:rsidP="002A1303"/>
    <w:p w14:paraId="632F754C" w14:textId="77777777" w:rsidR="002A1303" w:rsidRDefault="002A1303" w:rsidP="002A1303"/>
    <w:p w14:paraId="2EB3D228" w14:textId="77777777" w:rsidR="002A1303" w:rsidRPr="002A1303" w:rsidRDefault="002A1303" w:rsidP="002A1303"/>
    <w:p w14:paraId="032B590A" w14:textId="77777777" w:rsidR="002A1303" w:rsidRDefault="002A1303" w:rsidP="006919F4">
      <w:pPr>
        <w:pStyle w:val="Document"/>
        <w:rPr>
          <w:rFonts w:ascii="Times New Roman" w:eastAsia="Calibri" w:hAnsi="Times New Roman"/>
          <w:szCs w:val="22"/>
        </w:rPr>
      </w:pPr>
    </w:p>
    <w:p w14:paraId="7D121595" w14:textId="77777777" w:rsidR="002A1303" w:rsidRDefault="002A1303" w:rsidP="006919F4">
      <w:pPr>
        <w:pStyle w:val="Document"/>
        <w:rPr>
          <w:rFonts w:ascii="Times New Roman" w:eastAsia="Calibri" w:hAnsi="Times New Roman"/>
          <w:szCs w:val="22"/>
        </w:rPr>
      </w:pPr>
    </w:p>
    <w:p w14:paraId="6765384E" w14:textId="77777777" w:rsidR="002A1303" w:rsidRDefault="002A1303" w:rsidP="006919F4">
      <w:pPr>
        <w:pStyle w:val="Document"/>
        <w:rPr>
          <w:rFonts w:ascii="Times New Roman" w:eastAsia="Calibri" w:hAnsi="Times New Roman"/>
          <w:szCs w:val="22"/>
        </w:rPr>
      </w:pPr>
    </w:p>
    <w:p w14:paraId="00A2B364" w14:textId="07026E74" w:rsidR="006919F4" w:rsidRPr="00506576" w:rsidRDefault="006919F4" w:rsidP="00AD6FA1">
      <w:pPr>
        <w:pStyle w:val="Document"/>
        <w:ind w:firstLine="0"/>
        <w:rPr>
          <w:rFonts w:ascii="Times New Roman" w:eastAsia="Calibri" w:hAnsi="Times New Roman"/>
          <w:szCs w:val="22"/>
        </w:rPr>
      </w:pPr>
      <w:r w:rsidRPr="00506576">
        <w:rPr>
          <w:rFonts w:ascii="Times New Roman" w:eastAsia="Calibri" w:hAnsi="Times New Roman"/>
          <w:szCs w:val="22"/>
        </w:rPr>
        <w:t>At the left end of the continuum are legal activities. This category includes clearly permissible tax positions, such as a corporation’s decision to apply the correct tax rate to its established tax liability.</w:t>
      </w:r>
      <w:r w:rsidR="007F58D6" w:rsidRPr="00506576">
        <w:rPr>
          <w:rFonts w:ascii="Times New Roman" w:eastAsia="Calibri" w:hAnsi="Times New Roman"/>
          <w:szCs w:val="22"/>
        </w:rPr>
        <w:t xml:space="preserve"> </w:t>
      </w:r>
      <w:r w:rsidRPr="00506576">
        <w:rPr>
          <w:rFonts w:ascii="Times New Roman" w:eastAsia="Calibri" w:hAnsi="Times New Roman"/>
          <w:szCs w:val="22"/>
        </w:rPr>
        <w:t>This category may also include more aggressi</w:t>
      </w:r>
      <w:r w:rsidR="00E20591" w:rsidRPr="00506576">
        <w:rPr>
          <w:rFonts w:ascii="Times New Roman" w:eastAsia="Calibri" w:hAnsi="Times New Roman"/>
          <w:szCs w:val="22"/>
        </w:rPr>
        <w:t>ve, yet permissible, strategies</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At the right end of the continuum are clearly illegal activities, such as a corporation’s decision to claim a business expense for high salary expenses that it never actually incurred.</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The middle section of the continuum represents corporate tax abuse: tax positions that are consistent with the letter of the tax law and are </w:t>
      </w:r>
      <w:r w:rsidRPr="00506576">
        <w:rPr>
          <w:rFonts w:ascii="Times New Roman" w:eastAsia="Calibri" w:hAnsi="Times New Roman"/>
          <w:szCs w:val="22"/>
        </w:rPr>
        <w:lastRenderedPageBreak/>
        <w:t xml:space="preserve">legal </w:t>
      </w:r>
      <w:r w:rsidR="004A44E3" w:rsidRPr="00506576">
        <w:rPr>
          <w:rFonts w:ascii="Times New Roman" w:eastAsia="Calibri" w:hAnsi="Times New Roman"/>
          <w:szCs w:val="22"/>
        </w:rPr>
        <w:t>ex ante</w:t>
      </w:r>
      <w:r w:rsidRPr="00506576">
        <w:rPr>
          <w:rFonts w:ascii="Times New Roman" w:eastAsia="Calibri" w:hAnsi="Times New Roman"/>
          <w:szCs w:val="22"/>
        </w:rPr>
        <w:t xml:space="preserve">, but produce tax benefits that Congress did not intend and </w:t>
      </w:r>
      <w:r w:rsidR="0084295B" w:rsidRPr="00506576">
        <w:rPr>
          <w:rFonts w:ascii="Times New Roman" w:eastAsia="Calibri" w:hAnsi="Times New Roman"/>
          <w:szCs w:val="22"/>
        </w:rPr>
        <w:t>are labeled</w:t>
      </w:r>
      <w:r w:rsidRPr="00506576">
        <w:rPr>
          <w:rFonts w:ascii="Times New Roman" w:eastAsia="Calibri" w:hAnsi="Times New Roman"/>
          <w:szCs w:val="22"/>
        </w:rPr>
        <w:t xml:space="preserve"> abusive </w:t>
      </w:r>
      <w:r w:rsidR="00207283" w:rsidRPr="00506576">
        <w:rPr>
          <w:rFonts w:ascii="Times New Roman" w:eastAsia="Calibri" w:hAnsi="Times New Roman"/>
          <w:szCs w:val="22"/>
        </w:rPr>
        <w:t>ex post</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Individuals involved in corporate tax planning expend significant effort endeavoring to determine </w:t>
      </w:r>
      <w:r w:rsidR="004A44E3" w:rsidRPr="00506576">
        <w:rPr>
          <w:rFonts w:ascii="Times New Roman" w:eastAsia="Calibri" w:hAnsi="Times New Roman"/>
          <w:szCs w:val="22"/>
        </w:rPr>
        <w:t>ex ante</w:t>
      </w:r>
      <w:r w:rsidRPr="00506576">
        <w:rPr>
          <w:rFonts w:ascii="Times New Roman" w:eastAsia="Calibri" w:hAnsi="Times New Roman"/>
          <w:i/>
          <w:szCs w:val="22"/>
        </w:rPr>
        <w:t xml:space="preserve"> </w:t>
      </w:r>
      <w:r w:rsidRPr="00506576">
        <w:rPr>
          <w:rFonts w:ascii="Times New Roman" w:eastAsia="Calibri" w:hAnsi="Times New Roman"/>
          <w:szCs w:val="22"/>
        </w:rPr>
        <w:t xml:space="preserve">whether a court </w:t>
      </w:r>
      <w:r w:rsidR="0084295B" w:rsidRPr="00506576">
        <w:rPr>
          <w:rFonts w:ascii="Times New Roman" w:eastAsia="Calibri" w:hAnsi="Times New Roman"/>
          <w:szCs w:val="22"/>
        </w:rPr>
        <w:t>will</w:t>
      </w:r>
      <w:r w:rsidRPr="00506576">
        <w:rPr>
          <w:rFonts w:ascii="Times New Roman" w:eastAsia="Calibri" w:hAnsi="Times New Roman"/>
          <w:szCs w:val="22"/>
        </w:rPr>
        <w:t xml:space="preserve"> view a particular tax strategy as crossing the aggressive but legal line—that is, the line between legal corporate tax minimization (on the left side of the continuum) and abusive corporate tax evasion (in the middle of the continuum).</w:t>
      </w:r>
    </w:p>
    <w:p w14:paraId="7CC8B11B" w14:textId="77777777" w:rsidR="006919F4" w:rsidRPr="00506576" w:rsidRDefault="006919F4" w:rsidP="006919F4">
      <w:pPr>
        <w:pStyle w:val="Document"/>
        <w:rPr>
          <w:rFonts w:ascii="Times New Roman" w:eastAsia="Calibri" w:hAnsi="Times New Roman"/>
          <w:b/>
          <w:szCs w:val="22"/>
        </w:rPr>
      </w:pPr>
      <w:r w:rsidRPr="00506576">
        <w:rPr>
          <w:rFonts w:ascii="Times New Roman" w:eastAsia="Calibri" w:hAnsi="Times New Roman"/>
          <w:szCs w:val="22"/>
        </w:rPr>
        <w:t xml:space="preserve">Given the uncertain nature of the judicial anti-abuse standards, </w:t>
      </w:r>
      <w:r w:rsidRPr="00506576">
        <w:rPr>
          <w:rFonts w:ascii="Times New Roman" w:hAnsi="Times New Roman"/>
          <w:szCs w:val="22"/>
        </w:rPr>
        <w:t xml:space="preserve">individuals disagree on the factors that </w:t>
      </w:r>
      <w:r w:rsidRPr="00506576">
        <w:rPr>
          <w:rFonts w:ascii="Times New Roman" w:eastAsia="Calibri" w:hAnsi="Times New Roman"/>
          <w:szCs w:val="22"/>
        </w:rPr>
        <w:t xml:space="preserve">are most critical to a court’s decision to reject a corporation’s claimed tax treatment. In this Subpart, we examine the respective methodologies that three </w:t>
      </w:r>
      <w:r w:rsidR="00E923E9" w:rsidRPr="00506576">
        <w:rPr>
          <w:rFonts w:ascii="Times New Roman" w:eastAsia="Calibri" w:hAnsi="Times New Roman"/>
          <w:szCs w:val="22"/>
        </w:rPr>
        <w:t>different groups of individuals—government officials, practitioners representing taxpayers, and scholars—</w:t>
      </w:r>
      <w:r w:rsidRPr="00506576">
        <w:rPr>
          <w:rFonts w:ascii="Times New Roman" w:eastAsia="Calibri" w:hAnsi="Times New Roman"/>
          <w:szCs w:val="22"/>
        </w:rPr>
        <w:t>have applied when engaging</w:t>
      </w:r>
      <w:r w:rsidR="00171083" w:rsidRPr="00506576">
        <w:rPr>
          <w:rFonts w:ascii="Times New Roman" w:eastAsia="Calibri" w:hAnsi="Times New Roman"/>
          <w:szCs w:val="22"/>
        </w:rPr>
        <w:t xml:space="preserve"> in</w:t>
      </w:r>
      <w:r w:rsidR="00E923E9" w:rsidRPr="00506576">
        <w:rPr>
          <w:rFonts w:ascii="Times New Roman" w:eastAsia="Calibri" w:hAnsi="Times New Roman"/>
          <w:szCs w:val="22"/>
        </w:rPr>
        <w:t xml:space="preserve"> this inquiry</w:t>
      </w:r>
      <w:r w:rsidRPr="00506576">
        <w:rPr>
          <w:rFonts w:ascii="Times New Roman" w:eastAsia="Calibri" w:hAnsi="Times New Roman"/>
          <w:szCs w:val="22"/>
        </w:rPr>
        <w:t>.</w:t>
      </w:r>
    </w:p>
    <w:p w14:paraId="3A3F5857" w14:textId="03540567" w:rsidR="006919F4" w:rsidRPr="00506576" w:rsidRDefault="00C56C1A" w:rsidP="00C56C1A">
      <w:pPr>
        <w:pStyle w:val="SubHead3"/>
        <w:rPr>
          <w:rFonts w:ascii="Times New Roman" w:eastAsia="Calibri" w:hAnsi="Times New Roman"/>
          <w:szCs w:val="22"/>
        </w:rPr>
      </w:pPr>
      <w:bookmarkStart w:id="17" w:name="_Toc319267154"/>
      <w:bookmarkStart w:id="18" w:name="_Toc332272306"/>
      <w:bookmarkStart w:id="19" w:name="_Toc337045085"/>
      <w:bookmarkStart w:id="20" w:name="_Toc337045517"/>
      <w:bookmarkStart w:id="21" w:name="_Toc338056860"/>
      <w:r w:rsidRPr="00506576">
        <w:rPr>
          <w:rFonts w:ascii="Times New Roman" w:eastAsia="Calibri" w:hAnsi="Times New Roman"/>
          <w:szCs w:val="22"/>
        </w:rPr>
        <w:t>1.</w:t>
      </w:r>
      <w:r w:rsidRPr="00506576">
        <w:rPr>
          <w:rFonts w:ascii="Times New Roman" w:eastAsia="Calibri" w:hAnsi="Times New Roman"/>
          <w:szCs w:val="22"/>
        </w:rPr>
        <w:tab/>
      </w:r>
      <w:r w:rsidR="0084295B" w:rsidRPr="00506576">
        <w:rPr>
          <w:rFonts w:ascii="Times New Roman" w:eastAsia="Calibri" w:hAnsi="Times New Roman"/>
          <w:szCs w:val="22"/>
        </w:rPr>
        <w:t xml:space="preserve">US </w:t>
      </w:r>
      <w:r w:rsidR="006919F4" w:rsidRPr="00506576">
        <w:rPr>
          <w:rFonts w:ascii="Times New Roman" w:eastAsia="Calibri" w:hAnsi="Times New Roman"/>
          <w:szCs w:val="22"/>
        </w:rPr>
        <w:t>Government Officials</w:t>
      </w:r>
      <w:bookmarkEnd w:id="17"/>
      <w:bookmarkEnd w:id="18"/>
      <w:bookmarkEnd w:id="19"/>
      <w:bookmarkEnd w:id="20"/>
      <w:bookmarkEnd w:id="21"/>
    </w:p>
    <w:p w14:paraId="2B2CC677" w14:textId="495FE8CE" w:rsidR="006919F4" w:rsidRPr="00506576" w:rsidRDefault="0084295B" w:rsidP="006919F4">
      <w:pPr>
        <w:pStyle w:val="Document"/>
        <w:rPr>
          <w:rFonts w:ascii="Times New Roman" w:eastAsia="Calibri" w:hAnsi="Times New Roman"/>
          <w:szCs w:val="22"/>
        </w:rPr>
      </w:pPr>
      <w:r w:rsidRPr="00506576">
        <w:rPr>
          <w:rFonts w:ascii="Times New Roman" w:eastAsia="Calibri" w:hAnsi="Times New Roman"/>
          <w:szCs w:val="22"/>
        </w:rPr>
        <w:t xml:space="preserve">US </w:t>
      </w:r>
      <w:r w:rsidR="006919F4" w:rsidRPr="00506576">
        <w:rPr>
          <w:rFonts w:ascii="Times New Roman" w:eastAsia="Calibri" w:hAnsi="Times New Roman"/>
          <w:szCs w:val="22"/>
        </w:rPr>
        <w:t>Government officials have identified several factors that they believe are relevant to determining whether or not a court will respect a corporation’s tax position.</w:t>
      </w:r>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One source of these factors is the broad set of disclosure requirements with which corporations (and other types of taxpayers) must comply.</w:t>
      </w:r>
      <w:bookmarkStart w:id="22" w:name="_Ref315435862"/>
      <w:r w:rsidR="006919F4" w:rsidRPr="000123C1">
        <w:rPr>
          <w:rStyle w:val="NoterefInText"/>
          <w:vertAlign w:val="superscript"/>
        </w:rPr>
        <w:footnoteReference w:id="8"/>
      </w:r>
      <w:bookmarkEnd w:id="22"/>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Under these rules, corporations must file special disclosure forms with the IRS whenever they engage in transactions that bear certain “red flag”</w:t>
      </w:r>
      <w:r w:rsidR="00AA7699" w:rsidRPr="00506576">
        <w:rPr>
          <w:rFonts w:ascii="Times New Roman" w:eastAsia="Calibri" w:hAnsi="Times New Roman"/>
          <w:szCs w:val="22"/>
        </w:rPr>
        <w:t xml:space="preserve"> </w:t>
      </w:r>
      <w:r w:rsidR="006919F4" w:rsidRPr="00506576">
        <w:rPr>
          <w:rFonts w:ascii="Times New Roman" w:eastAsia="Calibri" w:hAnsi="Times New Roman"/>
          <w:szCs w:val="22"/>
        </w:rPr>
        <w:t>traits.</w:t>
      </w:r>
      <w:r w:rsidR="007F58D6" w:rsidRPr="00506576">
        <w:rPr>
          <w:rFonts w:ascii="Times New Roman" w:eastAsia="Calibri" w:hAnsi="Times New Roman"/>
          <w:szCs w:val="22"/>
        </w:rPr>
        <w:t xml:space="preserve"> </w:t>
      </w:r>
      <w:r w:rsidR="00617761" w:rsidRPr="00506576">
        <w:rPr>
          <w:rFonts w:ascii="Times New Roman" w:eastAsia="Calibri" w:hAnsi="Times New Roman"/>
          <w:szCs w:val="22"/>
        </w:rPr>
        <w:t xml:space="preserve">While the </w:t>
      </w:r>
      <w:r w:rsidR="006919F4" w:rsidRPr="00506576">
        <w:rPr>
          <w:rFonts w:ascii="Times New Roman" w:eastAsia="Calibri" w:hAnsi="Times New Roman"/>
          <w:szCs w:val="22"/>
        </w:rPr>
        <w:t>purpose of these disclosure forms is to enhance the detection efforts of the IRS</w:t>
      </w:r>
      <w:r w:rsidR="00617761" w:rsidRPr="00506576">
        <w:rPr>
          <w:rFonts w:ascii="Times New Roman" w:eastAsia="Calibri" w:hAnsi="Times New Roman"/>
          <w:szCs w:val="22"/>
        </w:rPr>
        <w:t xml:space="preserve">, they </w:t>
      </w:r>
      <w:r w:rsidR="006919F4" w:rsidRPr="00506576">
        <w:rPr>
          <w:rFonts w:ascii="Times New Roman" w:eastAsia="Calibri" w:hAnsi="Times New Roman"/>
          <w:szCs w:val="22"/>
        </w:rPr>
        <w:t>indirectly reveal the types of factors that government officials believe influence a court.</w:t>
      </w:r>
      <w:r w:rsidR="007F58D6" w:rsidRPr="00506576">
        <w:rPr>
          <w:rFonts w:ascii="Times New Roman" w:eastAsia="Calibri" w:hAnsi="Times New Roman"/>
          <w:szCs w:val="22"/>
        </w:rPr>
        <w:t xml:space="preserve"> </w:t>
      </w:r>
      <w:r w:rsidR="006919F4" w:rsidRPr="00506576">
        <w:rPr>
          <w:rFonts w:ascii="Times New Roman" w:hAnsi="Times New Roman"/>
          <w:szCs w:val="22"/>
        </w:rPr>
        <w:t>Another source of government officials’ beliefs is the IRS’s internal administrative guidelines</w:t>
      </w:r>
      <w:r w:rsidR="00A04D54" w:rsidRPr="00506576">
        <w:rPr>
          <w:rFonts w:ascii="Times New Roman" w:hAnsi="Times New Roman"/>
          <w:szCs w:val="22"/>
        </w:rPr>
        <w:t>. The guidelines explain</w:t>
      </w:r>
      <w:r w:rsidR="006919F4" w:rsidRPr="00506576">
        <w:rPr>
          <w:rFonts w:ascii="Times New Roman" w:hAnsi="Times New Roman"/>
          <w:szCs w:val="22"/>
        </w:rPr>
        <w:t xml:space="preserve"> how IRS agents should address the newly codified economic substance doctrine and related tax penalties.</w:t>
      </w:r>
      <w:bookmarkStart w:id="23" w:name="_Ref307838613"/>
      <w:r w:rsidR="006919F4" w:rsidRPr="000123C1">
        <w:rPr>
          <w:rStyle w:val="NoterefInText"/>
          <w:vertAlign w:val="superscript"/>
        </w:rPr>
        <w:footnoteReference w:id="9"/>
      </w:r>
      <w:bookmarkEnd w:id="23"/>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The following are some of the most significant factors that appear in the IRS’s administrative guidance:</w:t>
      </w:r>
    </w:p>
    <w:p w14:paraId="6FC69A4B" w14:textId="08DC9C30" w:rsidR="006919F4" w:rsidRPr="00506576" w:rsidRDefault="006919F4" w:rsidP="006919F4">
      <w:pPr>
        <w:pStyle w:val="Document"/>
        <w:rPr>
          <w:rFonts w:ascii="Times New Roman" w:eastAsia="Calibri" w:hAnsi="Times New Roman"/>
          <w:b/>
          <w:szCs w:val="22"/>
        </w:rPr>
      </w:pPr>
      <w:r w:rsidRPr="00506576">
        <w:rPr>
          <w:rFonts w:ascii="Times New Roman" w:eastAsia="Calibri" w:hAnsi="Times New Roman"/>
          <w:i/>
          <w:szCs w:val="22"/>
        </w:rPr>
        <w:t>Loss Transactions</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The government requires corporations to </w:t>
      </w:r>
      <w:r w:rsidR="00C30CB4" w:rsidRPr="00506576">
        <w:rPr>
          <w:rFonts w:ascii="Times New Roman" w:eastAsia="Calibri" w:hAnsi="Times New Roman"/>
          <w:szCs w:val="22"/>
        </w:rPr>
        <w:t xml:space="preserve">disclose transactions that invovled claimed losses of </w:t>
      </w:r>
      <w:r w:rsidRPr="00506576">
        <w:rPr>
          <w:rFonts w:ascii="Times New Roman" w:eastAsia="Calibri" w:hAnsi="Times New Roman"/>
          <w:szCs w:val="22"/>
        </w:rPr>
        <w:t>$10</w:t>
      </w:r>
      <w:r w:rsidR="00AA7699" w:rsidRPr="00506576">
        <w:rPr>
          <w:rFonts w:ascii="Times New Roman" w:eastAsia="Calibri" w:hAnsi="Times New Roman"/>
          <w:szCs w:val="22"/>
        </w:rPr>
        <w:t xml:space="preserve"> </w:t>
      </w:r>
      <w:r w:rsidRPr="00506576">
        <w:rPr>
          <w:rFonts w:ascii="Times New Roman" w:eastAsia="Calibri" w:hAnsi="Times New Roman"/>
          <w:szCs w:val="22"/>
        </w:rPr>
        <w:t xml:space="preserve">million or </w:t>
      </w:r>
      <w:r w:rsidR="00C30CB4" w:rsidRPr="00506576">
        <w:rPr>
          <w:rFonts w:ascii="Times New Roman" w:eastAsia="Calibri" w:hAnsi="Times New Roman"/>
          <w:szCs w:val="22"/>
        </w:rPr>
        <w:t xml:space="preserve">more </w:t>
      </w:r>
      <w:r w:rsidRPr="00506576">
        <w:rPr>
          <w:rFonts w:ascii="Times New Roman" w:eastAsia="Calibri" w:hAnsi="Times New Roman"/>
          <w:szCs w:val="22"/>
        </w:rPr>
        <w:t>in any single taxable year.</w:t>
      </w:r>
      <w:r w:rsidR="007F58D6" w:rsidRPr="00506576">
        <w:rPr>
          <w:rFonts w:ascii="Times New Roman" w:eastAsia="Calibri" w:hAnsi="Times New Roman"/>
          <w:szCs w:val="22"/>
        </w:rPr>
        <w:t xml:space="preserve"> </w:t>
      </w:r>
      <w:r w:rsidRPr="00506576">
        <w:rPr>
          <w:rFonts w:ascii="Times New Roman" w:eastAsia="Calibri" w:hAnsi="Times New Roman"/>
          <w:szCs w:val="22"/>
        </w:rPr>
        <w:t>Not every tax loss claimed by a corporation is the result of corporate tax abuse, but government officials believe large tax losses signal the possibility of corporate tax abuse.</w:t>
      </w:r>
      <w:r w:rsidR="007F58D6" w:rsidRPr="00506576">
        <w:rPr>
          <w:rFonts w:ascii="Times New Roman" w:eastAsia="Calibri" w:hAnsi="Times New Roman"/>
          <w:szCs w:val="22"/>
        </w:rPr>
        <w:t xml:space="preserve"> </w:t>
      </w:r>
      <w:r w:rsidRPr="00506576">
        <w:rPr>
          <w:rFonts w:ascii="Times New Roman" w:eastAsia="Calibri" w:hAnsi="Times New Roman"/>
          <w:szCs w:val="22"/>
        </w:rPr>
        <w:t>In addition, government officials believe that courts are likely to view a tax strategy as abusive if the underlying transaction enables the corporation to “accelerate[] a loss or duplicate[] a tax deduction.</w:t>
      </w:r>
      <w:bookmarkStart w:id="24" w:name="_Ref315436370"/>
      <w:r w:rsidRPr="00506576">
        <w:rPr>
          <w:rFonts w:ascii="Times New Roman" w:eastAsia="Calibri" w:hAnsi="Times New Roman"/>
          <w:szCs w:val="22"/>
        </w:rPr>
        <w:t>”</w:t>
      </w:r>
      <w:bookmarkEnd w:id="24"/>
    </w:p>
    <w:p w14:paraId="311A31FF" w14:textId="1CF181E6" w:rsidR="006919F4" w:rsidRPr="00506576" w:rsidRDefault="00E05E24" w:rsidP="006919F4">
      <w:pPr>
        <w:pStyle w:val="Document"/>
        <w:rPr>
          <w:rFonts w:ascii="Times New Roman" w:eastAsia="Calibri" w:hAnsi="Times New Roman"/>
          <w:szCs w:val="22"/>
        </w:rPr>
      </w:pPr>
      <w:r w:rsidRPr="00506576">
        <w:rPr>
          <w:rFonts w:ascii="Times New Roman" w:eastAsia="Calibri" w:hAnsi="Times New Roman"/>
          <w:i/>
          <w:szCs w:val="22"/>
        </w:rPr>
        <w:t>Book-</w:t>
      </w:r>
      <w:r w:rsidR="006919F4" w:rsidRPr="00506576">
        <w:rPr>
          <w:rFonts w:ascii="Times New Roman" w:eastAsia="Calibri" w:hAnsi="Times New Roman"/>
          <w:i/>
          <w:szCs w:val="22"/>
        </w:rPr>
        <w:t>Tax Differences</w:t>
      </w:r>
      <w:r w:rsidR="006919F4"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 xml:space="preserve">Corporations have two distinct income </w:t>
      </w:r>
      <w:r w:rsidR="006919F4" w:rsidRPr="00506576">
        <w:rPr>
          <w:rFonts w:ascii="Times New Roman" w:eastAsia="Calibri" w:hAnsi="Times New Roman"/>
          <w:szCs w:val="22"/>
        </w:rPr>
        <w:lastRenderedPageBreak/>
        <w:t>reporting mechanisms.</w:t>
      </w:r>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They report income for tax purposes on their federal tax returns (taxable income), but they also report income in corporate financial documents for purposes of informing shareholders and potential investors (book income).</w:t>
      </w:r>
      <w:r w:rsidR="007F58D6" w:rsidRPr="00506576">
        <w:rPr>
          <w:rFonts w:ascii="Times New Roman" w:eastAsia="Calibri" w:hAnsi="Times New Roman"/>
          <w:szCs w:val="22"/>
        </w:rPr>
        <w:t xml:space="preserve"> </w:t>
      </w:r>
      <w:r w:rsidR="002A754B" w:rsidRPr="00506576">
        <w:rPr>
          <w:rFonts w:ascii="Times New Roman" w:eastAsia="Calibri" w:hAnsi="Times New Roman"/>
          <w:szCs w:val="22"/>
        </w:rPr>
        <w:t>Large c</w:t>
      </w:r>
      <w:r w:rsidR="006919F4" w:rsidRPr="00506576">
        <w:rPr>
          <w:rFonts w:ascii="Times New Roman" w:eastAsia="Calibri" w:hAnsi="Times New Roman"/>
          <w:szCs w:val="22"/>
        </w:rPr>
        <w:t>orporations are required to reveal and explain differences be</w:t>
      </w:r>
      <w:r w:rsidR="00546173" w:rsidRPr="00506576">
        <w:rPr>
          <w:rFonts w:ascii="Times New Roman" w:eastAsia="Calibri" w:hAnsi="Times New Roman"/>
          <w:szCs w:val="22"/>
        </w:rPr>
        <w:t>tween these two types of income</w:t>
      </w:r>
      <w:r w:rsidR="006919F4" w:rsidRPr="00506576">
        <w:rPr>
          <w:rFonts w:ascii="Times New Roman" w:eastAsia="Calibri" w:hAnsi="Times New Roman"/>
          <w:szCs w:val="22"/>
        </w:rPr>
        <w:t xml:space="preserve"> by filing a special disclosure form with the IRS.</w:t>
      </w:r>
      <w:r w:rsidR="007F58D6" w:rsidRPr="00506576">
        <w:rPr>
          <w:rFonts w:ascii="Times New Roman" w:eastAsia="Calibri" w:hAnsi="Times New Roman"/>
          <w:szCs w:val="22"/>
        </w:rPr>
        <w:t xml:space="preserve"> </w:t>
      </w:r>
      <w:r w:rsidR="006919F4" w:rsidRPr="00506576">
        <w:rPr>
          <w:rFonts w:ascii="Times New Roman" w:eastAsia="Calibri" w:hAnsi="Times New Roman"/>
          <w:szCs w:val="22"/>
        </w:rPr>
        <w:t>This requirement indicates that policymakers believe that</w:t>
      </w:r>
      <w:r w:rsidR="00497B5A" w:rsidRPr="00506576">
        <w:rPr>
          <w:rFonts w:ascii="Times New Roman" w:eastAsia="Calibri" w:hAnsi="Times New Roman"/>
          <w:szCs w:val="22"/>
        </w:rPr>
        <w:t xml:space="preserve"> a court should consider book-</w:t>
      </w:r>
      <w:r w:rsidR="006919F4" w:rsidRPr="00506576">
        <w:rPr>
          <w:rFonts w:ascii="Times New Roman" w:eastAsia="Calibri" w:hAnsi="Times New Roman"/>
          <w:szCs w:val="22"/>
        </w:rPr>
        <w:t>tax differences in a corporation’s treatment of a particular item when determining whether the corporation engaged in an abusive tax strategy.</w:t>
      </w:r>
    </w:p>
    <w:p w14:paraId="54FCDC20" w14:textId="586026C1"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i/>
          <w:szCs w:val="22"/>
        </w:rPr>
        <w:t>Third Parties</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IRS administrative guidance documents also indicate that a court may find the application of </w:t>
      </w:r>
      <w:r w:rsidR="00D43BFC" w:rsidRPr="00506576">
        <w:rPr>
          <w:rFonts w:ascii="Times New Roman" w:eastAsia="Calibri" w:hAnsi="Times New Roman"/>
          <w:szCs w:val="22"/>
        </w:rPr>
        <w:t>the economic substance doctrine</w:t>
      </w:r>
      <w:r w:rsidRPr="00506576">
        <w:rPr>
          <w:rFonts w:ascii="Times New Roman" w:eastAsia="Calibri" w:hAnsi="Times New Roman"/>
          <w:szCs w:val="22"/>
        </w:rPr>
        <w:t xml:space="preserve"> appropriate in cases when a corporation’s transaction </w:t>
      </w:r>
      <w:r w:rsidR="001A2FFC" w:rsidRPr="00506576">
        <w:rPr>
          <w:rFonts w:ascii="Times New Roman" w:eastAsia="Calibri" w:hAnsi="Times New Roman"/>
          <w:szCs w:val="22"/>
        </w:rPr>
        <w:t xml:space="preserve">did not feature arm’s </w:t>
      </w:r>
      <w:r w:rsidRPr="00506576">
        <w:rPr>
          <w:rFonts w:ascii="Times New Roman" w:eastAsia="Calibri" w:hAnsi="Times New Roman"/>
          <w:szCs w:val="22"/>
        </w:rPr>
        <w:t>length dealings</w:t>
      </w:r>
      <w:r w:rsidR="00CC2C76" w:rsidRPr="00506576">
        <w:rPr>
          <w:rFonts w:ascii="Times New Roman" w:eastAsia="Calibri" w:hAnsi="Times New Roman"/>
          <w:szCs w:val="22"/>
        </w:rPr>
        <w:t xml:space="preserve"> with third parties</w:t>
      </w:r>
      <w:r w:rsidR="0088583D" w:rsidRPr="00506576">
        <w:rPr>
          <w:rFonts w:ascii="Times New Roman" w:eastAsia="Calibri" w:hAnsi="Times New Roman"/>
          <w:szCs w:val="22"/>
        </w:rPr>
        <w:t>.</w:t>
      </w:r>
    </w:p>
    <w:p w14:paraId="0395A553" w14:textId="6A16FC2A"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i/>
          <w:szCs w:val="22"/>
        </w:rPr>
        <w:t>Economic Change.</w:t>
      </w:r>
      <w:r w:rsidR="007F58D6" w:rsidRPr="00506576">
        <w:rPr>
          <w:rFonts w:ascii="Times New Roman" w:eastAsia="Calibri" w:hAnsi="Times New Roman"/>
          <w:i/>
          <w:szCs w:val="22"/>
        </w:rPr>
        <w:t xml:space="preserve"> </w:t>
      </w:r>
      <w:r w:rsidRPr="00506576">
        <w:rPr>
          <w:rFonts w:ascii="Times New Roman" w:eastAsia="Calibri" w:hAnsi="Times New Roman"/>
          <w:szCs w:val="22"/>
        </w:rPr>
        <w:t xml:space="preserve">Finally, </w:t>
      </w:r>
      <w:r w:rsidR="00D43BFC" w:rsidRPr="00506576">
        <w:rPr>
          <w:rFonts w:ascii="Times New Roman" w:eastAsia="Calibri" w:hAnsi="Times New Roman"/>
          <w:szCs w:val="22"/>
        </w:rPr>
        <w:t xml:space="preserve">the </w:t>
      </w:r>
      <w:r w:rsidRPr="00506576">
        <w:rPr>
          <w:rFonts w:ascii="Times New Roman" w:eastAsia="Calibri" w:hAnsi="Times New Roman"/>
          <w:szCs w:val="22"/>
        </w:rPr>
        <w:t xml:space="preserve">IRS </w:t>
      </w:r>
      <w:r w:rsidR="00EC53E4" w:rsidRPr="00506576">
        <w:rPr>
          <w:rFonts w:ascii="Times New Roman" w:eastAsia="Calibri" w:hAnsi="Times New Roman"/>
          <w:szCs w:val="22"/>
        </w:rPr>
        <w:t>states</w:t>
      </w:r>
      <w:r w:rsidRPr="00506576">
        <w:rPr>
          <w:rFonts w:ascii="Times New Roman" w:eastAsia="Calibri" w:hAnsi="Times New Roman"/>
          <w:szCs w:val="22"/>
        </w:rPr>
        <w:t xml:space="preserve"> that the application of the economic substance doctrine may be appropriate for transactions that create “no meaningful economic </w:t>
      </w:r>
      <w:r w:rsidR="00546173" w:rsidRPr="00506576">
        <w:rPr>
          <w:rFonts w:ascii="Times New Roman" w:eastAsia="Calibri" w:hAnsi="Times New Roman"/>
          <w:szCs w:val="22"/>
        </w:rPr>
        <w:t>change on a present value basis</w:t>
      </w:r>
      <w:r w:rsidRPr="00506576">
        <w:rPr>
          <w:rFonts w:ascii="Times New Roman" w:eastAsia="Calibri" w:hAnsi="Times New Roman"/>
          <w:szCs w:val="22"/>
        </w:rPr>
        <w:t>” before considering tax consequences.</w:t>
      </w:r>
      <w:r w:rsidR="007F58D6" w:rsidRPr="00506576">
        <w:rPr>
          <w:rFonts w:ascii="Times New Roman" w:eastAsia="Calibri" w:hAnsi="Times New Roman"/>
          <w:szCs w:val="22"/>
        </w:rPr>
        <w:t xml:space="preserve"> </w:t>
      </w:r>
      <w:r w:rsidRPr="00506576">
        <w:rPr>
          <w:rFonts w:ascii="Times New Roman" w:eastAsia="Calibri" w:hAnsi="Times New Roman"/>
          <w:szCs w:val="22"/>
        </w:rPr>
        <w:t>This statement confirms that government officials believe that courts may reject tax positions that lack corresponding real-world economic effects.</w:t>
      </w:r>
    </w:p>
    <w:p w14:paraId="1EF411A2" w14:textId="71BDFC13" w:rsidR="006919F4" w:rsidRPr="00506576" w:rsidRDefault="00C56C1A" w:rsidP="00C56C1A">
      <w:pPr>
        <w:pStyle w:val="SubHead3"/>
        <w:rPr>
          <w:rFonts w:ascii="Times New Roman" w:eastAsia="Calibri" w:hAnsi="Times New Roman"/>
          <w:szCs w:val="22"/>
        </w:rPr>
      </w:pPr>
      <w:bookmarkStart w:id="25" w:name="_Toc319267155"/>
      <w:bookmarkStart w:id="26" w:name="_Toc332272307"/>
      <w:bookmarkStart w:id="27" w:name="_Toc337045086"/>
      <w:bookmarkStart w:id="28" w:name="_Toc337045518"/>
      <w:bookmarkStart w:id="29" w:name="_Toc338056861"/>
      <w:r w:rsidRPr="00506576">
        <w:rPr>
          <w:rFonts w:ascii="Times New Roman" w:eastAsia="Calibri" w:hAnsi="Times New Roman"/>
          <w:szCs w:val="22"/>
        </w:rPr>
        <w:t>2.</w:t>
      </w:r>
      <w:r w:rsidRPr="00506576">
        <w:rPr>
          <w:rFonts w:ascii="Times New Roman" w:eastAsia="Calibri" w:hAnsi="Times New Roman"/>
          <w:szCs w:val="22"/>
        </w:rPr>
        <w:tab/>
      </w:r>
      <w:r w:rsidR="00EA0178" w:rsidRPr="00506576">
        <w:rPr>
          <w:rFonts w:ascii="Times New Roman" w:eastAsia="Calibri" w:hAnsi="Times New Roman"/>
          <w:szCs w:val="22"/>
        </w:rPr>
        <w:t xml:space="preserve">US </w:t>
      </w:r>
      <w:r w:rsidR="006919F4" w:rsidRPr="00506576">
        <w:rPr>
          <w:rFonts w:ascii="Times New Roman" w:eastAsia="Calibri" w:hAnsi="Times New Roman"/>
          <w:szCs w:val="22"/>
        </w:rPr>
        <w:t>Tax Practitioners</w:t>
      </w:r>
      <w:bookmarkEnd w:id="25"/>
      <w:bookmarkEnd w:id="26"/>
      <w:bookmarkEnd w:id="27"/>
      <w:bookmarkEnd w:id="28"/>
      <w:bookmarkEnd w:id="29"/>
    </w:p>
    <w:p w14:paraId="14553B56" w14:textId="126091AA"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szCs w:val="22"/>
        </w:rPr>
        <w:t>Corporate tax lawyers devote significant time and energy to advising clients on the likelihood that</w:t>
      </w:r>
      <w:r w:rsidR="00617761" w:rsidRPr="00506576">
        <w:rPr>
          <w:rFonts w:ascii="Times New Roman" w:eastAsia="Calibri" w:hAnsi="Times New Roman"/>
          <w:szCs w:val="22"/>
        </w:rPr>
        <w:t xml:space="preserve"> courts will either respect their transaction or </w:t>
      </w:r>
      <w:r w:rsidRPr="00506576">
        <w:rPr>
          <w:rFonts w:ascii="Times New Roman" w:eastAsia="Calibri" w:hAnsi="Times New Roman"/>
          <w:szCs w:val="22"/>
        </w:rPr>
        <w:t xml:space="preserve">label </w:t>
      </w:r>
      <w:r w:rsidR="00617761" w:rsidRPr="00506576">
        <w:rPr>
          <w:rFonts w:ascii="Times New Roman" w:eastAsia="Calibri" w:hAnsi="Times New Roman"/>
          <w:szCs w:val="22"/>
        </w:rPr>
        <w:t xml:space="preserve">it as </w:t>
      </w:r>
      <w:r w:rsidRPr="00506576">
        <w:rPr>
          <w:rFonts w:ascii="Times New Roman" w:eastAsia="Calibri" w:hAnsi="Times New Roman"/>
          <w:szCs w:val="22"/>
        </w:rPr>
        <w:t>abusive.</w:t>
      </w:r>
      <w:r w:rsidR="007F58D6" w:rsidRPr="00506576">
        <w:rPr>
          <w:rFonts w:ascii="Times New Roman" w:eastAsia="Calibri" w:hAnsi="Times New Roman"/>
          <w:szCs w:val="22"/>
        </w:rPr>
        <w:t xml:space="preserve"> </w:t>
      </w:r>
      <w:r w:rsidR="00ED5310" w:rsidRPr="00506576">
        <w:rPr>
          <w:rFonts w:ascii="Times New Roman" w:eastAsia="Calibri" w:hAnsi="Times New Roman"/>
          <w:bCs/>
          <w:szCs w:val="22"/>
        </w:rPr>
        <w:t>Two</w:t>
      </w:r>
      <w:r w:rsidRPr="00506576">
        <w:rPr>
          <w:rFonts w:ascii="Times New Roman" w:eastAsia="Calibri" w:hAnsi="Times New Roman"/>
          <w:bCs/>
          <w:szCs w:val="22"/>
        </w:rPr>
        <w:t xml:space="preserve"> of the factors that many “experienced tax professionals” believe </w:t>
      </w:r>
      <w:r w:rsidR="00D43BFC" w:rsidRPr="00506576">
        <w:rPr>
          <w:rFonts w:ascii="Times New Roman" w:eastAsia="Calibri" w:hAnsi="Times New Roman"/>
          <w:bCs/>
          <w:szCs w:val="22"/>
        </w:rPr>
        <w:t>will</w:t>
      </w:r>
      <w:r w:rsidRPr="00506576">
        <w:rPr>
          <w:rFonts w:ascii="Times New Roman" w:eastAsia="Calibri" w:hAnsi="Times New Roman"/>
          <w:bCs/>
          <w:szCs w:val="22"/>
        </w:rPr>
        <w:t xml:space="preserve"> cause a court to designate a corporation’s tax strategy as abusive are described </w:t>
      </w:r>
      <w:r w:rsidR="00900C20" w:rsidRPr="00506576">
        <w:rPr>
          <w:rFonts w:ascii="Times New Roman" w:eastAsia="Calibri" w:hAnsi="Times New Roman"/>
          <w:bCs/>
          <w:szCs w:val="22"/>
        </w:rPr>
        <w:t>as follows</w:t>
      </w:r>
      <w:r w:rsidR="00DD4314" w:rsidRPr="00506576">
        <w:rPr>
          <w:rFonts w:ascii="Times New Roman" w:eastAsia="Calibri" w:hAnsi="Times New Roman"/>
          <w:bCs/>
          <w:szCs w:val="22"/>
        </w:rPr>
        <w:t>:</w:t>
      </w:r>
    </w:p>
    <w:p w14:paraId="24D210A9" w14:textId="0F9EB53B"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i/>
          <w:szCs w:val="22"/>
        </w:rPr>
        <w:t>Business Purpose</w:t>
      </w:r>
      <w:r w:rsidRPr="00506576">
        <w:rPr>
          <w:rFonts w:ascii="Times New Roman" w:eastAsia="Calibri" w:hAnsi="Times New Roman"/>
          <w:szCs w:val="22"/>
        </w:rPr>
        <w:t>.</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When practitioners analyze the probability that a court will apply a judicial anti-abuse </w:t>
      </w:r>
      <w:r w:rsidRPr="00506576">
        <w:rPr>
          <w:rFonts w:ascii="Times New Roman" w:eastAsia="Calibri" w:hAnsi="Times New Roman"/>
          <w:bCs/>
          <w:szCs w:val="22"/>
        </w:rPr>
        <w:t>standard to unwind a corporation’s transaction, they often focus on the strength of the business purpose underlying the transaction.</w:t>
      </w:r>
      <w:r w:rsidR="007F58D6" w:rsidRPr="00506576">
        <w:rPr>
          <w:rFonts w:ascii="Times New Roman" w:eastAsia="Calibri" w:hAnsi="Times New Roman"/>
          <w:bCs/>
          <w:szCs w:val="22"/>
        </w:rPr>
        <w:t xml:space="preserve"> </w:t>
      </w:r>
      <w:r w:rsidRPr="00506576">
        <w:rPr>
          <w:rFonts w:ascii="Times New Roman" w:eastAsia="Calibri" w:hAnsi="Times New Roman"/>
          <w:bCs/>
          <w:szCs w:val="22"/>
        </w:rPr>
        <w:t>As Ferguson argued, courts are likely to respect transactions that “are grounded on long-understood principles of business purpose and economic substance.”</w:t>
      </w:r>
      <w:bookmarkStart w:id="30" w:name="_Ref210533686"/>
      <w:r w:rsidRPr="000123C1">
        <w:rPr>
          <w:rStyle w:val="NoterefInText"/>
        </w:rPr>
        <w:footnoteReference w:id="10"/>
      </w:r>
      <w:bookmarkEnd w:id="30"/>
      <w:r w:rsidR="007F58D6" w:rsidRPr="000123C1">
        <w:rPr>
          <w:rStyle w:val="NoterefInText"/>
        </w:rPr>
        <w:t xml:space="preserve"> </w:t>
      </w:r>
      <w:r w:rsidRPr="00506576">
        <w:rPr>
          <w:rFonts w:ascii="Times New Roman" w:eastAsia="Calibri" w:hAnsi="Times New Roman"/>
          <w:bCs/>
          <w:szCs w:val="22"/>
        </w:rPr>
        <w:t>Regarding the specifics of the type of purpose that a transaction sho</w:t>
      </w:r>
      <w:r w:rsidR="00ED3573" w:rsidRPr="00506576">
        <w:rPr>
          <w:rFonts w:ascii="Times New Roman" w:eastAsia="Calibri" w:hAnsi="Times New Roman"/>
          <w:bCs/>
          <w:szCs w:val="22"/>
        </w:rPr>
        <w:t>uld serve, Canellos advised:</w:t>
      </w:r>
      <w:r w:rsidRPr="00506576">
        <w:rPr>
          <w:rFonts w:ascii="Times New Roman" w:eastAsia="Calibri" w:hAnsi="Times New Roman"/>
          <w:bCs/>
          <w:szCs w:val="22"/>
        </w:rPr>
        <w:t xml:space="preserve"> “Real transactions, most obviously, have as their origins and purpose making money in the short-run or the long-run by increasing revenues or reducing (non-tax) expenses.”</w:t>
      </w:r>
      <w:bookmarkStart w:id="31" w:name="_Ref213332895"/>
      <w:r w:rsidRPr="00506576">
        <w:rPr>
          <w:rStyle w:val="NoterefInText"/>
        </w:rPr>
        <w:footnoteReference w:id="11"/>
      </w:r>
      <w:bookmarkEnd w:id="31"/>
      <w:r w:rsidR="007F58D6" w:rsidRPr="00506576">
        <w:rPr>
          <w:rFonts w:ascii="Times New Roman" w:eastAsia="Calibri" w:hAnsi="Times New Roman"/>
          <w:bCs/>
          <w:szCs w:val="22"/>
        </w:rPr>
        <w:t xml:space="preserve"> </w:t>
      </w:r>
      <w:r w:rsidRPr="00506576">
        <w:rPr>
          <w:rFonts w:ascii="Times New Roman" w:eastAsia="Calibri" w:hAnsi="Times New Roman"/>
          <w:bCs/>
          <w:szCs w:val="22"/>
        </w:rPr>
        <w:t xml:space="preserve">For tax practitioners, business purpose is often one of the most important factors considered when analyzing the potential </w:t>
      </w:r>
      <w:r w:rsidRPr="00506576">
        <w:rPr>
          <w:rFonts w:ascii="Times New Roman" w:eastAsia="Calibri" w:hAnsi="Times New Roman"/>
          <w:bCs/>
          <w:szCs w:val="22"/>
        </w:rPr>
        <w:lastRenderedPageBreak/>
        <w:t>judicial merits of the tax treatment of the transaction.</w:t>
      </w:r>
    </w:p>
    <w:p w14:paraId="29D5E2A3" w14:textId="0175EDE6" w:rsidR="006919F4" w:rsidRPr="00506576" w:rsidRDefault="006919F4" w:rsidP="006919F4">
      <w:pPr>
        <w:pStyle w:val="Document"/>
        <w:rPr>
          <w:rFonts w:ascii="Times New Roman" w:eastAsia="Calibri" w:hAnsi="Times New Roman"/>
          <w:bCs/>
          <w:szCs w:val="22"/>
        </w:rPr>
      </w:pPr>
      <w:r w:rsidRPr="00506576">
        <w:rPr>
          <w:rFonts w:ascii="Times New Roman" w:eastAsia="Calibri" w:hAnsi="Times New Roman"/>
          <w:i/>
          <w:szCs w:val="22"/>
        </w:rPr>
        <w:t>Multiple Parties and Convoluted Steps.</w:t>
      </w:r>
      <w:r w:rsidRPr="00506576">
        <w:rPr>
          <w:rFonts w:ascii="Times New Roman" w:eastAsia="Calibri" w:hAnsi="Times New Roman"/>
          <w:szCs w:val="22"/>
        </w:rPr>
        <w:t xml:space="preserve"> </w:t>
      </w:r>
      <w:r w:rsidR="00617761" w:rsidRPr="00506576">
        <w:rPr>
          <w:rFonts w:ascii="Times New Roman" w:eastAsia="Calibri" w:hAnsi="Times New Roman"/>
          <w:szCs w:val="22"/>
        </w:rPr>
        <w:t>T</w:t>
      </w:r>
      <w:r w:rsidRPr="00506576">
        <w:rPr>
          <w:rFonts w:ascii="Times New Roman" w:eastAsia="Calibri" w:hAnsi="Times New Roman"/>
          <w:szCs w:val="22"/>
        </w:rPr>
        <w:t>ransaction</w:t>
      </w:r>
      <w:r w:rsidR="00617761" w:rsidRPr="00506576">
        <w:rPr>
          <w:rFonts w:ascii="Times New Roman" w:eastAsia="Calibri" w:hAnsi="Times New Roman"/>
          <w:szCs w:val="22"/>
        </w:rPr>
        <w:t>s</w:t>
      </w:r>
      <w:r w:rsidRPr="00506576">
        <w:rPr>
          <w:rFonts w:ascii="Times New Roman" w:eastAsia="Calibri" w:hAnsi="Times New Roman"/>
          <w:szCs w:val="22"/>
        </w:rPr>
        <w:t xml:space="preserve"> </w:t>
      </w:r>
      <w:r w:rsidR="00617761" w:rsidRPr="00506576">
        <w:rPr>
          <w:rFonts w:ascii="Times New Roman" w:eastAsia="Calibri" w:hAnsi="Times New Roman"/>
          <w:szCs w:val="22"/>
        </w:rPr>
        <w:t>that involve</w:t>
      </w:r>
      <w:r w:rsidRPr="00506576">
        <w:rPr>
          <w:rFonts w:ascii="Times New Roman" w:eastAsia="Calibri" w:hAnsi="Times New Roman"/>
          <w:szCs w:val="22"/>
        </w:rPr>
        <w:t xml:space="preserve"> more than one party</w:t>
      </w:r>
      <w:r w:rsidR="00617761" w:rsidRPr="00506576">
        <w:rPr>
          <w:rFonts w:ascii="Times New Roman" w:eastAsia="Calibri" w:hAnsi="Times New Roman"/>
          <w:szCs w:val="22"/>
        </w:rPr>
        <w:t xml:space="preserve"> or multiple steps</w:t>
      </w:r>
      <w:r w:rsidRPr="00506576">
        <w:rPr>
          <w:rFonts w:ascii="Times New Roman" w:eastAsia="Calibri" w:hAnsi="Times New Roman"/>
          <w:szCs w:val="22"/>
        </w:rPr>
        <w:t xml:space="preserve"> </w:t>
      </w:r>
      <w:r w:rsidR="00617761" w:rsidRPr="00506576">
        <w:rPr>
          <w:rFonts w:ascii="Times New Roman" w:eastAsia="Calibri" w:hAnsi="Times New Roman"/>
          <w:szCs w:val="22"/>
        </w:rPr>
        <w:t xml:space="preserve">appear convoluted and complex and thus also raise a red flag. </w:t>
      </w:r>
      <w:r w:rsidRPr="00506576">
        <w:rPr>
          <w:rFonts w:ascii="Times New Roman" w:eastAsia="Calibri" w:hAnsi="Times New Roman"/>
          <w:bCs/>
          <w:szCs w:val="22"/>
        </w:rPr>
        <w:t>Tax practitioners are especially wary of constructi</w:t>
      </w:r>
      <w:r w:rsidR="00617761" w:rsidRPr="00506576">
        <w:rPr>
          <w:rFonts w:ascii="Times New Roman" w:eastAsia="Calibri" w:hAnsi="Times New Roman"/>
          <w:bCs/>
          <w:szCs w:val="22"/>
        </w:rPr>
        <w:t xml:space="preserve">ng tax strategies that contain </w:t>
      </w:r>
      <w:r w:rsidRPr="00506576">
        <w:rPr>
          <w:rFonts w:ascii="Times New Roman" w:eastAsia="Calibri" w:hAnsi="Times New Roman"/>
          <w:bCs/>
          <w:szCs w:val="22"/>
        </w:rPr>
        <w:t>contrived steps</w:t>
      </w:r>
      <w:r w:rsidR="00AA7699" w:rsidRPr="00506576">
        <w:rPr>
          <w:rFonts w:ascii="Times New Roman" w:eastAsia="Calibri" w:hAnsi="Times New Roman"/>
          <w:bCs/>
          <w:szCs w:val="22"/>
        </w:rPr>
        <w:t xml:space="preserve"> </w:t>
      </w:r>
      <w:r w:rsidRPr="00506576">
        <w:rPr>
          <w:rFonts w:ascii="Times New Roman" w:eastAsia="Calibri" w:hAnsi="Times New Roman"/>
          <w:bCs/>
          <w:szCs w:val="22"/>
        </w:rPr>
        <w:t xml:space="preserve">or involve </w:t>
      </w:r>
      <w:r w:rsidR="00617761" w:rsidRPr="00506576">
        <w:rPr>
          <w:rFonts w:ascii="Times New Roman" w:eastAsia="Calibri" w:hAnsi="Times New Roman"/>
          <w:bCs/>
          <w:szCs w:val="22"/>
        </w:rPr>
        <w:t xml:space="preserve">so-called </w:t>
      </w:r>
      <w:r w:rsidRPr="00506576">
        <w:rPr>
          <w:rFonts w:ascii="Times New Roman" w:eastAsia="Calibri" w:hAnsi="Times New Roman"/>
          <w:bCs/>
          <w:szCs w:val="22"/>
        </w:rPr>
        <w:t>accommodation parties,</w:t>
      </w:r>
      <w:r w:rsidR="00AA7699" w:rsidRPr="00506576">
        <w:rPr>
          <w:rFonts w:ascii="Times New Roman" w:eastAsia="Calibri" w:hAnsi="Times New Roman"/>
          <w:bCs/>
          <w:szCs w:val="22"/>
        </w:rPr>
        <w:t xml:space="preserve"> </w:t>
      </w:r>
      <w:r w:rsidRPr="00506576">
        <w:rPr>
          <w:rFonts w:ascii="Times New Roman" w:eastAsia="Calibri" w:hAnsi="Times New Roman"/>
          <w:bCs/>
          <w:szCs w:val="22"/>
        </w:rPr>
        <w:t>such as tax-exempt or foreign entities, which corporations often use to absorb taxable income resulting from their overall transactions.</w:t>
      </w:r>
    </w:p>
    <w:p w14:paraId="4AD2D5CA" w14:textId="0F22B708" w:rsidR="006919F4" w:rsidRPr="00506576" w:rsidRDefault="002A1D10" w:rsidP="00C56C1A">
      <w:pPr>
        <w:pStyle w:val="SubHead3"/>
        <w:rPr>
          <w:rFonts w:ascii="Times New Roman" w:eastAsia="Calibri" w:hAnsi="Times New Roman"/>
          <w:szCs w:val="22"/>
        </w:rPr>
      </w:pPr>
      <w:bookmarkStart w:id="32" w:name="_Toc319267156"/>
      <w:bookmarkStart w:id="33" w:name="_Toc332272308"/>
      <w:bookmarkStart w:id="34" w:name="_Toc337045087"/>
      <w:bookmarkStart w:id="35" w:name="_Toc337045519"/>
      <w:bookmarkStart w:id="36" w:name="_Toc338056862"/>
      <w:r w:rsidRPr="00506576">
        <w:rPr>
          <w:rFonts w:ascii="Times New Roman" w:eastAsia="Calibri" w:hAnsi="Times New Roman"/>
          <w:szCs w:val="22"/>
        </w:rPr>
        <w:t>3</w:t>
      </w:r>
      <w:r w:rsidR="00C56C1A" w:rsidRPr="00506576">
        <w:rPr>
          <w:rFonts w:ascii="Times New Roman" w:eastAsia="Calibri" w:hAnsi="Times New Roman"/>
          <w:szCs w:val="22"/>
        </w:rPr>
        <w:t>.</w:t>
      </w:r>
      <w:r w:rsidR="00C56C1A" w:rsidRPr="00506576">
        <w:rPr>
          <w:rFonts w:ascii="Times New Roman" w:eastAsia="Calibri" w:hAnsi="Times New Roman"/>
          <w:szCs w:val="22"/>
        </w:rPr>
        <w:tab/>
      </w:r>
      <w:r w:rsidR="00EA0178" w:rsidRPr="00506576">
        <w:rPr>
          <w:rFonts w:ascii="Times New Roman" w:eastAsia="Calibri" w:hAnsi="Times New Roman"/>
          <w:szCs w:val="22"/>
        </w:rPr>
        <w:t xml:space="preserve">US </w:t>
      </w:r>
      <w:r w:rsidR="006919F4" w:rsidRPr="00506576">
        <w:rPr>
          <w:rFonts w:ascii="Times New Roman" w:eastAsia="Calibri" w:hAnsi="Times New Roman"/>
          <w:szCs w:val="22"/>
        </w:rPr>
        <w:t>Tax Scholars</w:t>
      </w:r>
      <w:bookmarkEnd w:id="32"/>
      <w:bookmarkEnd w:id="33"/>
      <w:bookmarkEnd w:id="34"/>
      <w:bookmarkEnd w:id="35"/>
      <w:bookmarkEnd w:id="36"/>
    </w:p>
    <w:p w14:paraId="156088B1" w14:textId="3AA6D7CB"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szCs w:val="22"/>
        </w:rPr>
        <w:t>Tax law scholars generally do not advise clients on transaction structures or issue legal opinions.</w:t>
      </w:r>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Instead, scholars tend to make normative claims with respect to how judges </w:t>
      </w:r>
      <w:r w:rsidRPr="00506576">
        <w:rPr>
          <w:rFonts w:ascii="Times New Roman" w:eastAsia="Calibri" w:hAnsi="Times New Roman"/>
          <w:i/>
          <w:szCs w:val="22"/>
        </w:rPr>
        <w:t xml:space="preserve">should </w:t>
      </w:r>
      <w:r w:rsidRPr="00506576">
        <w:rPr>
          <w:rFonts w:ascii="Times New Roman" w:eastAsia="Calibri" w:hAnsi="Times New Roman"/>
          <w:szCs w:val="22"/>
        </w:rPr>
        <w:t>decide corporate tax abuse cases and then provide prescriptive suggestions, such as concrete tests that judges should apply or legislation that Congress should enact.</w:t>
      </w:r>
      <w:r w:rsidR="007F58D6" w:rsidRPr="00506576">
        <w:rPr>
          <w:rFonts w:ascii="Times New Roman" w:eastAsia="Calibri" w:hAnsi="Times New Roman"/>
          <w:szCs w:val="22"/>
        </w:rPr>
        <w:t xml:space="preserve"> </w:t>
      </w:r>
      <w:r w:rsidRPr="00506576">
        <w:rPr>
          <w:rFonts w:ascii="Times New Roman" w:eastAsia="Calibri" w:hAnsi="Times New Roman"/>
          <w:szCs w:val="22"/>
        </w:rPr>
        <w:t>Implicit in these normative and prescriptive arguments, however, are positive claims regarding judicial behavior in corporate tax abuse cases.</w:t>
      </w:r>
      <w:r w:rsidR="007F58D6" w:rsidRPr="00506576">
        <w:rPr>
          <w:rFonts w:ascii="Times New Roman" w:eastAsia="Calibri" w:hAnsi="Times New Roman"/>
          <w:szCs w:val="22"/>
        </w:rPr>
        <w:t xml:space="preserve"> </w:t>
      </w:r>
      <w:r w:rsidRPr="00506576">
        <w:rPr>
          <w:rFonts w:ascii="Times New Roman" w:eastAsia="Calibri" w:hAnsi="Times New Roman"/>
          <w:szCs w:val="22"/>
        </w:rPr>
        <w:t>Several of these implicit positive claims are described below.</w:t>
      </w:r>
    </w:p>
    <w:p w14:paraId="3368ADC4" w14:textId="30B3FEB4" w:rsidR="006919F4" w:rsidRPr="00506576" w:rsidRDefault="006919F4" w:rsidP="006919F4">
      <w:pPr>
        <w:pStyle w:val="Document"/>
        <w:rPr>
          <w:rFonts w:ascii="Times New Roman" w:eastAsia="Calibri" w:hAnsi="Times New Roman"/>
          <w:szCs w:val="22"/>
        </w:rPr>
      </w:pPr>
      <w:r w:rsidRPr="00506576">
        <w:rPr>
          <w:rFonts w:ascii="Times New Roman" w:eastAsia="Calibri" w:hAnsi="Times New Roman"/>
          <w:i/>
          <w:szCs w:val="22"/>
        </w:rPr>
        <w:t>Intent.</w:t>
      </w:r>
      <w:r w:rsidR="007F58D6" w:rsidRPr="00506576">
        <w:rPr>
          <w:rFonts w:ascii="Times New Roman" w:eastAsia="Calibri" w:hAnsi="Times New Roman"/>
          <w:i/>
          <w:szCs w:val="22"/>
        </w:rPr>
        <w:t xml:space="preserve"> </w:t>
      </w:r>
      <w:r w:rsidRPr="00506576">
        <w:rPr>
          <w:rFonts w:ascii="Times New Roman" w:eastAsia="Calibri" w:hAnsi="Times New Roman"/>
          <w:szCs w:val="22"/>
        </w:rPr>
        <w:t>Scholars have implicitly argued that judges in corporate tax abuse controversies focus excessively, even incorrectly, on arguments regarding the intent of the taxpayer.</w:t>
      </w:r>
      <w:r w:rsidR="007F58D6" w:rsidRPr="00506576">
        <w:rPr>
          <w:rFonts w:ascii="Times New Roman" w:eastAsia="Calibri" w:hAnsi="Times New Roman"/>
          <w:szCs w:val="22"/>
        </w:rPr>
        <w:t xml:space="preserve"> </w:t>
      </w:r>
      <w:r w:rsidRPr="00506576">
        <w:rPr>
          <w:rFonts w:ascii="Times New Roman" w:eastAsia="Calibri" w:hAnsi="Times New Roman"/>
          <w:szCs w:val="22"/>
        </w:rPr>
        <w:t>Professor Leandra Lederman, for example, has criticized the current economic substance decisions for “shift[ing] from a focus on congressional intent to a focus on the taxpayer’s intent,”</w:t>
      </w:r>
      <w:r w:rsidRPr="00506576">
        <w:rPr>
          <w:rStyle w:val="NoterefInText"/>
        </w:rPr>
        <w:footnoteReference w:id="12"/>
      </w:r>
      <w:r w:rsidR="00AA7699" w:rsidRPr="00506576">
        <w:rPr>
          <w:rFonts w:ascii="Times New Roman" w:eastAsia="Calibri" w:hAnsi="Times New Roman"/>
          <w:b/>
          <w:szCs w:val="22"/>
        </w:rPr>
        <w:t xml:space="preserve"> </w:t>
      </w:r>
      <w:r w:rsidRPr="00506576">
        <w:rPr>
          <w:rFonts w:ascii="Times New Roman" w:eastAsia="Calibri" w:hAnsi="Times New Roman"/>
          <w:szCs w:val="22"/>
        </w:rPr>
        <w:t>and others, including Professor Martin McMahon, have echoed this view.</w:t>
      </w:r>
      <w:r w:rsidR="007F58D6" w:rsidRPr="00506576">
        <w:rPr>
          <w:rFonts w:ascii="Times New Roman" w:eastAsia="Calibri" w:hAnsi="Times New Roman"/>
          <w:szCs w:val="22"/>
        </w:rPr>
        <w:t xml:space="preserve"> </w:t>
      </w:r>
      <w:r w:rsidRPr="00506576">
        <w:rPr>
          <w:rFonts w:ascii="Times New Roman" w:eastAsia="Calibri" w:hAnsi="Times New Roman"/>
          <w:szCs w:val="22"/>
        </w:rPr>
        <w:t>In addition, Professor Shannon Weeks McCormack has offered a detailed policy proposal, which would focus the attention of judges who hear corporate tax abuse controversies on the purpose of the tax laws.</w:t>
      </w:r>
      <w:bookmarkStart w:id="37" w:name="_Ref311152481"/>
      <w:r w:rsidRPr="00506576">
        <w:rPr>
          <w:rStyle w:val="NoterefInText"/>
        </w:rPr>
        <w:footnoteReference w:id="13"/>
      </w:r>
      <w:bookmarkEnd w:id="37"/>
      <w:r w:rsidR="007F58D6" w:rsidRPr="00506576">
        <w:rPr>
          <w:rFonts w:ascii="Times New Roman" w:eastAsia="Calibri" w:hAnsi="Times New Roman"/>
          <w:szCs w:val="22"/>
        </w:rPr>
        <w:t xml:space="preserve"> </w:t>
      </w:r>
      <w:r w:rsidRPr="00506576">
        <w:rPr>
          <w:rFonts w:ascii="Times New Roman" w:eastAsia="Calibri" w:hAnsi="Times New Roman"/>
          <w:szCs w:val="22"/>
        </w:rPr>
        <w:t xml:space="preserve">Regardless of the specific policy prescription offered, each of these scholars implicitly has argued that judges in corporate tax abuse cases do not examine adequately the intent of the legislators </w:t>
      </w:r>
      <w:r w:rsidR="00C72EAA" w:rsidRPr="00506576">
        <w:rPr>
          <w:rFonts w:ascii="Times New Roman" w:eastAsia="Calibri" w:hAnsi="Times New Roman"/>
          <w:szCs w:val="22"/>
        </w:rPr>
        <w:t>who</w:t>
      </w:r>
      <w:r w:rsidRPr="00506576">
        <w:rPr>
          <w:rFonts w:ascii="Times New Roman" w:eastAsia="Calibri" w:hAnsi="Times New Roman"/>
          <w:szCs w:val="22"/>
        </w:rPr>
        <w:t xml:space="preserve"> drafted the applicable tax statutes, as </w:t>
      </w:r>
      <w:r w:rsidR="00641D83" w:rsidRPr="00506576">
        <w:rPr>
          <w:rFonts w:ascii="Times New Roman" w:eastAsia="Calibri" w:hAnsi="Times New Roman"/>
          <w:szCs w:val="22"/>
        </w:rPr>
        <w:t>judges</w:t>
      </w:r>
      <w:r w:rsidRPr="00506576">
        <w:rPr>
          <w:rFonts w:ascii="Times New Roman" w:eastAsia="Calibri" w:hAnsi="Times New Roman"/>
          <w:szCs w:val="22"/>
        </w:rPr>
        <w:t xml:space="preserve"> instead</w:t>
      </w:r>
      <w:r w:rsidR="00641D83" w:rsidRPr="00506576">
        <w:rPr>
          <w:rFonts w:ascii="Times New Roman" w:eastAsia="Calibri" w:hAnsi="Times New Roman"/>
          <w:szCs w:val="22"/>
        </w:rPr>
        <w:t xml:space="preserve"> excessively</w:t>
      </w:r>
      <w:r w:rsidRPr="00506576">
        <w:rPr>
          <w:rFonts w:ascii="Times New Roman" w:eastAsia="Calibri" w:hAnsi="Times New Roman"/>
          <w:szCs w:val="22"/>
        </w:rPr>
        <w:t xml:space="preserve"> scrutinize the intent of the taxpayers in structuring and implementing their transactions.</w:t>
      </w:r>
    </w:p>
    <w:p w14:paraId="51DF0C46" w14:textId="60801D8C" w:rsidR="006919F4" w:rsidRPr="009E4FE1" w:rsidRDefault="006919F4" w:rsidP="006919F4">
      <w:pPr>
        <w:pStyle w:val="Document"/>
        <w:rPr>
          <w:rFonts w:ascii="Times New Roman" w:eastAsia="Calibri" w:hAnsi="Times New Roman"/>
          <w:b/>
          <w:szCs w:val="22"/>
        </w:rPr>
      </w:pPr>
      <w:r w:rsidRPr="00506576">
        <w:rPr>
          <w:rFonts w:ascii="Times New Roman" w:eastAsia="Calibri" w:hAnsi="Times New Roman"/>
          <w:i/>
          <w:szCs w:val="22"/>
        </w:rPr>
        <w:t>Textualism and Justice Scalia.</w:t>
      </w:r>
      <w:r w:rsidR="007F58D6" w:rsidRPr="00506576">
        <w:rPr>
          <w:rFonts w:ascii="Times New Roman" w:eastAsia="Calibri" w:hAnsi="Times New Roman"/>
          <w:i/>
          <w:szCs w:val="22"/>
        </w:rPr>
        <w:t xml:space="preserve"> </w:t>
      </w:r>
      <w:r w:rsidRPr="00506576">
        <w:rPr>
          <w:rFonts w:ascii="Times New Roman" w:eastAsia="Calibri" w:hAnsi="Times New Roman"/>
          <w:szCs w:val="22"/>
        </w:rPr>
        <w:t xml:space="preserve">Another implicit positive claim that some scholars have offered relates to textualism and its increasing importance for </w:t>
      </w:r>
      <w:r w:rsidR="008B7728" w:rsidRPr="00506576">
        <w:rPr>
          <w:rFonts w:ascii="Times New Roman" w:eastAsia="Calibri" w:hAnsi="Times New Roman"/>
          <w:szCs w:val="22"/>
        </w:rPr>
        <w:t xml:space="preserve">American </w:t>
      </w:r>
      <w:r w:rsidRPr="00506576">
        <w:rPr>
          <w:rFonts w:ascii="Times New Roman" w:eastAsia="Calibri" w:hAnsi="Times New Roman"/>
          <w:szCs w:val="22"/>
        </w:rPr>
        <w:t>judges.</w:t>
      </w:r>
      <w:r w:rsidR="007F58D6" w:rsidRPr="00506576">
        <w:rPr>
          <w:rFonts w:ascii="Times New Roman" w:eastAsia="Calibri" w:hAnsi="Times New Roman"/>
          <w:szCs w:val="22"/>
        </w:rPr>
        <w:t xml:space="preserve"> </w:t>
      </w:r>
      <w:r w:rsidR="008B7728" w:rsidRPr="00506576">
        <w:rPr>
          <w:rFonts w:ascii="Times New Roman" w:eastAsia="Calibri" w:hAnsi="Times New Roman"/>
          <w:szCs w:val="22"/>
        </w:rPr>
        <w:t>S</w:t>
      </w:r>
      <w:r w:rsidRPr="00506576">
        <w:rPr>
          <w:rFonts w:ascii="Times New Roman" w:eastAsia="Calibri" w:hAnsi="Times New Roman"/>
          <w:szCs w:val="22"/>
        </w:rPr>
        <w:t>cholars point to the judicial appointment of Justice Antonin Scalia as having an effect on corporate tax abuse controversies.</w:t>
      </w:r>
      <w:r w:rsidR="007F58D6" w:rsidRPr="00506576">
        <w:rPr>
          <w:rFonts w:ascii="Times New Roman" w:eastAsia="Calibri" w:hAnsi="Times New Roman"/>
          <w:szCs w:val="22"/>
        </w:rPr>
        <w:t xml:space="preserve"> </w:t>
      </w:r>
      <w:r w:rsidRPr="00506576">
        <w:rPr>
          <w:rFonts w:ascii="Times New Roman" w:eastAsia="Calibri" w:hAnsi="Times New Roman"/>
          <w:szCs w:val="22"/>
        </w:rPr>
        <w:t>As</w:t>
      </w:r>
      <w:r w:rsidR="00B709C6" w:rsidRPr="00506576">
        <w:rPr>
          <w:rFonts w:ascii="Times New Roman" w:eastAsia="Calibri" w:hAnsi="Times New Roman"/>
          <w:szCs w:val="22"/>
        </w:rPr>
        <w:t xml:space="preserve"> Professors</w:t>
      </w:r>
      <w:r w:rsidRPr="00506576">
        <w:rPr>
          <w:rFonts w:ascii="Times New Roman" w:eastAsia="Calibri" w:hAnsi="Times New Roman"/>
          <w:szCs w:val="22"/>
        </w:rPr>
        <w:t xml:space="preserve"> Dean and Solan have commented </w:t>
      </w:r>
      <w:r w:rsidR="00B709C6" w:rsidRPr="00506576">
        <w:rPr>
          <w:rFonts w:ascii="Times New Roman" w:eastAsia="Calibri" w:hAnsi="Times New Roman"/>
          <w:szCs w:val="22"/>
        </w:rPr>
        <w:t>in the</w:t>
      </w:r>
      <w:r w:rsidR="001B7550" w:rsidRPr="00506576">
        <w:rPr>
          <w:rFonts w:ascii="Times New Roman" w:eastAsia="Calibri" w:hAnsi="Times New Roman"/>
          <w:szCs w:val="22"/>
        </w:rPr>
        <w:t xml:space="preserve"> context of corporate tax abuse:</w:t>
      </w:r>
      <w:r w:rsidR="00B709C6" w:rsidRPr="00506576">
        <w:rPr>
          <w:rFonts w:ascii="Times New Roman" w:eastAsia="Calibri" w:hAnsi="Times New Roman"/>
          <w:szCs w:val="22"/>
        </w:rPr>
        <w:t xml:space="preserve"> “S</w:t>
      </w:r>
      <w:r w:rsidRPr="00506576">
        <w:rPr>
          <w:rFonts w:ascii="Times New Roman" w:eastAsia="Calibri" w:hAnsi="Times New Roman"/>
          <w:szCs w:val="22"/>
        </w:rPr>
        <w:t xml:space="preserve">ince his appointment to the Supreme Court in 1986, Justice Scalia’s ‘new textualism’ has been seen as a </w:t>
      </w:r>
      <w:r w:rsidRPr="00506576">
        <w:rPr>
          <w:rFonts w:ascii="Times New Roman" w:eastAsia="Calibri" w:hAnsi="Times New Roman"/>
          <w:szCs w:val="22"/>
        </w:rPr>
        <w:lastRenderedPageBreak/>
        <w:t>challenge to an intent-oriented approach to statutory interpretation.”</w:t>
      </w:r>
      <w:bookmarkStart w:id="38" w:name="_Ref315436570"/>
      <w:r w:rsidRPr="00506576">
        <w:rPr>
          <w:rStyle w:val="NoterefInText"/>
        </w:rPr>
        <w:footnoteReference w:id="14"/>
      </w:r>
      <w:bookmarkEnd w:id="38"/>
      <w:r w:rsidR="00B715D5" w:rsidRPr="00506576">
        <w:rPr>
          <w:rFonts w:ascii="Times New Roman" w:eastAsia="Calibri" w:hAnsi="Times New Roman"/>
          <w:szCs w:val="22"/>
        </w:rPr>
        <w:t xml:space="preserve">  Interestingly, an Australian Justice recently noted that Austrialian courts have long taken a literal approach to the interpretation of the law, thereby upholding many seeminly abusive corporate tax schemes.</w:t>
      </w:r>
      <w:r w:rsidR="00B715D5" w:rsidRPr="00506576">
        <w:rPr>
          <w:rStyle w:val="FootnoteReference"/>
          <w:rFonts w:ascii="Times New Roman" w:eastAsia="Calibri" w:hAnsi="Times New Roman"/>
          <w:szCs w:val="22"/>
        </w:rPr>
        <w:footnoteReference w:id="15"/>
      </w:r>
      <w:r w:rsidR="00B715D5" w:rsidRPr="00506576">
        <w:rPr>
          <w:rFonts w:ascii="Times New Roman" w:eastAsia="Calibri" w:hAnsi="Times New Roman"/>
          <w:szCs w:val="22"/>
        </w:rPr>
        <w:t xml:space="preserve">  This is precisly the view that scholars attribute to Justice Scalia and the American textulists in the judiciary.</w:t>
      </w:r>
    </w:p>
    <w:p w14:paraId="74E6ABA0" w14:textId="31F1FB78" w:rsidR="006919F4" w:rsidRPr="00506576" w:rsidRDefault="006919F4" w:rsidP="006919F4">
      <w:pPr>
        <w:pStyle w:val="Document"/>
        <w:rPr>
          <w:rFonts w:ascii="Times New Roman" w:eastAsia="Calibri" w:hAnsi="Times New Roman"/>
          <w:b/>
          <w:szCs w:val="22"/>
        </w:rPr>
      </w:pPr>
      <w:r w:rsidRPr="00506576">
        <w:rPr>
          <w:rFonts w:ascii="Times New Roman" w:eastAsia="Calibri" w:hAnsi="Times New Roman"/>
          <w:i/>
          <w:szCs w:val="22"/>
        </w:rPr>
        <w:t>Alternative Proposals.</w:t>
      </w:r>
      <w:r w:rsidR="007F58D6" w:rsidRPr="00506576">
        <w:rPr>
          <w:rFonts w:ascii="Times New Roman" w:eastAsia="Calibri" w:hAnsi="Times New Roman"/>
          <w:i/>
          <w:szCs w:val="22"/>
        </w:rPr>
        <w:t xml:space="preserve"> </w:t>
      </w:r>
      <w:r w:rsidRPr="00506576">
        <w:rPr>
          <w:rFonts w:ascii="Times New Roman" w:eastAsia="Calibri" w:hAnsi="Times New Roman"/>
          <w:szCs w:val="22"/>
        </w:rPr>
        <w:t>Finally, tax scholars have offered a plethora of judicial, administrative, and legislative proposals for controlling corporate tax abuse. They believe that their proposals would be more successful than judicial anti-abuse standards, which are unable to “protect the collection of income tax from assault by abusive shelter planners.”</w:t>
      </w:r>
      <w:bookmarkStart w:id="39" w:name="_Ref315434714"/>
      <w:r w:rsidRPr="00506576">
        <w:rPr>
          <w:rStyle w:val="NoterefInText"/>
        </w:rPr>
        <w:footnoteReference w:id="16"/>
      </w:r>
      <w:bookmarkEnd w:id="39"/>
      <w:r w:rsidR="00AA7699" w:rsidRPr="00506576">
        <w:rPr>
          <w:rFonts w:ascii="Times New Roman" w:eastAsia="Calibri" w:hAnsi="Times New Roman"/>
          <w:szCs w:val="22"/>
        </w:rPr>
        <w:t xml:space="preserve"> </w:t>
      </w:r>
      <w:r w:rsidRPr="00506576">
        <w:rPr>
          <w:rFonts w:ascii="Times New Roman" w:eastAsia="Calibri" w:hAnsi="Times New Roman"/>
          <w:szCs w:val="22"/>
        </w:rPr>
        <w:t>By offering these alternatives, scholars implicitly argue that judges in corporate tax abuse controversies fail to apply the current anti-abuse standards in a reliable and effective manner.</w:t>
      </w:r>
    </w:p>
    <w:p w14:paraId="07BDEF6E" w14:textId="2DDBC594" w:rsidR="006919F4" w:rsidRPr="00506576" w:rsidRDefault="006919F4" w:rsidP="00BA66EA">
      <w:pPr>
        <w:pStyle w:val="Document"/>
        <w:rPr>
          <w:rFonts w:ascii="Times New Roman" w:eastAsia="Calibri" w:hAnsi="Times New Roman"/>
          <w:szCs w:val="22"/>
        </w:rPr>
      </w:pPr>
      <w:r w:rsidRPr="00506576">
        <w:rPr>
          <w:rFonts w:ascii="Times New Roman" w:eastAsia="Calibri" w:hAnsi="Times New Roman"/>
          <w:szCs w:val="22"/>
        </w:rPr>
        <w:t>As the discussion thus far reveals, judicial decisionmaking in corporate tax abuse controversies is grounded in a range of interrelated anti-abuse standards</w:t>
      </w:r>
      <w:r w:rsidR="00C72EBC" w:rsidRPr="00506576">
        <w:rPr>
          <w:rFonts w:ascii="Times New Roman" w:eastAsia="Calibri" w:hAnsi="Times New Roman"/>
          <w:szCs w:val="22"/>
        </w:rPr>
        <w:t>. These standards</w:t>
      </w:r>
      <w:r w:rsidRPr="00506576">
        <w:rPr>
          <w:rFonts w:ascii="Times New Roman" w:eastAsia="Calibri" w:hAnsi="Times New Roman"/>
          <w:szCs w:val="22"/>
        </w:rPr>
        <w:t xml:space="preserve"> appear to govern in a highly uncertain fashion.</w:t>
      </w:r>
      <w:r w:rsidRPr="00506576">
        <w:rPr>
          <w:rFonts w:ascii="Times New Roman" w:eastAsia="Calibri" w:hAnsi="Times New Roman"/>
          <w:b/>
          <w:szCs w:val="22"/>
        </w:rPr>
        <w:t xml:space="preserve"> </w:t>
      </w:r>
      <w:r w:rsidRPr="00506576">
        <w:rPr>
          <w:rFonts w:ascii="Times New Roman" w:eastAsia="Calibri" w:hAnsi="Times New Roman"/>
          <w:szCs w:val="22"/>
        </w:rPr>
        <w:t xml:space="preserve">Government regulators, practitioners, and scholars have proffered a wide range of views with respect to judicial decisionmaking in the corporate tax abuse context, but there is no consensus as to what courts </w:t>
      </w:r>
      <w:r w:rsidRPr="00506576">
        <w:rPr>
          <w:rFonts w:ascii="Times New Roman" w:eastAsia="Calibri" w:hAnsi="Times New Roman"/>
          <w:i/>
          <w:szCs w:val="22"/>
        </w:rPr>
        <w:t>actually</w:t>
      </w:r>
      <w:r w:rsidRPr="00506576">
        <w:rPr>
          <w:rFonts w:ascii="Times New Roman" w:eastAsia="Calibri" w:hAnsi="Times New Roman"/>
          <w:szCs w:val="22"/>
        </w:rPr>
        <w:t xml:space="preserve"> do.</w:t>
      </w:r>
      <w:r w:rsidRPr="00506576">
        <w:rPr>
          <w:rFonts w:ascii="Times New Roman" w:eastAsia="Calibri" w:hAnsi="Times New Roman"/>
          <w:b/>
          <w:szCs w:val="22"/>
        </w:rPr>
        <w:t xml:space="preserve"> </w:t>
      </w:r>
      <w:r w:rsidRPr="00506576">
        <w:rPr>
          <w:rFonts w:ascii="Times New Roman" w:eastAsia="Calibri" w:hAnsi="Times New Roman"/>
          <w:szCs w:val="22"/>
        </w:rPr>
        <w:t>Our study adds to the positive literature but adopts a different approach.</w:t>
      </w:r>
      <w:r w:rsidR="007F58D6" w:rsidRPr="00506576">
        <w:rPr>
          <w:rFonts w:ascii="Times New Roman" w:eastAsia="Calibri" w:hAnsi="Times New Roman"/>
          <w:szCs w:val="22"/>
        </w:rPr>
        <w:t xml:space="preserve"> </w:t>
      </w:r>
      <w:r w:rsidRPr="00506576">
        <w:rPr>
          <w:rFonts w:ascii="Times New Roman" w:eastAsia="Calibri" w:hAnsi="Times New Roman"/>
          <w:szCs w:val="22"/>
        </w:rPr>
        <w:t>Whereas the previous studies have focused on a small collection of cases and provided qualitative insights, we have collected the entire population of corporate tax abuse cases litigated in the U.S. Supreme Court and used quantitative methods in an effort to understand how the Justices view corporate tax abuse.</w:t>
      </w:r>
      <w:r w:rsidR="007F58D6" w:rsidRPr="00506576">
        <w:rPr>
          <w:rFonts w:ascii="Times New Roman" w:eastAsia="Calibri" w:hAnsi="Times New Roman"/>
          <w:szCs w:val="22"/>
        </w:rPr>
        <w:t xml:space="preserve"> </w:t>
      </w:r>
    </w:p>
    <w:p w14:paraId="697046E8" w14:textId="581D220A" w:rsidR="00A922F2" w:rsidRPr="00506576" w:rsidRDefault="002A1D10" w:rsidP="00C56C1A">
      <w:pPr>
        <w:pStyle w:val="Subhead1"/>
        <w:rPr>
          <w:rFonts w:ascii="Times New Roman" w:hAnsi="Times New Roman"/>
          <w:sz w:val="22"/>
          <w:szCs w:val="22"/>
        </w:rPr>
      </w:pPr>
      <w:bookmarkStart w:id="40" w:name="_Toc300075029"/>
      <w:bookmarkStart w:id="41" w:name="_Toc319267158"/>
      <w:bookmarkStart w:id="42" w:name="_Toc332272310"/>
      <w:bookmarkStart w:id="43" w:name="_Toc337045089"/>
      <w:bookmarkStart w:id="44" w:name="_Toc337045521"/>
      <w:bookmarkStart w:id="45" w:name="_Toc338056864"/>
      <w:r w:rsidRPr="00506576">
        <w:rPr>
          <w:rFonts w:ascii="Times New Roman" w:hAnsi="Times New Roman"/>
          <w:sz w:val="22"/>
          <w:szCs w:val="22"/>
        </w:rPr>
        <w:t>II</w:t>
      </w:r>
      <w:r w:rsidR="00C56C1A" w:rsidRPr="00506576">
        <w:rPr>
          <w:rFonts w:ascii="Times New Roman" w:hAnsi="Times New Roman"/>
          <w:sz w:val="22"/>
          <w:szCs w:val="22"/>
        </w:rPr>
        <w:br/>
      </w:r>
      <w:r w:rsidR="00542A9B" w:rsidRPr="00506576">
        <w:rPr>
          <w:rFonts w:ascii="Times New Roman" w:hAnsi="Times New Roman"/>
          <w:sz w:val="22"/>
          <w:szCs w:val="22"/>
        </w:rPr>
        <w:t>A</w:t>
      </w:r>
      <w:r w:rsidR="00A838E9">
        <w:rPr>
          <w:rFonts w:ascii="Times New Roman" w:hAnsi="Times New Roman"/>
          <w:sz w:val="22"/>
          <w:szCs w:val="22"/>
        </w:rPr>
        <w:t xml:space="preserve"> Study of Corporate Tax Abuse </w:t>
      </w:r>
      <w:r w:rsidR="006919F4" w:rsidRPr="00506576">
        <w:rPr>
          <w:rFonts w:ascii="Times New Roman" w:hAnsi="Times New Roman"/>
          <w:sz w:val="22"/>
          <w:szCs w:val="22"/>
        </w:rPr>
        <w:t xml:space="preserve">in the </w:t>
      </w:r>
      <w:r w:rsidR="008B7728" w:rsidRPr="00506576">
        <w:rPr>
          <w:rFonts w:ascii="Times New Roman" w:hAnsi="Times New Roman"/>
          <w:sz w:val="22"/>
          <w:szCs w:val="22"/>
        </w:rPr>
        <w:t xml:space="preserve">US </w:t>
      </w:r>
      <w:r w:rsidR="006919F4" w:rsidRPr="00506576">
        <w:rPr>
          <w:rFonts w:ascii="Times New Roman" w:hAnsi="Times New Roman"/>
          <w:sz w:val="22"/>
          <w:szCs w:val="22"/>
        </w:rPr>
        <w:t>Supreme Court</w:t>
      </w:r>
      <w:bookmarkEnd w:id="40"/>
      <w:bookmarkEnd w:id="41"/>
      <w:bookmarkEnd w:id="42"/>
      <w:bookmarkEnd w:id="43"/>
      <w:bookmarkEnd w:id="44"/>
      <w:bookmarkEnd w:id="45"/>
    </w:p>
    <w:p w14:paraId="135D2B71" w14:textId="77777777" w:rsidR="006919F4" w:rsidRPr="00506576" w:rsidRDefault="00C56C1A" w:rsidP="00D44E4F">
      <w:pPr>
        <w:pStyle w:val="SubHead2"/>
        <w:rPr>
          <w:rFonts w:ascii="Times New Roman" w:hAnsi="Times New Roman"/>
          <w:szCs w:val="22"/>
        </w:rPr>
      </w:pPr>
      <w:bookmarkStart w:id="46" w:name="_Toc319267159"/>
      <w:bookmarkStart w:id="47" w:name="_Toc332272311"/>
      <w:bookmarkStart w:id="48" w:name="_Toc337045090"/>
      <w:bookmarkStart w:id="49" w:name="_Toc337045522"/>
      <w:bookmarkStart w:id="50" w:name="_Toc338056865"/>
      <w:r w:rsidRPr="00506576">
        <w:rPr>
          <w:rFonts w:ascii="Times New Roman" w:hAnsi="Times New Roman"/>
          <w:szCs w:val="22"/>
        </w:rPr>
        <w:t>A.</w:t>
      </w:r>
      <w:r w:rsidRPr="00506576">
        <w:rPr>
          <w:rFonts w:ascii="Times New Roman" w:hAnsi="Times New Roman"/>
          <w:szCs w:val="22"/>
        </w:rPr>
        <w:tab/>
      </w:r>
      <w:r w:rsidR="006919F4" w:rsidRPr="00506576">
        <w:rPr>
          <w:rFonts w:ascii="Times New Roman" w:hAnsi="Times New Roman"/>
          <w:szCs w:val="22"/>
        </w:rPr>
        <w:t>The Data and the Models</w:t>
      </w:r>
      <w:bookmarkEnd w:id="46"/>
      <w:bookmarkEnd w:id="47"/>
      <w:bookmarkEnd w:id="48"/>
      <w:bookmarkEnd w:id="49"/>
      <w:bookmarkEnd w:id="50"/>
    </w:p>
    <w:p w14:paraId="1B9B7768" w14:textId="40012D6D" w:rsidR="00935A86" w:rsidRPr="00506576" w:rsidRDefault="00935A86" w:rsidP="00935A86">
      <w:pPr>
        <w:pStyle w:val="Document"/>
        <w:rPr>
          <w:rFonts w:ascii="Times New Roman" w:hAnsi="Times New Roman"/>
          <w:szCs w:val="22"/>
        </w:rPr>
      </w:pPr>
      <w:bookmarkStart w:id="51" w:name="_Toc319267160"/>
      <w:bookmarkStart w:id="52" w:name="_Toc332272312"/>
      <w:bookmarkStart w:id="53" w:name="_Toc337045091"/>
      <w:bookmarkStart w:id="54" w:name="_Toc337045523"/>
      <w:bookmarkStart w:id="55" w:name="_Toc338056866"/>
      <w:r w:rsidRPr="00506576">
        <w:rPr>
          <w:rFonts w:ascii="Times New Roman" w:hAnsi="Times New Roman"/>
          <w:szCs w:val="22"/>
        </w:rPr>
        <w:t xml:space="preserve">Our discussion </w:t>
      </w:r>
      <w:r w:rsidR="00C30CB4" w:rsidRPr="00506576">
        <w:rPr>
          <w:rFonts w:ascii="Times New Roman" w:hAnsi="Times New Roman"/>
          <w:szCs w:val="22"/>
        </w:rPr>
        <w:t>suggests</w:t>
      </w:r>
      <w:r w:rsidRPr="00506576">
        <w:rPr>
          <w:rFonts w:ascii="Times New Roman" w:hAnsi="Times New Roman"/>
          <w:szCs w:val="22"/>
        </w:rPr>
        <w:t xml:space="preserve"> that while scholars and commentators widely agree that corporate tax abuse exists, there is no universally accepted definition of the phenomenon—which creates high levels of uncertainty in the federal courts. Paradoxically, this fact does not pose a problem for our empirical study. Because we only seek to understand the factors that explain Supreme Court decisions, we need not settle on a single definition </w:t>
      </w:r>
      <w:r w:rsidRPr="00506576">
        <w:rPr>
          <w:rFonts w:ascii="Times New Roman" w:hAnsi="Times New Roman"/>
          <w:szCs w:val="22"/>
        </w:rPr>
        <w:lastRenderedPageBreak/>
        <w:t xml:space="preserve">of corporate tax abuse. Rather, we need identify only the cases in which the government </w:t>
      </w:r>
      <w:r w:rsidRPr="00506576">
        <w:rPr>
          <w:rFonts w:ascii="Times New Roman" w:hAnsi="Times New Roman"/>
          <w:i/>
          <w:szCs w:val="22"/>
        </w:rPr>
        <w:t>alleged</w:t>
      </w:r>
      <w:r w:rsidRPr="00506576">
        <w:rPr>
          <w:rFonts w:ascii="Times New Roman" w:hAnsi="Times New Roman"/>
          <w:szCs w:val="22"/>
        </w:rPr>
        <w:t xml:space="preserve"> abuse and then determine how the Justices reached a decision in the controversy. </w:t>
      </w:r>
    </w:p>
    <w:bookmarkEnd w:id="51"/>
    <w:bookmarkEnd w:id="52"/>
    <w:bookmarkEnd w:id="53"/>
    <w:bookmarkEnd w:id="54"/>
    <w:bookmarkEnd w:id="55"/>
    <w:p w14:paraId="0F31F3E0" w14:textId="0A39AF29" w:rsidR="006919F4" w:rsidRPr="00506576" w:rsidRDefault="006919F4" w:rsidP="008B7728">
      <w:pPr>
        <w:pStyle w:val="Document"/>
        <w:rPr>
          <w:rFonts w:ascii="Times New Roman" w:hAnsi="Times New Roman"/>
          <w:szCs w:val="22"/>
        </w:rPr>
      </w:pPr>
      <w:r w:rsidRPr="00506576">
        <w:rPr>
          <w:rFonts w:ascii="Times New Roman" w:hAnsi="Times New Roman"/>
          <w:szCs w:val="22"/>
        </w:rPr>
        <w:t>To identify and analyze corporate tax abuse we designed a data collection process</w:t>
      </w:r>
      <w:r w:rsidR="008B7728" w:rsidRPr="00506576">
        <w:rPr>
          <w:rFonts w:ascii="Times New Roman" w:hAnsi="Times New Roman"/>
          <w:szCs w:val="22"/>
        </w:rPr>
        <w:t xml:space="preserve"> with the following three steps collected</w:t>
      </w:r>
      <w:r w:rsidRPr="00506576">
        <w:rPr>
          <w:rFonts w:ascii="Times New Roman" w:hAnsi="Times New Roman"/>
          <w:szCs w:val="22"/>
        </w:rPr>
        <w:t xml:space="preserve"> 919 </w:t>
      </w:r>
      <w:r w:rsidR="008B7728" w:rsidRPr="00506576">
        <w:rPr>
          <w:rFonts w:ascii="Times New Roman" w:hAnsi="Times New Roman"/>
          <w:szCs w:val="22"/>
        </w:rPr>
        <w:t xml:space="preserve">federal </w:t>
      </w:r>
      <w:r w:rsidRPr="00506576">
        <w:rPr>
          <w:rFonts w:ascii="Times New Roman" w:hAnsi="Times New Roman"/>
          <w:szCs w:val="22"/>
        </w:rPr>
        <w:t xml:space="preserve">tax cases </w:t>
      </w:r>
      <w:r w:rsidR="008B7728" w:rsidRPr="00506576">
        <w:rPr>
          <w:rFonts w:ascii="Times New Roman" w:hAnsi="Times New Roman"/>
          <w:szCs w:val="22"/>
        </w:rPr>
        <w:t xml:space="preserve">in the US Supreme Court decided between 1909 and 2011.  We then </w:t>
      </w:r>
      <w:r w:rsidRPr="00506576">
        <w:rPr>
          <w:rFonts w:ascii="Times New Roman" w:hAnsi="Times New Roman"/>
          <w:szCs w:val="22"/>
        </w:rPr>
        <w:t xml:space="preserve">read each </w:t>
      </w:r>
      <w:r w:rsidR="008B7728" w:rsidRPr="00506576">
        <w:rPr>
          <w:rFonts w:ascii="Times New Roman" w:hAnsi="Times New Roman"/>
          <w:szCs w:val="22"/>
        </w:rPr>
        <w:t>opinion</w:t>
      </w:r>
      <w:r w:rsidRPr="00506576">
        <w:rPr>
          <w:rFonts w:ascii="Times New Roman" w:hAnsi="Times New Roman"/>
          <w:szCs w:val="22"/>
        </w:rPr>
        <w:t xml:space="preserve"> and determined that </w:t>
      </w:r>
      <w:r w:rsidR="00542A9B" w:rsidRPr="00506576">
        <w:rPr>
          <w:rFonts w:ascii="Times New Roman" w:hAnsi="Times New Roman"/>
          <w:szCs w:val="22"/>
        </w:rPr>
        <w:t>364</w:t>
      </w:r>
      <w:r w:rsidRPr="00506576">
        <w:rPr>
          <w:rFonts w:ascii="Times New Roman" w:hAnsi="Times New Roman"/>
          <w:szCs w:val="22"/>
        </w:rPr>
        <w:t xml:space="preserve"> </w:t>
      </w:r>
      <w:r w:rsidR="007C4104" w:rsidRPr="00506576">
        <w:rPr>
          <w:rFonts w:ascii="Times New Roman" w:hAnsi="Times New Roman"/>
          <w:szCs w:val="22"/>
        </w:rPr>
        <w:t xml:space="preserve">cases </w:t>
      </w:r>
      <w:r w:rsidRPr="00506576">
        <w:rPr>
          <w:rFonts w:ascii="Times New Roman" w:hAnsi="Times New Roman"/>
          <w:szCs w:val="22"/>
        </w:rPr>
        <w:t>involv</w:t>
      </w:r>
      <w:r w:rsidR="00B852E1" w:rsidRPr="00506576">
        <w:rPr>
          <w:rFonts w:ascii="Times New Roman" w:hAnsi="Times New Roman"/>
          <w:szCs w:val="22"/>
        </w:rPr>
        <w:t>ed a corporate tax controversy—</w:t>
      </w:r>
      <w:r w:rsidRPr="00506576">
        <w:rPr>
          <w:rFonts w:ascii="Times New Roman" w:hAnsi="Times New Roman"/>
          <w:szCs w:val="22"/>
        </w:rPr>
        <w:t>that is</w:t>
      </w:r>
      <w:r w:rsidR="00B852E1" w:rsidRPr="00506576">
        <w:rPr>
          <w:rFonts w:ascii="Times New Roman" w:hAnsi="Times New Roman"/>
          <w:szCs w:val="22"/>
        </w:rPr>
        <w:t>,</w:t>
      </w:r>
      <w:r w:rsidRPr="00506576">
        <w:rPr>
          <w:rFonts w:ascii="Times New Roman" w:hAnsi="Times New Roman"/>
          <w:szCs w:val="22"/>
        </w:rPr>
        <w:t xml:space="preserve"> one that involved corporate rather than individual tax liability.</w:t>
      </w:r>
      <w:r w:rsidR="007F58D6" w:rsidRPr="00506576">
        <w:rPr>
          <w:rFonts w:ascii="Times New Roman" w:hAnsi="Times New Roman"/>
          <w:szCs w:val="22"/>
        </w:rPr>
        <w:t xml:space="preserve"> </w:t>
      </w:r>
      <w:r w:rsidR="008B7728" w:rsidRPr="00506576">
        <w:rPr>
          <w:rFonts w:ascii="Times New Roman" w:hAnsi="Times New Roman"/>
          <w:szCs w:val="22"/>
        </w:rPr>
        <w:t xml:space="preserve">Finally, </w:t>
      </w:r>
      <w:r w:rsidRPr="00506576">
        <w:rPr>
          <w:rFonts w:ascii="Times New Roman" w:hAnsi="Times New Roman"/>
          <w:szCs w:val="22"/>
        </w:rPr>
        <w:t xml:space="preserve">we </w:t>
      </w:r>
      <w:r w:rsidR="00C30CB4" w:rsidRPr="00506576">
        <w:rPr>
          <w:rFonts w:ascii="Times New Roman" w:hAnsi="Times New Roman"/>
          <w:szCs w:val="22"/>
        </w:rPr>
        <w:t>read</w:t>
      </w:r>
      <w:r w:rsidRPr="00506576">
        <w:rPr>
          <w:rFonts w:ascii="Times New Roman" w:hAnsi="Times New Roman"/>
          <w:szCs w:val="22"/>
        </w:rPr>
        <w:t xml:space="preserve"> the government’s briefs filed with the Court</w:t>
      </w:r>
      <w:r w:rsidR="008B7728" w:rsidRPr="00506576">
        <w:rPr>
          <w:rFonts w:ascii="Times New Roman" w:hAnsi="Times New Roman"/>
          <w:szCs w:val="22"/>
        </w:rPr>
        <w:t xml:space="preserve"> in each of the corporate tax cases</w:t>
      </w:r>
      <w:r w:rsidR="00C30CB4" w:rsidRPr="00506576">
        <w:rPr>
          <w:rFonts w:ascii="Times New Roman" w:hAnsi="Times New Roman"/>
          <w:szCs w:val="22"/>
        </w:rPr>
        <w:t xml:space="preserve">, and identified </w:t>
      </w:r>
      <w:r w:rsidR="00542A9B" w:rsidRPr="00506576">
        <w:rPr>
          <w:rFonts w:ascii="Times New Roman" w:hAnsi="Times New Roman"/>
          <w:szCs w:val="22"/>
        </w:rPr>
        <w:t>137</w:t>
      </w:r>
      <w:r w:rsidRPr="00506576">
        <w:rPr>
          <w:rFonts w:ascii="Times New Roman" w:hAnsi="Times New Roman"/>
          <w:szCs w:val="22"/>
        </w:rPr>
        <w:t xml:space="preserve"> controversies </w:t>
      </w:r>
      <w:r w:rsidR="00542A9B" w:rsidRPr="00506576">
        <w:rPr>
          <w:rFonts w:ascii="Times New Roman" w:hAnsi="Times New Roman"/>
          <w:szCs w:val="22"/>
        </w:rPr>
        <w:t xml:space="preserve">that </w:t>
      </w:r>
      <w:r w:rsidRPr="00506576">
        <w:rPr>
          <w:rFonts w:ascii="Times New Roman" w:hAnsi="Times New Roman"/>
          <w:szCs w:val="22"/>
        </w:rPr>
        <w:t xml:space="preserve">involved allegations of abuse. </w:t>
      </w:r>
      <w:r w:rsidR="00C30CB4" w:rsidRPr="00506576">
        <w:rPr>
          <w:rFonts w:ascii="Times New Roman" w:hAnsi="Times New Roman"/>
          <w:szCs w:val="22"/>
        </w:rPr>
        <w:t xml:space="preserve"> The </w:t>
      </w:r>
      <w:r w:rsidRPr="00506576">
        <w:rPr>
          <w:rFonts w:ascii="Times New Roman" w:hAnsi="Times New Roman"/>
          <w:szCs w:val="22"/>
        </w:rPr>
        <w:t>government did not prevail in all 137 cases</w:t>
      </w:r>
      <w:r w:rsidR="00C30CB4" w:rsidRPr="00506576">
        <w:rPr>
          <w:rFonts w:ascii="Times New Roman" w:hAnsi="Times New Roman"/>
          <w:szCs w:val="22"/>
        </w:rPr>
        <w:t xml:space="preserve">, and this raises the </w:t>
      </w:r>
      <w:r w:rsidRPr="00506576">
        <w:rPr>
          <w:rFonts w:ascii="Times New Roman" w:hAnsi="Times New Roman"/>
          <w:szCs w:val="22"/>
        </w:rPr>
        <w:t>empirical question: What are the factors that lead the Court to agree with the government in some of these cases but to reject the claims of abuse in others?</w:t>
      </w:r>
    </w:p>
    <w:p w14:paraId="0A658B8E" w14:textId="6EAADE15" w:rsidR="006919F4" w:rsidRPr="00506576" w:rsidRDefault="006919F4" w:rsidP="006919F4">
      <w:pPr>
        <w:pStyle w:val="Document"/>
        <w:rPr>
          <w:rFonts w:ascii="Times New Roman" w:hAnsi="Times New Roman"/>
          <w:szCs w:val="22"/>
        </w:rPr>
      </w:pPr>
      <w:r w:rsidRPr="00506576">
        <w:rPr>
          <w:rFonts w:ascii="Times New Roman" w:hAnsi="Times New Roman"/>
          <w:szCs w:val="22"/>
        </w:rPr>
        <w:t>Figure 2 depicts the three groups of cases uncovered in our data collection efforts.</w:t>
      </w:r>
      <w:r w:rsidR="007F58D6" w:rsidRPr="00506576">
        <w:rPr>
          <w:rFonts w:ascii="Times New Roman" w:hAnsi="Times New Roman"/>
          <w:szCs w:val="22"/>
        </w:rPr>
        <w:t xml:space="preserve"> </w:t>
      </w:r>
      <w:r w:rsidRPr="00506576">
        <w:rPr>
          <w:rFonts w:ascii="Times New Roman" w:hAnsi="Times New Roman"/>
          <w:szCs w:val="22"/>
        </w:rPr>
        <w:t>The light grey area denotes the superset of 919 tax cases decided over the course of the last century, the dark grey area denotes the set of 364 corporate tax cases, and the black area indicates the subset of 137 corporate tax abuse cases as defined above.</w:t>
      </w:r>
    </w:p>
    <w:p w14:paraId="36BC3333" w14:textId="77777777" w:rsidR="006A0022" w:rsidRPr="003F2797" w:rsidRDefault="006A0022" w:rsidP="006A0022">
      <w:pPr>
        <w:spacing w:before="40"/>
        <w:jc w:val="both"/>
        <w:rPr>
          <w:rFonts w:cs="TimesNewRoman"/>
          <w:sz w:val="22"/>
          <w:szCs w:val="22"/>
        </w:rPr>
      </w:pPr>
    </w:p>
    <w:p w14:paraId="6D050C7B" w14:textId="77777777" w:rsidR="006A0022" w:rsidRPr="00DC7597" w:rsidRDefault="006A0022" w:rsidP="006A0022">
      <w:pPr>
        <w:keepNext/>
        <w:keepLines/>
        <w:autoSpaceDE w:val="0"/>
        <w:autoSpaceDN w:val="0"/>
        <w:adjustRightInd w:val="0"/>
        <w:jc w:val="center"/>
        <w:rPr>
          <w:rFonts w:cs="TimesNewRoman"/>
          <w:smallCaps/>
          <w:sz w:val="22"/>
          <w:szCs w:val="22"/>
        </w:rPr>
      </w:pPr>
      <w:r w:rsidRPr="00DC7597">
        <w:rPr>
          <w:rFonts w:cs="TimesNewRoman"/>
          <w:smallCaps/>
          <w:sz w:val="22"/>
          <w:szCs w:val="22"/>
        </w:rPr>
        <w:t xml:space="preserve">Figure 2 </w:t>
      </w:r>
    </w:p>
    <w:p w14:paraId="75BCCC88" w14:textId="77777777" w:rsidR="006A0022" w:rsidRDefault="006A0022" w:rsidP="006A0022">
      <w:pPr>
        <w:keepNext/>
        <w:keepLines/>
        <w:autoSpaceDE w:val="0"/>
        <w:autoSpaceDN w:val="0"/>
        <w:adjustRightInd w:val="0"/>
        <w:jc w:val="center"/>
        <w:rPr>
          <w:rFonts w:cs="TimesNewRoman"/>
          <w:sz w:val="22"/>
          <w:szCs w:val="22"/>
        </w:rPr>
      </w:pPr>
      <w:r w:rsidRPr="003F2797">
        <w:rPr>
          <w:rFonts w:cs="TimesNewRoman"/>
          <w:sz w:val="22"/>
          <w:szCs w:val="22"/>
        </w:rPr>
        <w:t xml:space="preserve"> Three groups of tax cases on U.S. Supreme Court docket</w:t>
      </w:r>
    </w:p>
    <w:p w14:paraId="66FF755D" w14:textId="77777777" w:rsidR="006A0022" w:rsidRPr="003F2797" w:rsidRDefault="006A0022" w:rsidP="006A0022">
      <w:pPr>
        <w:keepNext/>
        <w:keepLines/>
        <w:tabs>
          <w:tab w:val="left" w:pos="720"/>
        </w:tabs>
        <w:autoSpaceDE w:val="0"/>
        <w:autoSpaceDN w:val="0"/>
        <w:adjustRightInd w:val="0"/>
        <w:ind w:left="540"/>
        <w:jc w:val="center"/>
        <w:rPr>
          <w:rFonts w:cs="TimesNewRoman"/>
          <w:sz w:val="22"/>
          <w:szCs w:val="22"/>
        </w:rPr>
      </w:pPr>
    </w:p>
    <w:p w14:paraId="714669A4" w14:textId="290111D1" w:rsidR="006A0022" w:rsidRDefault="006A0022" w:rsidP="006A0022">
      <w:pPr>
        <w:keepNext/>
        <w:keepLines/>
        <w:tabs>
          <w:tab w:val="left" w:pos="720"/>
        </w:tabs>
        <w:autoSpaceDE w:val="0"/>
        <w:autoSpaceDN w:val="0"/>
        <w:adjustRightInd w:val="0"/>
        <w:ind w:left="540" w:hanging="990"/>
        <w:jc w:val="center"/>
        <w:rPr>
          <w:rFonts w:cs="TimesNewRoman"/>
          <w:sz w:val="22"/>
          <w:szCs w:val="22"/>
        </w:rPr>
      </w:pPr>
      <w:r>
        <w:rPr>
          <w:rFonts w:cs="TimesNewRoman"/>
          <w:noProof/>
          <w:sz w:val="22"/>
          <w:szCs w:val="22"/>
        </w:rPr>
        <w:drawing>
          <wp:inline distT="0" distB="0" distL="0" distR="0" wp14:anchorId="423CEF7C" wp14:editId="634B26E0">
            <wp:extent cx="3819834" cy="2530701"/>
            <wp:effectExtent l="0" t="0" r="0" b="9525"/>
            <wp:docPr id="87" name="Picture 10" descr="::::Desktop:Histo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Histogra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0160" cy="2530917"/>
                    </a:xfrm>
                    <a:prstGeom prst="rect">
                      <a:avLst/>
                    </a:prstGeom>
                    <a:noFill/>
                    <a:ln>
                      <a:noFill/>
                    </a:ln>
                  </pic:spPr>
                </pic:pic>
              </a:graphicData>
            </a:graphic>
          </wp:inline>
        </w:drawing>
      </w:r>
    </w:p>
    <w:p w14:paraId="08D7ED07" w14:textId="77777777" w:rsidR="006A0022" w:rsidRDefault="006A0022" w:rsidP="006A0022">
      <w:pPr>
        <w:pStyle w:val="Document"/>
        <w:ind w:firstLine="0"/>
        <w:rPr>
          <w:rFonts w:ascii="Times New Roman" w:hAnsi="Times New Roman"/>
          <w:szCs w:val="22"/>
        </w:rPr>
      </w:pPr>
    </w:p>
    <w:p w14:paraId="3BCF0FF7" w14:textId="2A7EB542" w:rsidR="006919F4" w:rsidRPr="00506576" w:rsidRDefault="006919F4" w:rsidP="006919F4">
      <w:pPr>
        <w:pStyle w:val="Document"/>
        <w:rPr>
          <w:rFonts w:ascii="Times New Roman" w:hAnsi="Times New Roman"/>
          <w:szCs w:val="22"/>
        </w:rPr>
      </w:pPr>
      <w:r w:rsidRPr="00506576">
        <w:rPr>
          <w:rFonts w:ascii="Times New Roman" w:hAnsi="Times New Roman"/>
          <w:szCs w:val="22"/>
        </w:rPr>
        <w:t xml:space="preserve">In an effort to understand and explain </w:t>
      </w:r>
      <w:r w:rsidR="008B7728" w:rsidRPr="00506576">
        <w:rPr>
          <w:rFonts w:ascii="Times New Roman" w:hAnsi="Times New Roman"/>
          <w:szCs w:val="22"/>
        </w:rPr>
        <w:t xml:space="preserve">US </w:t>
      </w:r>
      <w:r w:rsidRPr="00506576">
        <w:rPr>
          <w:rFonts w:ascii="Times New Roman" w:hAnsi="Times New Roman"/>
          <w:szCs w:val="22"/>
        </w:rPr>
        <w:t>Supreme Court decisionmaking in the corporate abuse context, we created three models.</w:t>
      </w:r>
      <w:r w:rsidR="007F58D6" w:rsidRPr="00506576">
        <w:rPr>
          <w:rFonts w:ascii="Times New Roman" w:hAnsi="Times New Roman"/>
          <w:szCs w:val="22"/>
        </w:rPr>
        <w:t xml:space="preserve"> </w:t>
      </w:r>
      <w:r w:rsidRPr="00506576">
        <w:rPr>
          <w:rFonts w:ascii="Times New Roman" w:hAnsi="Times New Roman"/>
          <w:szCs w:val="22"/>
        </w:rPr>
        <w:t xml:space="preserve">In the first </w:t>
      </w:r>
      <w:r w:rsidR="008B7728" w:rsidRPr="00506576">
        <w:rPr>
          <w:rFonts w:ascii="Times New Roman" w:hAnsi="Times New Roman"/>
          <w:szCs w:val="22"/>
        </w:rPr>
        <w:t xml:space="preserve">two </w:t>
      </w:r>
      <w:r w:rsidRPr="00506576">
        <w:rPr>
          <w:rFonts w:ascii="Times New Roman" w:hAnsi="Times New Roman"/>
          <w:szCs w:val="22"/>
        </w:rPr>
        <w:t>model</w:t>
      </w:r>
      <w:r w:rsidR="008B7728" w:rsidRPr="00506576">
        <w:rPr>
          <w:rFonts w:ascii="Times New Roman" w:hAnsi="Times New Roman"/>
          <w:szCs w:val="22"/>
        </w:rPr>
        <w:t>s</w:t>
      </w:r>
      <w:r w:rsidRPr="00506576">
        <w:rPr>
          <w:rFonts w:ascii="Times New Roman" w:hAnsi="Times New Roman"/>
          <w:szCs w:val="22"/>
        </w:rPr>
        <w:t xml:space="preserve">, we investigate how the </w:t>
      </w:r>
      <w:r w:rsidR="00EA0178" w:rsidRPr="00506576">
        <w:rPr>
          <w:rFonts w:ascii="Times New Roman" w:hAnsi="Times New Roman"/>
          <w:szCs w:val="22"/>
        </w:rPr>
        <w:t xml:space="preserve">US </w:t>
      </w:r>
      <w:r w:rsidRPr="00506576">
        <w:rPr>
          <w:rFonts w:ascii="Times New Roman" w:hAnsi="Times New Roman"/>
          <w:szCs w:val="22"/>
        </w:rPr>
        <w:t xml:space="preserve">government fares in abuse cases versus </w:t>
      </w:r>
      <w:r w:rsidR="008B7728" w:rsidRPr="00506576">
        <w:rPr>
          <w:rFonts w:ascii="Times New Roman" w:hAnsi="Times New Roman"/>
          <w:szCs w:val="22"/>
        </w:rPr>
        <w:t xml:space="preserve">(1) </w:t>
      </w:r>
      <w:r w:rsidRPr="00506576">
        <w:rPr>
          <w:rFonts w:ascii="Times New Roman" w:hAnsi="Times New Roman"/>
          <w:szCs w:val="22"/>
        </w:rPr>
        <w:t>all other types of tax controversies</w:t>
      </w:r>
      <w:r w:rsidR="008B7728" w:rsidRPr="00506576">
        <w:rPr>
          <w:rFonts w:ascii="Times New Roman" w:hAnsi="Times New Roman"/>
          <w:szCs w:val="22"/>
        </w:rPr>
        <w:t xml:space="preserve"> and (2) other types of </w:t>
      </w:r>
      <w:r w:rsidR="008B7728" w:rsidRPr="00506576">
        <w:rPr>
          <w:rFonts w:ascii="Times New Roman" w:hAnsi="Times New Roman"/>
          <w:szCs w:val="22"/>
        </w:rPr>
        <w:lastRenderedPageBreak/>
        <w:t>coporporate tax controversies</w:t>
      </w:r>
      <w:r w:rsidRPr="00506576">
        <w:rPr>
          <w:rFonts w:ascii="Times New Roman" w:hAnsi="Times New Roman"/>
          <w:szCs w:val="22"/>
        </w:rPr>
        <w:t>.</w:t>
      </w:r>
      <w:r w:rsidR="007F58D6" w:rsidRPr="00506576">
        <w:rPr>
          <w:rFonts w:ascii="Times New Roman" w:hAnsi="Times New Roman"/>
          <w:szCs w:val="22"/>
        </w:rPr>
        <w:t xml:space="preserve"> </w:t>
      </w:r>
      <w:r w:rsidRPr="00506576">
        <w:rPr>
          <w:rFonts w:ascii="Times New Roman" w:hAnsi="Times New Roman"/>
          <w:szCs w:val="22"/>
        </w:rPr>
        <w:t xml:space="preserve">More specifically, we seek to determine whether the government is more (or less) likely to prevail in the Supreme Court </w:t>
      </w:r>
      <w:r w:rsidR="00A46104" w:rsidRPr="00506576">
        <w:rPr>
          <w:rFonts w:ascii="Times New Roman" w:hAnsi="Times New Roman"/>
          <w:szCs w:val="22"/>
        </w:rPr>
        <w:t>in cases where</w:t>
      </w:r>
      <w:r w:rsidRPr="00506576">
        <w:rPr>
          <w:rFonts w:ascii="Times New Roman" w:hAnsi="Times New Roman"/>
          <w:szCs w:val="22"/>
        </w:rPr>
        <w:t xml:space="preserve"> it alleges corporate tax abuse compared to cases that do not involve such allegations.</w:t>
      </w:r>
    </w:p>
    <w:p w14:paraId="0A4AD07D" w14:textId="574639C8" w:rsidR="006919F4" w:rsidRPr="00506576" w:rsidRDefault="00835DD4" w:rsidP="00E21855">
      <w:pPr>
        <w:pStyle w:val="Document"/>
        <w:rPr>
          <w:rFonts w:ascii="Times New Roman" w:hAnsi="Times New Roman"/>
          <w:szCs w:val="22"/>
        </w:rPr>
      </w:pPr>
      <w:r w:rsidRPr="00506576">
        <w:rPr>
          <w:rFonts w:ascii="Times New Roman" w:hAnsi="Times New Roman"/>
          <w:szCs w:val="22"/>
        </w:rPr>
        <w:t>The dependent variable</w:t>
      </w:r>
      <w:r w:rsidR="00E21855">
        <w:rPr>
          <w:rFonts w:ascii="Times New Roman" w:hAnsi="Times New Roman"/>
          <w:szCs w:val="22"/>
        </w:rPr>
        <w:t xml:space="preserve">—the thing that we hope to explain—in </w:t>
      </w:r>
      <w:r w:rsidRPr="00506576">
        <w:rPr>
          <w:rFonts w:ascii="Times New Roman" w:hAnsi="Times New Roman"/>
          <w:szCs w:val="22"/>
        </w:rPr>
        <w:t>our first model</w:t>
      </w:r>
      <w:r w:rsidR="00E20591" w:rsidRPr="00506576">
        <w:rPr>
          <w:rFonts w:ascii="Times New Roman" w:hAnsi="Times New Roman"/>
          <w:szCs w:val="22"/>
        </w:rPr>
        <w:t xml:space="preserve"> is </w:t>
      </w:r>
      <w:r w:rsidR="00E21855">
        <w:rPr>
          <w:rFonts w:ascii="Times New Roman" w:hAnsi="Times New Roman"/>
          <w:szCs w:val="22"/>
        </w:rPr>
        <w:t xml:space="preserve">the Court’s decision in any </w:t>
      </w:r>
      <w:r w:rsidR="006919F4" w:rsidRPr="00506576">
        <w:rPr>
          <w:rFonts w:ascii="Times New Roman" w:hAnsi="Times New Roman"/>
          <w:szCs w:val="22"/>
        </w:rPr>
        <w:t xml:space="preserve">given federal tax case (raising </w:t>
      </w:r>
      <w:r w:rsidR="006919F4" w:rsidRPr="00E21855">
        <w:rPr>
          <w:rFonts w:ascii="Times New Roman" w:hAnsi="Times New Roman"/>
          <w:i/>
          <w:szCs w:val="22"/>
        </w:rPr>
        <w:t>any</w:t>
      </w:r>
      <w:r w:rsidR="006919F4" w:rsidRPr="00506576">
        <w:rPr>
          <w:rFonts w:ascii="Times New Roman" w:hAnsi="Times New Roman"/>
          <w:szCs w:val="22"/>
        </w:rPr>
        <w:t xml:space="preserve"> type of issue,</w:t>
      </w:r>
      <w:r w:rsidR="00595625" w:rsidRPr="00506576">
        <w:rPr>
          <w:rFonts w:ascii="Times New Roman" w:hAnsi="Times New Roman"/>
          <w:szCs w:val="22"/>
        </w:rPr>
        <w:t xml:space="preserve"> corporate or not) and </w:t>
      </w:r>
      <w:r w:rsidR="00E21855">
        <w:rPr>
          <w:rFonts w:ascii="Times New Roman" w:hAnsi="Times New Roman"/>
          <w:szCs w:val="22"/>
        </w:rPr>
        <w:t>i</w:t>
      </w:r>
      <w:r w:rsidRPr="00506576">
        <w:rPr>
          <w:rFonts w:ascii="Times New Roman" w:hAnsi="Times New Roman"/>
          <w:szCs w:val="22"/>
        </w:rPr>
        <w:t xml:space="preserve">n our second model, the dependent variable is </w:t>
      </w:r>
      <w:r w:rsidR="006919F4" w:rsidRPr="00506576">
        <w:rPr>
          <w:rFonts w:ascii="Times New Roman" w:hAnsi="Times New Roman"/>
          <w:szCs w:val="22"/>
        </w:rPr>
        <w:t xml:space="preserve">the Court’s decision in a given </w:t>
      </w:r>
      <w:r w:rsidR="006919F4" w:rsidRPr="00E21855">
        <w:rPr>
          <w:rFonts w:ascii="Times New Roman" w:hAnsi="Times New Roman"/>
          <w:i/>
          <w:szCs w:val="22"/>
        </w:rPr>
        <w:t>corporate</w:t>
      </w:r>
      <w:r w:rsidR="006919F4" w:rsidRPr="00506576">
        <w:rPr>
          <w:rFonts w:ascii="Times New Roman" w:hAnsi="Times New Roman"/>
          <w:szCs w:val="22"/>
        </w:rPr>
        <w:t xml:space="preserve"> tax case.</w:t>
      </w:r>
      <w:r w:rsidRPr="00506576">
        <w:rPr>
          <w:rFonts w:ascii="Times New Roman" w:hAnsi="Times New Roman"/>
          <w:szCs w:val="22"/>
        </w:rPr>
        <w:t xml:space="preserve">  </w:t>
      </w:r>
      <w:r w:rsidR="006919F4" w:rsidRPr="00506576">
        <w:rPr>
          <w:rFonts w:ascii="Times New Roman" w:hAnsi="Times New Roman"/>
          <w:szCs w:val="22"/>
        </w:rPr>
        <w:t xml:space="preserve">In both </w:t>
      </w:r>
      <w:r w:rsidR="003650F2" w:rsidRPr="00506576">
        <w:rPr>
          <w:rFonts w:ascii="Times New Roman" w:hAnsi="Times New Roman"/>
          <w:szCs w:val="22"/>
        </w:rPr>
        <w:t>models</w:t>
      </w:r>
      <w:r w:rsidR="006919F4" w:rsidRPr="00506576">
        <w:rPr>
          <w:rFonts w:ascii="Times New Roman" w:hAnsi="Times New Roman"/>
          <w:szCs w:val="22"/>
        </w:rPr>
        <w:t xml:space="preserve">, </w:t>
      </w:r>
      <w:r w:rsidRPr="00506576">
        <w:rPr>
          <w:rFonts w:ascii="Times New Roman" w:hAnsi="Times New Roman"/>
          <w:szCs w:val="22"/>
        </w:rPr>
        <w:t xml:space="preserve">the </w:t>
      </w:r>
      <w:r w:rsidR="00E21855">
        <w:rPr>
          <w:rFonts w:ascii="Times New Roman" w:hAnsi="Times New Roman"/>
          <w:szCs w:val="22"/>
        </w:rPr>
        <w:t xml:space="preserve">explanatory </w:t>
      </w:r>
      <w:r w:rsidRPr="00506576">
        <w:rPr>
          <w:rFonts w:ascii="Times New Roman" w:hAnsi="Times New Roman"/>
          <w:szCs w:val="22"/>
        </w:rPr>
        <w:t>variable of interest</w:t>
      </w:r>
      <w:r w:rsidR="00E21855">
        <w:rPr>
          <w:rFonts w:ascii="Times New Roman" w:hAnsi="Times New Roman"/>
          <w:szCs w:val="22"/>
        </w:rPr>
        <w:t xml:space="preserve"> is a</w:t>
      </w:r>
      <w:r w:rsidR="006919F4" w:rsidRPr="00506576">
        <w:rPr>
          <w:rFonts w:ascii="Times New Roman" w:hAnsi="Times New Roman"/>
          <w:szCs w:val="22"/>
        </w:rPr>
        <w:t xml:space="preserve"> government </w:t>
      </w:r>
      <w:r w:rsidR="00E21855">
        <w:rPr>
          <w:rFonts w:ascii="Times New Roman" w:hAnsi="Times New Roman"/>
          <w:szCs w:val="22"/>
        </w:rPr>
        <w:t xml:space="preserve">allegation contending </w:t>
      </w:r>
      <w:r w:rsidR="006919F4" w:rsidRPr="00506576">
        <w:rPr>
          <w:rFonts w:ascii="Times New Roman" w:hAnsi="Times New Roman"/>
          <w:szCs w:val="22"/>
        </w:rPr>
        <w:t xml:space="preserve">that </w:t>
      </w:r>
      <w:r w:rsidR="00E21855">
        <w:rPr>
          <w:rFonts w:ascii="Times New Roman" w:hAnsi="Times New Roman"/>
          <w:szCs w:val="22"/>
        </w:rPr>
        <w:t xml:space="preserve">the </w:t>
      </w:r>
      <w:r w:rsidR="006919F4" w:rsidRPr="00506576">
        <w:rPr>
          <w:rFonts w:ascii="Times New Roman" w:hAnsi="Times New Roman"/>
          <w:szCs w:val="22"/>
        </w:rPr>
        <w:t>corporation engaged in an abusive transaction or took an abusive accounting position</w:t>
      </w:r>
      <w:r w:rsidR="00E21855">
        <w:rPr>
          <w:rFonts w:ascii="Times New Roman" w:hAnsi="Times New Roman"/>
          <w:szCs w:val="22"/>
        </w:rPr>
        <w:t>; roughly fourteen percent of our cases invovled allegations of abuse.</w:t>
      </w:r>
      <w:r w:rsidR="007F58D6" w:rsidRPr="00506576">
        <w:rPr>
          <w:rFonts w:ascii="Times New Roman" w:hAnsi="Times New Roman"/>
          <w:szCs w:val="22"/>
        </w:rPr>
        <w:t xml:space="preserve"> </w:t>
      </w:r>
      <w:r w:rsidR="00E21855">
        <w:rPr>
          <w:rFonts w:ascii="Times New Roman" w:hAnsi="Times New Roman"/>
          <w:szCs w:val="22"/>
        </w:rPr>
        <w:t xml:space="preserve"> This variable </w:t>
      </w:r>
      <w:r w:rsidR="006919F4" w:rsidRPr="00506576">
        <w:rPr>
          <w:rFonts w:ascii="Times New Roman" w:hAnsi="Times New Roman"/>
          <w:szCs w:val="22"/>
        </w:rPr>
        <w:t>will indicate whether corporate tax abuse cases are easier or harder to win for the government compared to the other types of tax cases that the Supreme Court decides</w:t>
      </w:r>
      <w:r w:rsidR="006919F4" w:rsidRPr="00506576">
        <w:rPr>
          <w:rFonts w:ascii="Times New Roman" w:hAnsi="Times New Roman"/>
          <w:i/>
          <w:szCs w:val="22"/>
        </w:rPr>
        <w:t>.</w:t>
      </w:r>
      <w:r w:rsidR="007F58D6" w:rsidRPr="00506576">
        <w:rPr>
          <w:rFonts w:ascii="Times New Roman" w:hAnsi="Times New Roman"/>
          <w:i/>
          <w:szCs w:val="22"/>
        </w:rPr>
        <w:t xml:space="preserve"> </w:t>
      </w:r>
      <w:r w:rsidR="006919F4" w:rsidRPr="00506576">
        <w:rPr>
          <w:rFonts w:ascii="Times New Roman" w:hAnsi="Times New Roman"/>
          <w:szCs w:val="22"/>
        </w:rPr>
        <w:t>In the abuse controversies, as discussed above, both the government and the corporate taxpayer have viable legal arguments.</w:t>
      </w:r>
      <w:r w:rsidR="007F58D6" w:rsidRPr="00506576">
        <w:rPr>
          <w:rFonts w:ascii="Times New Roman" w:hAnsi="Times New Roman"/>
          <w:szCs w:val="22"/>
        </w:rPr>
        <w:t xml:space="preserve"> </w:t>
      </w:r>
      <w:r w:rsidR="006919F4" w:rsidRPr="00506576">
        <w:rPr>
          <w:rFonts w:ascii="Times New Roman" w:hAnsi="Times New Roman"/>
          <w:szCs w:val="22"/>
        </w:rPr>
        <w:t>The government argues that the corporation should not obtain the tax consequences it desires because tax laws should not be used in a manner that undermines their legislative intent and revenue-raising potential. The taxpayer, by contrast, argues that it followed the letter of the law and thus is entitled to its preferred tax outcome.</w:t>
      </w:r>
      <w:r w:rsidR="007F58D6" w:rsidRPr="00506576">
        <w:rPr>
          <w:rFonts w:ascii="Times New Roman" w:hAnsi="Times New Roman"/>
          <w:szCs w:val="22"/>
        </w:rPr>
        <w:t xml:space="preserve"> </w:t>
      </w:r>
      <w:r w:rsidR="006919F4" w:rsidRPr="00506576">
        <w:rPr>
          <w:rFonts w:ascii="Times New Roman" w:hAnsi="Times New Roman"/>
          <w:szCs w:val="22"/>
        </w:rPr>
        <w:t xml:space="preserve">We expect that the government will </w:t>
      </w:r>
      <w:r w:rsidR="006A33CF" w:rsidRPr="00506576">
        <w:rPr>
          <w:rFonts w:ascii="Times New Roman" w:hAnsi="Times New Roman"/>
          <w:szCs w:val="22"/>
        </w:rPr>
        <w:t>encounter</w:t>
      </w:r>
      <w:r w:rsidR="006919F4" w:rsidRPr="00506576">
        <w:rPr>
          <w:rFonts w:ascii="Times New Roman" w:hAnsi="Times New Roman"/>
          <w:szCs w:val="22"/>
        </w:rPr>
        <w:t xml:space="preserve"> more difficult</w:t>
      </w:r>
      <w:r w:rsidR="006A33CF" w:rsidRPr="00506576">
        <w:rPr>
          <w:rFonts w:ascii="Times New Roman" w:hAnsi="Times New Roman"/>
          <w:szCs w:val="22"/>
        </w:rPr>
        <w:t>y</w:t>
      </w:r>
      <w:r w:rsidR="006919F4" w:rsidRPr="00506576">
        <w:rPr>
          <w:rFonts w:ascii="Times New Roman" w:hAnsi="Times New Roman"/>
          <w:szCs w:val="22"/>
        </w:rPr>
        <w:t xml:space="preserve"> prevailing in cases that rest primarily (or solely) on public policy considerations related to abuse</w:t>
      </w:r>
      <w:r w:rsidR="006A33CF" w:rsidRPr="00506576">
        <w:rPr>
          <w:rFonts w:ascii="Times New Roman" w:hAnsi="Times New Roman"/>
          <w:szCs w:val="22"/>
        </w:rPr>
        <w:t>,</w:t>
      </w:r>
      <w:r w:rsidR="006919F4" w:rsidRPr="00506576">
        <w:rPr>
          <w:rFonts w:ascii="Times New Roman" w:hAnsi="Times New Roman"/>
          <w:szCs w:val="22"/>
        </w:rPr>
        <w:t xml:space="preserve"> compared to other types of cases that implicate, </w:t>
      </w:r>
      <w:r w:rsidR="006A33CF" w:rsidRPr="00506576">
        <w:rPr>
          <w:rFonts w:ascii="Times New Roman" w:hAnsi="Times New Roman"/>
          <w:szCs w:val="22"/>
        </w:rPr>
        <w:t>for instance</w:t>
      </w:r>
      <w:r w:rsidR="006919F4" w:rsidRPr="00506576">
        <w:rPr>
          <w:rFonts w:ascii="Times New Roman" w:hAnsi="Times New Roman"/>
          <w:szCs w:val="22"/>
        </w:rPr>
        <w:t>, disputes associated with statutory or regulatory interpretation.</w:t>
      </w:r>
      <w:r w:rsidR="007F58D6" w:rsidRPr="00506576">
        <w:rPr>
          <w:rFonts w:ascii="Times New Roman" w:hAnsi="Times New Roman"/>
          <w:szCs w:val="22"/>
        </w:rPr>
        <w:t xml:space="preserve"> </w:t>
      </w:r>
    </w:p>
    <w:p w14:paraId="732D063A" w14:textId="03209BB0" w:rsidR="006919F4" w:rsidRPr="00506576" w:rsidRDefault="003C3A5A" w:rsidP="006919F4">
      <w:pPr>
        <w:pStyle w:val="Document"/>
        <w:rPr>
          <w:rFonts w:ascii="Times New Roman" w:hAnsi="Times New Roman"/>
          <w:szCs w:val="22"/>
        </w:rPr>
      </w:pPr>
      <w:r w:rsidRPr="00506576">
        <w:rPr>
          <w:rFonts w:ascii="Times New Roman" w:hAnsi="Times New Roman"/>
          <w:szCs w:val="22"/>
        </w:rPr>
        <w:t xml:space="preserve">The first two models </w:t>
      </w:r>
      <w:r w:rsidR="006919F4" w:rsidRPr="00506576">
        <w:rPr>
          <w:rFonts w:ascii="Times New Roman" w:hAnsi="Times New Roman"/>
          <w:szCs w:val="22"/>
        </w:rPr>
        <w:t xml:space="preserve">investigate a very simple question: Does the government have an easier or more difficult time winning corporate tax abuse cases than other types of </w:t>
      </w:r>
      <w:r w:rsidR="00DE5F74" w:rsidRPr="00506576">
        <w:rPr>
          <w:rFonts w:ascii="Times New Roman" w:hAnsi="Times New Roman"/>
          <w:szCs w:val="22"/>
        </w:rPr>
        <w:t xml:space="preserve">tax </w:t>
      </w:r>
      <w:r w:rsidR="006919F4" w:rsidRPr="00506576">
        <w:rPr>
          <w:rFonts w:ascii="Times New Roman" w:hAnsi="Times New Roman"/>
          <w:szCs w:val="22"/>
        </w:rPr>
        <w:t>cases that it litigates in the Supreme Court?</w:t>
      </w:r>
      <w:r w:rsidR="007F58D6" w:rsidRPr="00506576">
        <w:rPr>
          <w:rFonts w:ascii="Times New Roman" w:hAnsi="Times New Roman"/>
          <w:szCs w:val="22"/>
        </w:rPr>
        <w:t xml:space="preserve"> </w:t>
      </w:r>
      <w:r w:rsidR="006919F4" w:rsidRPr="00506576">
        <w:rPr>
          <w:rFonts w:ascii="Times New Roman" w:hAnsi="Times New Roman"/>
          <w:szCs w:val="22"/>
        </w:rPr>
        <w:t>The more interesting inquiry—and the point of this study—</w:t>
      </w:r>
      <w:r w:rsidR="008B7728" w:rsidRPr="00506576">
        <w:rPr>
          <w:rFonts w:ascii="Times New Roman" w:hAnsi="Times New Roman"/>
          <w:szCs w:val="22"/>
        </w:rPr>
        <w:t xml:space="preserve">addresses </w:t>
      </w:r>
      <w:r w:rsidR="006919F4" w:rsidRPr="00506576">
        <w:rPr>
          <w:rFonts w:ascii="Times New Roman" w:hAnsi="Times New Roman"/>
          <w:szCs w:val="22"/>
        </w:rPr>
        <w:t>the factors that are most likely to convince the Court to decide in favor of the g</w:t>
      </w:r>
      <w:r w:rsidR="006A33CF" w:rsidRPr="00506576">
        <w:rPr>
          <w:rFonts w:ascii="Times New Roman" w:hAnsi="Times New Roman"/>
          <w:szCs w:val="22"/>
        </w:rPr>
        <w:t>overnment when abuse is alleged.</w:t>
      </w:r>
      <w:r w:rsidR="007F58D6" w:rsidRPr="00506576">
        <w:rPr>
          <w:rFonts w:ascii="Times New Roman" w:hAnsi="Times New Roman"/>
          <w:szCs w:val="22"/>
        </w:rPr>
        <w:t xml:space="preserve"> </w:t>
      </w:r>
      <w:r w:rsidR="006919F4" w:rsidRPr="00506576">
        <w:rPr>
          <w:rFonts w:ascii="Times New Roman" w:hAnsi="Times New Roman"/>
          <w:szCs w:val="22"/>
        </w:rPr>
        <w:t>After all, we expect the government to have a more difficult time winning abuse cases</w:t>
      </w:r>
      <w:r w:rsidR="006A33CF" w:rsidRPr="00506576">
        <w:rPr>
          <w:rFonts w:ascii="Times New Roman" w:hAnsi="Times New Roman"/>
          <w:szCs w:val="22"/>
        </w:rPr>
        <w:t>,</w:t>
      </w:r>
      <w:r w:rsidR="006919F4" w:rsidRPr="00506576">
        <w:rPr>
          <w:rFonts w:ascii="Times New Roman" w:hAnsi="Times New Roman"/>
          <w:szCs w:val="22"/>
        </w:rPr>
        <w:t xml:space="preserve"> but we know it does </w:t>
      </w:r>
      <w:r w:rsidR="006A33CF" w:rsidRPr="00506576">
        <w:rPr>
          <w:rFonts w:ascii="Times New Roman" w:hAnsi="Times New Roman"/>
          <w:szCs w:val="22"/>
        </w:rPr>
        <w:t>win sometimes</w:t>
      </w:r>
      <w:r w:rsidR="006919F4" w:rsidRPr="00506576">
        <w:rPr>
          <w:rFonts w:ascii="Times New Roman" w:hAnsi="Times New Roman"/>
          <w:szCs w:val="22"/>
        </w:rPr>
        <w:t>.</w:t>
      </w:r>
      <w:r w:rsidR="007F58D6" w:rsidRPr="00506576">
        <w:rPr>
          <w:rFonts w:ascii="Times New Roman" w:hAnsi="Times New Roman"/>
          <w:szCs w:val="22"/>
        </w:rPr>
        <w:t xml:space="preserve"> </w:t>
      </w:r>
    </w:p>
    <w:p w14:paraId="2154CF77" w14:textId="4D095224" w:rsidR="006919F4" w:rsidRPr="00506576" w:rsidRDefault="006919F4" w:rsidP="006919F4">
      <w:pPr>
        <w:pStyle w:val="Document"/>
        <w:rPr>
          <w:rFonts w:ascii="Times New Roman" w:hAnsi="Times New Roman"/>
          <w:szCs w:val="22"/>
        </w:rPr>
      </w:pPr>
      <w:r w:rsidRPr="00506576">
        <w:rPr>
          <w:rFonts w:ascii="Times New Roman" w:hAnsi="Times New Roman"/>
          <w:szCs w:val="22"/>
        </w:rPr>
        <w:t xml:space="preserve">For purposes of answering </w:t>
      </w:r>
      <w:r w:rsidR="00835DD4" w:rsidRPr="00506576">
        <w:rPr>
          <w:rFonts w:ascii="Times New Roman" w:hAnsi="Times New Roman"/>
          <w:szCs w:val="22"/>
        </w:rPr>
        <w:t>this</w:t>
      </w:r>
      <w:r w:rsidRPr="00506576">
        <w:rPr>
          <w:rFonts w:ascii="Times New Roman" w:hAnsi="Times New Roman"/>
          <w:szCs w:val="22"/>
        </w:rPr>
        <w:t xml:space="preserve"> </w:t>
      </w:r>
      <w:r w:rsidR="008B7728" w:rsidRPr="00506576">
        <w:rPr>
          <w:rFonts w:ascii="Times New Roman" w:hAnsi="Times New Roman"/>
          <w:szCs w:val="22"/>
        </w:rPr>
        <w:t xml:space="preserve">final </w:t>
      </w:r>
      <w:r w:rsidRPr="00506576">
        <w:rPr>
          <w:rFonts w:ascii="Times New Roman" w:hAnsi="Times New Roman"/>
          <w:szCs w:val="22"/>
        </w:rPr>
        <w:t>empirical question, we found that when government lawyers seek to convince the Court to invoke a</w:t>
      </w:r>
      <w:r w:rsidR="00100A3C" w:rsidRPr="00506576">
        <w:rPr>
          <w:rFonts w:ascii="Times New Roman" w:hAnsi="Times New Roman"/>
          <w:szCs w:val="22"/>
        </w:rPr>
        <w:t>n</w:t>
      </w:r>
      <w:r w:rsidRPr="00506576">
        <w:rPr>
          <w:rFonts w:ascii="Times New Roman" w:hAnsi="Times New Roman"/>
          <w:szCs w:val="22"/>
        </w:rPr>
        <w:t xml:space="preserve"> anti-abuse doctrine, they routinely point to a small collection of very specific facts and circumstances. Three of the factors are tied to the nature of the transaction itself and two are linked to the position taken by the corporation on its tax return filed with the IRS.</w:t>
      </w:r>
      <w:r w:rsidR="007F58D6" w:rsidRPr="00506576">
        <w:rPr>
          <w:rFonts w:ascii="Times New Roman" w:hAnsi="Times New Roman"/>
          <w:szCs w:val="22"/>
        </w:rPr>
        <w:t xml:space="preserve"> </w:t>
      </w:r>
      <w:r w:rsidRPr="00506576">
        <w:rPr>
          <w:rFonts w:ascii="Times New Roman" w:hAnsi="Times New Roman"/>
          <w:szCs w:val="22"/>
        </w:rPr>
        <w:t xml:space="preserve">These five </w:t>
      </w:r>
      <w:r w:rsidR="00055438" w:rsidRPr="00506576">
        <w:rPr>
          <w:rFonts w:ascii="Times New Roman" w:hAnsi="Times New Roman"/>
          <w:szCs w:val="22"/>
        </w:rPr>
        <w:t>factors are</w:t>
      </w:r>
      <w:r w:rsidRPr="00506576">
        <w:rPr>
          <w:rFonts w:ascii="Times New Roman" w:hAnsi="Times New Roman"/>
          <w:szCs w:val="22"/>
        </w:rPr>
        <w:t xml:space="preserve">: </w:t>
      </w:r>
      <w:r w:rsidR="00055438" w:rsidRPr="00506576">
        <w:rPr>
          <w:rFonts w:ascii="Times New Roman" w:hAnsi="Times New Roman"/>
          <w:szCs w:val="22"/>
        </w:rPr>
        <w:t>(</w:t>
      </w:r>
      <w:r w:rsidRPr="00506576">
        <w:rPr>
          <w:rFonts w:ascii="Times New Roman" w:hAnsi="Times New Roman"/>
          <w:szCs w:val="22"/>
        </w:rPr>
        <w:t xml:space="preserve">1) the presence of third parties in the transaction; </w:t>
      </w:r>
      <w:r w:rsidR="00055438" w:rsidRPr="00506576">
        <w:rPr>
          <w:rFonts w:ascii="Times New Roman" w:hAnsi="Times New Roman"/>
          <w:szCs w:val="22"/>
        </w:rPr>
        <w:t>(</w:t>
      </w:r>
      <w:r w:rsidR="00EF3FA2" w:rsidRPr="00506576">
        <w:rPr>
          <w:rFonts w:ascii="Times New Roman" w:hAnsi="Times New Roman"/>
          <w:szCs w:val="22"/>
        </w:rPr>
        <w:t>2) multi</w:t>
      </w:r>
      <w:r w:rsidRPr="00506576">
        <w:rPr>
          <w:rFonts w:ascii="Times New Roman" w:hAnsi="Times New Roman"/>
          <w:szCs w:val="22"/>
        </w:rPr>
        <w:t xml:space="preserve">step transactions; </w:t>
      </w:r>
      <w:r w:rsidR="00055438" w:rsidRPr="00506576">
        <w:rPr>
          <w:rFonts w:ascii="Times New Roman" w:hAnsi="Times New Roman"/>
          <w:szCs w:val="22"/>
        </w:rPr>
        <w:t>(</w:t>
      </w:r>
      <w:r w:rsidRPr="00506576">
        <w:rPr>
          <w:rFonts w:ascii="Times New Roman" w:hAnsi="Times New Roman"/>
          <w:szCs w:val="22"/>
        </w:rPr>
        <w:t xml:space="preserve">3) the lack of a business purpose other than tax avoidance; </w:t>
      </w:r>
      <w:r w:rsidR="00055438" w:rsidRPr="00506576">
        <w:rPr>
          <w:rFonts w:ascii="Times New Roman" w:hAnsi="Times New Roman"/>
          <w:szCs w:val="22"/>
        </w:rPr>
        <w:t>(</w:t>
      </w:r>
      <w:r w:rsidRPr="00506576">
        <w:rPr>
          <w:rFonts w:ascii="Times New Roman" w:hAnsi="Times New Roman"/>
          <w:szCs w:val="22"/>
        </w:rPr>
        <w:t xml:space="preserve">4) accounting irregularities, such as book-tax differences; and </w:t>
      </w:r>
      <w:r w:rsidR="00055438" w:rsidRPr="00506576">
        <w:rPr>
          <w:rFonts w:ascii="Times New Roman" w:hAnsi="Times New Roman"/>
          <w:szCs w:val="22"/>
        </w:rPr>
        <w:t>(</w:t>
      </w:r>
      <w:r w:rsidRPr="00506576">
        <w:rPr>
          <w:rFonts w:ascii="Times New Roman" w:hAnsi="Times New Roman"/>
          <w:szCs w:val="22"/>
        </w:rPr>
        <w:t>5) a claim for a tax refund on the initial return. Table 1 below</w:t>
      </w:r>
      <w:r w:rsidR="003650F2" w:rsidRPr="00506576">
        <w:rPr>
          <w:rFonts w:ascii="Times New Roman" w:hAnsi="Times New Roman"/>
          <w:szCs w:val="22"/>
        </w:rPr>
        <w:t xml:space="preserve"> presents the frequency of these allegations in </w:t>
      </w:r>
      <w:r w:rsidR="003650F2" w:rsidRPr="00506576">
        <w:rPr>
          <w:rFonts w:ascii="Times New Roman" w:hAnsi="Times New Roman"/>
          <w:szCs w:val="22"/>
        </w:rPr>
        <w:lastRenderedPageBreak/>
        <w:t>government briefs</w:t>
      </w:r>
      <w:r w:rsidRPr="00506576">
        <w:rPr>
          <w:rFonts w:ascii="Times New Roman" w:hAnsi="Times New Roman"/>
          <w:szCs w:val="22"/>
        </w:rPr>
        <w:t>.</w:t>
      </w:r>
      <w:r w:rsidR="007F58D6" w:rsidRPr="00506576">
        <w:rPr>
          <w:rFonts w:ascii="Times New Roman" w:hAnsi="Times New Roman"/>
          <w:szCs w:val="22"/>
        </w:rPr>
        <w:t xml:space="preserve"> </w:t>
      </w:r>
    </w:p>
    <w:p w14:paraId="4DA7CD64" w14:textId="77777777" w:rsidR="00DA7C18" w:rsidRPr="00506576" w:rsidRDefault="00DA7C18" w:rsidP="001C7185">
      <w:pPr>
        <w:pStyle w:val="Document"/>
        <w:ind w:firstLine="0"/>
        <w:jc w:val="center"/>
        <w:rPr>
          <w:rFonts w:ascii="Times New Roman" w:hAnsi="Times New Roman"/>
          <w:smallCaps/>
          <w:szCs w:val="22"/>
        </w:rPr>
      </w:pPr>
    </w:p>
    <w:p w14:paraId="397F41E8" w14:textId="77777777" w:rsidR="006919F4" w:rsidRPr="00506576" w:rsidRDefault="006919F4" w:rsidP="001C7185">
      <w:pPr>
        <w:pStyle w:val="Document"/>
        <w:ind w:firstLine="0"/>
        <w:jc w:val="center"/>
        <w:rPr>
          <w:rFonts w:ascii="Times New Roman" w:hAnsi="Times New Roman"/>
          <w:szCs w:val="22"/>
        </w:rPr>
      </w:pPr>
      <w:r w:rsidRPr="00506576">
        <w:rPr>
          <w:rFonts w:ascii="Times New Roman" w:hAnsi="Times New Roman"/>
          <w:smallCaps/>
          <w:szCs w:val="22"/>
        </w:rPr>
        <w:t>Table 1</w:t>
      </w:r>
    </w:p>
    <w:p w14:paraId="62102D2F" w14:textId="4779A0F3" w:rsidR="006919F4" w:rsidRPr="00F14A86" w:rsidRDefault="00F14A86" w:rsidP="00D57B7A">
      <w:pPr>
        <w:pStyle w:val="Document"/>
        <w:ind w:firstLine="0"/>
        <w:jc w:val="center"/>
        <w:rPr>
          <w:rFonts w:ascii="Times New Roman" w:hAnsi="Times New Roman"/>
          <w:szCs w:val="22"/>
        </w:rPr>
      </w:pPr>
      <w:r>
        <w:rPr>
          <w:rFonts w:ascii="Times New Roman" w:hAnsi="Times New Roman"/>
          <w:szCs w:val="22"/>
        </w:rPr>
        <w:t>Indicia of corporate tax abuse</w:t>
      </w:r>
    </w:p>
    <w:p w14:paraId="21A23DFE" w14:textId="77777777" w:rsidR="006919F4" w:rsidRPr="006919F4" w:rsidRDefault="006919F4" w:rsidP="006919F4">
      <w:pPr>
        <w:pStyle w:val="Document"/>
      </w:pPr>
    </w:p>
    <w:tbl>
      <w:tblPr>
        <w:tblW w:w="0" w:type="auto"/>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1879"/>
      </w:tblGrid>
      <w:tr w:rsidR="006919F4" w:rsidRPr="0032240C" w14:paraId="6D79618B" w14:textId="77777777" w:rsidTr="00855A5E">
        <w:trPr>
          <w:jc w:val="center"/>
        </w:trPr>
        <w:tc>
          <w:tcPr>
            <w:tcW w:w="2718" w:type="dxa"/>
            <w:tcBorders>
              <w:top w:val="single" w:sz="4" w:space="0" w:color="auto"/>
              <w:left w:val="single" w:sz="4" w:space="0" w:color="auto"/>
            </w:tcBorders>
          </w:tcPr>
          <w:p w14:paraId="6830EB8C" w14:textId="77777777" w:rsidR="006919F4" w:rsidRPr="00B75219" w:rsidRDefault="006919F4" w:rsidP="00B75219">
            <w:pPr>
              <w:pStyle w:val="Document"/>
              <w:spacing w:line="200" w:lineRule="exact"/>
              <w:ind w:firstLine="0"/>
              <w:jc w:val="left"/>
              <w:rPr>
                <w:rFonts w:eastAsia="Calibri"/>
                <w:i/>
                <w:sz w:val="14"/>
                <w:szCs w:val="14"/>
              </w:rPr>
            </w:pPr>
            <w:r w:rsidRPr="00B75219">
              <w:rPr>
                <w:rFonts w:eastAsia="Calibri"/>
                <w:i/>
                <w:sz w:val="14"/>
                <w:szCs w:val="14"/>
              </w:rPr>
              <w:t xml:space="preserve">Indicia of </w:t>
            </w:r>
            <w:r w:rsidRPr="00B75219">
              <w:rPr>
                <w:rFonts w:eastAsia="Calibri"/>
                <w:i/>
                <w:sz w:val="14"/>
                <w:szCs w:val="14"/>
              </w:rPr>
              <w:br/>
              <w:t>Corporate Tax Abuse</w:t>
            </w:r>
          </w:p>
          <w:p w14:paraId="37C9557E" w14:textId="77777777" w:rsidR="006919F4" w:rsidRPr="00B75219" w:rsidRDefault="006919F4" w:rsidP="00B75219">
            <w:pPr>
              <w:pStyle w:val="Document"/>
              <w:spacing w:line="200" w:lineRule="exact"/>
              <w:ind w:firstLine="0"/>
              <w:jc w:val="left"/>
              <w:rPr>
                <w:rFonts w:eastAsia="Calibri"/>
                <w:i/>
                <w:sz w:val="14"/>
                <w:szCs w:val="14"/>
              </w:rPr>
            </w:pPr>
          </w:p>
        </w:tc>
        <w:tc>
          <w:tcPr>
            <w:tcW w:w="1879" w:type="dxa"/>
            <w:tcBorders>
              <w:top w:val="single" w:sz="4" w:space="0" w:color="auto"/>
              <w:right w:val="single" w:sz="4" w:space="0" w:color="auto"/>
            </w:tcBorders>
          </w:tcPr>
          <w:p w14:paraId="41E19160" w14:textId="77777777" w:rsidR="006919F4" w:rsidRPr="00B75219" w:rsidRDefault="006919F4" w:rsidP="009B0B60">
            <w:pPr>
              <w:pStyle w:val="Document"/>
              <w:spacing w:line="200" w:lineRule="exact"/>
              <w:ind w:firstLine="0"/>
              <w:jc w:val="center"/>
              <w:rPr>
                <w:rFonts w:eastAsia="Calibri"/>
                <w:i/>
                <w:sz w:val="14"/>
                <w:szCs w:val="14"/>
              </w:rPr>
            </w:pPr>
            <w:r w:rsidRPr="00B75219">
              <w:rPr>
                <w:rFonts w:eastAsia="Calibri"/>
                <w:i/>
                <w:sz w:val="14"/>
                <w:szCs w:val="14"/>
              </w:rPr>
              <w:t>Number of</w:t>
            </w:r>
          </w:p>
          <w:p w14:paraId="0592D81C" w14:textId="77777777" w:rsidR="006919F4" w:rsidRPr="00B75219" w:rsidRDefault="006919F4" w:rsidP="009B0B60">
            <w:pPr>
              <w:pStyle w:val="Document"/>
              <w:spacing w:line="200" w:lineRule="exact"/>
              <w:ind w:firstLine="0"/>
              <w:jc w:val="center"/>
              <w:rPr>
                <w:rFonts w:eastAsia="Calibri"/>
                <w:i/>
                <w:sz w:val="14"/>
                <w:szCs w:val="14"/>
              </w:rPr>
            </w:pPr>
            <w:r w:rsidRPr="00B75219">
              <w:rPr>
                <w:rFonts w:eastAsia="Calibri"/>
                <w:i/>
                <w:sz w:val="14"/>
                <w:szCs w:val="14"/>
              </w:rPr>
              <w:t>Government’s Briefs</w:t>
            </w:r>
            <w:r w:rsidR="0041666D" w:rsidRPr="00B75219">
              <w:rPr>
                <w:rFonts w:eastAsia="Calibri"/>
                <w:i/>
                <w:sz w:val="14"/>
                <w:szCs w:val="14"/>
              </w:rPr>
              <w:t xml:space="preserve"> Which Raised Allegation</w:t>
            </w:r>
          </w:p>
        </w:tc>
      </w:tr>
      <w:tr w:rsidR="006919F4" w:rsidRPr="0032240C" w14:paraId="6E0DCA20" w14:textId="77777777" w:rsidTr="00855A5E">
        <w:trPr>
          <w:jc w:val="center"/>
        </w:trPr>
        <w:tc>
          <w:tcPr>
            <w:tcW w:w="2718" w:type="dxa"/>
            <w:tcBorders>
              <w:top w:val="nil"/>
              <w:left w:val="single" w:sz="4" w:space="0" w:color="auto"/>
              <w:bottom w:val="nil"/>
              <w:right w:val="single" w:sz="4" w:space="0" w:color="auto"/>
            </w:tcBorders>
          </w:tcPr>
          <w:p w14:paraId="649FF440" w14:textId="77777777" w:rsidR="006919F4" w:rsidRPr="00B75219" w:rsidRDefault="006919F4" w:rsidP="00B75219">
            <w:pPr>
              <w:pStyle w:val="Document"/>
              <w:spacing w:line="200" w:lineRule="exact"/>
              <w:ind w:firstLine="0"/>
              <w:jc w:val="left"/>
              <w:rPr>
                <w:rFonts w:eastAsia="Calibri"/>
                <w:sz w:val="14"/>
                <w:szCs w:val="14"/>
              </w:rPr>
            </w:pPr>
            <w:r w:rsidRPr="00B75219">
              <w:rPr>
                <w:rFonts w:eastAsia="Calibri"/>
                <w:sz w:val="14"/>
                <w:szCs w:val="14"/>
              </w:rPr>
              <w:t xml:space="preserve">(1) Third Party </w:t>
            </w:r>
          </w:p>
        </w:tc>
        <w:tc>
          <w:tcPr>
            <w:tcW w:w="1879" w:type="dxa"/>
            <w:tcBorders>
              <w:top w:val="nil"/>
              <w:left w:val="single" w:sz="4" w:space="0" w:color="auto"/>
              <w:bottom w:val="nil"/>
              <w:right w:val="single" w:sz="4" w:space="0" w:color="auto"/>
            </w:tcBorders>
          </w:tcPr>
          <w:p w14:paraId="676A24AC" w14:textId="77777777" w:rsidR="006919F4" w:rsidRPr="00B75219" w:rsidRDefault="006919F4" w:rsidP="009B0B60">
            <w:pPr>
              <w:pStyle w:val="Document"/>
              <w:spacing w:line="200" w:lineRule="exact"/>
              <w:ind w:firstLine="0"/>
              <w:jc w:val="center"/>
              <w:rPr>
                <w:rFonts w:eastAsia="Calibri"/>
                <w:sz w:val="14"/>
                <w:szCs w:val="14"/>
              </w:rPr>
            </w:pPr>
            <w:r w:rsidRPr="00B75219">
              <w:rPr>
                <w:rFonts w:eastAsia="Calibri"/>
                <w:sz w:val="14"/>
                <w:szCs w:val="14"/>
              </w:rPr>
              <w:t>65 (47</w:t>
            </w:r>
            <w:r w:rsidR="008C65E4">
              <w:rPr>
                <w:rFonts w:eastAsia="Calibri"/>
                <w:sz w:val="14"/>
                <w:szCs w:val="14"/>
              </w:rPr>
              <w:t>%</w:t>
            </w:r>
            <w:r w:rsidRPr="00B75219">
              <w:rPr>
                <w:rFonts w:eastAsia="Calibri"/>
                <w:sz w:val="14"/>
                <w:szCs w:val="14"/>
              </w:rPr>
              <w:t>)</w:t>
            </w:r>
          </w:p>
        </w:tc>
      </w:tr>
      <w:tr w:rsidR="006919F4" w:rsidRPr="0032240C" w14:paraId="757DA418" w14:textId="77777777" w:rsidTr="00855A5E">
        <w:trPr>
          <w:jc w:val="center"/>
        </w:trPr>
        <w:tc>
          <w:tcPr>
            <w:tcW w:w="2718" w:type="dxa"/>
            <w:tcBorders>
              <w:top w:val="nil"/>
              <w:left w:val="single" w:sz="4" w:space="0" w:color="auto"/>
              <w:bottom w:val="nil"/>
              <w:right w:val="single" w:sz="4" w:space="0" w:color="auto"/>
            </w:tcBorders>
          </w:tcPr>
          <w:p w14:paraId="22102031" w14:textId="77777777" w:rsidR="006919F4" w:rsidRPr="00B75219" w:rsidRDefault="00EF3FA2" w:rsidP="00B75219">
            <w:pPr>
              <w:pStyle w:val="Document"/>
              <w:spacing w:line="200" w:lineRule="exact"/>
              <w:ind w:firstLine="0"/>
              <w:jc w:val="left"/>
              <w:rPr>
                <w:rFonts w:eastAsia="Calibri"/>
                <w:sz w:val="14"/>
                <w:szCs w:val="14"/>
              </w:rPr>
            </w:pPr>
            <w:r w:rsidRPr="00B75219">
              <w:rPr>
                <w:rFonts w:eastAsia="Calibri"/>
                <w:sz w:val="14"/>
                <w:szCs w:val="14"/>
              </w:rPr>
              <w:t>(2) Multis</w:t>
            </w:r>
            <w:r w:rsidR="006919F4" w:rsidRPr="00B75219">
              <w:rPr>
                <w:rFonts w:eastAsia="Calibri"/>
                <w:sz w:val="14"/>
                <w:szCs w:val="14"/>
              </w:rPr>
              <w:t>tep Transaction</w:t>
            </w:r>
          </w:p>
        </w:tc>
        <w:tc>
          <w:tcPr>
            <w:tcW w:w="1879" w:type="dxa"/>
            <w:tcBorders>
              <w:top w:val="nil"/>
              <w:left w:val="single" w:sz="4" w:space="0" w:color="auto"/>
              <w:bottom w:val="nil"/>
              <w:right w:val="single" w:sz="4" w:space="0" w:color="auto"/>
            </w:tcBorders>
          </w:tcPr>
          <w:p w14:paraId="5FAFC74C" w14:textId="77777777" w:rsidR="006919F4" w:rsidRPr="00B75219" w:rsidRDefault="006919F4" w:rsidP="009B0B60">
            <w:pPr>
              <w:pStyle w:val="Document"/>
              <w:spacing w:line="200" w:lineRule="exact"/>
              <w:ind w:firstLine="0"/>
              <w:jc w:val="center"/>
              <w:rPr>
                <w:rFonts w:eastAsia="Calibri"/>
                <w:sz w:val="14"/>
                <w:szCs w:val="14"/>
              </w:rPr>
            </w:pPr>
            <w:r w:rsidRPr="00B75219">
              <w:rPr>
                <w:rFonts w:eastAsia="Calibri"/>
                <w:sz w:val="14"/>
                <w:szCs w:val="14"/>
              </w:rPr>
              <w:t>50 (36</w:t>
            </w:r>
            <w:r w:rsidR="008C65E4">
              <w:rPr>
                <w:rFonts w:eastAsia="Calibri"/>
                <w:sz w:val="14"/>
                <w:szCs w:val="14"/>
              </w:rPr>
              <w:t>%</w:t>
            </w:r>
            <w:r w:rsidRPr="00B75219">
              <w:rPr>
                <w:rFonts w:eastAsia="Calibri"/>
                <w:sz w:val="14"/>
                <w:szCs w:val="14"/>
              </w:rPr>
              <w:t>)</w:t>
            </w:r>
          </w:p>
        </w:tc>
      </w:tr>
      <w:tr w:rsidR="006919F4" w:rsidRPr="0032240C" w14:paraId="5006389D" w14:textId="77777777" w:rsidTr="00855A5E">
        <w:trPr>
          <w:jc w:val="center"/>
        </w:trPr>
        <w:tc>
          <w:tcPr>
            <w:tcW w:w="2718" w:type="dxa"/>
            <w:tcBorders>
              <w:top w:val="nil"/>
              <w:left w:val="single" w:sz="4" w:space="0" w:color="auto"/>
              <w:bottom w:val="nil"/>
              <w:right w:val="single" w:sz="4" w:space="0" w:color="auto"/>
            </w:tcBorders>
          </w:tcPr>
          <w:p w14:paraId="700D25BA" w14:textId="77777777" w:rsidR="006919F4" w:rsidRPr="00B75219" w:rsidRDefault="006919F4" w:rsidP="00B75219">
            <w:pPr>
              <w:pStyle w:val="Document"/>
              <w:spacing w:line="200" w:lineRule="exact"/>
              <w:ind w:firstLine="0"/>
              <w:jc w:val="left"/>
              <w:rPr>
                <w:rFonts w:eastAsia="Calibri"/>
                <w:sz w:val="14"/>
                <w:szCs w:val="14"/>
              </w:rPr>
            </w:pPr>
            <w:r w:rsidRPr="00B75219">
              <w:rPr>
                <w:rFonts w:eastAsia="Calibri"/>
                <w:sz w:val="14"/>
                <w:szCs w:val="14"/>
              </w:rPr>
              <w:t>(3) Lack of Business Purpose</w:t>
            </w:r>
          </w:p>
        </w:tc>
        <w:tc>
          <w:tcPr>
            <w:tcW w:w="1879" w:type="dxa"/>
            <w:tcBorders>
              <w:top w:val="nil"/>
              <w:left w:val="single" w:sz="4" w:space="0" w:color="auto"/>
              <w:bottom w:val="nil"/>
              <w:right w:val="single" w:sz="4" w:space="0" w:color="auto"/>
            </w:tcBorders>
          </w:tcPr>
          <w:p w14:paraId="436D37E6" w14:textId="77777777" w:rsidR="006919F4" w:rsidRPr="00B75219" w:rsidRDefault="006919F4" w:rsidP="009B0B60">
            <w:pPr>
              <w:pStyle w:val="Document"/>
              <w:spacing w:line="200" w:lineRule="exact"/>
              <w:ind w:firstLine="0"/>
              <w:jc w:val="center"/>
              <w:rPr>
                <w:rFonts w:eastAsia="Calibri"/>
                <w:sz w:val="14"/>
                <w:szCs w:val="14"/>
              </w:rPr>
            </w:pPr>
            <w:r w:rsidRPr="00B75219">
              <w:rPr>
                <w:rFonts w:eastAsia="Calibri"/>
                <w:sz w:val="14"/>
                <w:szCs w:val="14"/>
              </w:rPr>
              <w:t>34 (24</w:t>
            </w:r>
            <w:r w:rsidR="008C65E4">
              <w:rPr>
                <w:rFonts w:eastAsia="Calibri"/>
                <w:sz w:val="14"/>
                <w:szCs w:val="14"/>
              </w:rPr>
              <w:t>%</w:t>
            </w:r>
            <w:r w:rsidRPr="00B75219">
              <w:rPr>
                <w:rFonts w:eastAsia="Calibri"/>
                <w:sz w:val="14"/>
                <w:szCs w:val="14"/>
              </w:rPr>
              <w:t>)</w:t>
            </w:r>
          </w:p>
        </w:tc>
      </w:tr>
      <w:tr w:rsidR="006919F4" w:rsidRPr="0032240C" w14:paraId="1E87EC0B" w14:textId="77777777" w:rsidTr="000353DB">
        <w:trPr>
          <w:jc w:val="center"/>
        </w:trPr>
        <w:tc>
          <w:tcPr>
            <w:tcW w:w="2718" w:type="dxa"/>
            <w:tcBorders>
              <w:top w:val="nil"/>
              <w:left w:val="single" w:sz="4" w:space="0" w:color="auto"/>
              <w:bottom w:val="nil"/>
              <w:right w:val="single" w:sz="4" w:space="0" w:color="auto"/>
            </w:tcBorders>
          </w:tcPr>
          <w:p w14:paraId="19B6B282" w14:textId="77777777" w:rsidR="006919F4" w:rsidRPr="00B75219" w:rsidRDefault="006919F4" w:rsidP="00B75219">
            <w:pPr>
              <w:pStyle w:val="Document"/>
              <w:spacing w:line="200" w:lineRule="exact"/>
              <w:ind w:firstLine="0"/>
              <w:jc w:val="left"/>
              <w:rPr>
                <w:rFonts w:eastAsia="Calibri"/>
                <w:sz w:val="14"/>
                <w:szCs w:val="14"/>
              </w:rPr>
            </w:pPr>
            <w:r w:rsidRPr="00B75219">
              <w:rPr>
                <w:rFonts w:eastAsia="Calibri"/>
                <w:sz w:val="14"/>
                <w:szCs w:val="14"/>
              </w:rPr>
              <w:t>(4) Accounting Irregularity</w:t>
            </w:r>
          </w:p>
        </w:tc>
        <w:tc>
          <w:tcPr>
            <w:tcW w:w="1879" w:type="dxa"/>
            <w:tcBorders>
              <w:top w:val="nil"/>
              <w:left w:val="single" w:sz="4" w:space="0" w:color="auto"/>
              <w:bottom w:val="nil"/>
              <w:right w:val="single" w:sz="4" w:space="0" w:color="auto"/>
            </w:tcBorders>
          </w:tcPr>
          <w:p w14:paraId="10EAE60B" w14:textId="77777777" w:rsidR="006919F4" w:rsidRPr="00B75219" w:rsidRDefault="006919F4" w:rsidP="009B0B60">
            <w:pPr>
              <w:pStyle w:val="Document"/>
              <w:spacing w:line="200" w:lineRule="exact"/>
              <w:ind w:firstLine="0"/>
              <w:jc w:val="center"/>
              <w:rPr>
                <w:rFonts w:eastAsia="Calibri"/>
                <w:sz w:val="14"/>
                <w:szCs w:val="14"/>
              </w:rPr>
            </w:pPr>
            <w:r w:rsidRPr="00B75219">
              <w:rPr>
                <w:rFonts w:eastAsia="Calibri"/>
                <w:sz w:val="14"/>
                <w:szCs w:val="14"/>
              </w:rPr>
              <w:t>39 (28</w:t>
            </w:r>
            <w:r w:rsidR="008C65E4">
              <w:rPr>
                <w:rFonts w:eastAsia="Calibri"/>
                <w:sz w:val="14"/>
                <w:szCs w:val="14"/>
              </w:rPr>
              <w:t>%</w:t>
            </w:r>
            <w:r w:rsidRPr="00B75219">
              <w:rPr>
                <w:rFonts w:eastAsia="Calibri"/>
                <w:sz w:val="14"/>
                <w:szCs w:val="14"/>
              </w:rPr>
              <w:t>)</w:t>
            </w:r>
          </w:p>
        </w:tc>
      </w:tr>
      <w:tr w:rsidR="006919F4" w:rsidRPr="0032240C" w14:paraId="59956555" w14:textId="77777777" w:rsidTr="000353DB">
        <w:trPr>
          <w:jc w:val="center"/>
        </w:trPr>
        <w:tc>
          <w:tcPr>
            <w:tcW w:w="2718" w:type="dxa"/>
            <w:tcBorders>
              <w:top w:val="nil"/>
              <w:left w:val="single" w:sz="4" w:space="0" w:color="auto"/>
              <w:bottom w:val="single" w:sz="4" w:space="0" w:color="auto"/>
              <w:right w:val="single" w:sz="4" w:space="0" w:color="auto"/>
            </w:tcBorders>
          </w:tcPr>
          <w:p w14:paraId="5F7736BD" w14:textId="77777777" w:rsidR="00B75219" w:rsidRPr="00B75219" w:rsidRDefault="006919F4" w:rsidP="00B75219">
            <w:pPr>
              <w:pStyle w:val="Document"/>
              <w:spacing w:line="200" w:lineRule="exact"/>
              <w:ind w:firstLine="0"/>
              <w:jc w:val="left"/>
              <w:rPr>
                <w:rFonts w:eastAsia="Calibri"/>
                <w:sz w:val="14"/>
                <w:szCs w:val="14"/>
              </w:rPr>
            </w:pPr>
            <w:r w:rsidRPr="00B75219">
              <w:rPr>
                <w:rFonts w:eastAsia="Calibri"/>
                <w:sz w:val="14"/>
                <w:szCs w:val="14"/>
              </w:rPr>
              <w:t>(5) Request for Tax Refund</w:t>
            </w:r>
          </w:p>
        </w:tc>
        <w:tc>
          <w:tcPr>
            <w:tcW w:w="1879" w:type="dxa"/>
            <w:tcBorders>
              <w:top w:val="nil"/>
              <w:left w:val="single" w:sz="4" w:space="0" w:color="auto"/>
              <w:bottom w:val="single" w:sz="4" w:space="0" w:color="auto"/>
              <w:right w:val="single" w:sz="4" w:space="0" w:color="auto"/>
            </w:tcBorders>
          </w:tcPr>
          <w:p w14:paraId="7B7BDB34" w14:textId="77777777" w:rsidR="006919F4" w:rsidRPr="00B75219" w:rsidRDefault="006919F4" w:rsidP="009B0B60">
            <w:pPr>
              <w:pStyle w:val="Document"/>
              <w:spacing w:line="200" w:lineRule="exact"/>
              <w:ind w:firstLine="0"/>
              <w:jc w:val="center"/>
              <w:rPr>
                <w:rFonts w:eastAsia="Calibri"/>
                <w:sz w:val="14"/>
                <w:szCs w:val="14"/>
              </w:rPr>
            </w:pPr>
            <w:r w:rsidRPr="00B75219">
              <w:rPr>
                <w:rFonts w:eastAsia="Calibri"/>
                <w:sz w:val="14"/>
                <w:szCs w:val="14"/>
              </w:rPr>
              <w:t>19 (14</w:t>
            </w:r>
            <w:r w:rsidR="008C65E4">
              <w:rPr>
                <w:rFonts w:eastAsia="Calibri"/>
                <w:sz w:val="14"/>
                <w:szCs w:val="14"/>
              </w:rPr>
              <w:t>%</w:t>
            </w:r>
            <w:r w:rsidRPr="00B75219">
              <w:rPr>
                <w:rFonts w:eastAsia="Calibri"/>
                <w:sz w:val="14"/>
                <w:szCs w:val="14"/>
              </w:rPr>
              <w:t>)</w:t>
            </w:r>
          </w:p>
        </w:tc>
      </w:tr>
      <w:tr w:rsidR="006919F4" w:rsidRPr="0032240C" w14:paraId="03402661" w14:textId="77777777" w:rsidTr="000353DB">
        <w:trPr>
          <w:jc w:val="center"/>
        </w:trPr>
        <w:tc>
          <w:tcPr>
            <w:tcW w:w="2718" w:type="dxa"/>
            <w:tcBorders>
              <w:top w:val="single" w:sz="4" w:space="0" w:color="auto"/>
              <w:left w:val="single" w:sz="4" w:space="0" w:color="auto"/>
              <w:bottom w:val="nil"/>
              <w:right w:val="single" w:sz="4" w:space="0" w:color="auto"/>
            </w:tcBorders>
          </w:tcPr>
          <w:p w14:paraId="535D4911" w14:textId="042794BE" w:rsidR="006919F4" w:rsidRPr="00B75219" w:rsidRDefault="00D77538" w:rsidP="003C3A5A">
            <w:pPr>
              <w:pStyle w:val="Document"/>
              <w:spacing w:line="200" w:lineRule="exact"/>
              <w:ind w:firstLine="0"/>
              <w:jc w:val="left"/>
              <w:rPr>
                <w:rFonts w:eastAsia="Calibri"/>
                <w:sz w:val="14"/>
                <w:szCs w:val="14"/>
              </w:rPr>
            </w:pPr>
            <w:r w:rsidRPr="00B75219">
              <w:rPr>
                <w:rFonts w:eastAsia="Calibri"/>
                <w:sz w:val="14"/>
                <w:szCs w:val="14"/>
              </w:rPr>
              <w:t>Any I</w:t>
            </w:r>
            <w:r w:rsidR="006919F4" w:rsidRPr="00B75219">
              <w:rPr>
                <w:rFonts w:eastAsia="Calibri"/>
                <w:sz w:val="14"/>
                <w:szCs w:val="14"/>
              </w:rPr>
              <w:t>ndicia</w:t>
            </w:r>
          </w:p>
        </w:tc>
        <w:tc>
          <w:tcPr>
            <w:tcW w:w="1879" w:type="dxa"/>
            <w:tcBorders>
              <w:top w:val="single" w:sz="4" w:space="0" w:color="auto"/>
              <w:left w:val="single" w:sz="4" w:space="0" w:color="auto"/>
              <w:bottom w:val="nil"/>
              <w:right w:val="single" w:sz="4" w:space="0" w:color="auto"/>
            </w:tcBorders>
          </w:tcPr>
          <w:p w14:paraId="3CC8ED30" w14:textId="77777777" w:rsidR="006919F4" w:rsidRPr="00B75219" w:rsidRDefault="006919F4" w:rsidP="009B0B60">
            <w:pPr>
              <w:pStyle w:val="Document"/>
              <w:spacing w:line="200" w:lineRule="exact"/>
              <w:ind w:firstLine="0"/>
              <w:jc w:val="center"/>
              <w:rPr>
                <w:rFonts w:eastAsia="Calibri"/>
                <w:sz w:val="14"/>
                <w:szCs w:val="14"/>
              </w:rPr>
            </w:pPr>
            <w:r w:rsidRPr="00B75219">
              <w:rPr>
                <w:rFonts w:eastAsia="Calibri"/>
                <w:sz w:val="14"/>
                <w:szCs w:val="14"/>
              </w:rPr>
              <w:t>111 (81</w:t>
            </w:r>
            <w:r w:rsidR="008C65E4">
              <w:rPr>
                <w:rFonts w:eastAsia="Calibri"/>
                <w:sz w:val="14"/>
                <w:szCs w:val="14"/>
              </w:rPr>
              <w:t>%</w:t>
            </w:r>
            <w:r w:rsidRPr="00B75219">
              <w:rPr>
                <w:rFonts w:eastAsia="Calibri"/>
                <w:sz w:val="14"/>
                <w:szCs w:val="14"/>
              </w:rPr>
              <w:t>)</w:t>
            </w:r>
          </w:p>
        </w:tc>
      </w:tr>
      <w:tr w:rsidR="006919F4" w:rsidRPr="0032240C" w14:paraId="5343FC8C" w14:textId="77777777" w:rsidTr="00855A5E">
        <w:trPr>
          <w:jc w:val="center"/>
        </w:trPr>
        <w:tc>
          <w:tcPr>
            <w:tcW w:w="2718" w:type="dxa"/>
            <w:tcBorders>
              <w:top w:val="nil"/>
              <w:left w:val="single" w:sz="4" w:space="0" w:color="auto"/>
              <w:bottom w:val="single" w:sz="4" w:space="0" w:color="auto"/>
              <w:right w:val="single" w:sz="4" w:space="0" w:color="auto"/>
            </w:tcBorders>
          </w:tcPr>
          <w:p w14:paraId="41A60890" w14:textId="77777777" w:rsidR="00855A5E" w:rsidRPr="00B75219" w:rsidRDefault="00855A5E" w:rsidP="00B75219">
            <w:pPr>
              <w:pStyle w:val="Document"/>
              <w:spacing w:line="200" w:lineRule="exact"/>
              <w:ind w:firstLine="0"/>
              <w:jc w:val="left"/>
              <w:rPr>
                <w:rFonts w:eastAsia="Calibri"/>
                <w:sz w:val="14"/>
                <w:szCs w:val="14"/>
              </w:rPr>
            </w:pPr>
            <w:r>
              <w:rPr>
                <w:rFonts w:eastAsia="Calibri"/>
                <w:sz w:val="14"/>
                <w:szCs w:val="14"/>
              </w:rPr>
              <w:t>Total</w:t>
            </w:r>
            <w:r w:rsidR="000353DB">
              <w:rPr>
                <w:rFonts w:eastAsia="Calibri"/>
                <w:sz w:val="14"/>
                <w:szCs w:val="14"/>
              </w:rPr>
              <w:t xml:space="preserve"> Observations</w:t>
            </w:r>
          </w:p>
        </w:tc>
        <w:tc>
          <w:tcPr>
            <w:tcW w:w="1879" w:type="dxa"/>
            <w:tcBorders>
              <w:top w:val="nil"/>
              <w:left w:val="single" w:sz="4" w:space="0" w:color="auto"/>
              <w:bottom w:val="single" w:sz="4" w:space="0" w:color="auto"/>
              <w:right w:val="single" w:sz="4" w:space="0" w:color="auto"/>
            </w:tcBorders>
          </w:tcPr>
          <w:p w14:paraId="27B4844B" w14:textId="77777777" w:rsidR="00855A5E" w:rsidRPr="00B75219" w:rsidRDefault="00855A5E" w:rsidP="009B0B60">
            <w:pPr>
              <w:pStyle w:val="Document"/>
              <w:spacing w:line="200" w:lineRule="exact"/>
              <w:ind w:firstLine="0"/>
              <w:jc w:val="center"/>
              <w:rPr>
                <w:rFonts w:eastAsia="Calibri"/>
                <w:sz w:val="14"/>
                <w:szCs w:val="14"/>
              </w:rPr>
            </w:pPr>
            <w:r>
              <w:rPr>
                <w:rFonts w:eastAsia="Calibri"/>
                <w:sz w:val="14"/>
                <w:szCs w:val="14"/>
              </w:rPr>
              <w:t>137 (100%)</w:t>
            </w:r>
          </w:p>
        </w:tc>
      </w:tr>
    </w:tbl>
    <w:p w14:paraId="723C75C0" w14:textId="77777777" w:rsidR="006919F4" w:rsidRPr="006919F4" w:rsidRDefault="006919F4" w:rsidP="001C7185">
      <w:pPr>
        <w:pStyle w:val="Document"/>
      </w:pPr>
    </w:p>
    <w:p w14:paraId="147E405D" w14:textId="2651239F" w:rsidR="006919F4" w:rsidRPr="00506576" w:rsidRDefault="006919F4" w:rsidP="003C3A5A">
      <w:pPr>
        <w:pStyle w:val="Document"/>
        <w:ind w:firstLine="0"/>
        <w:rPr>
          <w:rFonts w:ascii="Times New Roman" w:hAnsi="Times New Roman"/>
        </w:rPr>
      </w:pPr>
      <w:r w:rsidRPr="00506576">
        <w:rPr>
          <w:rFonts w:ascii="Times New Roman" w:hAnsi="Times New Roman"/>
        </w:rPr>
        <w:t>In addition to the facts and circumstances alleged in the briefs, scholars have argued that the government is less likely to prevail after 1986</w:t>
      </w:r>
      <w:r w:rsidR="003C3A5A" w:rsidRPr="00506576">
        <w:rPr>
          <w:rFonts w:ascii="Times New Roman" w:hAnsi="Times New Roman"/>
        </w:rPr>
        <w:t xml:space="preserve"> given </w:t>
      </w:r>
      <w:r w:rsidRPr="00506576">
        <w:rPr>
          <w:rFonts w:ascii="Times New Roman" w:hAnsi="Times New Roman"/>
        </w:rPr>
        <w:t>Justice Scalia’s ascension to the Supreme Court in 1986 and the attendant rise in the plain meaning approach to statutory interpretation.</w:t>
      </w:r>
      <w:r w:rsidR="007F58D6" w:rsidRPr="00506576">
        <w:rPr>
          <w:rFonts w:ascii="Times New Roman" w:hAnsi="Times New Roman"/>
        </w:rPr>
        <w:t xml:space="preserve"> </w:t>
      </w:r>
    </w:p>
    <w:p w14:paraId="3F2EEA8C" w14:textId="02866CBA" w:rsidR="006919F4" w:rsidRPr="00506576" w:rsidRDefault="006919F4" w:rsidP="002006E8">
      <w:pPr>
        <w:pStyle w:val="Document"/>
        <w:rPr>
          <w:rFonts w:ascii="Times New Roman" w:hAnsi="Times New Roman"/>
          <w:b/>
        </w:rPr>
      </w:pPr>
      <w:r w:rsidRPr="00506576">
        <w:rPr>
          <w:rFonts w:ascii="Times New Roman" w:hAnsi="Times New Roman"/>
        </w:rPr>
        <w:t xml:space="preserve">To identify </w:t>
      </w:r>
      <w:r w:rsidR="002006E8" w:rsidRPr="00506576">
        <w:rPr>
          <w:rFonts w:ascii="Times New Roman" w:hAnsi="Times New Roman"/>
        </w:rPr>
        <w:t>the effects of</w:t>
      </w:r>
      <w:r w:rsidR="00D004D4" w:rsidRPr="00506576">
        <w:rPr>
          <w:rFonts w:ascii="Times New Roman" w:hAnsi="Times New Roman"/>
        </w:rPr>
        <w:t xml:space="preserve"> all these factors</w:t>
      </w:r>
      <w:r w:rsidR="002006E8" w:rsidRPr="00506576">
        <w:rPr>
          <w:rFonts w:ascii="Times New Roman" w:hAnsi="Times New Roman"/>
        </w:rPr>
        <w:t>, we</w:t>
      </w:r>
      <w:r w:rsidR="00D004D4" w:rsidRPr="00506576">
        <w:rPr>
          <w:rFonts w:ascii="Times New Roman" w:hAnsi="Times New Roman"/>
        </w:rPr>
        <w:t xml:space="preserve"> created a </w:t>
      </w:r>
      <w:r w:rsidR="00DD0F22" w:rsidRPr="00506576">
        <w:rPr>
          <w:rFonts w:ascii="Times New Roman" w:hAnsi="Times New Roman"/>
        </w:rPr>
        <w:t xml:space="preserve">third </w:t>
      </w:r>
      <w:r w:rsidR="00D004D4" w:rsidRPr="00506576">
        <w:rPr>
          <w:rFonts w:ascii="Times New Roman" w:hAnsi="Times New Roman"/>
        </w:rPr>
        <w:t xml:space="preserve">model </w:t>
      </w:r>
      <w:r w:rsidR="00E21855">
        <w:rPr>
          <w:rFonts w:ascii="Times New Roman" w:hAnsi="Times New Roman"/>
        </w:rPr>
        <w:t xml:space="preserve">that seeks to explain judicial outcomes in cases </w:t>
      </w:r>
      <w:r w:rsidRPr="00506576">
        <w:rPr>
          <w:rFonts w:ascii="Times New Roman" w:hAnsi="Times New Roman"/>
        </w:rPr>
        <w:t>involving</w:t>
      </w:r>
      <w:r w:rsidR="001E3578" w:rsidRPr="00506576">
        <w:rPr>
          <w:rFonts w:ascii="Times New Roman" w:hAnsi="Times New Roman"/>
        </w:rPr>
        <w:t xml:space="preserve"> alleged corporate tax abuse.</w:t>
      </w:r>
      <w:r w:rsidR="007F58D6" w:rsidRPr="00506576">
        <w:rPr>
          <w:rFonts w:ascii="Times New Roman" w:hAnsi="Times New Roman"/>
        </w:rPr>
        <w:t xml:space="preserve"> </w:t>
      </w:r>
      <w:r w:rsidR="002006E8" w:rsidRPr="00506576">
        <w:rPr>
          <w:rFonts w:ascii="Times New Roman" w:hAnsi="Times New Roman"/>
        </w:rPr>
        <w:t xml:space="preserve">Our </w:t>
      </w:r>
      <w:r w:rsidR="00E21855">
        <w:rPr>
          <w:rFonts w:ascii="Times New Roman" w:hAnsi="Times New Roman"/>
        </w:rPr>
        <w:t xml:space="preserve">explanatory </w:t>
      </w:r>
      <w:r w:rsidRPr="00506576">
        <w:rPr>
          <w:rFonts w:ascii="Times New Roman" w:hAnsi="Times New Roman"/>
        </w:rPr>
        <w:t>variables of interest are</w:t>
      </w:r>
      <w:r w:rsidR="00663B22" w:rsidRPr="00506576">
        <w:rPr>
          <w:rFonts w:ascii="Times New Roman" w:hAnsi="Times New Roman"/>
        </w:rPr>
        <w:t xml:space="preserve"> the variable</w:t>
      </w:r>
      <w:r w:rsidR="003650F2" w:rsidRPr="00506576">
        <w:rPr>
          <w:rFonts w:ascii="Times New Roman" w:hAnsi="Times New Roman"/>
        </w:rPr>
        <w:t>s</w:t>
      </w:r>
      <w:r w:rsidR="00663B22" w:rsidRPr="00506576">
        <w:rPr>
          <w:rFonts w:ascii="Times New Roman" w:hAnsi="Times New Roman"/>
        </w:rPr>
        <w:t xml:space="preserve"> listed in table 1, </w:t>
      </w:r>
      <w:r w:rsidR="00E21855">
        <w:rPr>
          <w:rFonts w:ascii="Times New Roman" w:hAnsi="Times New Roman"/>
        </w:rPr>
        <w:t>third party</w:t>
      </w:r>
      <w:r w:rsidRPr="00E21855">
        <w:rPr>
          <w:rFonts w:ascii="Times New Roman" w:hAnsi="Times New Roman"/>
        </w:rPr>
        <w:t xml:space="preserve">, </w:t>
      </w:r>
      <w:r w:rsidR="00E21855">
        <w:rPr>
          <w:rFonts w:ascii="Times New Roman" w:hAnsi="Times New Roman"/>
        </w:rPr>
        <w:t>multistep transaction</w:t>
      </w:r>
      <w:r w:rsidRPr="00E21855">
        <w:rPr>
          <w:rFonts w:ascii="Times New Roman" w:hAnsi="Times New Roman"/>
        </w:rPr>
        <w:t xml:space="preserve">, </w:t>
      </w:r>
      <w:r w:rsidR="00E21855">
        <w:rPr>
          <w:rFonts w:ascii="Times New Roman" w:hAnsi="Times New Roman"/>
        </w:rPr>
        <w:t>lack of buisness purpose</w:t>
      </w:r>
      <w:r w:rsidRPr="00E21855">
        <w:rPr>
          <w:rFonts w:ascii="Times New Roman" w:hAnsi="Times New Roman"/>
        </w:rPr>
        <w:t xml:space="preserve">, </w:t>
      </w:r>
      <w:r w:rsidR="00E21855">
        <w:rPr>
          <w:rFonts w:ascii="Times New Roman" w:hAnsi="Times New Roman"/>
        </w:rPr>
        <w:t>a</w:t>
      </w:r>
      <w:r w:rsidRPr="00E21855">
        <w:rPr>
          <w:rFonts w:ascii="Times New Roman" w:hAnsi="Times New Roman"/>
        </w:rPr>
        <w:t>ccounting</w:t>
      </w:r>
      <w:r w:rsidR="00E21855">
        <w:rPr>
          <w:rFonts w:ascii="Times New Roman" w:hAnsi="Times New Roman"/>
        </w:rPr>
        <w:t xml:space="preserve"> i</w:t>
      </w:r>
      <w:r w:rsidRPr="00E21855">
        <w:rPr>
          <w:rFonts w:ascii="Times New Roman" w:hAnsi="Times New Roman"/>
        </w:rPr>
        <w:t xml:space="preserve">rregularity, and </w:t>
      </w:r>
      <w:r w:rsidR="00E21855">
        <w:rPr>
          <w:rFonts w:ascii="Times New Roman" w:hAnsi="Times New Roman"/>
        </w:rPr>
        <w:t>request for a refund</w:t>
      </w:r>
      <w:r w:rsidRPr="00506576">
        <w:rPr>
          <w:rFonts w:ascii="Times New Roman" w:hAnsi="Times New Roman"/>
        </w:rPr>
        <w:t>.</w:t>
      </w:r>
      <w:r w:rsidR="007F58D6" w:rsidRPr="00506576">
        <w:rPr>
          <w:rFonts w:ascii="Times New Roman" w:hAnsi="Times New Roman"/>
        </w:rPr>
        <w:t xml:space="preserve"> </w:t>
      </w:r>
      <w:r w:rsidR="00DA6D48" w:rsidRPr="00506576">
        <w:rPr>
          <w:rFonts w:ascii="Times New Roman" w:hAnsi="Times New Roman"/>
        </w:rPr>
        <w:t>T</w:t>
      </w:r>
      <w:r w:rsidR="00663B22" w:rsidRPr="00506576">
        <w:rPr>
          <w:rFonts w:ascii="Times New Roman" w:hAnsi="Times New Roman"/>
        </w:rPr>
        <w:t xml:space="preserve">o test the effect of Justice Scalia, we created the </w:t>
      </w:r>
      <w:r w:rsidR="00DA6D48" w:rsidRPr="00506576">
        <w:rPr>
          <w:rFonts w:ascii="Times New Roman" w:hAnsi="Times New Roman"/>
        </w:rPr>
        <w:t>variable</w:t>
      </w:r>
      <w:r w:rsidRPr="00506576">
        <w:rPr>
          <w:rFonts w:ascii="Times New Roman" w:hAnsi="Times New Roman"/>
        </w:rPr>
        <w:t xml:space="preserve"> </w:t>
      </w:r>
      <w:r w:rsidR="00E21855">
        <w:rPr>
          <w:rFonts w:ascii="Times New Roman" w:hAnsi="Times New Roman"/>
        </w:rPr>
        <w:t>Justice Scalia</w:t>
      </w:r>
      <w:r w:rsidR="00663B22" w:rsidRPr="00506576">
        <w:rPr>
          <w:rFonts w:ascii="Times New Roman" w:hAnsi="Times New Roman"/>
        </w:rPr>
        <w:t xml:space="preserve">, </w:t>
      </w:r>
      <w:r w:rsidRPr="00506576">
        <w:rPr>
          <w:rFonts w:ascii="Times New Roman" w:hAnsi="Times New Roman"/>
        </w:rPr>
        <w:t>if the year the Court heard oral arguments was post-1986 and 0 otherwise.</w:t>
      </w:r>
      <w:r w:rsidR="007F58D6" w:rsidRPr="00506576">
        <w:rPr>
          <w:rFonts w:ascii="Times New Roman" w:hAnsi="Times New Roman"/>
        </w:rPr>
        <w:t xml:space="preserve"> </w:t>
      </w:r>
      <w:r w:rsidRPr="00506576">
        <w:rPr>
          <w:rFonts w:ascii="Times New Roman" w:hAnsi="Times New Roman"/>
        </w:rPr>
        <w:t>As to our modeling expectations, we have developed the following hypotheses.</w:t>
      </w:r>
      <w:r w:rsidR="007F58D6" w:rsidRPr="00506576">
        <w:rPr>
          <w:rFonts w:ascii="Times New Roman" w:hAnsi="Times New Roman"/>
        </w:rPr>
        <w:t xml:space="preserve"> </w:t>
      </w:r>
      <w:r w:rsidRPr="00506576">
        <w:rPr>
          <w:rFonts w:ascii="Times New Roman" w:hAnsi="Times New Roman"/>
        </w:rPr>
        <w:t>The presence of third parties, multi-step transactions, the lack of a business purpose, accounting irregularities, and refund claims are all indicia of corporate tax abuse, and consequently we expect that the presence of these variables will increase the likelihood that the Justices will side with the government.</w:t>
      </w:r>
      <w:r w:rsidR="007F58D6" w:rsidRPr="00506576">
        <w:rPr>
          <w:rFonts w:ascii="Times New Roman" w:hAnsi="Times New Roman"/>
        </w:rPr>
        <w:t xml:space="preserve"> </w:t>
      </w:r>
      <w:r w:rsidRPr="00506576">
        <w:rPr>
          <w:rFonts w:ascii="Times New Roman" w:hAnsi="Times New Roman"/>
        </w:rPr>
        <w:t>We expect the presence of Justice Scalia to negatively correlate with judicial outcomes</w:t>
      </w:r>
      <w:r w:rsidR="00A80D31" w:rsidRPr="00506576">
        <w:rPr>
          <w:rFonts w:ascii="Times New Roman" w:hAnsi="Times New Roman"/>
        </w:rPr>
        <w:t>,</w:t>
      </w:r>
      <w:r w:rsidRPr="00506576">
        <w:rPr>
          <w:rFonts w:ascii="Times New Roman" w:hAnsi="Times New Roman"/>
        </w:rPr>
        <w:t xml:space="preserve"> because his approach prioritizes the plain meaning of the tax statute over public policy concerns.</w:t>
      </w:r>
      <w:r w:rsidR="007F58D6" w:rsidRPr="00506576">
        <w:rPr>
          <w:rFonts w:ascii="Times New Roman" w:hAnsi="Times New Roman"/>
        </w:rPr>
        <w:t xml:space="preserve"> </w:t>
      </w:r>
    </w:p>
    <w:p w14:paraId="05E8CA1D" w14:textId="77777777" w:rsidR="006919F4" w:rsidRPr="00506576" w:rsidRDefault="006919F4" w:rsidP="001C7185">
      <w:pPr>
        <w:pStyle w:val="SubHead2"/>
        <w:rPr>
          <w:rFonts w:ascii="Times New Roman" w:hAnsi="Times New Roman"/>
        </w:rPr>
      </w:pPr>
      <w:bookmarkStart w:id="56" w:name="_Toc319267163"/>
      <w:bookmarkStart w:id="57" w:name="_Toc332272315"/>
      <w:bookmarkStart w:id="58" w:name="_Toc337045094"/>
      <w:bookmarkStart w:id="59" w:name="_Toc337045526"/>
      <w:bookmarkStart w:id="60" w:name="_Toc338056869"/>
      <w:r w:rsidRPr="00506576">
        <w:rPr>
          <w:rFonts w:ascii="Times New Roman" w:hAnsi="Times New Roman"/>
        </w:rPr>
        <w:t>B.</w:t>
      </w:r>
      <w:r w:rsidR="00575E95" w:rsidRPr="00506576">
        <w:rPr>
          <w:rFonts w:ascii="Times New Roman" w:hAnsi="Times New Roman"/>
        </w:rPr>
        <w:tab/>
      </w:r>
      <w:r w:rsidRPr="00506576">
        <w:rPr>
          <w:rFonts w:ascii="Times New Roman" w:hAnsi="Times New Roman"/>
        </w:rPr>
        <w:t>Empirical Findings</w:t>
      </w:r>
      <w:bookmarkEnd w:id="56"/>
      <w:bookmarkEnd w:id="57"/>
      <w:bookmarkEnd w:id="58"/>
      <w:bookmarkEnd w:id="59"/>
      <w:bookmarkEnd w:id="60"/>
    </w:p>
    <w:p w14:paraId="4E9E786D" w14:textId="243454AB" w:rsidR="006919F4" w:rsidRPr="00506576" w:rsidRDefault="003650F2" w:rsidP="006919F4">
      <w:pPr>
        <w:pStyle w:val="Document"/>
        <w:rPr>
          <w:rFonts w:ascii="Times New Roman" w:hAnsi="Times New Roman"/>
          <w:b/>
        </w:rPr>
      </w:pPr>
      <w:r w:rsidRPr="00506576">
        <w:rPr>
          <w:rFonts w:ascii="Times New Roman" w:hAnsi="Times New Roman"/>
        </w:rPr>
        <w:t>We now</w:t>
      </w:r>
      <w:r w:rsidR="00DD0F22" w:rsidRPr="00506576">
        <w:rPr>
          <w:rFonts w:ascii="Times New Roman" w:hAnsi="Times New Roman"/>
        </w:rPr>
        <w:t xml:space="preserve"> turn to our empirical findings</w:t>
      </w:r>
      <w:r w:rsidR="00A80D31" w:rsidRPr="00506576">
        <w:rPr>
          <w:rFonts w:ascii="Times New Roman" w:hAnsi="Times New Roman"/>
        </w:rPr>
        <w:t>.</w:t>
      </w:r>
      <w:r w:rsidR="007F58D6" w:rsidRPr="00506576">
        <w:rPr>
          <w:rFonts w:ascii="Times New Roman" w:hAnsi="Times New Roman"/>
        </w:rPr>
        <w:t xml:space="preserve"> </w:t>
      </w:r>
      <w:r w:rsidR="006919F4" w:rsidRPr="00506576">
        <w:rPr>
          <w:rFonts w:ascii="Times New Roman" w:hAnsi="Times New Roman"/>
        </w:rPr>
        <w:t>We use probit models</w:t>
      </w:r>
      <w:r w:rsidR="00DD0F22" w:rsidRPr="00506576">
        <w:rPr>
          <w:rFonts w:ascii="Times New Roman" w:hAnsi="Times New Roman"/>
        </w:rPr>
        <w:t>, but b</w:t>
      </w:r>
      <w:r w:rsidR="006919F4" w:rsidRPr="00506576">
        <w:rPr>
          <w:rFonts w:ascii="Times New Roman" w:hAnsi="Times New Roman"/>
        </w:rPr>
        <w:t>ecause probit coeffici</w:t>
      </w:r>
      <w:r w:rsidR="00DD0F22" w:rsidRPr="00506576">
        <w:rPr>
          <w:rFonts w:ascii="Times New Roman" w:hAnsi="Times New Roman"/>
        </w:rPr>
        <w:t>ents are difficult to interpret</w:t>
      </w:r>
      <w:r w:rsidR="006919F4" w:rsidRPr="00506576">
        <w:rPr>
          <w:rFonts w:ascii="Times New Roman" w:hAnsi="Times New Roman"/>
        </w:rPr>
        <w:t xml:space="preserve"> we present our results in a </w:t>
      </w:r>
      <w:r w:rsidR="00434EFD" w:rsidRPr="00506576">
        <w:rPr>
          <w:rFonts w:ascii="Times New Roman" w:hAnsi="Times New Roman"/>
        </w:rPr>
        <w:t>different format</w:t>
      </w:r>
      <w:r w:rsidR="006919F4" w:rsidRPr="00506576">
        <w:rPr>
          <w:rFonts w:ascii="Times New Roman" w:hAnsi="Times New Roman"/>
        </w:rPr>
        <w:t>: The findings reflect the marginal change in the probability that the government will win a case given a unit increase in the independent variable.</w:t>
      </w:r>
      <w:r w:rsidR="00BE588B" w:rsidRPr="00506576">
        <w:rPr>
          <w:rStyle w:val="FootnoteReference"/>
          <w:rFonts w:ascii="Times New Roman" w:hAnsi="Times New Roman"/>
        </w:rPr>
        <w:footnoteReference w:id="17"/>
      </w:r>
      <w:r w:rsidR="007F58D6" w:rsidRPr="00506576">
        <w:rPr>
          <w:rFonts w:ascii="Times New Roman" w:hAnsi="Times New Roman"/>
        </w:rPr>
        <w:t xml:space="preserve"> </w:t>
      </w:r>
    </w:p>
    <w:p w14:paraId="307EC8C9" w14:textId="70AFB26C" w:rsidR="006919F4" w:rsidRPr="00506576" w:rsidRDefault="001C7185" w:rsidP="001C7185">
      <w:pPr>
        <w:pStyle w:val="SubHead3"/>
        <w:rPr>
          <w:rFonts w:ascii="Times New Roman" w:hAnsi="Times New Roman"/>
        </w:rPr>
      </w:pPr>
      <w:bookmarkStart w:id="61" w:name="_Toc319267164"/>
      <w:bookmarkStart w:id="62" w:name="_Toc332272316"/>
      <w:bookmarkStart w:id="63" w:name="_Toc337045095"/>
      <w:bookmarkStart w:id="64" w:name="_Toc337045527"/>
      <w:bookmarkStart w:id="65" w:name="_Toc338056870"/>
      <w:r w:rsidRPr="00506576">
        <w:rPr>
          <w:rFonts w:ascii="Times New Roman" w:hAnsi="Times New Roman"/>
        </w:rPr>
        <w:lastRenderedPageBreak/>
        <w:t>1.</w:t>
      </w:r>
      <w:r w:rsidRPr="00506576">
        <w:rPr>
          <w:rFonts w:ascii="Times New Roman" w:hAnsi="Times New Roman"/>
        </w:rPr>
        <w:tab/>
      </w:r>
      <w:r w:rsidR="00E21855">
        <w:rPr>
          <w:rFonts w:ascii="Times New Roman" w:hAnsi="Times New Roman"/>
        </w:rPr>
        <w:t xml:space="preserve">Are </w:t>
      </w:r>
      <w:r w:rsidR="006919F4" w:rsidRPr="00506576">
        <w:rPr>
          <w:rFonts w:ascii="Times New Roman" w:hAnsi="Times New Roman"/>
        </w:rPr>
        <w:t xml:space="preserve">Corporate Tax Abuse Cases </w:t>
      </w:r>
      <w:r w:rsidR="00E21855">
        <w:rPr>
          <w:rFonts w:ascii="Times New Roman" w:hAnsi="Times New Roman"/>
        </w:rPr>
        <w:t>More Difficult to Win</w:t>
      </w:r>
      <w:bookmarkEnd w:id="61"/>
      <w:bookmarkEnd w:id="62"/>
      <w:bookmarkEnd w:id="63"/>
      <w:bookmarkEnd w:id="64"/>
      <w:bookmarkEnd w:id="65"/>
      <w:r w:rsidR="00E21855">
        <w:rPr>
          <w:rFonts w:ascii="Times New Roman" w:hAnsi="Times New Roman"/>
        </w:rPr>
        <w:t>?</w:t>
      </w:r>
    </w:p>
    <w:p w14:paraId="0AE9A309" w14:textId="5ACE80C3" w:rsidR="006919F4" w:rsidRPr="00506576" w:rsidRDefault="006919F4" w:rsidP="006919F4">
      <w:pPr>
        <w:pStyle w:val="Document"/>
        <w:rPr>
          <w:rFonts w:ascii="Times New Roman" w:hAnsi="Times New Roman"/>
        </w:rPr>
      </w:pPr>
      <w:r w:rsidRPr="00506576">
        <w:rPr>
          <w:rFonts w:ascii="Times New Roman" w:hAnsi="Times New Roman"/>
        </w:rPr>
        <w:t xml:space="preserve">To begin our investigation, we focus on </w:t>
      </w:r>
      <w:r w:rsidR="002006E8" w:rsidRPr="00506576">
        <w:rPr>
          <w:rFonts w:ascii="Times New Roman" w:hAnsi="Times New Roman"/>
        </w:rPr>
        <w:t xml:space="preserve">the first two </w:t>
      </w:r>
      <w:r w:rsidRPr="00506576">
        <w:rPr>
          <w:rFonts w:ascii="Times New Roman" w:hAnsi="Times New Roman"/>
        </w:rPr>
        <w:t>models, which enable us to compare how the government fares in the corporate tax abuse cases vis-à-vis all other types of tax cases that are litigated in the Supreme Court.</w:t>
      </w:r>
      <w:r w:rsidR="007F58D6" w:rsidRPr="00506576">
        <w:rPr>
          <w:rFonts w:ascii="Times New Roman" w:hAnsi="Times New Roman"/>
        </w:rPr>
        <w:t xml:space="preserve"> </w:t>
      </w:r>
      <w:r w:rsidRPr="00506576">
        <w:rPr>
          <w:rFonts w:ascii="Times New Roman" w:hAnsi="Times New Roman"/>
        </w:rPr>
        <w:t>We theorized that allegations of abuse are not winning arguments in the High Court</w:t>
      </w:r>
      <w:r w:rsidR="00821BCE" w:rsidRPr="00506576">
        <w:rPr>
          <w:rFonts w:ascii="Times New Roman" w:hAnsi="Times New Roman"/>
        </w:rPr>
        <w:t>. O</w:t>
      </w:r>
      <w:r w:rsidRPr="00506576">
        <w:rPr>
          <w:rFonts w:ascii="Times New Roman" w:hAnsi="Times New Roman"/>
        </w:rPr>
        <w:t>ur results</w:t>
      </w:r>
      <w:r w:rsidR="001D7FF8" w:rsidRPr="00506576">
        <w:rPr>
          <w:rFonts w:ascii="Times New Roman" w:hAnsi="Times New Roman"/>
        </w:rPr>
        <w:t xml:space="preserve"> </w:t>
      </w:r>
      <w:r w:rsidRPr="00506576">
        <w:rPr>
          <w:rFonts w:ascii="Times New Roman" w:hAnsi="Times New Roman"/>
        </w:rPr>
        <w:t>confirm this hypothesis.</w:t>
      </w:r>
      <w:r w:rsidR="007F58D6" w:rsidRPr="00506576">
        <w:rPr>
          <w:rFonts w:ascii="Times New Roman" w:hAnsi="Times New Roman"/>
        </w:rPr>
        <w:t xml:space="preserve"> </w:t>
      </w:r>
      <w:r w:rsidRPr="00506576">
        <w:rPr>
          <w:rFonts w:ascii="Times New Roman" w:hAnsi="Times New Roman"/>
        </w:rPr>
        <w:t>Column (1) of Table 2 indicates that the government is 7</w:t>
      </w:r>
      <w:r w:rsidR="00147B27" w:rsidRPr="00506576">
        <w:rPr>
          <w:rFonts w:ascii="Times New Roman" w:hAnsi="Times New Roman"/>
        </w:rPr>
        <w:t>%</w:t>
      </w:r>
      <w:r w:rsidRPr="00506576">
        <w:rPr>
          <w:rFonts w:ascii="Times New Roman" w:hAnsi="Times New Roman"/>
        </w:rPr>
        <w:t xml:space="preserve"> less likely to win a corporate tax abuse case than other tax cases generally</w:t>
      </w:r>
      <w:r w:rsidR="00821BCE" w:rsidRPr="00506576">
        <w:rPr>
          <w:rFonts w:ascii="Times New Roman" w:hAnsi="Times New Roman"/>
        </w:rPr>
        <w:t>. C</w:t>
      </w:r>
      <w:r w:rsidRPr="00506576">
        <w:rPr>
          <w:rFonts w:ascii="Times New Roman" w:hAnsi="Times New Roman"/>
        </w:rPr>
        <w:t>olumn (2) indicates the government is 8</w:t>
      </w:r>
      <w:r w:rsidR="00147B27" w:rsidRPr="00506576">
        <w:rPr>
          <w:rFonts w:ascii="Times New Roman" w:hAnsi="Times New Roman"/>
        </w:rPr>
        <w:t>%</w:t>
      </w:r>
      <w:r w:rsidRPr="00506576">
        <w:rPr>
          <w:rFonts w:ascii="Times New Roman" w:hAnsi="Times New Roman"/>
        </w:rPr>
        <w:t xml:space="preserve"> less likely to win a corporate tax abuse case compared to corporate tax cases </w:t>
      </w:r>
      <w:r w:rsidR="007109B9" w:rsidRPr="00506576">
        <w:rPr>
          <w:rFonts w:ascii="Times New Roman" w:hAnsi="Times New Roman"/>
        </w:rPr>
        <w:t>raising alternative legal issues</w:t>
      </w:r>
      <w:r w:rsidRPr="00506576">
        <w:rPr>
          <w:rFonts w:ascii="Times New Roman" w:hAnsi="Times New Roman"/>
        </w:rPr>
        <w:t>.</w:t>
      </w:r>
      <w:r w:rsidR="007938D3" w:rsidRPr="00506576">
        <w:rPr>
          <w:rFonts w:ascii="Times New Roman" w:hAnsi="Times New Roman"/>
        </w:rPr>
        <w:t xml:space="preserve"> Neither of these results are statistically significant, even at the 0.10 level. </w:t>
      </w:r>
      <w:r w:rsidR="00663B22" w:rsidRPr="00506576">
        <w:rPr>
          <w:rFonts w:ascii="Times New Roman" w:hAnsi="Times New Roman"/>
        </w:rPr>
        <w:t>O</w:t>
      </w:r>
      <w:r w:rsidRPr="00506576">
        <w:rPr>
          <w:rFonts w:ascii="Times New Roman" w:hAnsi="Times New Roman"/>
        </w:rPr>
        <w:t xml:space="preserve">ur dataset includes Supreme Court controversies decided over the course of the last century, </w:t>
      </w:r>
      <w:r w:rsidR="00821BCE" w:rsidRPr="00506576">
        <w:rPr>
          <w:rFonts w:ascii="Times New Roman" w:hAnsi="Times New Roman"/>
        </w:rPr>
        <w:t xml:space="preserve">which </w:t>
      </w:r>
      <w:r w:rsidRPr="00506576">
        <w:rPr>
          <w:rFonts w:ascii="Times New Roman" w:hAnsi="Times New Roman"/>
        </w:rPr>
        <w:t>raises the question of whether our results would be the same if we examined a subset of cases decided in the more recent era.</w:t>
      </w:r>
      <w:r w:rsidR="007F58D6" w:rsidRPr="00506576">
        <w:rPr>
          <w:rFonts w:ascii="Times New Roman" w:hAnsi="Times New Roman"/>
        </w:rPr>
        <w:t xml:space="preserve"> </w:t>
      </w:r>
      <w:r w:rsidR="00663B22" w:rsidRPr="00506576">
        <w:rPr>
          <w:rFonts w:ascii="Times New Roman" w:hAnsi="Times New Roman"/>
        </w:rPr>
        <w:t xml:space="preserve"> W</w:t>
      </w:r>
      <w:r w:rsidR="00257D5A" w:rsidRPr="00506576">
        <w:rPr>
          <w:rFonts w:ascii="Times New Roman" w:hAnsi="Times New Roman"/>
        </w:rPr>
        <w:t>e re</w:t>
      </w:r>
      <w:r w:rsidRPr="00506576">
        <w:rPr>
          <w:rFonts w:ascii="Times New Roman" w:hAnsi="Times New Roman"/>
        </w:rPr>
        <w:t>examined the cases decided a</w:t>
      </w:r>
      <w:r w:rsidR="00663B22" w:rsidRPr="00506576">
        <w:rPr>
          <w:rFonts w:ascii="Times New Roman" w:hAnsi="Times New Roman"/>
        </w:rPr>
        <w:t>fter World War II and present</w:t>
      </w:r>
      <w:r w:rsidRPr="00506576">
        <w:rPr>
          <w:rFonts w:ascii="Times New Roman" w:hAnsi="Times New Roman"/>
        </w:rPr>
        <w:t xml:space="preserve"> our findings in columns (3) and (4) of Table 2 below.</w:t>
      </w:r>
      <w:r w:rsidR="007F58D6" w:rsidRPr="00506576">
        <w:rPr>
          <w:rFonts w:ascii="Times New Roman" w:hAnsi="Times New Roman"/>
        </w:rPr>
        <w:t xml:space="preserve"> </w:t>
      </w:r>
      <w:r w:rsidRPr="00506576">
        <w:rPr>
          <w:rFonts w:ascii="Times New Roman" w:hAnsi="Times New Roman"/>
        </w:rPr>
        <w:t>Our results show an even stronger</w:t>
      </w:r>
      <w:r w:rsidR="007938D3" w:rsidRPr="00506576">
        <w:rPr>
          <w:rFonts w:ascii="Times New Roman" w:hAnsi="Times New Roman"/>
        </w:rPr>
        <w:t>, and significant,</w:t>
      </w:r>
      <w:r w:rsidRPr="00506576">
        <w:rPr>
          <w:rFonts w:ascii="Times New Roman" w:hAnsi="Times New Roman"/>
        </w:rPr>
        <w:t xml:space="preserve"> negative correlation: The government is 18</w:t>
      </w:r>
      <w:r w:rsidR="00147B27" w:rsidRPr="00506576">
        <w:rPr>
          <w:rFonts w:ascii="Times New Roman" w:hAnsi="Times New Roman"/>
        </w:rPr>
        <w:t>%</w:t>
      </w:r>
      <w:r w:rsidRPr="00506576">
        <w:rPr>
          <w:rFonts w:ascii="Times New Roman" w:hAnsi="Times New Roman"/>
        </w:rPr>
        <w:t xml:space="preserve"> les</w:t>
      </w:r>
      <w:r w:rsidR="00821BCE" w:rsidRPr="00506576">
        <w:rPr>
          <w:rFonts w:ascii="Times New Roman" w:hAnsi="Times New Roman"/>
        </w:rPr>
        <w:t>s likely to prevail in the post–</w:t>
      </w:r>
      <w:r w:rsidRPr="00506576">
        <w:rPr>
          <w:rFonts w:ascii="Times New Roman" w:hAnsi="Times New Roman"/>
        </w:rPr>
        <w:t>World War II period when it alleges corporate abuse</w:t>
      </w:r>
      <w:r w:rsidR="00821BCE" w:rsidRPr="00506576">
        <w:rPr>
          <w:rFonts w:ascii="Times New Roman" w:hAnsi="Times New Roman"/>
        </w:rPr>
        <w:t>. T</w:t>
      </w:r>
      <w:r w:rsidRPr="00506576">
        <w:rPr>
          <w:rFonts w:ascii="Times New Roman" w:hAnsi="Times New Roman"/>
        </w:rPr>
        <w:t xml:space="preserve">his finding is statistically significant in both models at the 0.05 level, indicating strong empirical evidence that the type of argument set forth in the government’s briefs </w:t>
      </w:r>
      <w:r w:rsidR="00DB30B7" w:rsidRPr="00506576">
        <w:rPr>
          <w:rFonts w:ascii="Times New Roman" w:hAnsi="Times New Roman"/>
        </w:rPr>
        <w:t>has</w:t>
      </w:r>
      <w:r w:rsidRPr="00506576">
        <w:rPr>
          <w:rFonts w:ascii="Times New Roman" w:hAnsi="Times New Roman"/>
        </w:rPr>
        <w:t xml:space="preserve"> an effect on outcomes.</w:t>
      </w:r>
    </w:p>
    <w:p w14:paraId="402045D8" w14:textId="0FA16B77" w:rsidR="006919F4" w:rsidRPr="00506576" w:rsidRDefault="006919F4" w:rsidP="006919F4">
      <w:pPr>
        <w:pStyle w:val="Document"/>
        <w:rPr>
          <w:rFonts w:ascii="Times New Roman" w:hAnsi="Times New Roman"/>
        </w:rPr>
      </w:pPr>
      <w:r w:rsidRPr="00506576">
        <w:rPr>
          <w:rFonts w:ascii="Times New Roman" w:hAnsi="Times New Roman"/>
        </w:rPr>
        <w:t>Our findings</w:t>
      </w:r>
      <w:r w:rsidR="004360D2" w:rsidRPr="00506576">
        <w:rPr>
          <w:rFonts w:ascii="Times New Roman" w:hAnsi="Times New Roman"/>
        </w:rPr>
        <w:t xml:space="preserve"> suggest</w:t>
      </w:r>
      <w:r w:rsidRPr="00506576">
        <w:rPr>
          <w:rFonts w:ascii="Times New Roman" w:hAnsi="Times New Roman"/>
        </w:rPr>
        <w:t xml:space="preserve"> that</w:t>
      </w:r>
      <w:r w:rsidR="004360D2" w:rsidRPr="00506576">
        <w:rPr>
          <w:rFonts w:ascii="Times New Roman" w:hAnsi="Times New Roman"/>
        </w:rPr>
        <w:t>, as expected,</w:t>
      </w:r>
      <w:r w:rsidRPr="00506576">
        <w:rPr>
          <w:rFonts w:ascii="Times New Roman" w:hAnsi="Times New Roman"/>
        </w:rPr>
        <w:t xml:space="preserve"> the Supreme Court is sympathetic to corporations that adhere to the letter of the tax law, even if the transactions and tax positions undermine the revenue-raising potential of the tax law.</w:t>
      </w:r>
      <w:r w:rsidR="007F58D6" w:rsidRPr="00506576">
        <w:rPr>
          <w:rFonts w:ascii="Times New Roman" w:hAnsi="Times New Roman"/>
        </w:rPr>
        <w:t xml:space="preserve"> </w:t>
      </w:r>
      <w:r w:rsidRPr="00506576">
        <w:rPr>
          <w:rFonts w:ascii="Times New Roman" w:hAnsi="Times New Roman"/>
        </w:rPr>
        <w:t>It is, in short, more difficult for the government to prevail when all parties agree that the corporate taxpayer complied with the formal tax rules, yet the government alleges that the taxpayer nevertheless engaged in abuse.</w:t>
      </w:r>
    </w:p>
    <w:p w14:paraId="31244470" w14:textId="77777777" w:rsidR="006919F4" w:rsidRPr="00506576" w:rsidRDefault="001C7185" w:rsidP="001C7185">
      <w:pPr>
        <w:pStyle w:val="Document"/>
        <w:ind w:firstLine="0"/>
        <w:jc w:val="center"/>
        <w:rPr>
          <w:rFonts w:ascii="Times New Roman" w:hAnsi="Times New Roman"/>
        </w:rPr>
      </w:pPr>
      <w:r w:rsidRPr="00506576">
        <w:rPr>
          <w:rFonts w:ascii="Times New Roman" w:hAnsi="Times New Roman"/>
          <w:b/>
          <w:smallCaps/>
        </w:rPr>
        <w:br/>
      </w:r>
      <w:r w:rsidR="006919F4" w:rsidRPr="00506576">
        <w:rPr>
          <w:rFonts w:ascii="Times New Roman" w:hAnsi="Times New Roman"/>
          <w:smallCaps/>
        </w:rPr>
        <w:t>Table 2</w:t>
      </w:r>
    </w:p>
    <w:p w14:paraId="659CA8E6" w14:textId="4A6B5D14" w:rsidR="00E94A88" w:rsidRDefault="00E94A88" w:rsidP="00E94A88">
      <w:pPr>
        <w:pStyle w:val="Document"/>
        <w:ind w:firstLine="0"/>
        <w:jc w:val="center"/>
        <w:rPr>
          <w:rFonts w:ascii="Times New Roman" w:hAnsi="Times New Roman"/>
          <w:szCs w:val="22"/>
        </w:rPr>
      </w:pPr>
      <w:r>
        <w:rPr>
          <w:rFonts w:ascii="Times New Roman" w:hAnsi="Times New Roman"/>
          <w:szCs w:val="22"/>
        </w:rPr>
        <w:t>Corporate tax a</w:t>
      </w:r>
      <w:r w:rsidR="00DB30B7" w:rsidRPr="00E94A88">
        <w:rPr>
          <w:rFonts w:ascii="Times New Roman" w:hAnsi="Times New Roman"/>
          <w:szCs w:val="22"/>
        </w:rPr>
        <w:t>bu</w:t>
      </w:r>
      <w:r>
        <w:rPr>
          <w:rFonts w:ascii="Times New Roman" w:hAnsi="Times New Roman"/>
          <w:szCs w:val="22"/>
        </w:rPr>
        <w:t>se cases are m</w:t>
      </w:r>
      <w:r w:rsidR="00DB30B7" w:rsidRPr="00E94A88">
        <w:rPr>
          <w:rFonts w:ascii="Times New Roman" w:hAnsi="Times New Roman"/>
          <w:szCs w:val="22"/>
        </w:rPr>
        <w:t>ore</w:t>
      </w:r>
    </w:p>
    <w:p w14:paraId="576255C7" w14:textId="46086083" w:rsidR="006919F4" w:rsidRPr="00E94A88" w:rsidRDefault="00E94A88" w:rsidP="00E94A88">
      <w:pPr>
        <w:pStyle w:val="Document"/>
        <w:ind w:firstLine="0"/>
        <w:jc w:val="center"/>
        <w:rPr>
          <w:rFonts w:ascii="Times New Roman" w:hAnsi="Times New Roman"/>
          <w:szCs w:val="22"/>
        </w:rPr>
      </w:pPr>
      <w:r>
        <w:rPr>
          <w:rFonts w:ascii="Times New Roman" w:hAnsi="Times New Roman"/>
          <w:szCs w:val="22"/>
        </w:rPr>
        <w:t>difficult for the g</w:t>
      </w:r>
      <w:r w:rsidR="006919F4" w:rsidRPr="00E94A88">
        <w:rPr>
          <w:rFonts w:ascii="Times New Roman" w:hAnsi="Times New Roman"/>
          <w:szCs w:val="22"/>
        </w:rPr>
        <w:t>ov</w:t>
      </w:r>
      <w:r>
        <w:rPr>
          <w:rFonts w:ascii="Times New Roman" w:hAnsi="Times New Roman"/>
          <w:szCs w:val="22"/>
        </w:rPr>
        <w:t>ernment to w</w:t>
      </w:r>
      <w:r w:rsidR="006919F4" w:rsidRPr="00E94A88">
        <w:rPr>
          <w:rFonts w:ascii="Times New Roman" w:hAnsi="Times New Roman"/>
          <w:szCs w:val="22"/>
        </w:rPr>
        <w:t>in</w:t>
      </w:r>
    </w:p>
    <w:p w14:paraId="72818C01" w14:textId="77777777" w:rsidR="006919F4" w:rsidRPr="006919F4" w:rsidRDefault="006919F4" w:rsidP="006919F4">
      <w:pPr>
        <w:pStyle w:val="Document"/>
      </w:pPr>
    </w:p>
    <w:tbl>
      <w:tblPr>
        <w:tblW w:w="0" w:type="auto"/>
        <w:jc w:val="center"/>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0"/>
        <w:gridCol w:w="881"/>
        <w:gridCol w:w="942"/>
        <w:gridCol w:w="987"/>
        <w:gridCol w:w="1054"/>
      </w:tblGrid>
      <w:tr w:rsidR="006919F4" w:rsidRPr="004F57EF" w14:paraId="0287BA2C" w14:textId="77777777" w:rsidTr="005B07F4">
        <w:trPr>
          <w:jc w:val="center"/>
        </w:trPr>
        <w:tc>
          <w:tcPr>
            <w:tcW w:w="6044" w:type="dxa"/>
            <w:gridSpan w:val="5"/>
            <w:tcBorders>
              <w:top w:val="single" w:sz="4" w:space="0" w:color="auto"/>
              <w:left w:val="single" w:sz="4" w:space="0" w:color="auto"/>
              <w:right w:val="single" w:sz="4" w:space="0" w:color="auto"/>
            </w:tcBorders>
          </w:tcPr>
          <w:p w14:paraId="6EE504F6" w14:textId="77777777" w:rsidR="006919F4" w:rsidRDefault="006919F4" w:rsidP="004F57EF">
            <w:pPr>
              <w:pStyle w:val="Document"/>
              <w:spacing w:line="200" w:lineRule="exact"/>
              <w:ind w:firstLine="0"/>
              <w:jc w:val="left"/>
              <w:rPr>
                <w:rFonts w:eastAsia="Calibri"/>
                <w:sz w:val="14"/>
                <w:szCs w:val="14"/>
              </w:rPr>
            </w:pPr>
            <w:r w:rsidRPr="004F57EF">
              <w:rPr>
                <w:rFonts w:eastAsia="Calibri"/>
                <w:sz w:val="14"/>
                <w:szCs w:val="14"/>
              </w:rPr>
              <w:t>U.S. Supreme Court Outcomes</w:t>
            </w:r>
          </w:p>
          <w:p w14:paraId="5339EB0D" w14:textId="77777777" w:rsidR="00E21855" w:rsidRPr="004F57EF" w:rsidRDefault="00E21855" w:rsidP="004F57EF">
            <w:pPr>
              <w:pStyle w:val="Document"/>
              <w:spacing w:line="200" w:lineRule="exact"/>
              <w:ind w:firstLine="0"/>
              <w:jc w:val="left"/>
              <w:rPr>
                <w:rFonts w:eastAsia="Calibri"/>
                <w:sz w:val="14"/>
                <w:szCs w:val="14"/>
              </w:rPr>
            </w:pPr>
          </w:p>
          <w:p w14:paraId="6FFB306E" w14:textId="77777777" w:rsidR="006919F4" w:rsidRDefault="006919F4" w:rsidP="004F57EF">
            <w:pPr>
              <w:pStyle w:val="Document"/>
              <w:spacing w:line="200" w:lineRule="exact"/>
              <w:ind w:firstLine="0"/>
              <w:jc w:val="left"/>
              <w:rPr>
                <w:rFonts w:eastAsia="Calibri"/>
                <w:sz w:val="14"/>
                <w:szCs w:val="14"/>
              </w:rPr>
            </w:pPr>
            <w:r w:rsidRPr="004F57EF">
              <w:rPr>
                <w:rFonts w:eastAsia="Calibri"/>
                <w:sz w:val="14"/>
                <w:szCs w:val="14"/>
              </w:rPr>
              <w:t xml:space="preserve">Results depict change in the </w:t>
            </w:r>
            <w:r w:rsidR="00761AFF" w:rsidRPr="004F57EF">
              <w:rPr>
                <w:rFonts w:eastAsia="Calibri"/>
                <w:sz w:val="14"/>
                <w:szCs w:val="14"/>
              </w:rPr>
              <w:t xml:space="preserve">probability of a pro-government </w:t>
            </w:r>
            <w:r w:rsidRPr="004F57EF">
              <w:rPr>
                <w:rFonts w:eastAsia="Calibri"/>
                <w:sz w:val="14"/>
                <w:szCs w:val="14"/>
              </w:rPr>
              <w:t>outcome</w:t>
            </w:r>
            <w:r w:rsidR="00761AFF" w:rsidRPr="004F57EF">
              <w:rPr>
                <w:rFonts w:eastAsia="Calibri"/>
                <w:sz w:val="14"/>
                <w:szCs w:val="14"/>
              </w:rPr>
              <w:t xml:space="preserve">, </w:t>
            </w:r>
            <w:r w:rsidRPr="004F57EF">
              <w:rPr>
                <w:rFonts w:eastAsia="Calibri"/>
                <w:sz w:val="14"/>
                <w:szCs w:val="14"/>
              </w:rPr>
              <w:t>given a unit increase in the independent variable</w:t>
            </w:r>
          </w:p>
          <w:p w14:paraId="62FC4248" w14:textId="77777777" w:rsidR="00E21855" w:rsidRPr="004F57EF" w:rsidRDefault="00E21855" w:rsidP="004F57EF">
            <w:pPr>
              <w:pStyle w:val="Document"/>
              <w:spacing w:line="200" w:lineRule="exact"/>
              <w:ind w:firstLine="0"/>
              <w:jc w:val="left"/>
              <w:rPr>
                <w:rFonts w:eastAsia="Calibri"/>
                <w:sz w:val="14"/>
                <w:szCs w:val="14"/>
              </w:rPr>
            </w:pPr>
          </w:p>
        </w:tc>
      </w:tr>
      <w:tr w:rsidR="006919F4" w:rsidRPr="004F57EF" w14:paraId="756FC304" w14:textId="77777777" w:rsidTr="005B07F4">
        <w:trPr>
          <w:jc w:val="center"/>
        </w:trPr>
        <w:tc>
          <w:tcPr>
            <w:tcW w:w="2180" w:type="dxa"/>
            <w:tcBorders>
              <w:left w:val="single" w:sz="4" w:space="0" w:color="auto"/>
              <w:right w:val="nil"/>
            </w:tcBorders>
          </w:tcPr>
          <w:p w14:paraId="2BFDE0AF" w14:textId="77777777" w:rsidR="006919F4" w:rsidRPr="004F57EF" w:rsidRDefault="006919F4" w:rsidP="004F57EF">
            <w:pPr>
              <w:pStyle w:val="Document"/>
              <w:spacing w:line="200" w:lineRule="exact"/>
              <w:ind w:firstLine="0"/>
              <w:jc w:val="left"/>
              <w:rPr>
                <w:rFonts w:eastAsia="Calibri"/>
                <w:i/>
                <w:sz w:val="14"/>
                <w:szCs w:val="14"/>
              </w:rPr>
            </w:pPr>
            <w:r w:rsidRPr="004F57EF">
              <w:rPr>
                <w:rFonts w:eastAsia="Calibri"/>
                <w:i/>
                <w:sz w:val="14"/>
                <w:szCs w:val="14"/>
              </w:rPr>
              <w:t>Explanatory Variable</w:t>
            </w:r>
          </w:p>
        </w:tc>
        <w:tc>
          <w:tcPr>
            <w:tcW w:w="881" w:type="dxa"/>
            <w:tcBorders>
              <w:left w:val="nil"/>
              <w:right w:val="nil"/>
            </w:tcBorders>
            <w:shd w:val="clear" w:color="auto" w:fill="auto"/>
          </w:tcPr>
          <w:p w14:paraId="45A163FB" w14:textId="77777777" w:rsidR="006919F4" w:rsidRPr="005B07F4" w:rsidRDefault="006919F4" w:rsidP="005B07F4">
            <w:pPr>
              <w:pStyle w:val="Document"/>
              <w:spacing w:line="200" w:lineRule="exact"/>
              <w:ind w:firstLine="0"/>
              <w:jc w:val="center"/>
              <w:rPr>
                <w:rFonts w:eastAsia="Calibri"/>
                <w:i/>
                <w:sz w:val="14"/>
                <w:szCs w:val="14"/>
              </w:rPr>
            </w:pPr>
            <w:r w:rsidRPr="005B07F4">
              <w:rPr>
                <w:rFonts w:eastAsia="Calibri"/>
                <w:i/>
                <w:sz w:val="14"/>
                <w:szCs w:val="14"/>
              </w:rPr>
              <w:t>All</w:t>
            </w:r>
          </w:p>
          <w:p w14:paraId="5B856CD3" w14:textId="77777777" w:rsidR="006919F4" w:rsidRPr="005B07F4" w:rsidRDefault="006919F4" w:rsidP="005B07F4">
            <w:pPr>
              <w:pStyle w:val="Document"/>
              <w:spacing w:line="200" w:lineRule="exact"/>
              <w:ind w:firstLine="0"/>
              <w:jc w:val="center"/>
              <w:rPr>
                <w:rFonts w:eastAsia="Calibri"/>
                <w:i/>
                <w:sz w:val="14"/>
                <w:szCs w:val="14"/>
              </w:rPr>
            </w:pPr>
            <w:r w:rsidRPr="005B07F4">
              <w:rPr>
                <w:rFonts w:eastAsia="Calibri"/>
                <w:i/>
                <w:sz w:val="14"/>
                <w:szCs w:val="14"/>
              </w:rPr>
              <w:t>Tax Cases</w:t>
            </w:r>
          </w:p>
          <w:p w14:paraId="28ACAFEC" w14:textId="77777777" w:rsidR="00761AFF" w:rsidRPr="004F57EF" w:rsidRDefault="00761AFF" w:rsidP="005B07F4">
            <w:pPr>
              <w:pStyle w:val="Document"/>
              <w:spacing w:line="200" w:lineRule="exact"/>
              <w:ind w:firstLine="35"/>
              <w:jc w:val="center"/>
              <w:rPr>
                <w:rFonts w:eastAsia="Calibri"/>
                <w:sz w:val="14"/>
                <w:szCs w:val="14"/>
              </w:rPr>
            </w:pPr>
          </w:p>
          <w:p w14:paraId="03E5BF57" w14:textId="77777777" w:rsidR="00761AFF" w:rsidRPr="004F57EF" w:rsidRDefault="00761AFF" w:rsidP="005B07F4">
            <w:pPr>
              <w:pStyle w:val="Document"/>
              <w:spacing w:line="200" w:lineRule="exact"/>
              <w:ind w:firstLine="35"/>
              <w:jc w:val="center"/>
              <w:rPr>
                <w:rFonts w:eastAsia="Calibri"/>
                <w:sz w:val="14"/>
                <w:szCs w:val="14"/>
              </w:rPr>
            </w:pPr>
          </w:p>
          <w:p w14:paraId="1FEA0E7A"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(1)</w:t>
            </w:r>
          </w:p>
        </w:tc>
        <w:tc>
          <w:tcPr>
            <w:tcW w:w="942" w:type="dxa"/>
            <w:tcBorders>
              <w:left w:val="nil"/>
              <w:right w:val="nil"/>
            </w:tcBorders>
            <w:shd w:val="clear" w:color="auto" w:fill="auto"/>
          </w:tcPr>
          <w:p w14:paraId="713A15B1" w14:textId="77777777" w:rsidR="005B07F4" w:rsidRPr="005B07F4" w:rsidRDefault="00DB30B7" w:rsidP="005B07F4">
            <w:pPr>
              <w:pStyle w:val="Document"/>
              <w:spacing w:line="200" w:lineRule="exact"/>
              <w:ind w:firstLine="0"/>
              <w:jc w:val="center"/>
              <w:rPr>
                <w:rFonts w:eastAsia="Calibri"/>
                <w:i/>
                <w:sz w:val="14"/>
                <w:szCs w:val="14"/>
              </w:rPr>
            </w:pPr>
            <w:r w:rsidRPr="005B07F4">
              <w:rPr>
                <w:rFonts w:eastAsia="Calibri"/>
                <w:i/>
                <w:sz w:val="14"/>
                <w:szCs w:val="14"/>
              </w:rPr>
              <w:t xml:space="preserve">Corporate </w:t>
            </w:r>
          </w:p>
          <w:p w14:paraId="5C5F0A0E" w14:textId="77777777" w:rsidR="00761AFF" w:rsidRPr="004F57EF" w:rsidRDefault="00DB30B7" w:rsidP="005B07F4">
            <w:pPr>
              <w:pStyle w:val="Document"/>
              <w:spacing w:line="200" w:lineRule="exact"/>
              <w:ind w:firstLine="0"/>
              <w:jc w:val="center"/>
              <w:rPr>
                <w:rFonts w:eastAsia="Calibri"/>
                <w:sz w:val="14"/>
                <w:szCs w:val="14"/>
              </w:rPr>
            </w:pPr>
            <w:r w:rsidRPr="005B07F4">
              <w:rPr>
                <w:rFonts w:eastAsia="Calibri"/>
                <w:i/>
                <w:sz w:val="14"/>
                <w:szCs w:val="14"/>
              </w:rPr>
              <w:t>Tax Cases</w:t>
            </w:r>
            <w:r w:rsidR="006919F4" w:rsidRPr="004F57EF">
              <w:rPr>
                <w:rFonts w:eastAsia="Calibri"/>
                <w:sz w:val="14"/>
                <w:szCs w:val="14"/>
              </w:rPr>
              <w:br/>
            </w:r>
          </w:p>
          <w:p w14:paraId="4511A483" w14:textId="77777777" w:rsidR="00761AFF" w:rsidRPr="004F57EF" w:rsidRDefault="00761AFF" w:rsidP="005B07F4">
            <w:pPr>
              <w:pStyle w:val="Document"/>
              <w:spacing w:line="200" w:lineRule="exact"/>
              <w:ind w:firstLine="0"/>
              <w:jc w:val="center"/>
              <w:rPr>
                <w:rFonts w:eastAsia="Calibri"/>
                <w:sz w:val="14"/>
                <w:szCs w:val="14"/>
              </w:rPr>
            </w:pPr>
          </w:p>
          <w:p w14:paraId="50E0FEDE" w14:textId="77777777" w:rsidR="006919F4" w:rsidRPr="004F57EF" w:rsidRDefault="006919F4" w:rsidP="005B07F4">
            <w:pPr>
              <w:pStyle w:val="Document"/>
              <w:spacing w:line="200" w:lineRule="exact"/>
              <w:ind w:firstLine="0"/>
              <w:jc w:val="center"/>
              <w:rPr>
                <w:rFonts w:eastAsia="Calibri"/>
                <w:sz w:val="14"/>
                <w:szCs w:val="14"/>
              </w:rPr>
            </w:pPr>
            <w:r w:rsidRPr="004F57EF">
              <w:rPr>
                <w:rFonts w:eastAsia="Calibri"/>
                <w:sz w:val="14"/>
                <w:szCs w:val="14"/>
              </w:rPr>
              <w:t>(2)</w:t>
            </w:r>
          </w:p>
        </w:tc>
        <w:tc>
          <w:tcPr>
            <w:tcW w:w="987" w:type="dxa"/>
            <w:tcBorders>
              <w:left w:val="nil"/>
              <w:right w:val="nil"/>
            </w:tcBorders>
            <w:shd w:val="clear" w:color="auto" w:fill="auto"/>
          </w:tcPr>
          <w:p w14:paraId="629E7D36" w14:textId="77777777" w:rsidR="006919F4" w:rsidRPr="005B07F4" w:rsidRDefault="006919F4" w:rsidP="005B07F4">
            <w:pPr>
              <w:pStyle w:val="Document"/>
              <w:spacing w:line="200" w:lineRule="exact"/>
              <w:ind w:firstLine="0"/>
              <w:jc w:val="center"/>
              <w:rPr>
                <w:rFonts w:eastAsia="Calibri"/>
                <w:i/>
                <w:sz w:val="14"/>
                <w:szCs w:val="14"/>
              </w:rPr>
            </w:pPr>
            <w:r w:rsidRPr="005B07F4">
              <w:rPr>
                <w:rFonts w:eastAsia="Calibri"/>
                <w:i/>
                <w:sz w:val="14"/>
                <w:szCs w:val="14"/>
              </w:rPr>
              <w:t>All</w:t>
            </w:r>
          </w:p>
          <w:p w14:paraId="75367667" w14:textId="77777777" w:rsidR="006919F4" w:rsidRPr="005B07F4" w:rsidRDefault="006919F4" w:rsidP="005B07F4">
            <w:pPr>
              <w:pStyle w:val="Document"/>
              <w:spacing w:line="200" w:lineRule="exact"/>
              <w:ind w:firstLine="0"/>
              <w:jc w:val="center"/>
              <w:rPr>
                <w:rFonts w:eastAsia="Calibri"/>
                <w:i/>
                <w:sz w:val="14"/>
                <w:szCs w:val="14"/>
              </w:rPr>
            </w:pPr>
            <w:r w:rsidRPr="005B07F4">
              <w:rPr>
                <w:rFonts w:eastAsia="Calibri"/>
                <w:i/>
                <w:sz w:val="14"/>
                <w:szCs w:val="14"/>
              </w:rPr>
              <w:t>Tax Cases</w:t>
            </w:r>
          </w:p>
          <w:p w14:paraId="45693BF0" w14:textId="77777777" w:rsidR="006919F4" w:rsidRPr="005B07F4" w:rsidRDefault="00DB30B7" w:rsidP="005B07F4">
            <w:pPr>
              <w:pStyle w:val="Document"/>
              <w:spacing w:line="200" w:lineRule="exact"/>
              <w:ind w:firstLine="35"/>
              <w:jc w:val="center"/>
              <w:rPr>
                <w:rFonts w:eastAsia="Calibri"/>
                <w:i/>
                <w:sz w:val="14"/>
                <w:szCs w:val="14"/>
              </w:rPr>
            </w:pPr>
            <w:r w:rsidRPr="005B07F4">
              <w:rPr>
                <w:rFonts w:eastAsia="Calibri"/>
                <w:i/>
                <w:sz w:val="14"/>
                <w:szCs w:val="14"/>
              </w:rPr>
              <w:t>Post</w:t>
            </w:r>
            <w:r w:rsidR="006D7248" w:rsidRPr="005B07F4">
              <w:rPr>
                <w:i/>
                <w:sz w:val="14"/>
                <w:szCs w:val="14"/>
              </w:rPr>
              <w:t>-</w:t>
            </w:r>
            <w:r w:rsidR="006919F4" w:rsidRPr="005B07F4">
              <w:rPr>
                <w:rFonts w:eastAsia="Calibri"/>
                <w:i/>
                <w:sz w:val="14"/>
                <w:szCs w:val="14"/>
              </w:rPr>
              <w:t>WWII</w:t>
            </w:r>
          </w:p>
          <w:p w14:paraId="712D3D07" w14:textId="77777777" w:rsidR="004F57EF" w:rsidRPr="004F57EF" w:rsidRDefault="004F57EF" w:rsidP="005B07F4">
            <w:pPr>
              <w:pStyle w:val="Document"/>
              <w:spacing w:line="200" w:lineRule="exact"/>
              <w:ind w:firstLine="35"/>
              <w:jc w:val="center"/>
              <w:rPr>
                <w:rFonts w:eastAsia="Calibri"/>
                <w:sz w:val="14"/>
                <w:szCs w:val="14"/>
              </w:rPr>
            </w:pPr>
          </w:p>
          <w:p w14:paraId="6F8B2363"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(3)</w:t>
            </w:r>
          </w:p>
        </w:tc>
        <w:tc>
          <w:tcPr>
            <w:tcW w:w="1054" w:type="dxa"/>
            <w:tcBorders>
              <w:left w:val="nil"/>
              <w:right w:val="single" w:sz="4" w:space="0" w:color="auto"/>
            </w:tcBorders>
            <w:shd w:val="clear" w:color="auto" w:fill="auto"/>
          </w:tcPr>
          <w:p w14:paraId="47D971E5" w14:textId="77777777" w:rsidR="005B07F4" w:rsidRPr="005B07F4" w:rsidRDefault="006919F4" w:rsidP="005B07F4">
            <w:pPr>
              <w:pStyle w:val="Document"/>
              <w:spacing w:line="200" w:lineRule="exact"/>
              <w:ind w:firstLine="0"/>
              <w:jc w:val="center"/>
              <w:rPr>
                <w:rFonts w:eastAsia="Calibri"/>
                <w:i/>
                <w:sz w:val="14"/>
                <w:szCs w:val="14"/>
              </w:rPr>
            </w:pPr>
            <w:r w:rsidRPr="005B07F4">
              <w:rPr>
                <w:rFonts w:eastAsia="Calibri"/>
                <w:i/>
                <w:sz w:val="14"/>
                <w:szCs w:val="14"/>
              </w:rPr>
              <w:t xml:space="preserve">Corporate </w:t>
            </w:r>
          </w:p>
          <w:p w14:paraId="7BF32B70" w14:textId="77777777" w:rsidR="006919F4" w:rsidRPr="005B07F4" w:rsidRDefault="006919F4" w:rsidP="005B07F4">
            <w:pPr>
              <w:pStyle w:val="Document"/>
              <w:spacing w:line="200" w:lineRule="exact"/>
              <w:ind w:firstLine="0"/>
              <w:jc w:val="center"/>
              <w:rPr>
                <w:rFonts w:eastAsia="Calibri"/>
                <w:i/>
                <w:sz w:val="14"/>
                <w:szCs w:val="14"/>
              </w:rPr>
            </w:pPr>
            <w:r w:rsidRPr="005B07F4">
              <w:rPr>
                <w:rFonts w:eastAsia="Calibri"/>
                <w:i/>
                <w:sz w:val="14"/>
                <w:szCs w:val="14"/>
              </w:rPr>
              <w:t>Tax Cases</w:t>
            </w:r>
          </w:p>
          <w:p w14:paraId="3AD6724E" w14:textId="77777777" w:rsidR="00761AFF" w:rsidRPr="005B07F4" w:rsidRDefault="00DB30B7" w:rsidP="005B07F4">
            <w:pPr>
              <w:pStyle w:val="Document"/>
              <w:spacing w:line="200" w:lineRule="exact"/>
              <w:ind w:firstLine="35"/>
              <w:jc w:val="center"/>
              <w:rPr>
                <w:rFonts w:eastAsia="Calibri"/>
                <w:i/>
                <w:sz w:val="14"/>
                <w:szCs w:val="14"/>
              </w:rPr>
            </w:pPr>
            <w:r w:rsidRPr="005B07F4">
              <w:rPr>
                <w:rFonts w:eastAsia="Calibri"/>
                <w:i/>
                <w:sz w:val="14"/>
                <w:szCs w:val="14"/>
              </w:rPr>
              <w:t>Post</w:t>
            </w:r>
            <w:r w:rsidR="006D7248" w:rsidRPr="005B07F4">
              <w:rPr>
                <w:i/>
                <w:sz w:val="14"/>
                <w:szCs w:val="14"/>
              </w:rPr>
              <w:t>-</w:t>
            </w:r>
            <w:r w:rsidR="006919F4" w:rsidRPr="005B07F4">
              <w:rPr>
                <w:rFonts w:eastAsia="Calibri"/>
                <w:i/>
                <w:sz w:val="14"/>
                <w:szCs w:val="14"/>
              </w:rPr>
              <w:t>WWII</w:t>
            </w:r>
          </w:p>
          <w:p w14:paraId="4FEBF5AC" w14:textId="77777777" w:rsidR="004F57EF" w:rsidRPr="004F57EF" w:rsidRDefault="004F57EF" w:rsidP="005B07F4">
            <w:pPr>
              <w:pStyle w:val="Document"/>
              <w:spacing w:line="200" w:lineRule="exact"/>
              <w:ind w:firstLine="35"/>
              <w:jc w:val="center"/>
              <w:rPr>
                <w:rFonts w:eastAsia="Calibri"/>
                <w:sz w:val="14"/>
                <w:szCs w:val="14"/>
              </w:rPr>
            </w:pPr>
          </w:p>
          <w:p w14:paraId="2A3CB16F"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(4)</w:t>
            </w:r>
          </w:p>
        </w:tc>
      </w:tr>
      <w:tr w:rsidR="006919F4" w:rsidRPr="004F57EF" w14:paraId="0BED2890" w14:textId="77777777" w:rsidTr="005B07F4">
        <w:trPr>
          <w:jc w:val="center"/>
        </w:trPr>
        <w:tc>
          <w:tcPr>
            <w:tcW w:w="2180" w:type="dxa"/>
            <w:tcBorders>
              <w:left w:val="single" w:sz="4" w:space="0" w:color="auto"/>
              <w:bottom w:val="nil"/>
              <w:right w:val="nil"/>
            </w:tcBorders>
          </w:tcPr>
          <w:p w14:paraId="5B996C88" w14:textId="77777777" w:rsidR="006919F4" w:rsidRPr="004F57EF" w:rsidRDefault="006919F4" w:rsidP="004F57EF">
            <w:pPr>
              <w:pStyle w:val="Document"/>
              <w:spacing w:line="200" w:lineRule="exact"/>
              <w:ind w:firstLine="0"/>
              <w:jc w:val="left"/>
              <w:rPr>
                <w:rFonts w:eastAsia="Calibri"/>
                <w:i/>
                <w:sz w:val="14"/>
                <w:szCs w:val="14"/>
              </w:rPr>
            </w:pPr>
            <w:r w:rsidRPr="004F57EF">
              <w:rPr>
                <w:rFonts w:eastAsia="Calibri"/>
                <w:i/>
                <w:sz w:val="14"/>
                <w:szCs w:val="14"/>
              </w:rPr>
              <w:t>Corporate Tax Abuse Case</w:t>
            </w:r>
          </w:p>
        </w:tc>
        <w:tc>
          <w:tcPr>
            <w:tcW w:w="881" w:type="dxa"/>
            <w:tcBorders>
              <w:left w:val="nil"/>
              <w:right w:val="nil"/>
            </w:tcBorders>
            <w:shd w:val="clear" w:color="auto" w:fill="auto"/>
          </w:tcPr>
          <w:p w14:paraId="27E595D1" w14:textId="77777777" w:rsidR="005B07F4" w:rsidRDefault="006919F4" w:rsidP="005B07F4">
            <w:pPr>
              <w:pStyle w:val="Document"/>
              <w:spacing w:line="200" w:lineRule="exact"/>
              <w:ind w:firstLine="35"/>
              <w:jc w:val="center"/>
              <w:rPr>
                <w:rFonts w:eastAsia="Calibri"/>
                <w:sz w:val="14"/>
                <w:szCs w:val="14"/>
              </w:rPr>
            </w:pPr>
            <w:r w:rsidRPr="004F57EF">
              <w:rPr>
                <w:rFonts w:eastAsia="Calibri"/>
                <w:sz w:val="14"/>
                <w:szCs w:val="14"/>
              </w:rPr>
              <w:t>-.07</w:t>
            </w:r>
          </w:p>
          <w:p w14:paraId="2DB148CC"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(.05)</w:t>
            </w:r>
          </w:p>
        </w:tc>
        <w:tc>
          <w:tcPr>
            <w:tcW w:w="942" w:type="dxa"/>
            <w:tcBorders>
              <w:left w:val="nil"/>
              <w:right w:val="nil"/>
            </w:tcBorders>
            <w:shd w:val="clear" w:color="auto" w:fill="auto"/>
          </w:tcPr>
          <w:p w14:paraId="054273BC" w14:textId="77777777" w:rsidR="00DB30B7"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-.08</w:t>
            </w:r>
          </w:p>
          <w:p w14:paraId="615E9A8F"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(.05)</w:t>
            </w:r>
          </w:p>
        </w:tc>
        <w:tc>
          <w:tcPr>
            <w:tcW w:w="987" w:type="dxa"/>
            <w:tcBorders>
              <w:left w:val="nil"/>
              <w:right w:val="nil"/>
            </w:tcBorders>
            <w:shd w:val="clear" w:color="auto" w:fill="auto"/>
          </w:tcPr>
          <w:p w14:paraId="055C40B0" w14:textId="77777777" w:rsidR="005B07F4" w:rsidRDefault="006919F4" w:rsidP="005B07F4">
            <w:pPr>
              <w:pStyle w:val="Document"/>
              <w:spacing w:line="200" w:lineRule="exact"/>
              <w:ind w:firstLine="35"/>
              <w:jc w:val="center"/>
              <w:rPr>
                <w:rFonts w:eastAsia="Calibri"/>
                <w:sz w:val="14"/>
                <w:szCs w:val="14"/>
              </w:rPr>
            </w:pPr>
            <w:r w:rsidRPr="004F57EF">
              <w:rPr>
                <w:rFonts w:eastAsia="Calibri"/>
                <w:sz w:val="14"/>
                <w:szCs w:val="14"/>
              </w:rPr>
              <w:t>-.18</w:t>
            </w:r>
            <w:r w:rsidR="00DB30B7" w:rsidRPr="004F57EF">
              <w:rPr>
                <w:rFonts w:eastAsia="Calibri"/>
                <w:sz w:val="14"/>
                <w:szCs w:val="14"/>
              </w:rPr>
              <w:t xml:space="preserve"> </w:t>
            </w:r>
          </w:p>
          <w:p w14:paraId="3F2A4028"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(.08)**</w:t>
            </w:r>
          </w:p>
        </w:tc>
        <w:tc>
          <w:tcPr>
            <w:tcW w:w="1054" w:type="dxa"/>
            <w:tcBorders>
              <w:left w:val="nil"/>
              <w:right w:val="single" w:sz="4" w:space="0" w:color="auto"/>
            </w:tcBorders>
            <w:shd w:val="clear" w:color="auto" w:fill="auto"/>
          </w:tcPr>
          <w:p w14:paraId="52EC1C6A" w14:textId="77777777" w:rsidR="00DB30B7"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-.18</w:t>
            </w:r>
          </w:p>
          <w:p w14:paraId="470AFF33"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(.09)**</w:t>
            </w:r>
          </w:p>
        </w:tc>
      </w:tr>
      <w:tr w:rsidR="005B07F4" w:rsidRPr="004F57EF" w14:paraId="66B89932" w14:textId="77777777" w:rsidTr="005B07F4">
        <w:trPr>
          <w:jc w:val="center"/>
        </w:trPr>
        <w:tc>
          <w:tcPr>
            <w:tcW w:w="2180" w:type="dxa"/>
            <w:tcBorders>
              <w:top w:val="single" w:sz="4" w:space="0" w:color="auto"/>
              <w:left w:val="single" w:sz="4" w:space="0" w:color="auto"/>
              <w:bottom w:val="single" w:sz="4" w:space="0" w:color="auto"/>
              <w:right w:val="nil"/>
            </w:tcBorders>
          </w:tcPr>
          <w:p w14:paraId="2439D868" w14:textId="6630B805" w:rsidR="005B07F4" w:rsidRPr="005B07F4" w:rsidRDefault="005B07F4" w:rsidP="002006E8">
            <w:pPr>
              <w:pStyle w:val="Document"/>
              <w:spacing w:line="200" w:lineRule="exact"/>
              <w:ind w:firstLine="0"/>
              <w:jc w:val="left"/>
              <w:rPr>
                <w:rFonts w:eastAsia="Calibri"/>
                <w:i/>
                <w:sz w:val="14"/>
                <w:szCs w:val="14"/>
              </w:rPr>
            </w:pPr>
            <w:r w:rsidRPr="005B07F4">
              <w:rPr>
                <w:rFonts w:eastAsia="Calibri"/>
                <w:i/>
                <w:sz w:val="14"/>
                <w:szCs w:val="14"/>
              </w:rPr>
              <w:t xml:space="preserve">Probability of Pro-Government </w:t>
            </w:r>
            <w:r w:rsidRPr="005B07F4">
              <w:rPr>
                <w:rFonts w:eastAsia="Calibri"/>
                <w:i/>
                <w:sz w:val="14"/>
                <w:szCs w:val="14"/>
              </w:rPr>
              <w:lastRenderedPageBreak/>
              <w:t xml:space="preserve">Outcome </w:t>
            </w:r>
            <w:r w:rsidR="002006E8">
              <w:rPr>
                <w:rFonts w:eastAsia="Calibri"/>
                <w:i/>
                <w:sz w:val="14"/>
                <w:szCs w:val="14"/>
              </w:rPr>
              <w:t>at X-bar</w:t>
            </w:r>
          </w:p>
        </w:tc>
        <w:tc>
          <w:tcPr>
            <w:tcW w:w="881" w:type="dxa"/>
            <w:tcBorders>
              <w:top w:val="single" w:sz="4" w:space="0" w:color="auto"/>
              <w:left w:val="nil"/>
              <w:bottom w:val="single" w:sz="4" w:space="0" w:color="auto"/>
              <w:right w:val="nil"/>
            </w:tcBorders>
            <w:shd w:val="clear" w:color="auto" w:fill="auto"/>
          </w:tcPr>
          <w:p w14:paraId="5A2FDB2E" w14:textId="77777777" w:rsidR="005B07F4" w:rsidRPr="004F57EF" w:rsidRDefault="005B07F4" w:rsidP="00602631">
            <w:pPr>
              <w:pStyle w:val="Document"/>
              <w:spacing w:line="200" w:lineRule="exact"/>
              <w:ind w:firstLine="35"/>
              <w:jc w:val="center"/>
              <w:rPr>
                <w:rFonts w:eastAsia="Calibri"/>
                <w:sz w:val="14"/>
                <w:szCs w:val="14"/>
              </w:rPr>
            </w:pPr>
            <w:r w:rsidRPr="004F57EF">
              <w:rPr>
                <w:rFonts w:eastAsia="Calibri"/>
                <w:sz w:val="14"/>
                <w:szCs w:val="14"/>
              </w:rPr>
              <w:lastRenderedPageBreak/>
              <w:t>.68</w:t>
            </w:r>
          </w:p>
        </w:tc>
        <w:tc>
          <w:tcPr>
            <w:tcW w:w="942" w:type="dxa"/>
            <w:tcBorders>
              <w:top w:val="single" w:sz="4" w:space="0" w:color="auto"/>
              <w:left w:val="nil"/>
              <w:bottom w:val="single" w:sz="4" w:space="0" w:color="auto"/>
              <w:right w:val="nil"/>
            </w:tcBorders>
            <w:shd w:val="clear" w:color="auto" w:fill="auto"/>
          </w:tcPr>
          <w:p w14:paraId="78F865E6" w14:textId="77777777" w:rsidR="005B07F4" w:rsidRPr="004F57EF" w:rsidRDefault="005B07F4" w:rsidP="00602631">
            <w:pPr>
              <w:pStyle w:val="Document"/>
              <w:spacing w:line="200" w:lineRule="exact"/>
              <w:ind w:firstLine="35"/>
              <w:jc w:val="center"/>
              <w:rPr>
                <w:rFonts w:eastAsia="Calibri"/>
                <w:sz w:val="14"/>
                <w:szCs w:val="14"/>
              </w:rPr>
            </w:pPr>
            <w:r w:rsidRPr="004F57EF">
              <w:rPr>
                <w:rFonts w:eastAsia="Calibri"/>
                <w:sz w:val="14"/>
                <w:szCs w:val="14"/>
              </w:rPr>
              <w:t>.68</w:t>
            </w:r>
          </w:p>
        </w:tc>
        <w:tc>
          <w:tcPr>
            <w:tcW w:w="987" w:type="dxa"/>
            <w:tcBorders>
              <w:top w:val="single" w:sz="4" w:space="0" w:color="auto"/>
              <w:left w:val="nil"/>
              <w:bottom w:val="single" w:sz="4" w:space="0" w:color="auto"/>
              <w:right w:val="nil"/>
            </w:tcBorders>
            <w:shd w:val="clear" w:color="auto" w:fill="auto"/>
          </w:tcPr>
          <w:p w14:paraId="6C6A21DC" w14:textId="77777777" w:rsidR="005B07F4" w:rsidRPr="004F57EF" w:rsidRDefault="005B07F4" w:rsidP="00602631">
            <w:pPr>
              <w:pStyle w:val="Document"/>
              <w:spacing w:line="200" w:lineRule="exact"/>
              <w:ind w:firstLine="35"/>
              <w:jc w:val="center"/>
              <w:rPr>
                <w:rFonts w:eastAsia="Calibri"/>
                <w:sz w:val="14"/>
                <w:szCs w:val="14"/>
              </w:rPr>
            </w:pPr>
            <w:r w:rsidRPr="004F57EF">
              <w:rPr>
                <w:rFonts w:eastAsia="Calibri"/>
                <w:sz w:val="14"/>
                <w:szCs w:val="14"/>
              </w:rPr>
              <w:t>.71</w:t>
            </w:r>
          </w:p>
        </w:tc>
        <w:tc>
          <w:tcPr>
            <w:tcW w:w="1054" w:type="dxa"/>
            <w:tcBorders>
              <w:top w:val="single" w:sz="4" w:space="0" w:color="auto"/>
              <w:left w:val="nil"/>
              <w:bottom w:val="single" w:sz="4" w:space="0" w:color="auto"/>
              <w:right w:val="single" w:sz="4" w:space="0" w:color="auto"/>
            </w:tcBorders>
            <w:shd w:val="clear" w:color="auto" w:fill="auto"/>
          </w:tcPr>
          <w:p w14:paraId="3EA1F81F" w14:textId="77777777" w:rsidR="005B07F4" w:rsidRPr="004F57EF" w:rsidRDefault="005B07F4" w:rsidP="00602631">
            <w:pPr>
              <w:pStyle w:val="Document"/>
              <w:spacing w:line="200" w:lineRule="exact"/>
              <w:ind w:firstLine="35"/>
              <w:jc w:val="center"/>
              <w:rPr>
                <w:rFonts w:eastAsia="Calibri"/>
                <w:sz w:val="14"/>
                <w:szCs w:val="14"/>
              </w:rPr>
            </w:pPr>
            <w:r w:rsidRPr="004F57EF">
              <w:rPr>
                <w:rFonts w:eastAsia="Calibri"/>
                <w:sz w:val="14"/>
                <w:szCs w:val="14"/>
              </w:rPr>
              <w:t>.68</w:t>
            </w:r>
          </w:p>
        </w:tc>
      </w:tr>
      <w:tr w:rsidR="006919F4" w:rsidRPr="004F57EF" w14:paraId="5D65EE1C" w14:textId="77777777" w:rsidTr="005B07F4">
        <w:trPr>
          <w:jc w:val="center"/>
        </w:trPr>
        <w:tc>
          <w:tcPr>
            <w:tcW w:w="2180" w:type="dxa"/>
            <w:tcBorders>
              <w:top w:val="single" w:sz="4" w:space="0" w:color="auto"/>
              <w:left w:val="single" w:sz="4" w:space="0" w:color="auto"/>
              <w:bottom w:val="single" w:sz="4" w:space="0" w:color="auto"/>
              <w:right w:val="nil"/>
            </w:tcBorders>
          </w:tcPr>
          <w:p w14:paraId="52DA0E7F" w14:textId="77777777" w:rsidR="006919F4" w:rsidRPr="004F57EF" w:rsidRDefault="006919F4" w:rsidP="004F57EF">
            <w:pPr>
              <w:pStyle w:val="Document"/>
              <w:spacing w:line="200" w:lineRule="exact"/>
              <w:ind w:firstLine="0"/>
              <w:jc w:val="left"/>
              <w:rPr>
                <w:rFonts w:eastAsia="Calibri"/>
                <w:i/>
                <w:sz w:val="14"/>
                <w:szCs w:val="14"/>
              </w:rPr>
            </w:pPr>
            <w:r w:rsidRPr="004F57EF">
              <w:rPr>
                <w:rFonts w:eastAsia="Calibri"/>
                <w:i/>
                <w:sz w:val="14"/>
                <w:szCs w:val="14"/>
              </w:rPr>
              <w:lastRenderedPageBreak/>
              <w:t>Total Observations</w:t>
            </w:r>
          </w:p>
        </w:tc>
        <w:tc>
          <w:tcPr>
            <w:tcW w:w="881" w:type="dxa"/>
            <w:tcBorders>
              <w:top w:val="single" w:sz="4" w:space="0" w:color="auto"/>
              <w:left w:val="nil"/>
              <w:bottom w:val="single" w:sz="4" w:space="0" w:color="auto"/>
              <w:right w:val="nil"/>
            </w:tcBorders>
            <w:shd w:val="clear" w:color="auto" w:fill="auto"/>
          </w:tcPr>
          <w:p w14:paraId="126AF73B"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850</w:t>
            </w:r>
          </w:p>
        </w:tc>
        <w:tc>
          <w:tcPr>
            <w:tcW w:w="942" w:type="dxa"/>
            <w:tcBorders>
              <w:top w:val="single" w:sz="4" w:space="0" w:color="auto"/>
              <w:left w:val="nil"/>
              <w:bottom w:val="single" w:sz="4" w:space="0" w:color="auto"/>
              <w:right w:val="nil"/>
            </w:tcBorders>
            <w:shd w:val="clear" w:color="auto" w:fill="auto"/>
          </w:tcPr>
          <w:p w14:paraId="2C9B44C9"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341</w:t>
            </w:r>
          </w:p>
        </w:tc>
        <w:tc>
          <w:tcPr>
            <w:tcW w:w="987" w:type="dxa"/>
            <w:tcBorders>
              <w:top w:val="single" w:sz="4" w:space="0" w:color="auto"/>
              <w:left w:val="nil"/>
              <w:bottom w:val="single" w:sz="4" w:space="0" w:color="auto"/>
              <w:right w:val="nil"/>
            </w:tcBorders>
            <w:shd w:val="clear" w:color="auto" w:fill="auto"/>
          </w:tcPr>
          <w:p w14:paraId="5BAAAF41"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304</w:t>
            </w:r>
          </w:p>
        </w:tc>
        <w:tc>
          <w:tcPr>
            <w:tcW w:w="1054" w:type="dxa"/>
            <w:tcBorders>
              <w:top w:val="single" w:sz="4" w:space="0" w:color="auto"/>
              <w:left w:val="nil"/>
              <w:bottom w:val="single" w:sz="4" w:space="0" w:color="auto"/>
              <w:right w:val="single" w:sz="4" w:space="0" w:color="auto"/>
            </w:tcBorders>
            <w:shd w:val="clear" w:color="auto" w:fill="auto"/>
          </w:tcPr>
          <w:p w14:paraId="3E124175" w14:textId="77777777" w:rsidR="006919F4" w:rsidRPr="004F57EF" w:rsidRDefault="006919F4" w:rsidP="005B07F4">
            <w:pPr>
              <w:pStyle w:val="Document"/>
              <w:spacing w:line="200" w:lineRule="exact"/>
              <w:ind w:firstLine="35"/>
              <w:jc w:val="center"/>
              <w:rPr>
                <w:rFonts w:eastAsia="Calibri"/>
                <w:sz w:val="14"/>
                <w:szCs w:val="14"/>
              </w:rPr>
            </w:pPr>
            <w:r w:rsidRPr="004F57EF">
              <w:rPr>
                <w:rFonts w:eastAsia="Calibri"/>
                <w:sz w:val="14"/>
                <w:szCs w:val="14"/>
              </w:rPr>
              <w:t>106</w:t>
            </w:r>
          </w:p>
        </w:tc>
      </w:tr>
    </w:tbl>
    <w:p w14:paraId="2A6C8263" w14:textId="3EA85967" w:rsidR="006919F4" w:rsidRDefault="006919F4" w:rsidP="004377F9">
      <w:pPr>
        <w:pStyle w:val="Document"/>
        <w:tabs>
          <w:tab w:val="clear" w:pos="0"/>
        </w:tabs>
        <w:spacing w:line="200" w:lineRule="exact"/>
        <w:ind w:left="270" w:right="290" w:firstLine="0"/>
        <w:rPr>
          <w:b/>
          <w:sz w:val="14"/>
          <w:szCs w:val="14"/>
        </w:rPr>
      </w:pPr>
      <w:r w:rsidRPr="004377F9">
        <w:rPr>
          <w:sz w:val="14"/>
          <w:szCs w:val="14"/>
        </w:rPr>
        <w:t xml:space="preserve">Note: Results marked *** are statistically significant at the .01 level, ** are statistically significant at the </w:t>
      </w:r>
      <w:r w:rsidR="000234BF" w:rsidRPr="004377F9">
        <w:rPr>
          <w:sz w:val="14"/>
          <w:szCs w:val="14"/>
        </w:rPr>
        <w:t>0</w:t>
      </w:r>
      <w:r w:rsidRPr="004377F9">
        <w:rPr>
          <w:sz w:val="14"/>
          <w:szCs w:val="14"/>
        </w:rPr>
        <w:t xml:space="preserve">.05 level, and * are statistically significant at the </w:t>
      </w:r>
      <w:r w:rsidR="000234BF" w:rsidRPr="004377F9">
        <w:rPr>
          <w:sz w:val="14"/>
          <w:szCs w:val="14"/>
        </w:rPr>
        <w:t>0</w:t>
      </w:r>
      <w:r w:rsidRPr="004377F9">
        <w:rPr>
          <w:sz w:val="14"/>
          <w:szCs w:val="14"/>
        </w:rPr>
        <w:t>.10 level.</w:t>
      </w:r>
      <w:r w:rsidR="007F58D6" w:rsidRPr="004377F9">
        <w:rPr>
          <w:sz w:val="14"/>
          <w:szCs w:val="14"/>
        </w:rPr>
        <w:t xml:space="preserve"> </w:t>
      </w:r>
      <w:r w:rsidRPr="004377F9">
        <w:rPr>
          <w:sz w:val="14"/>
          <w:szCs w:val="14"/>
        </w:rPr>
        <w:t>Errors are clustered by Chief Justice.</w:t>
      </w:r>
      <w:r w:rsidR="007F58D6" w:rsidRPr="004377F9">
        <w:rPr>
          <w:sz w:val="14"/>
          <w:szCs w:val="14"/>
        </w:rPr>
        <w:t xml:space="preserve"> </w:t>
      </w:r>
      <w:r w:rsidRPr="004377F9">
        <w:rPr>
          <w:sz w:val="14"/>
          <w:szCs w:val="14"/>
        </w:rPr>
        <w:t>All models include controls for judicial political preferences, the economy, defense spending, the identity of the petitioning party, and a time trend.</w:t>
      </w:r>
      <w:r w:rsidRPr="004377F9">
        <w:rPr>
          <w:b/>
          <w:sz w:val="14"/>
          <w:szCs w:val="14"/>
        </w:rPr>
        <w:tab/>
      </w:r>
    </w:p>
    <w:p w14:paraId="1FD2DE1E" w14:textId="77777777" w:rsidR="004377F9" w:rsidRPr="004377F9" w:rsidRDefault="004377F9" w:rsidP="004377F9">
      <w:pPr>
        <w:pStyle w:val="Document"/>
        <w:tabs>
          <w:tab w:val="clear" w:pos="0"/>
        </w:tabs>
        <w:spacing w:line="200" w:lineRule="exact"/>
        <w:ind w:left="270" w:right="290" w:firstLine="0"/>
        <w:rPr>
          <w:sz w:val="14"/>
          <w:szCs w:val="14"/>
        </w:rPr>
      </w:pPr>
    </w:p>
    <w:p w14:paraId="779FE9AE" w14:textId="3F2EAF60" w:rsidR="006919F4" w:rsidRPr="00506576" w:rsidRDefault="000A61C8" w:rsidP="006919F4">
      <w:pPr>
        <w:pStyle w:val="Document"/>
        <w:rPr>
          <w:rFonts w:ascii="Times New Roman" w:hAnsi="Times New Roman"/>
        </w:rPr>
      </w:pPr>
      <w:r w:rsidRPr="00506576">
        <w:rPr>
          <w:rFonts w:ascii="Times New Roman" w:hAnsi="Times New Roman"/>
        </w:rPr>
        <w:t>Our methods enable</w:t>
      </w:r>
      <w:r w:rsidR="006919F4" w:rsidRPr="00506576">
        <w:rPr>
          <w:rFonts w:ascii="Times New Roman" w:hAnsi="Times New Roman"/>
        </w:rPr>
        <w:t xml:space="preserve"> us to predict whether an allegation of corporate tax abuse will improve or detract from the government’s case</w:t>
      </w:r>
      <w:r w:rsidR="005E3BF4" w:rsidRPr="00506576">
        <w:rPr>
          <w:rFonts w:ascii="Times New Roman" w:hAnsi="Times New Roman"/>
        </w:rPr>
        <w:t xml:space="preserve"> on average</w:t>
      </w:r>
      <w:r w:rsidR="006919F4" w:rsidRPr="00506576">
        <w:rPr>
          <w:rFonts w:ascii="Times New Roman" w:hAnsi="Times New Roman"/>
        </w:rPr>
        <w:t xml:space="preserve">, but we can also use the models to predict the likelihood that the government will prevail in </w:t>
      </w:r>
      <w:r w:rsidR="006919F4" w:rsidRPr="00506576">
        <w:rPr>
          <w:rFonts w:ascii="Times New Roman" w:hAnsi="Times New Roman"/>
          <w:i/>
        </w:rPr>
        <w:t>specific</w:t>
      </w:r>
      <w:r w:rsidR="006919F4" w:rsidRPr="00506576">
        <w:rPr>
          <w:rFonts w:ascii="Times New Roman" w:hAnsi="Times New Roman"/>
        </w:rPr>
        <w:t xml:space="preserve"> cases.</w:t>
      </w:r>
      <w:r w:rsidR="007F58D6" w:rsidRPr="00506576">
        <w:rPr>
          <w:rFonts w:ascii="Times New Roman" w:hAnsi="Times New Roman"/>
        </w:rPr>
        <w:t xml:space="preserve"> </w:t>
      </w:r>
      <w:r w:rsidR="006919F4" w:rsidRPr="00506576">
        <w:rPr>
          <w:rFonts w:ascii="Times New Roman" w:hAnsi="Times New Roman"/>
        </w:rPr>
        <w:t xml:space="preserve">For example, conditional on the factors for which we have controlled in the model presented in column (4) </w:t>
      </w:r>
      <w:r w:rsidRPr="00506576">
        <w:rPr>
          <w:rFonts w:ascii="Times New Roman" w:hAnsi="Times New Roman"/>
        </w:rPr>
        <w:t xml:space="preserve">of </w:t>
      </w:r>
      <w:r w:rsidR="006919F4" w:rsidRPr="00506576">
        <w:rPr>
          <w:rFonts w:ascii="Times New Roman" w:hAnsi="Times New Roman"/>
        </w:rPr>
        <w:t>Table 2, we predict that the government had a 75</w:t>
      </w:r>
      <w:r w:rsidR="00147B27" w:rsidRPr="00506576">
        <w:rPr>
          <w:rFonts w:ascii="Times New Roman" w:hAnsi="Times New Roman"/>
        </w:rPr>
        <w:t>%</w:t>
      </w:r>
      <w:r w:rsidR="006919F4" w:rsidRPr="00506576">
        <w:rPr>
          <w:rFonts w:ascii="Times New Roman" w:hAnsi="Times New Roman"/>
        </w:rPr>
        <w:t xml:space="preserve"> chance of winning in </w:t>
      </w:r>
      <w:r w:rsidR="006919F4" w:rsidRPr="00506576">
        <w:rPr>
          <w:rFonts w:ascii="Times New Roman" w:hAnsi="Times New Roman"/>
          <w:i/>
        </w:rPr>
        <w:t xml:space="preserve">Corn Products v. Commissioner </w:t>
      </w:r>
      <w:r w:rsidR="006919F4" w:rsidRPr="00506576">
        <w:rPr>
          <w:rFonts w:ascii="Times New Roman" w:hAnsi="Times New Roman"/>
        </w:rPr>
        <w:t>(the government won), a 48</w:t>
      </w:r>
      <w:r w:rsidR="00147B27" w:rsidRPr="00506576">
        <w:rPr>
          <w:rFonts w:ascii="Times New Roman" w:hAnsi="Times New Roman"/>
        </w:rPr>
        <w:t>%</w:t>
      </w:r>
      <w:r w:rsidR="006919F4" w:rsidRPr="00506576">
        <w:rPr>
          <w:rFonts w:ascii="Times New Roman" w:hAnsi="Times New Roman"/>
        </w:rPr>
        <w:t xml:space="preserve"> chance of winning in </w:t>
      </w:r>
      <w:r w:rsidR="006919F4" w:rsidRPr="00506576">
        <w:rPr>
          <w:rFonts w:ascii="Times New Roman" w:hAnsi="Times New Roman"/>
          <w:i/>
        </w:rPr>
        <w:t>Cottage Savings</w:t>
      </w:r>
      <w:r w:rsidR="00134E7F" w:rsidRPr="00506576">
        <w:rPr>
          <w:rFonts w:ascii="Times New Roman" w:hAnsi="Times New Roman"/>
          <w:i/>
        </w:rPr>
        <w:t xml:space="preserve"> Ass’n</w:t>
      </w:r>
      <w:r w:rsidR="006919F4" w:rsidRPr="00506576">
        <w:rPr>
          <w:rFonts w:ascii="Times New Roman" w:hAnsi="Times New Roman"/>
          <w:i/>
        </w:rPr>
        <w:t xml:space="preserve"> v. Commissioner</w:t>
      </w:r>
      <w:r w:rsidR="006919F4" w:rsidRPr="00506576">
        <w:rPr>
          <w:rFonts w:ascii="Times New Roman" w:hAnsi="Times New Roman"/>
        </w:rPr>
        <w:t xml:space="preserve"> (the government lost), and a 45</w:t>
      </w:r>
      <w:r w:rsidR="00147B27" w:rsidRPr="00506576">
        <w:rPr>
          <w:rFonts w:ascii="Times New Roman" w:hAnsi="Times New Roman"/>
        </w:rPr>
        <w:t>%</w:t>
      </w:r>
      <w:r w:rsidR="006919F4" w:rsidRPr="00506576">
        <w:rPr>
          <w:rFonts w:ascii="Times New Roman" w:hAnsi="Times New Roman"/>
        </w:rPr>
        <w:t xml:space="preserve"> chance of winning in </w:t>
      </w:r>
      <w:r w:rsidR="00134E7F" w:rsidRPr="00506576">
        <w:rPr>
          <w:rFonts w:ascii="Times New Roman" w:hAnsi="Times New Roman"/>
          <w:i/>
        </w:rPr>
        <w:t>United Dominion Industries, Inc.</w:t>
      </w:r>
      <w:r w:rsidR="006919F4" w:rsidRPr="00506576">
        <w:rPr>
          <w:rFonts w:ascii="Times New Roman" w:hAnsi="Times New Roman"/>
          <w:i/>
        </w:rPr>
        <w:t xml:space="preserve"> v. United States </w:t>
      </w:r>
      <w:r w:rsidR="006919F4" w:rsidRPr="00506576">
        <w:rPr>
          <w:rFonts w:ascii="Times New Roman" w:hAnsi="Times New Roman"/>
        </w:rPr>
        <w:t>(the government lost).</w:t>
      </w:r>
      <w:r w:rsidR="007F58D6" w:rsidRPr="00506576">
        <w:rPr>
          <w:rFonts w:ascii="Times New Roman" w:hAnsi="Times New Roman"/>
        </w:rPr>
        <w:t xml:space="preserve"> </w:t>
      </w:r>
      <w:r w:rsidR="006919F4" w:rsidRPr="00506576">
        <w:rPr>
          <w:rFonts w:ascii="Times New Roman" w:hAnsi="Times New Roman"/>
        </w:rPr>
        <w:t>This small sampling of results suggests that our initial models perform very well.</w:t>
      </w:r>
      <w:r w:rsidR="007F58D6" w:rsidRPr="00506576">
        <w:rPr>
          <w:rFonts w:ascii="Times New Roman" w:hAnsi="Times New Roman"/>
        </w:rPr>
        <w:t xml:space="preserve"> </w:t>
      </w:r>
    </w:p>
    <w:p w14:paraId="586AF440" w14:textId="0C85CAA7" w:rsidR="006919F4" w:rsidRPr="00506576" w:rsidRDefault="006919F4" w:rsidP="006919F4">
      <w:pPr>
        <w:pStyle w:val="Document"/>
        <w:rPr>
          <w:rFonts w:ascii="Times New Roman" w:hAnsi="Times New Roman"/>
        </w:rPr>
      </w:pPr>
      <w:r w:rsidRPr="00506576">
        <w:rPr>
          <w:rFonts w:ascii="Times New Roman" w:hAnsi="Times New Roman"/>
        </w:rPr>
        <w:t>Although corporate tax abuse cases are more difficult for the government to win than other types of cases, it is useful to note that,</w:t>
      </w:r>
      <w:r w:rsidR="004F58A8" w:rsidRPr="00506576">
        <w:rPr>
          <w:rFonts w:ascii="Times New Roman" w:hAnsi="Times New Roman"/>
        </w:rPr>
        <w:t xml:space="preserve"> aside from</w:t>
      </w:r>
      <w:r w:rsidRPr="00506576">
        <w:rPr>
          <w:rFonts w:ascii="Times New Roman" w:hAnsi="Times New Roman"/>
        </w:rPr>
        <w:t xml:space="preserve"> a</w:t>
      </w:r>
      <w:r w:rsidR="007F58D6" w:rsidRPr="00506576">
        <w:rPr>
          <w:rFonts w:ascii="Times New Roman" w:hAnsi="Times New Roman"/>
        </w:rPr>
        <w:t xml:space="preserve"> </w:t>
      </w:r>
      <w:r w:rsidR="004F58A8" w:rsidRPr="00506576">
        <w:rPr>
          <w:rFonts w:ascii="Times New Roman" w:hAnsi="Times New Roman"/>
        </w:rPr>
        <w:t>few exceptional years</w:t>
      </w:r>
      <w:r w:rsidRPr="00506576">
        <w:rPr>
          <w:rFonts w:ascii="Times New Roman" w:hAnsi="Times New Roman"/>
        </w:rPr>
        <w:t>, the government has had a greater than 50</w:t>
      </w:r>
      <w:r w:rsidR="00147B27" w:rsidRPr="00506576">
        <w:rPr>
          <w:rFonts w:ascii="Times New Roman" w:hAnsi="Times New Roman"/>
        </w:rPr>
        <w:t>%</w:t>
      </w:r>
      <w:r w:rsidRPr="00506576">
        <w:rPr>
          <w:rFonts w:ascii="Times New Roman" w:hAnsi="Times New Roman"/>
        </w:rPr>
        <w:t xml:space="preserve"> chance of winning.</w:t>
      </w:r>
      <w:r w:rsidR="007F58D6" w:rsidRPr="00506576">
        <w:rPr>
          <w:rFonts w:ascii="Times New Roman" w:hAnsi="Times New Roman"/>
        </w:rPr>
        <w:t xml:space="preserve"> </w:t>
      </w:r>
      <w:r w:rsidRPr="00506576">
        <w:rPr>
          <w:rFonts w:ascii="Times New Roman" w:hAnsi="Times New Roman"/>
        </w:rPr>
        <w:t>In fact, on average, the government prevailed in 61</w:t>
      </w:r>
      <w:r w:rsidR="00147B27" w:rsidRPr="00506576">
        <w:rPr>
          <w:rFonts w:ascii="Times New Roman" w:hAnsi="Times New Roman"/>
        </w:rPr>
        <w:t>%</w:t>
      </w:r>
      <w:r w:rsidRPr="00506576">
        <w:rPr>
          <w:rFonts w:ascii="Times New Roman" w:hAnsi="Times New Roman"/>
        </w:rPr>
        <w:t xml:space="preserve"> of all the corporate tax abuse cases it litigated since 1909.</w:t>
      </w:r>
      <w:r w:rsidR="007F58D6" w:rsidRPr="00506576">
        <w:rPr>
          <w:rFonts w:ascii="Times New Roman" w:hAnsi="Times New Roman"/>
        </w:rPr>
        <w:t xml:space="preserve"> </w:t>
      </w:r>
      <w:r w:rsidRPr="00506576">
        <w:rPr>
          <w:rFonts w:ascii="Times New Roman" w:hAnsi="Times New Roman"/>
        </w:rPr>
        <w:t>This suggests that while the government may have a weaker case in corporate abuse controversies</w:t>
      </w:r>
      <w:r w:rsidR="0082767C" w:rsidRPr="00506576">
        <w:rPr>
          <w:rFonts w:ascii="Times New Roman" w:hAnsi="Times New Roman"/>
        </w:rPr>
        <w:t xml:space="preserve"> compared to other types of tax controversies</w:t>
      </w:r>
      <w:r w:rsidRPr="00506576">
        <w:rPr>
          <w:rFonts w:ascii="Times New Roman" w:hAnsi="Times New Roman"/>
        </w:rPr>
        <w:t xml:space="preserve">, </w:t>
      </w:r>
      <w:r w:rsidR="004F58A8" w:rsidRPr="00506576">
        <w:rPr>
          <w:rFonts w:ascii="Times New Roman" w:hAnsi="Times New Roman"/>
        </w:rPr>
        <w:t xml:space="preserve">nevertheless </w:t>
      </w:r>
      <w:r w:rsidRPr="00506576">
        <w:rPr>
          <w:rFonts w:ascii="Times New Roman" w:hAnsi="Times New Roman"/>
        </w:rPr>
        <w:t>it is likely to prevail if the dispute reaches the Supreme Court.</w:t>
      </w:r>
      <w:r w:rsidR="007F58D6" w:rsidRPr="00506576">
        <w:rPr>
          <w:rFonts w:ascii="Times New Roman" w:hAnsi="Times New Roman"/>
        </w:rPr>
        <w:t xml:space="preserve"> </w:t>
      </w:r>
      <w:r w:rsidRPr="00506576">
        <w:rPr>
          <w:rFonts w:ascii="Times New Roman" w:hAnsi="Times New Roman"/>
        </w:rPr>
        <w:t xml:space="preserve">Thus, while </w:t>
      </w:r>
      <w:r w:rsidR="00671ADE" w:rsidRPr="00506576">
        <w:rPr>
          <w:rFonts w:ascii="Times New Roman" w:hAnsi="Times New Roman"/>
        </w:rPr>
        <w:t>a</w:t>
      </w:r>
      <w:r w:rsidRPr="00506576">
        <w:rPr>
          <w:rFonts w:ascii="Times New Roman" w:hAnsi="Times New Roman"/>
        </w:rPr>
        <w:t xml:space="preserve"> corporate taxpayer’s chance of prevailing increases in the abuse cases, corporation</w:t>
      </w:r>
      <w:r w:rsidR="00671ADE" w:rsidRPr="00506576">
        <w:rPr>
          <w:rFonts w:ascii="Times New Roman" w:hAnsi="Times New Roman"/>
        </w:rPr>
        <w:t>s</w:t>
      </w:r>
      <w:r w:rsidRPr="00506576">
        <w:rPr>
          <w:rFonts w:ascii="Times New Roman" w:hAnsi="Times New Roman"/>
        </w:rPr>
        <w:t xml:space="preserve"> always </w:t>
      </w:r>
      <w:r w:rsidR="00671ADE" w:rsidRPr="00506576">
        <w:rPr>
          <w:rFonts w:ascii="Times New Roman" w:hAnsi="Times New Roman"/>
        </w:rPr>
        <w:t>seem</w:t>
      </w:r>
      <w:r w:rsidR="00260238" w:rsidRPr="00506576">
        <w:rPr>
          <w:rFonts w:ascii="Times New Roman" w:hAnsi="Times New Roman"/>
        </w:rPr>
        <w:t xml:space="preserve"> to be at</w:t>
      </w:r>
      <w:r w:rsidRPr="00506576">
        <w:rPr>
          <w:rFonts w:ascii="Times New Roman" w:hAnsi="Times New Roman"/>
        </w:rPr>
        <w:t xml:space="preserve"> a disadvantage.</w:t>
      </w:r>
      <w:r w:rsidR="00DD0F22" w:rsidRPr="00506576">
        <w:rPr>
          <w:rFonts w:ascii="Times New Roman" w:hAnsi="Times New Roman"/>
        </w:rPr>
        <w:t xml:space="preserve"> For purposes of comparison, the judicial anti-abuse doctrines do not seem to play such a strong role in other countries, such as Australia, New Zealand, and Canada.</w:t>
      </w:r>
      <w:r w:rsidR="00DD0F22" w:rsidRPr="00506576">
        <w:rPr>
          <w:rStyle w:val="FootnoteReference"/>
          <w:rFonts w:ascii="Times New Roman" w:hAnsi="Times New Roman"/>
        </w:rPr>
        <w:footnoteReference w:id="18"/>
      </w:r>
      <w:r w:rsidR="00DD0F22" w:rsidRPr="00506576">
        <w:rPr>
          <w:rFonts w:ascii="Times New Roman" w:hAnsi="Times New Roman"/>
        </w:rPr>
        <w:t xml:space="preserve"> </w:t>
      </w:r>
    </w:p>
    <w:p w14:paraId="3848606E" w14:textId="1F5CBC71" w:rsidR="006919F4" w:rsidRPr="00506576" w:rsidRDefault="00953B4E" w:rsidP="00953B4E">
      <w:pPr>
        <w:pStyle w:val="SubHead3"/>
        <w:rPr>
          <w:rFonts w:ascii="Times New Roman" w:hAnsi="Times New Roman"/>
        </w:rPr>
      </w:pPr>
      <w:bookmarkStart w:id="66" w:name="_Toc319267165"/>
      <w:bookmarkStart w:id="67" w:name="_Toc332272317"/>
      <w:bookmarkStart w:id="68" w:name="_Toc337045096"/>
      <w:bookmarkStart w:id="69" w:name="_Toc337045528"/>
      <w:bookmarkStart w:id="70" w:name="_Toc338056871"/>
      <w:r w:rsidRPr="00506576">
        <w:rPr>
          <w:rFonts w:ascii="Times New Roman" w:hAnsi="Times New Roman"/>
        </w:rPr>
        <w:t>2.</w:t>
      </w:r>
      <w:r w:rsidRPr="00506576">
        <w:rPr>
          <w:rFonts w:ascii="Times New Roman" w:hAnsi="Times New Roman"/>
        </w:rPr>
        <w:tab/>
      </w:r>
      <w:r w:rsidR="006919F4" w:rsidRPr="00506576">
        <w:rPr>
          <w:rFonts w:ascii="Times New Roman" w:hAnsi="Times New Roman"/>
        </w:rPr>
        <w:t xml:space="preserve">What Explains </w:t>
      </w:r>
      <w:r w:rsidR="00EA0178" w:rsidRPr="00506576">
        <w:rPr>
          <w:rFonts w:ascii="Times New Roman" w:hAnsi="Times New Roman"/>
        </w:rPr>
        <w:t xml:space="preserve">US </w:t>
      </w:r>
      <w:r w:rsidR="006919F4" w:rsidRPr="00506576">
        <w:rPr>
          <w:rFonts w:ascii="Times New Roman" w:hAnsi="Times New Roman"/>
        </w:rPr>
        <w:t>Supreme Court?</w:t>
      </w:r>
      <w:bookmarkEnd w:id="66"/>
      <w:bookmarkEnd w:id="67"/>
      <w:bookmarkEnd w:id="68"/>
      <w:bookmarkEnd w:id="69"/>
      <w:bookmarkEnd w:id="70"/>
    </w:p>
    <w:p w14:paraId="4BA825FD" w14:textId="7C76ECB5" w:rsidR="006919F4" w:rsidRPr="00506576" w:rsidRDefault="006919F4" w:rsidP="006919F4">
      <w:pPr>
        <w:pStyle w:val="Document"/>
        <w:rPr>
          <w:rFonts w:ascii="Times New Roman" w:hAnsi="Times New Roman"/>
        </w:rPr>
      </w:pPr>
      <w:r w:rsidRPr="00506576">
        <w:rPr>
          <w:rFonts w:ascii="Times New Roman" w:hAnsi="Times New Roman"/>
        </w:rPr>
        <w:t xml:space="preserve">We now move from comparisons between abuse and non-abuse controversies and </w:t>
      </w:r>
      <w:r w:rsidR="000A7A19" w:rsidRPr="00506576">
        <w:rPr>
          <w:rFonts w:ascii="Times New Roman" w:hAnsi="Times New Roman"/>
        </w:rPr>
        <w:t>focus solely on the abuse cases</w:t>
      </w:r>
      <w:r w:rsidRPr="00506576">
        <w:rPr>
          <w:rFonts w:ascii="Times New Roman" w:hAnsi="Times New Roman"/>
        </w:rPr>
        <w:t>.</w:t>
      </w:r>
      <w:r w:rsidR="007F58D6" w:rsidRPr="00506576">
        <w:rPr>
          <w:rFonts w:ascii="Times New Roman" w:hAnsi="Times New Roman"/>
        </w:rPr>
        <w:t xml:space="preserve"> </w:t>
      </w:r>
      <w:r w:rsidR="0071415B" w:rsidRPr="00506576">
        <w:rPr>
          <w:rFonts w:ascii="Times New Roman" w:hAnsi="Times New Roman"/>
        </w:rPr>
        <w:t>We use</w:t>
      </w:r>
      <w:r w:rsidR="002006E8" w:rsidRPr="00506576">
        <w:rPr>
          <w:rFonts w:ascii="Times New Roman" w:hAnsi="Times New Roman"/>
        </w:rPr>
        <w:t xml:space="preserve"> the third</w:t>
      </w:r>
      <w:r w:rsidR="0071415B" w:rsidRPr="00506576">
        <w:rPr>
          <w:rFonts w:ascii="Times New Roman" w:hAnsi="Times New Roman"/>
        </w:rPr>
        <w:t xml:space="preserve"> m</w:t>
      </w:r>
      <w:r w:rsidRPr="00506576">
        <w:rPr>
          <w:rFonts w:ascii="Times New Roman" w:hAnsi="Times New Roman"/>
        </w:rPr>
        <w:t>odel described above to determine which factors enhance and undermine the government’s cha</w:t>
      </w:r>
      <w:r w:rsidR="0071415B" w:rsidRPr="00506576">
        <w:rPr>
          <w:rFonts w:ascii="Times New Roman" w:hAnsi="Times New Roman"/>
        </w:rPr>
        <w:t>nces of winning.</w:t>
      </w:r>
      <w:r w:rsidRPr="00506576">
        <w:rPr>
          <w:rFonts w:ascii="Times New Roman" w:hAnsi="Times New Roman"/>
        </w:rPr>
        <w:t xml:space="preserve"> For discussion purposes, we begin by focusing on the transaction-related variables associ</w:t>
      </w:r>
      <w:r w:rsidR="004E3CF5" w:rsidRPr="00506576">
        <w:rPr>
          <w:rFonts w:ascii="Times New Roman" w:hAnsi="Times New Roman"/>
        </w:rPr>
        <w:t>ated with corporate tax abuse. W</w:t>
      </w:r>
      <w:r w:rsidRPr="00506576">
        <w:rPr>
          <w:rFonts w:ascii="Times New Roman" w:hAnsi="Times New Roman"/>
        </w:rPr>
        <w:t>e then turn to the cases involving accounting irregularities and refund claims</w:t>
      </w:r>
      <w:r w:rsidR="004E3CF5" w:rsidRPr="00506576">
        <w:rPr>
          <w:rFonts w:ascii="Times New Roman" w:hAnsi="Times New Roman"/>
        </w:rPr>
        <w:t xml:space="preserve">. </w:t>
      </w:r>
      <w:r w:rsidR="00B30F13" w:rsidRPr="00506576">
        <w:rPr>
          <w:rFonts w:ascii="Times New Roman" w:hAnsi="Times New Roman"/>
        </w:rPr>
        <w:t>Finally,</w:t>
      </w:r>
      <w:r w:rsidR="004E3CF5" w:rsidRPr="00506576">
        <w:rPr>
          <w:rFonts w:ascii="Times New Roman" w:hAnsi="Times New Roman"/>
        </w:rPr>
        <w:t xml:space="preserve"> we examine</w:t>
      </w:r>
      <w:r w:rsidRPr="00506576">
        <w:rPr>
          <w:rFonts w:ascii="Times New Roman" w:hAnsi="Times New Roman"/>
        </w:rPr>
        <w:t xml:space="preserve"> Justic</w:t>
      </w:r>
      <w:r w:rsidR="004E3CF5" w:rsidRPr="00506576">
        <w:rPr>
          <w:rFonts w:ascii="Times New Roman" w:hAnsi="Times New Roman"/>
        </w:rPr>
        <w:t>e Scalia’s role in the decision</w:t>
      </w:r>
      <w:r w:rsidRPr="00506576">
        <w:rPr>
          <w:rFonts w:ascii="Times New Roman" w:hAnsi="Times New Roman"/>
        </w:rPr>
        <w:t xml:space="preserve">making process. </w:t>
      </w:r>
    </w:p>
    <w:p w14:paraId="0CC64670" w14:textId="77777777" w:rsidR="004E3CF5" w:rsidRPr="00506576" w:rsidRDefault="004E3CF5" w:rsidP="00953B4E">
      <w:pPr>
        <w:pStyle w:val="Document"/>
        <w:ind w:firstLine="0"/>
        <w:jc w:val="center"/>
        <w:rPr>
          <w:rFonts w:ascii="Times New Roman" w:hAnsi="Times New Roman"/>
          <w:smallCaps/>
        </w:rPr>
      </w:pPr>
    </w:p>
    <w:p w14:paraId="2D88DCE7" w14:textId="610A82A4" w:rsidR="006919F4" w:rsidRPr="00506576" w:rsidRDefault="006919F4" w:rsidP="00953B4E">
      <w:pPr>
        <w:pStyle w:val="Document"/>
        <w:ind w:firstLine="0"/>
        <w:jc w:val="center"/>
        <w:rPr>
          <w:rFonts w:ascii="Times New Roman" w:hAnsi="Times New Roman"/>
          <w:smallCaps/>
        </w:rPr>
      </w:pPr>
      <w:r w:rsidRPr="00506576">
        <w:rPr>
          <w:rFonts w:ascii="Times New Roman" w:hAnsi="Times New Roman"/>
          <w:smallCaps/>
        </w:rPr>
        <w:lastRenderedPageBreak/>
        <w:t>Table 3</w:t>
      </w:r>
    </w:p>
    <w:p w14:paraId="768F55D1" w14:textId="07F32C24" w:rsidR="006D2E05" w:rsidRPr="00E94A88" w:rsidRDefault="00E94A88" w:rsidP="00953B4E">
      <w:pPr>
        <w:pStyle w:val="Document"/>
        <w:ind w:firstLine="0"/>
        <w:jc w:val="center"/>
        <w:rPr>
          <w:rFonts w:ascii="Times New Roman" w:hAnsi="Times New Roman"/>
          <w:szCs w:val="22"/>
        </w:rPr>
      </w:pPr>
      <w:r>
        <w:rPr>
          <w:rFonts w:ascii="Times New Roman" w:hAnsi="Times New Roman"/>
          <w:szCs w:val="22"/>
        </w:rPr>
        <w:t>Factors that explain outcomes in corporate tax abuse c</w:t>
      </w:r>
      <w:r w:rsidR="006919F4" w:rsidRPr="00E94A88">
        <w:rPr>
          <w:rFonts w:ascii="Times New Roman" w:hAnsi="Times New Roman"/>
          <w:szCs w:val="22"/>
        </w:rPr>
        <w:t>ases</w:t>
      </w:r>
    </w:p>
    <w:p w14:paraId="73DC3333" w14:textId="77777777" w:rsidR="006919F4" w:rsidRPr="00506576" w:rsidRDefault="006919F4" w:rsidP="006919F4">
      <w:pPr>
        <w:pStyle w:val="Document"/>
        <w:rPr>
          <w:rFonts w:ascii="Times New Roman" w:hAnsi="Times New Roman"/>
        </w:rPr>
      </w:pPr>
    </w:p>
    <w:tbl>
      <w:tblPr>
        <w:tblW w:w="6565"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817"/>
        <w:gridCol w:w="881"/>
        <w:gridCol w:w="1742"/>
      </w:tblGrid>
      <w:tr w:rsidR="006919F4" w:rsidRPr="00F92E43" w14:paraId="513394E6" w14:textId="77777777" w:rsidTr="008623AF">
        <w:trPr>
          <w:jc w:val="center"/>
        </w:trPr>
        <w:tc>
          <w:tcPr>
            <w:tcW w:w="6565" w:type="dxa"/>
            <w:gridSpan w:val="4"/>
            <w:tcBorders>
              <w:top w:val="single" w:sz="4" w:space="0" w:color="auto"/>
              <w:left w:val="single" w:sz="4" w:space="0" w:color="auto"/>
              <w:right w:val="single" w:sz="4" w:space="0" w:color="auto"/>
            </w:tcBorders>
          </w:tcPr>
          <w:p w14:paraId="61A52A87" w14:textId="77777777" w:rsidR="006919F4" w:rsidRDefault="006919F4" w:rsidP="00F92E43">
            <w:pPr>
              <w:pStyle w:val="Journalfont"/>
              <w:spacing w:line="200" w:lineRule="exact"/>
              <w:rPr>
                <w:rFonts w:eastAsia="Calibri"/>
                <w:sz w:val="14"/>
                <w:szCs w:val="14"/>
              </w:rPr>
            </w:pPr>
            <w:r w:rsidRPr="00F92E43">
              <w:rPr>
                <w:rFonts w:eastAsia="Calibri"/>
                <w:sz w:val="14"/>
                <w:szCs w:val="14"/>
              </w:rPr>
              <w:t>U.S. Supreme Court Outcomes</w:t>
            </w:r>
          </w:p>
          <w:p w14:paraId="27C6E2E1" w14:textId="77777777" w:rsidR="00506576" w:rsidRPr="00F92E43" w:rsidRDefault="00506576" w:rsidP="00F92E43">
            <w:pPr>
              <w:pStyle w:val="Journalfont"/>
              <w:spacing w:line="200" w:lineRule="exact"/>
              <w:rPr>
                <w:rFonts w:eastAsia="Calibri"/>
                <w:sz w:val="14"/>
                <w:szCs w:val="14"/>
              </w:rPr>
            </w:pPr>
          </w:p>
          <w:p w14:paraId="13FA9AA6" w14:textId="7206E822" w:rsidR="006919F4" w:rsidRDefault="006919F4" w:rsidP="00F92E43">
            <w:pPr>
              <w:pStyle w:val="Journalfont"/>
              <w:spacing w:line="200" w:lineRule="exact"/>
              <w:rPr>
                <w:rFonts w:eastAsia="Calibri"/>
                <w:sz w:val="14"/>
                <w:szCs w:val="14"/>
              </w:rPr>
            </w:pPr>
            <w:r w:rsidRPr="00F92E43">
              <w:rPr>
                <w:rFonts w:eastAsia="Calibri"/>
                <w:sz w:val="14"/>
                <w:szCs w:val="14"/>
              </w:rPr>
              <w:t>Results depict change in the probability of a pro-government outcome</w:t>
            </w:r>
            <w:r w:rsidR="007D0183">
              <w:rPr>
                <w:rFonts w:eastAsia="Calibri"/>
                <w:sz w:val="14"/>
                <w:szCs w:val="14"/>
              </w:rPr>
              <w:t xml:space="preserve"> </w:t>
            </w:r>
            <w:r w:rsidRPr="00F92E43">
              <w:rPr>
                <w:rFonts w:eastAsia="Calibri"/>
                <w:sz w:val="14"/>
                <w:szCs w:val="14"/>
              </w:rPr>
              <w:t>given a unit increase in the independent variable</w:t>
            </w:r>
          </w:p>
          <w:p w14:paraId="54EE3351" w14:textId="77777777" w:rsidR="00506576" w:rsidRPr="00F92E43" w:rsidRDefault="00506576" w:rsidP="00F92E43">
            <w:pPr>
              <w:pStyle w:val="Journalfont"/>
              <w:spacing w:line="200" w:lineRule="exact"/>
              <w:rPr>
                <w:rFonts w:eastAsia="Calibri"/>
                <w:sz w:val="14"/>
                <w:szCs w:val="14"/>
              </w:rPr>
            </w:pPr>
          </w:p>
        </w:tc>
      </w:tr>
      <w:tr w:rsidR="006919F4" w:rsidRPr="00F92E43" w14:paraId="3BBD7DF1" w14:textId="77777777" w:rsidTr="008623AF">
        <w:trPr>
          <w:jc w:val="center"/>
        </w:trPr>
        <w:tc>
          <w:tcPr>
            <w:tcW w:w="3125" w:type="dxa"/>
            <w:tcBorders>
              <w:left w:val="single" w:sz="4" w:space="0" w:color="auto"/>
              <w:bottom w:val="nil"/>
              <w:right w:val="nil"/>
            </w:tcBorders>
          </w:tcPr>
          <w:p w14:paraId="42E419AA" w14:textId="77777777" w:rsidR="006919F4" w:rsidRPr="00F92E43" w:rsidRDefault="006919F4" w:rsidP="00F92E43">
            <w:pPr>
              <w:pStyle w:val="Document"/>
              <w:spacing w:line="200" w:lineRule="exact"/>
              <w:ind w:firstLine="0"/>
              <w:rPr>
                <w:rFonts w:eastAsia="Calibri"/>
                <w:i/>
                <w:sz w:val="14"/>
                <w:szCs w:val="14"/>
              </w:rPr>
            </w:pPr>
            <w:r w:rsidRPr="00F92E43">
              <w:rPr>
                <w:rFonts w:eastAsia="Calibri"/>
                <w:i/>
                <w:sz w:val="14"/>
                <w:szCs w:val="14"/>
              </w:rPr>
              <w:t>Explanatory Variable</w:t>
            </w:r>
          </w:p>
        </w:tc>
        <w:tc>
          <w:tcPr>
            <w:tcW w:w="3440" w:type="dxa"/>
            <w:gridSpan w:val="3"/>
            <w:tcBorders>
              <w:left w:val="nil"/>
              <w:bottom w:val="nil"/>
              <w:right w:val="single" w:sz="4" w:space="0" w:color="auto"/>
            </w:tcBorders>
          </w:tcPr>
          <w:p w14:paraId="43B96DFE" w14:textId="77777777" w:rsidR="006919F4" w:rsidRPr="00F92E43" w:rsidRDefault="006919F4" w:rsidP="00F92E43">
            <w:pPr>
              <w:pStyle w:val="Document"/>
              <w:spacing w:line="200" w:lineRule="exact"/>
              <w:ind w:firstLine="0"/>
              <w:jc w:val="center"/>
              <w:rPr>
                <w:rFonts w:eastAsia="Calibri"/>
                <w:i/>
                <w:sz w:val="14"/>
                <w:szCs w:val="14"/>
              </w:rPr>
            </w:pPr>
            <w:r w:rsidRPr="00F92E43">
              <w:rPr>
                <w:rFonts w:eastAsia="Calibri"/>
                <w:i/>
                <w:sz w:val="14"/>
                <w:szCs w:val="14"/>
              </w:rPr>
              <w:t>Corporate Tax Abuse Cases</w:t>
            </w:r>
          </w:p>
        </w:tc>
      </w:tr>
      <w:tr w:rsidR="006919F4" w:rsidRPr="00F92E43" w14:paraId="4F3D9A4F" w14:textId="77777777" w:rsidTr="008623AF">
        <w:trPr>
          <w:jc w:val="center"/>
        </w:trPr>
        <w:tc>
          <w:tcPr>
            <w:tcW w:w="3125" w:type="dxa"/>
            <w:tcBorders>
              <w:top w:val="nil"/>
              <w:left w:val="single" w:sz="4" w:space="0" w:color="auto"/>
              <w:bottom w:val="single" w:sz="4" w:space="0" w:color="000000"/>
              <w:right w:val="nil"/>
            </w:tcBorders>
          </w:tcPr>
          <w:p w14:paraId="6F956A21" w14:textId="77777777" w:rsidR="006919F4" w:rsidRPr="00F92E43" w:rsidRDefault="006919F4" w:rsidP="00F92E43">
            <w:pPr>
              <w:pStyle w:val="Document"/>
              <w:spacing w:line="200" w:lineRule="exact"/>
              <w:ind w:firstLine="0"/>
              <w:rPr>
                <w:rFonts w:eastAsia="Calibri"/>
                <w:sz w:val="14"/>
                <w:szCs w:val="14"/>
              </w:rPr>
            </w:pPr>
          </w:p>
        </w:tc>
        <w:tc>
          <w:tcPr>
            <w:tcW w:w="817" w:type="dxa"/>
            <w:tcBorders>
              <w:top w:val="nil"/>
              <w:left w:val="nil"/>
              <w:bottom w:val="single" w:sz="4" w:space="0" w:color="000000"/>
              <w:right w:val="nil"/>
            </w:tcBorders>
          </w:tcPr>
          <w:p w14:paraId="52155D30"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w:t>
            </w:r>
          </w:p>
        </w:tc>
        <w:tc>
          <w:tcPr>
            <w:tcW w:w="881" w:type="dxa"/>
            <w:tcBorders>
              <w:top w:val="nil"/>
              <w:left w:val="nil"/>
              <w:bottom w:val="single" w:sz="4" w:space="0" w:color="000000"/>
              <w:right w:val="nil"/>
            </w:tcBorders>
          </w:tcPr>
          <w:p w14:paraId="18A4D52E"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w:t>
            </w:r>
          </w:p>
        </w:tc>
        <w:tc>
          <w:tcPr>
            <w:tcW w:w="1742" w:type="dxa"/>
            <w:tcBorders>
              <w:top w:val="nil"/>
              <w:left w:val="nil"/>
              <w:bottom w:val="single" w:sz="4" w:space="0" w:color="000000"/>
              <w:right w:val="single" w:sz="4" w:space="0" w:color="auto"/>
            </w:tcBorders>
          </w:tcPr>
          <w:p w14:paraId="0692F7EB"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(3)</w:t>
            </w:r>
          </w:p>
        </w:tc>
      </w:tr>
      <w:tr w:rsidR="006919F4" w:rsidRPr="00F92E43" w14:paraId="548522F0" w14:textId="77777777" w:rsidTr="008623AF">
        <w:trPr>
          <w:jc w:val="center"/>
        </w:trPr>
        <w:tc>
          <w:tcPr>
            <w:tcW w:w="3125" w:type="dxa"/>
            <w:tcBorders>
              <w:top w:val="single" w:sz="4" w:space="0" w:color="000000"/>
              <w:left w:val="single" w:sz="4" w:space="0" w:color="auto"/>
              <w:bottom w:val="single" w:sz="4" w:space="0" w:color="auto"/>
              <w:right w:val="nil"/>
            </w:tcBorders>
          </w:tcPr>
          <w:p w14:paraId="09559B6C" w14:textId="77777777" w:rsidR="006919F4" w:rsidRPr="00F92E43" w:rsidRDefault="006919F4" w:rsidP="00F92E43">
            <w:pPr>
              <w:pStyle w:val="Document"/>
              <w:spacing w:line="200" w:lineRule="exact"/>
              <w:ind w:firstLine="0"/>
              <w:jc w:val="left"/>
              <w:rPr>
                <w:rFonts w:eastAsia="Calibri"/>
                <w:i/>
                <w:sz w:val="14"/>
                <w:szCs w:val="14"/>
              </w:rPr>
            </w:pPr>
            <w:r w:rsidRPr="00F92E43">
              <w:rPr>
                <w:rFonts w:eastAsia="Calibri"/>
                <w:i/>
                <w:sz w:val="14"/>
                <w:szCs w:val="14"/>
              </w:rPr>
              <w:t>Third Party Involved</w:t>
            </w:r>
          </w:p>
        </w:tc>
        <w:tc>
          <w:tcPr>
            <w:tcW w:w="817" w:type="dxa"/>
            <w:tcBorders>
              <w:top w:val="single" w:sz="4" w:space="0" w:color="000000"/>
              <w:left w:val="nil"/>
              <w:bottom w:val="single" w:sz="4" w:space="0" w:color="auto"/>
              <w:right w:val="nil"/>
            </w:tcBorders>
          </w:tcPr>
          <w:p w14:paraId="34384617"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-.21</w:t>
            </w:r>
          </w:p>
          <w:p w14:paraId="6DE5C19C"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(.05)***</w:t>
            </w:r>
          </w:p>
        </w:tc>
        <w:tc>
          <w:tcPr>
            <w:tcW w:w="881" w:type="dxa"/>
            <w:tcBorders>
              <w:top w:val="single" w:sz="4" w:space="0" w:color="000000"/>
              <w:left w:val="nil"/>
              <w:bottom w:val="single" w:sz="4" w:space="0" w:color="auto"/>
              <w:right w:val="nil"/>
            </w:tcBorders>
          </w:tcPr>
          <w:p w14:paraId="22417509" w14:textId="77777777" w:rsidR="006919F4" w:rsidRPr="00F92E43" w:rsidRDefault="006919F4" w:rsidP="00F92E43">
            <w:pPr>
              <w:pStyle w:val="Document"/>
              <w:spacing w:line="200" w:lineRule="exact"/>
              <w:ind w:firstLine="0"/>
              <w:jc w:val="center"/>
              <w:rPr>
                <w:rFonts w:eastAsia="Calibri"/>
                <w:sz w:val="14"/>
                <w:szCs w:val="14"/>
              </w:rPr>
            </w:pPr>
          </w:p>
        </w:tc>
        <w:tc>
          <w:tcPr>
            <w:tcW w:w="1742" w:type="dxa"/>
            <w:tcBorders>
              <w:top w:val="single" w:sz="4" w:space="0" w:color="000000"/>
              <w:left w:val="nil"/>
              <w:bottom w:val="single" w:sz="4" w:space="0" w:color="auto"/>
              <w:right w:val="single" w:sz="4" w:space="0" w:color="auto"/>
            </w:tcBorders>
          </w:tcPr>
          <w:p w14:paraId="44339B62"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-.36</w:t>
            </w:r>
          </w:p>
          <w:p w14:paraId="0ADCD286"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(.13)***</w:t>
            </w:r>
          </w:p>
        </w:tc>
      </w:tr>
      <w:tr w:rsidR="006919F4" w:rsidRPr="00F92E43" w14:paraId="032C5177" w14:textId="77777777" w:rsidTr="008623AF">
        <w:trPr>
          <w:jc w:val="center"/>
        </w:trPr>
        <w:tc>
          <w:tcPr>
            <w:tcW w:w="3125" w:type="dxa"/>
            <w:tcBorders>
              <w:top w:val="single" w:sz="4" w:space="0" w:color="auto"/>
              <w:left w:val="single" w:sz="4" w:space="0" w:color="auto"/>
              <w:bottom w:val="single" w:sz="4" w:space="0" w:color="auto"/>
              <w:right w:val="nil"/>
            </w:tcBorders>
          </w:tcPr>
          <w:p w14:paraId="129A3D3D" w14:textId="77777777" w:rsidR="006919F4" w:rsidRPr="00F92E43" w:rsidRDefault="006D2E05" w:rsidP="00F92E43">
            <w:pPr>
              <w:pStyle w:val="Document"/>
              <w:spacing w:line="200" w:lineRule="exact"/>
              <w:ind w:firstLine="0"/>
              <w:jc w:val="left"/>
              <w:rPr>
                <w:rFonts w:eastAsia="Calibri"/>
                <w:i/>
                <w:sz w:val="14"/>
                <w:szCs w:val="14"/>
              </w:rPr>
            </w:pPr>
            <w:r w:rsidRPr="00F92E43">
              <w:rPr>
                <w:rFonts w:eastAsia="Calibri"/>
                <w:i/>
                <w:sz w:val="14"/>
                <w:szCs w:val="14"/>
              </w:rPr>
              <w:t>Multis</w:t>
            </w:r>
            <w:r w:rsidR="006919F4" w:rsidRPr="00F92E43">
              <w:rPr>
                <w:rFonts w:eastAsia="Calibri"/>
                <w:i/>
                <w:sz w:val="14"/>
                <w:szCs w:val="14"/>
              </w:rPr>
              <w:t>tep Transaction</w:t>
            </w:r>
          </w:p>
        </w:tc>
        <w:tc>
          <w:tcPr>
            <w:tcW w:w="817" w:type="dxa"/>
            <w:tcBorders>
              <w:top w:val="single" w:sz="4" w:space="0" w:color="auto"/>
              <w:left w:val="nil"/>
              <w:bottom w:val="single" w:sz="4" w:space="0" w:color="auto"/>
              <w:right w:val="nil"/>
            </w:tcBorders>
          </w:tcPr>
          <w:p w14:paraId="422BFDCA"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-.03</w:t>
            </w:r>
          </w:p>
          <w:p w14:paraId="2CB403CD"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(.08)</w:t>
            </w:r>
          </w:p>
        </w:tc>
        <w:tc>
          <w:tcPr>
            <w:tcW w:w="881" w:type="dxa"/>
            <w:tcBorders>
              <w:top w:val="single" w:sz="4" w:space="0" w:color="auto"/>
              <w:left w:val="nil"/>
              <w:bottom w:val="single" w:sz="4" w:space="0" w:color="auto"/>
              <w:right w:val="nil"/>
            </w:tcBorders>
          </w:tcPr>
          <w:p w14:paraId="1102AC03" w14:textId="77777777" w:rsidR="006919F4" w:rsidRPr="00F92E43" w:rsidRDefault="006919F4" w:rsidP="00F92E43">
            <w:pPr>
              <w:pStyle w:val="Document"/>
              <w:spacing w:line="200" w:lineRule="exact"/>
              <w:ind w:firstLine="0"/>
              <w:jc w:val="center"/>
              <w:rPr>
                <w:rFonts w:eastAsia="Calibri"/>
                <w:sz w:val="14"/>
                <w:szCs w:val="14"/>
              </w:rPr>
            </w:pPr>
          </w:p>
        </w:tc>
        <w:tc>
          <w:tcPr>
            <w:tcW w:w="1742" w:type="dxa"/>
            <w:tcBorders>
              <w:top w:val="single" w:sz="4" w:space="0" w:color="auto"/>
              <w:left w:val="nil"/>
              <w:bottom w:val="single" w:sz="4" w:space="0" w:color="auto"/>
              <w:right w:val="single" w:sz="4" w:space="0" w:color="auto"/>
            </w:tcBorders>
          </w:tcPr>
          <w:p w14:paraId="2E8DAF14"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-.35</w:t>
            </w:r>
          </w:p>
          <w:p w14:paraId="0C8270C1"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(.09)***</w:t>
            </w:r>
          </w:p>
        </w:tc>
      </w:tr>
      <w:tr w:rsidR="006919F4" w:rsidRPr="00F92E43" w14:paraId="0B0C7728" w14:textId="77777777" w:rsidTr="008623AF">
        <w:trPr>
          <w:jc w:val="center"/>
        </w:trPr>
        <w:tc>
          <w:tcPr>
            <w:tcW w:w="3125" w:type="dxa"/>
            <w:tcBorders>
              <w:top w:val="single" w:sz="4" w:space="0" w:color="auto"/>
              <w:left w:val="single" w:sz="4" w:space="0" w:color="auto"/>
              <w:bottom w:val="single" w:sz="4" w:space="0" w:color="auto"/>
              <w:right w:val="nil"/>
            </w:tcBorders>
          </w:tcPr>
          <w:p w14:paraId="563E024B" w14:textId="77777777" w:rsidR="006919F4" w:rsidRPr="00F92E43" w:rsidRDefault="006919F4" w:rsidP="00F92E43">
            <w:pPr>
              <w:pStyle w:val="Document"/>
              <w:spacing w:line="200" w:lineRule="exact"/>
              <w:ind w:firstLine="0"/>
              <w:jc w:val="left"/>
              <w:rPr>
                <w:rFonts w:eastAsia="Calibri"/>
                <w:i/>
                <w:sz w:val="14"/>
                <w:szCs w:val="14"/>
              </w:rPr>
            </w:pPr>
            <w:r w:rsidRPr="00F92E43">
              <w:rPr>
                <w:rFonts w:eastAsia="Calibri"/>
                <w:i/>
                <w:sz w:val="14"/>
                <w:szCs w:val="14"/>
              </w:rPr>
              <w:t>Lack of Business Purpose</w:t>
            </w:r>
          </w:p>
        </w:tc>
        <w:tc>
          <w:tcPr>
            <w:tcW w:w="817" w:type="dxa"/>
            <w:tcBorders>
              <w:top w:val="single" w:sz="4" w:space="0" w:color="auto"/>
              <w:left w:val="nil"/>
              <w:bottom w:val="single" w:sz="4" w:space="0" w:color="auto"/>
              <w:right w:val="nil"/>
            </w:tcBorders>
          </w:tcPr>
          <w:p w14:paraId="23EADCB4"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.07</w:t>
            </w:r>
          </w:p>
          <w:p w14:paraId="0421ADA0"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(.07)</w:t>
            </w:r>
          </w:p>
        </w:tc>
        <w:tc>
          <w:tcPr>
            <w:tcW w:w="881" w:type="dxa"/>
            <w:tcBorders>
              <w:top w:val="single" w:sz="4" w:space="0" w:color="auto"/>
              <w:left w:val="nil"/>
              <w:bottom w:val="single" w:sz="4" w:space="0" w:color="auto"/>
              <w:right w:val="nil"/>
            </w:tcBorders>
          </w:tcPr>
          <w:p w14:paraId="1B0E8A80" w14:textId="77777777" w:rsidR="006919F4" w:rsidRPr="00F92E43" w:rsidRDefault="006919F4" w:rsidP="00F92E43">
            <w:pPr>
              <w:pStyle w:val="Document"/>
              <w:spacing w:line="200" w:lineRule="exact"/>
              <w:ind w:firstLine="0"/>
              <w:jc w:val="center"/>
              <w:rPr>
                <w:rFonts w:eastAsia="Calibri"/>
                <w:sz w:val="14"/>
                <w:szCs w:val="14"/>
              </w:rPr>
            </w:pPr>
          </w:p>
        </w:tc>
        <w:tc>
          <w:tcPr>
            <w:tcW w:w="1742" w:type="dxa"/>
            <w:tcBorders>
              <w:top w:val="single" w:sz="4" w:space="0" w:color="auto"/>
              <w:left w:val="nil"/>
              <w:bottom w:val="single" w:sz="4" w:space="0" w:color="auto"/>
              <w:right w:val="single" w:sz="4" w:space="0" w:color="auto"/>
            </w:tcBorders>
          </w:tcPr>
          <w:p w14:paraId="17E40CE5"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.29</w:t>
            </w:r>
          </w:p>
          <w:p w14:paraId="22CF701B"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(.15)</w:t>
            </w:r>
          </w:p>
        </w:tc>
      </w:tr>
      <w:tr w:rsidR="006919F4" w:rsidRPr="00F92E43" w14:paraId="597DA6FF" w14:textId="77777777" w:rsidTr="008623AF">
        <w:trPr>
          <w:jc w:val="center"/>
        </w:trPr>
        <w:tc>
          <w:tcPr>
            <w:tcW w:w="3125" w:type="dxa"/>
            <w:tcBorders>
              <w:top w:val="single" w:sz="4" w:space="0" w:color="auto"/>
              <w:left w:val="single" w:sz="4" w:space="0" w:color="auto"/>
              <w:bottom w:val="single" w:sz="4" w:space="0" w:color="auto"/>
              <w:right w:val="nil"/>
            </w:tcBorders>
          </w:tcPr>
          <w:p w14:paraId="7843E79C" w14:textId="77777777" w:rsidR="006919F4" w:rsidRPr="00F92E43" w:rsidRDefault="006919F4" w:rsidP="00F92E43">
            <w:pPr>
              <w:pStyle w:val="Document"/>
              <w:spacing w:line="200" w:lineRule="exact"/>
              <w:ind w:firstLine="0"/>
              <w:jc w:val="left"/>
              <w:rPr>
                <w:rFonts w:eastAsia="Calibri"/>
                <w:i/>
                <w:sz w:val="14"/>
                <w:szCs w:val="14"/>
              </w:rPr>
            </w:pPr>
            <w:r w:rsidRPr="00F92E43">
              <w:rPr>
                <w:rFonts w:eastAsia="Calibri"/>
                <w:i/>
                <w:sz w:val="14"/>
                <w:szCs w:val="14"/>
              </w:rPr>
              <w:t>Count (Total Number</w:t>
            </w:r>
            <w:r w:rsidR="003C7724" w:rsidRPr="00F92E43">
              <w:rPr>
                <w:rFonts w:eastAsia="Calibri"/>
                <w:i/>
                <w:sz w:val="14"/>
                <w:szCs w:val="14"/>
              </w:rPr>
              <w:t xml:space="preserve"> of</w:t>
            </w:r>
            <w:r w:rsidRPr="00F92E43">
              <w:rPr>
                <w:rFonts w:eastAsia="Calibri"/>
                <w:i/>
                <w:sz w:val="14"/>
                <w:szCs w:val="14"/>
              </w:rPr>
              <w:t xml:space="preserve"> Allegations)</w:t>
            </w:r>
          </w:p>
        </w:tc>
        <w:tc>
          <w:tcPr>
            <w:tcW w:w="817" w:type="dxa"/>
            <w:tcBorders>
              <w:top w:val="single" w:sz="4" w:space="0" w:color="auto"/>
              <w:left w:val="nil"/>
              <w:bottom w:val="single" w:sz="4" w:space="0" w:color="auto"/>
              <w:right w:val="nil"/>
            </w:tcBorders>
          </w:tcPr>
          <w:p w14:paraId="601940B5" w14:textId="77777777" w:rsidR="006919F4" w:rsidRPr="00F92E43" w:rsidRDefault="006919F4" w:rsidP="00F92E43">
            <w:pPr>
              <w:pStyle w:val="Document"/>
              <w:spacing w:line="200" w:lineRule="exact"/>
              <w:ind w:firstLine="0"/>
              <w:jc w:val="center"/>
              <w:rPr>
                <w:rFonts w:eastAsia="Calibri"/>
                <w:sz w:val="14"/>
                <w:szCs w:val="14"/>
              </w:rPr>
            </w:pPr>
          </w:p>
        </w:tc>
        <w:tc>
          <w:tcPr>
            <w:tcW w:w="881" w:type="dxa"/>
            <w:tcBorders>
              <w:top w:val="single" w:sz="4" w:space="0" w:color="auto"/>
              <w:left w:val="nil"/>
              <w:bottom w:val="single" w:sz="4" w:space="0" w:color="auto"/>
              <w:right w:val="nil"/>
            </w:tcBorders>
          </w:tcPr>
          <w:p w14:paraId="43D45577"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-.06</w:t>
            </w:r>
          </w:p>
          <w:p w14:paraId="43DF9DC8"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(.04)</w:t>
            </w:r>
          </w:p>
        </w:tc>
        <w:tc>
          <w:tcPr>
            <w:tcW w:w="1742" w:type="dxa"/>
            <w:tcBorders>
              <w:top w:val="single" w:sz="4" w:space="0" w:color="auto"/>
              <w:left w:val="nil"/>
              <w:bottom w:val="single" w:sz="4" w:space="0" w:color="auto"/>
              <w:right w:val="single" w:sz="4" w:space="0" w:color="auto"/>
            </w:tcBorders>
          </w:tcPr>
          <w:p w14:paraId="74B4DC8B" w14:textId="77777777" w:rsidR="006919F4" w:rsidRPr="00F92E43" w:rsidRDefault="006919F4" w:rsidP="00F92E43">
            <w:pPr>
              <w:pStyle w:val="Document"/>
              <w:spacing w:line="200" w:lineRule="exact"/>
              <w:ind w:firstLine="0"/>
              <w:jc w:val="center"/>
              <w:rPr>
                <w:rFonts w:eastAsia="Calibri"/>
                <w:sz w:val="14"/>
                <w:szCs w:val="14"/>
              </w:rPr>
            </w:pPr>
          </w:p>
        </w:tc>
      </w:tr>
      <w:tr w:rsidR="006919F4" w:rsidRPr="00F92E43" w14:paraId="5C243EA3" w14:textId="77777777" w:rsidTr="008623AF">
        <w:trPr>
          <w:jc w:val="center"/>
        </w:trPr>
        <w:tc>
          <w:tcPr>
            <w:tcW w:w="3125" w:type="dxa"/>
            <w:tcBorders>
              <w:top w:val="single" w:sz="4" w:space="0" w:color="auto"/>
              <w:left w:val="single" w:sz="4" w:space="0" w:color="auto"/>
              <w:bottom w:val="single" w:sz="4" w:space="0" w:color="auto"/>
              <w:right w:val="nil"/>
            </w:tcBorders>
          </w:tcPr>
          <w:p w14:paraId="447C710F" w14:textId="77777777" w:rsidR="006919F4" w:rsidRPr="00F92E43" w:rsidRDefault="008A0A1D" w:rsidP="00F92E43">
            <w:pPr>
              <w:pStyle w:val="Document"/>
              <w:spacing w:line="200" w:lineRule="exact"/>
              <w:ind w:firstLine="0"/>
              <w:jc w:val="left"/>
              <w:rPr>
                <w:rFonts w:eastAsia="Calibri"/>
                <w:i/>
                <w:sz w:val="14"/>
                <w:szCs w:val="14"/>
              </w:rPr>
            </w:pPr>
            <w:r w:rsidRPr="00F92E43">
              <w:rPr>
                <w:rFonts w:eastAsia="Calibri"/>
                <w:i/>
                <w:sz w:val="14"/>
                <w:szCs w:val="14"/>
              </w:rPr>
              <w:t>Third Party &amp; Multis</w:t>
            </w:r>
            <w:r w:rsidR="006919F4" w:rsidRPr="00F92E43">
              <w:rPr>
                <w:rFonts w:eastAsia="Calibri"/>
                <w:i/>
                <w:sz w:val="14"/>
                <w:szCs w:val="14"/>
              </w:rPr>
              <w:t>tep</w:t>
            </w:r>
          </w:p>
        </w:tc>
        <w:tc>
          <w:tcPr>
            <w:tcW w:w="817" w:type="dxa"/>
            <w:tcBorders>
              <w:top w:val="single" w:sz="4" w:space="0" w:color="auto"/>
              <w:left w:val="nil"/>
              <w:bottom w:val="single" w:sz="4" w:space="0" w:color="auto"/>
              <w:right w:val="nil"/>
            </w:tcBorders>
          </w:tcPr>
          <w:p w14:paraId="750A1FEB" w14:textId="77777777" w:rsidR="006919F4" w:rsidRPr="00F92E43" w:rsidRDefault="006919F4" w:rsidP="00F92E43">
            <w:pPr>
              <w:pStyle w:val="Document"/>
              <w:spacing w:line="200" w:lineRule="exact"/>
              <w:ind w:firstLine="0"/>
              <w:jc w:val="center"/>
              <w:rPr>
                <w:rFonts w:eastAsia="Calibri"/>
                <w:sz w:val="14"/>
                <w:szCs w:val="14"/>
              </w:rPr>
            </w:pPr>
          </w:p>
        </w:tc>
        <w:tc>
          <w:tcPr>
            <w:tcW w:w="881" w:type="dxa"/>
            <w:tcBorders>
              <w:top w:val="single" w:sz="4" w:space="0" w:color="auto"/>
              <w:left w:val="nil"/>
              <w:bottom w:val="single" w:sz="4" w:space="0" w:color="auto"/>
              <w:right w:val="nil"/>
            </w:tcBorders>
          </w:tcPr>
          <w:p w14:paraId="2077618D" w14:textId="77777777" w:rsidR="006919F4" w:rsidRPr="00F92E43" w:rsidRDefault="006919F4" w:rsidP="00F92E43">
            <w:pPr>
              <w:pStyle w:val="Document"/>
              <w:spacing w:line="200" w:lineRule="exact"/>
              <w:ind w:firstLine="0"/>
              <w:jc w:val="center"/>
              <w:rPr>
                <w:rFonts w:eastAsia="Calibri"/>
                <w:sz w:val="14"/>
                <w:szCs w:val="14"/>
              </w:rPr>
            </w:pPr>
          </w:p>
        </w:tc>
        <w:tc>
          <w:tcPr>
            <w:tcW w:w="1742" w:type="dxa"/>
            <w:tcBorders>
              <w:top w:val="single" w:sz="4" w:space="0" w:color="auto"/>
              <w:left w:val="nil"/>
              <w:bottom w:val="single" w:sz="4" w:space="0" w:color="auto"/>
              <w:right w:val="single" w:sz="4" w:space="0" w:color="auto"/>
            </w:tcBorders>
          </w:tcPr>
          <w:p w14:paraId="1EE61659"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.50</w:t>
            </w:r>
          </w:p>
          <w:p w14:paraId="7BF409AD"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(.07)***</w:t>
            </w:r>
          </w:p>
        </w:tc>
      </w:tr>
      <w:tr w:rsidR="006919F4" w:rsidRPr="00F92E43" w14:paraId="056478C8" w14:textId="77777777" w:rsidTr="008623AF">
        <w:trPr>
          <w:jc w:val="center"/>
        </w:trPr>
        <w:tc>
          <w:tcPr>
            <w:tcW w:w="3125" w:type="dxa"/>
            <w:tcBorders>
              <w:top w:val="single" w:sz="4" w:space="0" w:color="auto"/>
              <w:left w:val="single" w:sz="4" w:space="0" w:color="auto"/>
              <w:bottom w:val="single" w:sz="4" w:space="0" w:color="auto"/>
              <w:right w:val="nil"/>
            </w:tcBorders>
          </w:tcPr>
          <w:p w14:paraId="7583D8BD" w14:textId="77777777" w:rsidR="006919F4" w:rsidRPr="00F92E43" w:rsidRDefault="006919F4" w:rsidP="00F92E43">
            <w:pPr>
              <w:pStyle w:val="Document"/>
              <w:spacing w:line="200" w:lineRule="exact"/>
              <w:ind w:firstLine="0"/>
              <w:jc w:val="left"/>
              <w:rPr>
                <w:rFonts w:eastAsia="Calibri"/>
                <w:i/>
                <w:sz w:val="14"/>
                <w:szCs w:val="14"/>
              </w:rPr>
            </w:pPr>
            <w:r w:rsidRPr="00F92E43">
              <w:rPr>
                <w:rFonts w:eastAsia="Calibri"/>
                <w:i/>
                <w:sz w:val="14"/>
                <w:szCs w:val="14"/>
              </w:rPr>
              <w:t>Third Party &amp; Lack of Business Purpose</w:t>
            </w:r>
          </w:p>
        </w:tc>
        <w:tc>
          <w:tcPr>
            <w:tcW w:w="817" w:type="dxa"/>
            <w:tcBorders>
              <w:top w:val="single" w:sz="4" w:space="0" w:color="auto"/>
              <w:left w:val="nil"/>
              <w:bottom w:val="single" w:sz="4" w:space="0" w:color="auto"/>
              <w:right w:val="nil"/>
            </w:tcBorders>
          </w:tcPr>
          <w:p w14:paraId="5E1ECF95" w14:textId="77777777" w:rsidR="006919F4" w:rsidRPr="00F92E43" w:rsidRDefault="006919F4" w:rsidP="00F92E43">
            <w:pPr>
              <w:pStyle w:val="Document"/>
              <w:spacing w:line="200" w:lineRule="exact"/>
              <w:ind w:firstLine="0"/>
              <w:jc w:val="center"/>
              <w:rPr>
                <w:rFonts w:eastAsia="Calibri"/>
                <w:sz w:val="14"/>
                <w:szCs w:val="14"/>
              </w:rPr>
            </w:pPr>
          </w:p>
        </w:tc>
        <w:tc>
          <w:tcPr>
            <w:tcW w:w="881" w:type="dxa"/>
            <w:tcBorders>
              <w:top w:val="single" w:sz="4" w:space="0" w:color="auto"/>
              <w:left w:val="nil"/>
              <w:bottom w:val="single" w:sz="4" w:space="0" w:color="auto"/>
              <w:right w:val="nil"/>
            </w:tcBorders>
          </w:tcPr>
          <w:p w14:paraId="5F0E69F5" w14:textId="77777777" w:rsidR="006919F4" w:rsidRPr="00F92E43" w:rsidRDefault="006919F4" w:rsidP="00F92E43">
            <w:pPr>
              <w:pStyle w:val="Document"/>
              <w:spacing w:line="200" w:lineRule="exact"/>
              <w:ind w:firstLine="0"/>
              <w:jc w:val="center"/>
              <w:rPr>
                <w:rFonts w:eastAsia="Calibri"/>
                <w:sz w:val="14"/>
                <w:szCs w:val="14"/>
              </w:rPr>
            </w:pPr>
          </w:p>
        </w:tc>
        <w:tc>
          <w:tcPr>
            <w:tcW w:w="1742" w:type="dxa"/>
            <w:tcBorders>
              <w:top w:val="single" w:sz="4" w:space="0" w:color="auto"/>
              <w:left w:val="nil"/>
              <w:bottom w:val="single" w:sz="4" w:space="0" w:color="auto"/>
              <w:right w:val="single" w:sz="4" w:space="0" w:color="auto"/>
            </w:tcBorders>
          </w:tcPr>
          <w:p w14:paraId="4703CC3F"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-.22</w:t>
            </w:r>
          </w:p>
          <w:p w14:paraId="77BF6A78"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(.19)</w:t>
            </w:r>
          </w:p>
        </w:tc>
      </w:tr>
      <w:tr w:rsidR="006919F4" w:rsidRPr="00F92E43" w14:paraId="13FF674D" w14:textId="77777777" w:rsidTr="008623AF">
        <w:trPr>
          <w:jc w:val="center"/>
        </w:trPr>
        <w:tc>
          <w:tcPr>
            <w:tcW w:w="3125" w:type="dxa"/>
            <w:tcBorders>
              <w:top w:val="single" w:sz="4" w:space="0" w:color="auto"/>
              <w:left w:val="single" w:sz="4" w:space="0" w:color="auto"/>
              <w:bottom w:val="single" w:sz="4" w:space="0" w:color="auto"/>
              <w:right w:val="nil"/>
            </w:tcBorders>
          </w:tcPr>
          <w:p w14:paraId="7A7A3571" w14:textId="77777777" w:rsidR="006919F4" w:rsidRPr="00F92E43" w:rsidRDefault="005C1FB5" w:rsidP="00F92E43">
            <w:pPr>
              <w:pStyle w:val="Document"/>
              <w:spacing w:line="200" w:lineRule="exact"/>
              <w:ind w:firstLine="0"/>
              <w:jc w:val="left"/>
              <w:rPr>
                <w:rFonts w:eastAsia="Calibri"/>
                <w:i/>
                <w:sz w:val="14"/>
                <w:szCs w:val="14"/>
              </w:rPr>
            </w:pPr>
            <w:r w:rsidRPr="00F92E43">
              <w:rPr>
                <w:rFonts w:eastAsia="Calibri"/>
                <w:i/>
                <w:sz w:val="14"/>
                <w:szCs w:val="14"/>
              </w:rPr>
              <w:t>Multis</w:t>
            </w:r>
            <w:r w:rsidR="006919F4" w:rsidRPr="00F92E43">
              <w:rPr>
                <w:rFonts w:eastAsia="Calibri"/>
                <w:i/>
                <w:sz w:val="14"/>
                <w:szCs w:val="14"/>
              </w:rPr>
              <w:t>tep &amp; Lack of Business Purpose</w:t>
            </w:r>
          </w:p>
        </w:tc>
        <w:tc>
          <w:tcPr>
            <w:tcW w:w="817" w:type="dxa"/>
            <w:tcBorders>
              <w:top w:val="single" w:sz="4" w:space="0" w:color="auto"/>
              <w:left w:val="nil"/>
              <w:bottom w:val="single" w:sz="4" w:space="0" w:color="auto"/>
              <w:right w:val="nil"/>
            </w:tcBorders>
          </w:tcPr>
          <w:p w14:paraId="3D61375F" w14:textId="77777777" w:rsidR="006919F4" w:rsidRPr="00F92E43" w:rsidRDefault="006919F4" w:rsidP="00F92E43">
            <w:pPr>
              <w:pStyle w:val="Document"/>
              <w:spacing w:line="200" w:lineRule="exact"/>
              <w:ind w:firstLine="0"/>
              <w:jc w:val="center"/>
              <w:rPr>
                <w:rFonts w:eastAsia="Calibri"/>
                <w:sz w:val="14"/>
                <w:szCs w:val="14"/>
              </w:rPr>
            </w:pPr>
          </w:p>
        </w:tc>
        <w:tc>
          <w:tcPr>
            <w:tcW w:w="881" w:type="dxa"/>
            <w:tcBorders>
              <w:top w:val="single" w:sz="4" w:space="0" w:color="auto"/>
              <w:left w:val="nil"/>
              <w:bottom w:val="single" w:sz="4" w:space="0" w:color="auto"/>
              <w:right w:val="nil"/>
            </w:tcBorders>
          </w:tcPr>
          <w:p w14:paraId="55961326" w14:textId="77777777" w:rsidR="006919F4" w:rsidRPr="00F92E43" w:rsidRDefault="006919F4" w:rsidP="00F92E43">
            <w:pPr>
              <w:pStyle w:val="Document"/>
              <w:spacing w:line="200" w:lineRule="exact"/>
              <w:ind w:firstLine="0"/>
              <w:jc w:val="center"/>
              <w:rPr>
                <w:rFonts w:eastAsia="Calibri"/>
                <w:sz w:val="14"/>
                <w:szCs w:val="14"/>
              </w:rPr>
            </w:pPr>
          </w:p>
        </w:tc>
        <w:tc>
          <w:tcPr>
            <w:tcW w:w="1742" w:type="dxa"/>
            <w:tcBorders>
              <w:top w:val="single" w:sz="4" w:space="0" w:color="auto"/>
              <w:left w:val="nil"/>
              <w:bottom w:val="single" w:sz="4" w:space="0" w:color="auto"/>
              <w:right w:val="single" w:sz="4" w:space="0" w:color="auto"/>
            </w:tcBorders>
          </w:tcPr>
          <w:p w14:paraId="79697843"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-.26</w:t>
            </w:r>
          </w:p>
          <w:p w14:paraId="5E378BEA"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(.26)</w:t>
            </w:r>
          </w:p>
        </w:tc>
      </w:tr>
      <w:tr w:rsidR="006919F4" w:rsidRPr="00F92E43" w14:paraId="5A15E8C5" w14:textId="77777777" w:rsidTr="008623AF">
        <w:trPr>
          <w:jc w:val="center"/>
        </w:trPr>
        <w:tc>
          <w:tcPr>
            <w:tcW w:w="3125" w:type="dxa"/>
            <w:tcBorders>
              <w:top w:val="single" w:sz="4" w:space="0" w:color="auto"/>
              <w:left w:val="single" w:sz="4" w:space="0" w:color="auto"/>
              <w:bottom w:val="single" w:sz="4" w:space="0" w:color="auto"/>
              <w:right w:val="nil"/>
            </w:tcBorders>
          </w:tcPr>
          <w:p w14:paraId="482ABFE7" w14:textId="77777777" w:rsidR="006919F4" w:rsidRPr="00F92E43" w:rsidRDefault="006919F4" w:rsidP="00F92E43">
            <w:pPr>
              <w:pStyle w:val="Document"/>
              <w:spacing w:line="200" w:lineRule="exact"/>
              <w:ind w:firstLine="0"/>
              <w:jc w:val="left"/>
              <w:rPr>
                <w:rFonts w:eastAsia="Calibri"/>
                <w:i/>
                <w:sz w:val="14"/>
                <w:szCs w:val="14"/>
              </w:rPr>
            </w:pPr>
            <w:r w:rsidRPr="00F92E43">
              <w:rPr>
                <w:rFonts w:eastAsia="Calibri"/>
                <w:i/>
                <w:sz w:val="14"/>
                <w:szCs w:val="14"/>
              </w:rPr>
              <w:t>Accounting Irregularity</w:t>
            </w:r>
          </w:p>
        </w:tc>
        <w:tc>
          <w:tcPr>
            <w:tcW w:w="817" w:type="dxa"/>
            <w:tcBorders>
              <w:top w:val="single" w:sz="4" w:space="0" w:color="auto"/>
              <w:left w:val="nil"/>
              <w:bottom w:val="single" w:sz="4" w:space="0" w:color="auto"/>
              <w:right w:val="nil"/>
            </w:tcBorders>
          </w:tcPr>
          <w:p w14:paraId="2B10CCF9"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.18</w:t>
            </w:r>
          </w:p>
          <w:p w14:paraId="3E942DF2"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(.09)*</w:t>
            </w:r>
          </w:p>
        </w:tc>
        <w:tc>
          <w:tcPr>
            <w:tcW w:w="881" w:type="dxa"/>
            <w:tcBorders>
              <w:top w:val="single" w:sz="4" w:space="0" w:color="auto"/>
              <w:left w:val="nil"/>
              <w:bottom w:val="single" w:sz="4" w:space="0" w:color="auto"/>
              <w:right w:val="nil"/>
            </w:tcBorders>
          </w:tcPr>
          <w:p w14:paraId="55B36D50"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.22</w:t>
            </w:r>
          </w:p>
          <w:p w14:paraId="5F756C14"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(.08)**</w:t>
            </w:r>
          </w:p>
        </w:tc>
        <w:tc>
          <w:tcPr>
            <w:tcW w:w="1742" w:type="dxa"/>
            <w:tcBorders>
              <w:top w:val="single" w:sz="4" w:space="0" w:color="auto"/>
              <w:left w:val="nil"/>
              <w:bottom w:val="single" w:sz="4" w:space="0" w:color="auto"/>
              <w:right w:val="single" w:sz="4" w:space="0" w:color="auto"/>
            </w:tcBorders>
          </w:tcPr>
          <w:p w14:paraId="36C02930"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.15</w:t>
            </w:r>
          </w:p>
          <w:p w14:paraId="04F8DBD3"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(.10)</w:t>
            </w:r>
          </w:p>
        </w:tc>
      </w:tr>
      <w:tr w:rsidR="006919F4" w:rsidRPr="00F92E43" w14:paraId="043DC190" w14:textId="77777777" w:rsidTr="008623AF">
        <w:trPr>
          <w:jc w:val="center"/>
        </w:trPr>
        <w:tc>
          <w:tcPr>
            <w:tcW w:w="3125" w:type="dxa"/>
            <w:tcBorders>
              <w:top w:val="single" w:sz="4" w:space="0" w:color="auto"/>
              <w:left w:val="single" w:sz="4" w:space="0" w:color="auto"/>
              <w:bottom w:val="single" w:sz="4" w:space="0" w:color="auto"/>
              <w:right w:val="nil"/>
            </w:tcBorders>
          </w:tcPr>
          <w:p w14:paraId="158FB379" w14:textId="77777777" w:rsidR="006919F4" w:rsidRPr="00F92E43" w:rsidRDefault="005C1FB5" w:rsidP="00F92E43">
            <w:pPr>
              <w:pStyle w:val="Document"/>
              <w:spacing w:line="200" w:lineRule="exact"/>
              <w:ind w:firstLine="0"/>
              <w:jc w:val="left"/>
              <w:rPr>
                <w:rFonts w:eastAsia="Calibri"/>
                <w:i/>
                <w:sz w:val="14"/>
                <w:szCs w:val="14"/>
              </w:rPr>
            </w:pPr>
            <w:r w:rsidRPr="00F92E43">
              <w:rPr>
                <w:rFonts w:eastAsia="Calibri"/>
                <w:i/>
                <w:sz w:val="14"/>
                <w:szCs w:val="14"/>
              </w:rPr>
              <w:t>Taxpayer</w:t>
            </w:r>
            <w:r w:rsidR="006919F4" w:rsidRPr="00F92E43">
              <w:rPr>
                <w:rFonts w:eastAsia="Calibri"/>
                <w:i/>
                <w:sz w:val="14"/>
                <w:szCs w:val="14"/>
              </w:rPr>
              <w:t xml:space="preserve"> Claimed Refund</w:t>
            </w:r>
          </w:p>
        </w:tc>
        <w:tc>
          <w:tcPr>
            <w:tcW w:w="817" w:type="dxa"/>
            <w:tcBorders>
              <w:top w:val="single" w:sz="4" w:space="0" w:color="auto"/>
              <w:left w:val="nil"/>
              <w:bottom w:val="single" w:sz="4" w:space="0" w:color="auto"/>
              <w:right w:val="nil"/>
            </w:tcBorders>
          </w:tcPr>
          <w:p w14:paraId="44E4DDA2"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.28</w:t>
            </w:r>
          </w:p>
          <w:p w14:paraId="1B175DEE"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(.09)***</w:t>
            </w:r>
          </w:p>
        </w:tc>
        <w:tc>
          <w:tcPr>
            <w:tcW w:w="881" w:type="dxa"/>
            <w:tcBorders>
              <w:top w:val="single" w:sz="4" w:space="0" w:color="auto"/>
              <w:left w:val="nil"/>
              <w:bottom w:val="single" w:sz="4" w:space="0" w:color="auto"/>
              <w:right w:val="nil"/>
            </w:tcBorders>
          </w:tcPr>
          <w:p w14:paraId="6A7B3146"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.24</w:t>
            </w:r>
          </w:p>
          <w:p w14:paraId="131E4504"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(.09)**</w:t>
            </w:r>
          </w:p>
        </w:tc>
        <w:tc>
          <w:tcPr>
            <w:tcW w:w="1742" w:type="dxa"/>
            <w:tcBorders>
              <w:top w:val="single" w:sz="4" w:space="0" w:color="auto"/>
              <w:left w:val="nil"/>
              <w:bottom w:val="single" w:sz="4" w:space="0" w:color="auto"/>
              <w:right w:val="single" w:sz="4" w:space="0" w:color="auto"/>
            </w:tcBorders>
          </w:tcPr>
          <w:p w14:paraId="0B4A643A"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.22</w:t>
            </w:r>
          </w:p>
          <w:p w14:paraId="3FF3BA45"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(.06)***</w:t>
            </w:r>
          </w:p>
        </w:tc>
      </w:tr>
      <w:tr w:rsidR="006919F4" w:rsidRPr="00F92E43" w14:paraId="6A09AEA6" w14:textId="77777777" w:rsidTr="008623AF">
        <w:trPr>
          <w:jc w:val="center"/>
        </w:trPr>
        <w:tc>
          <w:tcPr>
            <w:tcW w:w="3125" w:type="dxa"/>
            <w:tcBorders>
              <w:top w:val="single" w:sz="4" w:space="0" w:color="auto"/>
              <w:left w:val="single" w:sz="4" w:space="0" w:color="auto"/>
              <w:bottom w:val="single" w:sz="4" w:space="0" w:color="auto"/>
              <w:right w:val="nil"/>
            </w:tcBorders>
          </w:tcPr>
          <w:p w14:paraId="50375248" w14:textId="77777777" w:rsidR="006919F4" w:rsidRPr="00F92E43" w:rsidRDefault="006919F4" w:rsidP="00F92E43">
            <w:pPr>
              <w:pStyle w:val="Document"/>
              <w:spacing w:line="200" w:lineRule="exact"/>
              <w:ind w:firstLine="0"/>
              <w:jc w:val="left"/>
              <w:rPr>
                <w:rFonts w:eastAsia="Calibri"/>
                <w:i/>
                <w:sz w:val="14"/>
                <w:szCs w:val="14"/>
              </w:rPr>
            </w:pPr>
            <w:r w:rsidRPr="00F92E43">
              <w:rPr>
                <w:rFonts w:eastAsia="Calibri"/>
                <w:i/>
                <w:sz w:val="14"/>
                <w:szCs w:val="14"/>
              </w:rPr>
              <w:t>Justice Scalia on Court</w:t>
            </w:r>
          </w:p>
        </w:tc>
        <w:tc>
          <w:tcPr>
            <w:tcW w:w="817" w:type="dxa"/>
            <w:tcBorders>
              <w:top w:val="single" w:sz="4" w:space="0" w:color="auto"/>
              <w:left w:val="nil"/>
              <w:bottom w:val="single" w:sz="4" w:space="0" w:color="auto"/>
              <w:right w:val="nil"/>
            </w:tcBorders>
          </w:tcPr>
          <w:p w14:paraId="755C6AFF"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-.05</w:t>
            </w:r>
          </w:p>
          <w:p w14:paraId="7581A67B"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(.15)</w:t>
            </w:r>
          </w:p>
        </w:tc>
        <w:tc>
          <w:tcPr>
            <w:tcW w:w="881" w:type="dxa"/>
            <w:tcBorders>
              <w:top w:val="single" w:sz="4" w:space="0" w:color="auto"/>
              <w:left w:val="nil"/>
              <w:bottom w:val="single" w:sz="4" w:space="0" w:color="auto"/>
              <w:right w:val="nil"/>
            </w:tcBorders>
          </w:tcPr>
          <w:p w14:paraId="09DCA19E"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-.09</w:t>
            </w:r>
          </w:p>
          <w:p w14:paraId="7030D149"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(.18)</w:t>
            </w:r>
          </w:p>
        </w:tc>
        <w:tc>
          <w:tcPr>
            <w:tcW w:w="1742" w:type="dxa"/>
            <w:tcBorders>
              <w:top w:val="single" w:sz="4" w:space="0" w:color="auto"/>
              <w:left w:val="nil"/>
              <w:bottom w:val="single" w:sz="4" w:space="0" w:color="auto"/>
              <w:right w:val="single" w:sz="4" w:space="0" w:color="auto"/>
            </w:tcBorders>
          </w:tcPr>
          <w:p w14:paraId="1BD9C1C7" w14:textId="77777777" w:rsidR="00201A0E"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-.01</w:t>
            </w:r>
          </w:p>
          <w:p w14:paraId="0BEBA445" w14:textId="77777777" w:rsidR="006919F4" w:rsidRPr="00F92E43" w:rsidRDefault="006919F4" w:rsidP="00F92E43">
            <w:pPr>
              <w:pStyle w:val="Document"/>
              <w:spacing w:line="200" w:lineRule="exact"/>
              <w:ind w:firstLine="0"/>
              <w:jc w:val="center"/>
              <w:rPr>
                <w:rFonts w:eastAsia="Calibri"/>
                <w:sz w:val="14"/>
                <w:szCs w:val="14"/>
              </w:rPr>
            </w:pPr>
            <w:r w:rsidRPr="00F92E43">
              <w:rPr>
                <w:rFonts w:eastAsia="Calibri"/>
                <w:sz w:val="14"/>
                <w:szCs w:val="14"/>
              </w:rPr>
              <w:t>(.13)</w:t>
            </w:r>
          </w:p>
        </w:tc>
      </w:tr>
      <w:tr w:rsidR="00663B22" w:rsidRPr="00F92E43" w14:paraId="73C500C2" w14:textId="77777777" w:rsidTr="008623AF">
        <w:trPr>
          <w:jc w:val="center"/>
        </w:trPr>
        <w:tc>
          <w:tcPr>
            <w:tcW w:w="3125" w:type="dxa"/>
            <w:tcBorders>
              <w:top w:val="single" w:sz="4" w:space="0" w:color="auto"/>
              <w:left w:val="single" w:sz="4" w:space="0" w:color="auto"/>
              <w:bottom w:val="single" w:sz="4" w:space="0" w:color="auto"/>
              <w:right w:val="nil"/>
            </w:tcBorders>
          </w:tcPr>
          <w:p w14:paraId="4F469581" w14:textId="1E7015AE" w:rsidR="00663B22" w:rsidRPr="00F92E43" w:rsidRDefault="00663B22" w:rsidP="00F92E43">
            <w:pPr>
              <w:pStyle w:val="Document"/>
              <w:spacing w:line="200" w:lineRule="exact"/>
              <w:ind w:firstLine="0"/>
              <w:jc w:val="left"/>
              <w:rPr>
                <w:rFonts w:eastAsia="Calibri"/>
                <w:i/>
                <w:sz w:val="14"/>
                <w:szCs w:val="14"/>
              </w:rPr>
            </w:pPr>
            <w:r w:rsidRPr="00F92E43">
              <w:rPr>
                <w:rFonts w:eastAsia="Calibri"/>
                <w:i/>
                <w:sz w:val="14"/>
                <w:szCs w:val="14"/>
              </w:rPr>
              <w:t xml:space="preserve">Probability of Pro-Government </w:t>
            </w:r>
            <w:r>
              <w:rPr>
                <w:rFonts w:eastAsia="Calibri"/>
                <w:i/>
                <w:sz w:val="14"/>
                <w:szCs w:val="14"/>
              </w:rPr>
              <w:t>Outcome at X-bar</w:t>
            </w:r>
          </w:p>
        </w:tc>
        <w:tc>
          <w:tcPr>
            <w:tcW w:w="817" w:type="dxa"/>
            <w:tcBorders>
              <w:top w:val="single" w:sz="4" w:space="0" w:color="auto"/>
              <w:left w:val="nil"/>
              <w:bottom w:val="single" w:sz="4" w:space="0" w:color="auto"/>
              <w:right w:val="nil"/>
            </w:tcBorders>
          </w:tcPr>
          <w:p w14:paraId="40ED8B83" w14:textId="0F192373" w:rsidR="00663B22" w:rsidRPr="00F92E43" w:rsidRDefault="00663B22" w:rsidP="00F92E43">
            <w:pPr>
              <w:pStyle w:val="Document"/>
              <w:spacing w:line="200" w:lineRule="exact"/>
              <w:ind w:firstLine="0"/>
              <w:jc w:val="center"/>
              <w:rPr>
                <w:rFonts w:eastAsia="Calibri"/>
                <w:sz w:val="14"/>
                <w:szCs w:val="14"/>
              </w:rPr>
            </w:pPr>
            <w:r w:rsidRPr="00F92E43">
              <w:rPr>
                <w:rFonts w:eastAsia="Calibri"/>
                <w:sz w:val="14"/>
                <w:szCs w:val="14"/>
              </w:rPr>
              <w:t>.63</w:t>
            </w:r>
          </w:p>
        </w:tc>
        <w:tc>
          <w:tcPr>
            <w:tcW w:w="881" w:type="dxa"/>
            <w:tcBorders>
              <w:top w:val="single" w:sz="4" w:space="0" w:color="auto"/>
              <w:left w:val="nil"/>
              <w:bottom w:val="single" w:sz="4" w:space="0" w:color="auto"/>
              <w:right w:val="nil"/>
            </w:tcBorders>
          </w:tcPr>
          <w:p w14:paraId="5838D507" w14:textId="6FEF3BA8" w:rsidR="00663B22" w:rsidRPr="00F92E43" w:rsidRDefault="00663B22" w:rsidP="00F92E43">
            <w:pPr>
              <w:pStyle w:val="Document"/>
              <w:spacing w:line="200" w:lineRule="exact"/>
              <w:ind w:firstLine="0"/>
              <w:jc w:val="center"/>
              <w:rPr>
                <w:rFonts w:eastAsia="Calibri"/>
                <w:sz w:val="14"/>
                <w:szCs w:val="14"/>
              </w:rPr>
            </w:pPr>
            <w:r w:rsidRPr="00F92E43">
              <w:rPr>
                <w:rFonts w:eastAsia="Calibri"/>
                <w:sz w:val="14"/>
                <w:szCs w:val="14"/>
              </w:rPr>
              <w:t>.63</w:t>
            </w:r>
          </w:p>
        </w:tc>
        <w:tc>
          <w:tcPr>
            <w:tcW w:w="1742" w:type="dxa"/>
            <w:tcBorders>
              <w:top w:val="single" w:sz="4" w:space="0" w:color="auto"/>
              <w:left w:val="nil"/>
              <w:bottom w:val="single" w:sz="4" w:space="0" w:color="auto"/>
              <w:right w:val="single" w:sz="4" w:space="0" w:color="auto"/>
            </w:tcBorders>
          </w:tcPr>
          <w:p w14:paraId="2534C061" w14:textId="295CB7AA" w:rsidR="00663B22" w:rsidRPr="00F92E43" w:rsidRDefault="00663B22" w:rsidP="00F92E43">
            <w:pPr>
              <w:pStyle w:val="Document"/>
              <w:spacing w:line="200" w:lineRule="exact"/>
              <w:ind w:firstLine="0"/>
              <w:jc w:val="center"/>
              <w:rPr>
                <w:rFonts w:eastAsia="Calibri"/>
                <w:sz w:val="14"/>
                <w:szCs w:val="14"/>
              </w:rPr>
            </w:pPr>
            <w:r w:rsidRPr="00F92E43">
              <w:rPr>
                <w:rFonts w:eastAsia="Calibri"/>
                <w:sz w:val="14"/>
                <w:szCs w:val="14"/>
              </w:rPr>
              <w:t>.64</w:t>
            </w:r>
          </w:p>
        </w:tc>
      </w:tr>
      <w:tr w:rsidR="00663B22" w:rsidRPr="00F92E43" w14:paraId="1A5F9499" w14:textId="77777777" w:rsidTr="008623AF">
        <w:trPr>
          <w:jc w:val="center"/>
        </w:trPr>
        <w:tc>
          <w:tcPr>
            <w:tcW w:w="3125" w:type="dxa"/>
            <w:tcBorders>
              <w:top w:val="single" w:sz="4" w:space="0" w:color="auto"/>
              <w:left w:val="single" w:sz="4" w:space="0" w:color="auto"/>
              <w:bottom w:val="single" w:sz="4" w:space="0" w:color="auto"/>
              <w:right w:val="nil"/>
            </w:tcBorders>
          </w:tcPr>
          <w:p w14:paraId="67BB032B" w14:textId="1DFAF8C0" w:rsidR="00663B22" w:rsidRPr="00F92E43" w:rsidRDefault="00663B22" w:rsidP="00F92E43">
            <w:pPr>
              <w:pStyle w:val="Document"/>
              <w:spacing w:line="200" w:lineRule="exact"/>
              <w:ind w:firstLine="0"/>
              <w:jc w:val="left"/>
              <w:rPr>
                <w:rFonts w:eastAsia="Calibri"/>
                <w:i/>
                <w:sz w:val="14"/>
                <w:szCs w:val="14"/>
              </w:rPr>
            </w:pPr>
            <w:r w:rsidRPr="00F92E43">
              <w:rPr>
                <w:rFonts w:eastAsia="Calibri"/>
                <w:i/>
                <w:sz w:val="14"/>
                <w:szCs w:val="14"/>
              </w:rPr>
              <w:t>Total Observations</w:t>
            </w:r>
          </w:p>
        </w:tc>
        <w:tc>
          <w:tcPr>
            <w:tcW w:w="817" w:type="dxa"/>
            <w:tcBorders>
              <w:top w:val="single" w:sz="4" w:space="0" w:color="auto"/>
              <w:left w:val="nil"/>
              <w:bottom w:val="single" w:sz="4" w:space="0" w:color="auto"/>
              <w:right w:val="nil"/>
            </w:tcBorders>
          </w:tcPr>
          <w:p w14:paraId="0F630E21" w14:textId="7B9D571C" w:rsidR="00663B22" w:rsidRPr="00F92E43" w:rsidRDefault="00663B22" w:rsidP="00F92E43">
            <w:pPr>
              <w:pStyle w:val="Document"/>
              <w:spacing w:line="200" w:lineRule="exact"/>
              <w:ind w:firstLine="0"/>
              <w:jc w:val="center"/>
              <w:rPr>
                <w:rFonts w:eastAsia="Calibri"/>
                <w:sz w:val="14"/>
                <w:szCs w:val="14"/>
              </w:rPr>
            </w:pPr>
            <w:r w:rsidRPr="00F92E43">
              <w:rPr>
                <w:rFonts w:eastAsia="Calibri"/>
                <w:sz w:val="14"/>
                <w:szCs w:val="14"/>
              </w:rPr>
              <w:t>123</w:t>
            </w:r>
          </w:p>
        </w:tc>
        <w:tc>
          <w:tcPr>
            <w:tcW w:w="881" w:type="dxa"/>
            <w:tcBorders>
              <w:top w:val="single" w:sz="4" w:space="0" w:color="auto"/>
              <w:left w:val="nil"/>
              <w:bottom w:val="single" w:sz="4" w:space="0" w:color="auto"/>
              <w:right w:val="nil"/>
            </w:tcBorders>
          </w:tcPr>
          <w:p w14:paraId="35446B5F" w14:textId="1F2E862D" w:rsidR="00663B22" w:rsidRPr="00F92E43" w:rsidRDefault="00663B22" w:rsidP="00F92E43">
            <w:pPr>
              <w:pStyle w:val="Document"/>
              <w:spacing w:line="200" w:lineRule="exact"/>
              <w:ind w:firstLine="0"/>
              <w:jc w:val="center"/>
              <w:rPr>
                <w:rFonts w:eastAsia="Calibri"/>
                <w:sz w:val="14"/>
                <w:szCs w:val="14"/>
              </w:rPr>
            </w:pPr>
            <w:r w:rsidRPr="00F92E43">
              <w:rPr>
                <w:rFonts w:eastAsia="Calibri"/>
                <w:sz w:val="14"/>
                <w:szCs w:val="14"/>
              </w:rPr>
              <w:t>123</w:t>
            </w:r>
          </w:p>
        </w:tc>
        <w:tc>
          <w:tcPr>
            <w:tcW w:w="1742" w:type="dxa"/>
            <w:tcBorders>
              <w:top w:val="single" w:sz="4" w:space="0" w:color="auto"/>
              <w:left w:val="nil"/>
              <w:bottom w:val="single" w:sz="4" w:space="0" w:color="auto"/>
              <w:right w:val="single" w:sz="4" w:space="0" w:color="auto"/>
            </w:tcBorders>
          </w:tcPr>
          <w:p w14:paraId="22E3DB44" w14:textId="27711A09" w:rsidR="00663B22" w:rsidRPr="00F92E43" w:rsidRDefault="00663B22" w:rsidP="00F92E43">
            <w:pPr>
              <w:pStyle w:val="Document"/>
              <w:spacing w:line="200" w:lineRule="exact"/>
              <w:ind w:firstLine="0"/>
              <w:jc w:val="center"/>
              <w:rPr>
                <w:rFonts w:eastAsia="Calibri"/>
                <w:sz w:val="14"/>
                <w:szCs w:val="14"/>
              </w:rPr>
            </w:pPr>
            <w:r w:rsidRPr="00F92E43">
              <w:rPr>
                <w:rFonts w:eastAsia="Calibri"/>
                <w:sz w:val="14"/>
                <w:szCs w:val="14"/>
              </w:rPr>
              <w:t>123</w:t>
            </w:r>
          </w:p>
        </w:tc>
      </w:tr>
    </w:tbl>
    <w:p w14:paraId="085EF7D0" w14:textId="1FF053A0" w:rsidR="006919F4" w:rsidRPr="00F92E43" w:rsidRDefault="006919F4" w:rsidP="00A568F9">
      <w:pPr>
        <w:pStyle w:val="Document"/>
        <w:tabs>
          <w:tab w:val="clear" w:pos="0"/>
          <w:tab w:val="left" w:pos="6570"/>
        </w:tabs>
        <w:spacing w:line="200" w:lineRule="exact"/>
        <w:ind w:left="90" w:right="112" w:firstLine="0"/>
        <w:rPr>
          <w:i/>
          <w:sz w:val="14"/>
          <w:szCs w:val="14"/>
        </w:rPr>
      </w:pPr>
      <w:r w:rsidRPr="00F92E43">
        <w:rPr>
          <w:sz w:val="14"/>
          <w:szCs w:val="14"/>
        </w:rPr>
        <w:t xml:space="preserve">Note: Results marked *** are statistically significant at the </w:t>
      </w:r>
      <w:r w:rsidR="0051354A" w:rsidRPr="00F92E43">
        <w:rPr>
          <w:sz w:val="14"/>
          <w:szCs w:val="14"/>
        </w:rPr>
        <w:t>0</w:t>
      </w:r>
      <w:r w:rsidRPr="00F92E43">
        <w:rPr>
          <w:sz w:val="14"/>
          <w:szCs w:val="14"/>
        </w:rPr>
        <w:t xml:space="preserve">.01 level, ** are statistically significant at the </w:t>
      </w:r>
      <w:r w:rsidR="0051354A" w:rsidRPr="00F92E43">
        <w:rPr>
          <w:sz w:val="14"/>
          <w:szCs w:val="14"/>
        </w:rPr>
        <w:t>0</w:t>
      </w:r>
      <w:r w:rsidRPr="00F92E43">
        <w:rPr>
          <w:sz w:val="14"/>
          <w:szCs w:val="14"/>
        </w:rPr>
        <w:t xml:space="preserve">.05 level, and * are statistically significant at the </w:t>
      </w:r>
      <w:r w:rsidR="0051354A" w:rsidRPr="00F92E43">
        <w:rPr>
          <w:sz w:val="14"/>
          <w:szCs w:val="14"/>
        </w:rPr>
        <w:t>0</w:t>
      </w:r>
      <w:r w:rsidRPr="00F92E43">
        <w:rPr>
          <w:sz w:val="14"/>
          <w:szCs w:val="14"/>
        </w:rPr>
        <w:t>.10 level.</w:t>
      </w:r>
      <w:r w:rsidR="007F58D6" w:rsidRPr="00F92E43">
        <w:rPr>
          <w:sz w:val="14"/>
          <w:szCs w:val="14"/>
        </w:rPr>
        <w:t xml:space="preserve"> </w:t>
      </w:r>
      <w:r w:rsidRPr="00F92E43">
        <w:rPr>
          <w:sz w:val="14"/>
          <w:szCs w:val="14"/>
        </w:rPr>
        <w:t>Errors are clustered by Chief Justice</w:t>
      </w:r>
      <w:r w:rsidR="00252441">
        <w:rPr>
          <w:sz w:val="14"/>
          <w:szCs w:val="14"/>
        </w:rPr>
        <w:t xml:space="preserve"> and inlcude the same control variable used in the first two models</w:t>
      </w:r>
      <w:r w:rsidRPr="00F92E43">
        <w:rPr>
          <w:sz w:val="14"/>
          <w:szCs w:val="14"/>
        </w:rPr>
        <w:t>.</w:t>
      </w:r>
      <w:r w:rsidR="00D60B16">
        <w:rPr>
          <w:rStyle w:val="NoterefInText"/>
          <w:sz w:val="14"/>
          <w:szCs w:val="14"/>
        </w:rPr>
        <w:t xml:space="preserve">  </w:t>
      </w:r>
      <w:r w:rsidR="00D60B16" w:rsidRPr="004377F9">
        <w:rPr>
          <w:sz w:val="14"/>
          <w:szCs w:val="14"/>
        </w:rPr>
        <w:t>All models include controls for judicial political preferences, the economy, defense spending, the identity of the petitioning party, and a time trend.</w:t>
      </w:r>
      <w:r w:rsidR="00D60B16" w:rsidRPr="004377F9">
        <w:rPr>
          <w:b/>
          <w:sz w:val="14"/>
          <w:szCs w:val="14"/>
        </w:rPr>
        <w:tab/>
      </w:r>
    </w:p>
    <w:p w14:paraId="3E55A3A1" w14:textId="77777777" w:rsidR="006919F4" w:rsidRPr="00506576" w:rsidRDefault="00953B4E" w:rsidP="00953B4E">
      <w:pPr>
        <w:pStyle w:val="SubHead4"/>
        <w:rPr>
          <w:rFonts w:ascii="Times New Roman" w:hAnsi="Times New Roman"/>
          <w:szCs w:val="22"/>
        </w:rPr>
      </w:pPr>
      <w:bookmarkStart w:id="71" w:name="_Toc319267166"/>
      <w:bookmarkStart w:id="72" w:name="_Toc332272318"/>
      <w:bookmarkStart w:id="73" w:name="_Toc337045097"/>
      <w:bookmarkStart w:id="74" w:name="_Toc337045529"/>
      <w:bookmarkStart w:id="75" w:name="_Toc338056872"/>
      <w:r w:rsidRPr="00506576">
        <w:rPr>
          <w:rFonts w:ascii="Times New Roman" w:hAnsi="Times New Roman"/>
          <w:szCs w:val="22"/>
        </w:rPr>
        <w:t>a.</w:t>
      </w:r>
      <w:r w:rsidRPr="00506576">
        <w:rPr>
          <w:rFonts w:ascii="Times New Roman" w:hAnsi="Times New Roman"/>
          <w:szCs w:val="22"/>
        </w:rPr>
        <w:tab/>
      </w:r>
      <w:r w:rsidR="006919F4" w:rsidRPr="00506576">
        <w:rPr>
          <w:rFonts w:ascii="Times New Roman" w:hAnsi="Times New Roman"/>
          <w:szCs w:val="22"/>
        </w:rPr>
        <w:t>Transaction-Related Factors</w:t>
      </w:r>
      <w:bookmarkEnd w:id="71"/>
      <w:bookmarkEnd w:id="72"/>
      <w:bookmarkEnd w:id="73"/>
      <w:bookmarkEnd w:id="74"/>
      <w:bookmarkEnd w:id="75"/>
    </w:p>
    <w:p w14:paraId="767332BF" w14:textId="641FBE62" w:rsidR="006919F4" w:rsidRPr="00506576" w:rsidRDefault="00252441" w:rsidP="006919F4">
      <w:pPr>
        <w:pStyle w:val="Document"/>
        <w:rPr>
          <w:rFonts w:ascii="Times New Roman" w:hAnsi="Times New Roman"/>
          <w:szCs w:val="22"/>
        </w:rPr>
      </w:pPr>
      <w:r w:rsidRPr="00506576">
        <w:rPr>
          <w:rFonts w:ascii="Times New Roman" w:hAnsi="Times New Roman"/>
          <w:szCs w:val="22"/>
        </w:rPr>
        <w:t>The</w:t>
      </w:r>
      <w:r w:rsidR="006919F4" w:rsidRPr="00506576">
        <w:rPr>
          <w:rFonts w:ascii="Times New Roman" w:hAnsi="Times New Roman"/>
          <w:szCs w:val="22"/>
        </w:rPr>
        <w:t xml:space="preserve"> legal briefs filed with the Supreme Court indicate that the government continually points to three</w:t>
      </w:r>
      <w:r w:rsidR="0093446F" w:rsidRPr="00506576">
        <w:rPr>
          <w:rFonts w:ascii="Times New Roman" w:hAnsi="Times New Roman"/>
          <w:szCs w:val="22"/>
        </w:rPr>
        <w:t xml:space="preserve"> transaction-related</w:t>
      </w:r>
      <w:r w:rsidR="006919F4" w:rsidRPr="00506576">
        <w:rPr>
          <w:rFonts w:ascii="Times New Roman" w:hAnsi="Times New Roman"/>
          <w:szCs w:val="22"/>
        </w:rPr>
        <w:t xml:space="preserve"> indicia of abuse: </w:t>
      </w:r>
      <w:r w:rsidR="003C7724" w:rsidRPr="00506576">
        <w:rPr>
          <w:rFonts w:ascii="Times New Roman" w:hAnsi="Times New Roman"/>
          <w:szCs w:val="22"/>
        </w:rPr>
        <w:t>(</w:t>
      </w:r>
      <w:r w:rsidR="006919F4" w:rsidRPr="00506576">
        <w:rPr>
          <w:rFonts w:ascii="Times New Roman" w:hAnsi="Times New Roman"/>
          <w:szCs w:val="22"/>
        </w:rPr>
        <w:t xml:space="preserve">1) the presence of a third party; </w:t>
      </w:r>
      <w:r w:rsidR="003C7724" w:rsidRPr="00506576">
        <w:rPr>
          <w:rFonts w:ascii="Times New Roman" w:hAnsi="Times New Roman"/>
          <w:szCs w:val="22"/>
        </w:rPr>
        <w:t>(</w:t>
      </w:r>
      <w:r w:rsidR="00E05569" w:rsidRPr="00506576">
        <w:rPr>
          <w:rFonts w:ascii="Times New Roman" w:hAnsi="Times New Roman"/>
          <w:szCs w:val="22"/>
        </w:rPr>
        <w:t>2) multi</w:t>
      </w:r>
      <w:r w:rsidR="006919F4" w:rsidRPr="00506576">
        <w:rPr>
          <w:rFonts w:ascii="Times New Roman" w:hAnsi="Times New Roman"/>
          <w:szCs w:val="22"/>
        </w:rPr>
        <w:t xml:space="preserve">step transactions; and </w:t>
      </w:r>
      <w:r w:rsidR="003C7724" w:rsidRPr="00506576">
        <w:rPr>
          <w:rFonts w:ascii="Times New Roman" w:hAnsi="Times New Roman"/>
          <w:szCs w:val="22"/>
        </w:rPr>
        <w:t>(</w:t>
      </w:r>
      <w:r w:rsidR="006919F4" w:rsidRPr="00506576">
        <w:rPr>
          <w:rFonts w:ascii="Times New Roman" w:hAnsi="Times New Roman"/>
          <w:szCs w:val="22"/>
        </w:rPr>
        <w:t>3) the lack of a non-tax business purpose.</w:t>
      </w:r>
      <w:r w:rsidR="007F58D6" w:rsidRPr="00506576">
        <w:rPr>
          <w:rFonts w:ascii="Times New Roman" w:hAnsi="Times New Roman"/>
          <w:szCs w:val="22"/>
        </w:rPr>
        <w:t xml:space="preserve"> </w:t>
      </w:r>
      <w:r w:rsidR="00B410C5" w:rsidRPr="00506576">
        <w:rPr>
          <w:rFonts w:ascii="Times New Roman" w:hAnsi="Times New Roman"/>
          <w:szCs w:val="22"/>
        </w:rPr>
        <w:t>As indicated in c</w:t>
      </w:r>
      <w:r w:rsidR="006919F4" w:rsidRPr="00506576">
        <w:rPr>
          <w:rFonts w:ascii="Times New Roman" w:hAnsi="Times New Roman"/>
          <w:szCs w:val="22"/>
        </w:rPr>
        <w:t>olumn (1) in Table 3</w:t>
      </w:r>
      <w:r w:rsidR="00B410C5" w:rsidRPr="00506576">
        <w:rPr>
          <w:rFonts w:ascii="Times New Roman" w:hAnsi="Times New Roman"/>
          <w:szCs w:val="22"/>
        </w:rPr>
        <w:t xml:space="preserve">, we </w:t>
      </w:r>
      <w:r w:rsidR="006919F4" w:rsidRPr="00506576">
        <w:rPr>
          <w:rFonts w:ascii="Times New Roman" w:hAnsi="Times New Roman"/>
          <w:szCs w:val="22"/>
        </w:rPr>
        <w:t>found that the presence of third parties and m</w:t>
      </w:r>
      <w:r w:rsidR="00E05569" w:rsidRPr="00506576">
        <w:rPr>
          <w:rFonts w:ascii="Times New Roman" w:hAnsi="Times New Roman"/>
          <w:szCs w:val="22"/>
        </w:rPr>
        <w:t>ulti</w:t>
      </w:r>
      <w:r w:rsidR="006919F4" w:rsidRPr="00506576">
        <w:rPr>
          <w:rFonts w:ascii="Times New Roman" w:hAnsi="Times New Roman"/>
          <w:szCs w:val="22"/>
        </w:rPr>
        <w:t>step transactions decrease</w:t>
      </w:r>
      <w:r w:rsidR="006919F4" w:rsidRPr="00506576">
        <w:rPr>
          <w:rFonts w:ascii="Times New Roman" w:hAnsi="Times New Roman"/>
          <w:i/>
          <w:szCs w:val="22"/>
        </w:rPr>
        <w:t xml:space="preserve"> </w:t>
      </w:r>
      <w:r w:rsidR="006919F4" w:rsidRPr="00506576">
        <w:rPr>
          <w:rFonts w:ascii="Times New Roman" w:hAnsi="Times New Roman"/>
          <w:szCs w:val="22"/>
        </w:rPr>
        <w:t>the probability that the government wil</w:t>
      </w:r>
      <w:r w:rsidR="00B410C5" w:rsidRPr="00506576">
        <w:rPr>
          <w:rFonts w:ascii="Times New Roman" w:hAnsi="Times New Roman"/>
          <w:szCs w:val="22"/>
        </w:rPr>
        <w:t xml:space="preserve">l win </w:t>
      </w:r>
      <w:r w:rsidR="00600AE8" w:rsidRPr="00506576">
        <w:rPr>
          <w:rFonts w:ascii="Times New Roman" w:hAnsi="Times New Roman"/>
          <w:szCs w:val="22"/>
        </w:rPr>
        <w:t>by 21</w:t>
      </w:r>
      <w:r w:rsidR="00147B27" w:rsidRPr="00506576">
        <w:rPr>
          <w:rFonts w:ascii="Times New Roman" w:hAnsi="Times New Roman"/>
          <w:szCs w:val="22"/>
        </w:rPr>
        <w:t>%</w:t>
      </w:r>
      <w:r w:rsidR="006919F4" w:rsidRPr="00506576">
        <w:rPr>
          <w:rFonts w:ascii="Times New Roman" w:hAnsi="Times New Roman"/>
          <w:szCs w:val="22"/>
        </w:rPr>
        <w:t xml:space="preserve"> and 3</w:t>
      </w:r>
      <w:r w:rsidR="00147B27" w:rsidRPr="00506576">
        <w:rPr>
          <w:rFonts w:ascii="Times New Roman" w:hAnsi="Times New Roman"/>
          <w:szCs w:val="22"/>
        </w:rPr>
        <w:t>%</w:t>
      </w:r>
      <w:r w:rsidR="00600AE8" w:rsidRPr="00506576">
        <w:rPr>
          <w:rFonts w:ascii="Times New Roman" w:hAnsi="Times New Roman"/>
          <w:szCs w:val="22"/>
        </w:rPr>
        <w:t>,</w:t>
      </w:r>
      <w:r w:rsidR="006919F4" w:rsidRPr="00506576">
        <w:rPr>
          <w:rFonts w:ascii="Times New Roman" w:hAnsi="Times New Roman"/>
          <w:szCs w:val="22"/>
        </w:rPr>
        <w:t xml:space="preserve"> respectively, although only the finding on third parti</w:t>
      </w:r>
      <w:r w:rsidR="00600AE8" w:rsidRPr="00506576">
        <w:rPr>
          <w:rFonts w:ascii="Times New Roman" w:hAnsi="Times New Roman"/>
          <w:szCs w:val="22"/>
        </w:rPr>
        <w:t>es is statistically significant—</w:t>
      </w:r>
      <w:r w:rsidR="006919F4" w:rsidRPr="00506576">
        <w:rPr>
          <w:rFonts w:ascii="Times New Roman" w:hAnsi="Times New Roman"/>
          <w:szCs w:val="22"/>
        </w:rPr>
        <w:t>thus it is the only finding in which we can have confidence.</w:t>
      </w:r>
      <w:r w:rsidR="007F58D6" w:rsidRPr="00506576">
        <w:rPr>
          <w:rFonts w:ascii="Times New Roman" w:hAnsi="Times New Roman"/>
          <w:szCs w:val="22"/>
        </w:rPr>
        <w:t xml:space="preserve"> </w:t>
      </w:r>
      <w:r w:rsidR="006919F4" w:rsidRPr="00506576">
        <w:rPr>
          <w:rFonts w:ascii="Times New Roman" w:hAnsi="Times New Roman"/>
          <w:szCs w:val="22"/>
        </w:rPr>
        <w:t>With respect to the lack of a business purpose, the government is 7</w:t>
      </w:r>
      <w:r w:rsidR="00147B27" w:rsidRPr="00506576">
        <w:rPr>
          <w:rFonts w:ascii="Times New Roman" w:hAnsi="Times New Roman"/>
          <w:szCs w:val="22"/>
        </w:rPr>
        <w:t>%</w:t>
      </w:r>
      <w:r w:rsidR="006919F4" w:rsidRPr="00506576">
        <w:rPr>
          <w:rFonts w:ascii="Times New Roman" w:hAnsi="Times New Roman"/>
          <w:szCs w:val="22"/>
        </w:rPr>
        <w:t xml:space="preserve"> more likely to prevai</w:t>
      </w:r>
      <w:r w:rsidR="002C52C8" w:rsidRPr="00506576">
        <w:rPr>
          <w:rFonts w:ascii="Times New Roman" w:hAnsi="Times New Roman"/>
          <w:szCs w:val="22"/>
        </w:rPr>
        <w:t>l when it alleges this factor. B</w:t>
      </w:r>
      <w:r w:rsidR="006919F4" w:rsidRPr="00506576">
        <w:rPr>
          <w:rFonts w:ascii="Times New Roman" w:hAnsi="Times New Roman"/>
          <w:szCs w:val="22"/>
        </w:rPr>
        <w:t>ut</w:t>
      </w:r>
      <w:r w:rsidR="002C52C8" w:rsidRPr="00506576">
        <w:rPr>
          <w:rFonts w:ascii="Times New Roman" w:hAnsi="Times New Roman"/>
          <w:szCs w:val="22"/>
        </w:rPr>
        <w:t>,</w:t>
      </w:r>
      <w:r w:rsidR="006919F4" w:rsidRPr="00506576">
        <w:rPr>
          <w:rFonts w:ascii="Times New Roman" w:hAnsi="Times New Roman"/>
          <w:szCs w:val="22"/>
        </w:rPr>
        <w:t xml:space="preserve"> this finding is not statistically significant and provides weak evidence against the null hypothesis that this variable is playing no</w:t>
      </w:r>
      <w:r w:rsidR="002F5FA5" w:rsidRPr="00506576">
        <w:rPr>
          <w:rFonts w:ascii="Times New Roman" w:hAnsi="Times New Roman"/>
          <w:szCs w:val="22"/>
        </w:rPr>
        <w:t xml:space="preserve"> role in the decision</w:t>
      </w:r>
      <w:r w:rsidR="006919F4" w:rsidRPr="00506576">
        <w:rPr>
          <w:rFonts w:ascii="Times New Roman" w:hAnsi="Times New Roman"/>
          <w:szCs w:val="22"/>
        </w:rPr>
        <w:t>making process.</w:t>
      </w:r>
      <w:r w:rsidR="000A7A19" w:rsidRPr="00506576">
        <w:rPr>
          <w:rFonts w:ascii="Times New Roman" w:hAnsi="Times New Roman"/>
          <w:szCs w:val="22"/>
        </w:rPr>
        <w:t xml:space="preserve"> </w:t>
      </w:r>
      <w:r w:rsidR="006919F4" w:rsidRPr="00506576">
        <w:rPr>
          <w:rFonts w:ascii="Times New Roman" w:hAnsi="Times New Roman"/>
          <w:szCs w:val="22"/>
        </w:rPr>
        <w:t xml:space="preserve">Only one finding achieves </w:t>
      </w:r>
      <w:r w:rsidR="006919F4" w:rsidRPr="00506576">
        <w:rPr>
          <w:rFonts w:ascii="Times New Roman" w:hAnsi="Times New Roman"/>
          <w:szCs w:val="22"/>
        </w:rPr>
        <w:lastRenderedPageBreak/>
        <w:t>significance—the presence of third parties</w:t>
      </w:r>
      <w:r w:rsidR="009E3D79" w:rsidRPr="00506576">
        <w:rPr>
          <w:rFonts w:ascii="Times New Roman" w:hAnsi="Times New Roman"/>
          <w:szCs w:val="22"/>
        </w:rPr>
        <w:t>. W</w:t>
      </w:r>
      <w:r w:rsidR="006919F4" w:rsidRPr="00506576">
        <w:rPr>
          <w:rFonts w:ascii="Times New Roman" w:hAnsi="Times New Roman"/>
          <w:szCs w:val="22"/>
        </w:rPr>
        <w:t xml:space="preserve">hile this fact may look suspicious to government litigators, it appears that the </w:t>
      </w:r>
      <w:r w:rsidR="000A7A19" w:rsidRPr="00506576">
        <w:rPr>
          <w:rFonts w:ascii="Times New Roman" w:hAnsi="Times New Roman"/>
          <w:szCs w:val="22"/>
        </w:rPr>
        <w:t xml:space="preserve">American </w:t>
      </w:r>
      <w:r w:rsidR="006919F4" w:rsidRPr="00506576">
        <w:rPr>
          <w:rFonts w:ascii="Times New Roman" w:hAnsi="Times New Roman"/>
          <w:szCs w:val="22"/>
        </w:rPr>
        <w:t>Justices disagree</w:t>
      </w:r>
      <w:r w:rsidR="009E3D79" w:rsidRPr="00506576">
        <w:rPr>
          <w:rFonts w:ascii="Times New Roman" w:hAnsi="Times New Roman"/>
          <w:szCs w:val="22"/>
        </w:rPr>
        <w:t>. P</w:t>
      </w:r>
      <w:r w:rsidR="006919F4" w:rsidRPr="00506576">
        <w:rPr>
          <w:rFonts w:ascii="Times New Roman" w:hAnsi="Times New Roman"/>
          <w:szCs w:val="22"/>
        </w:rPr>
        <w:t>erhaps</w:t>
      </w:r>
      <w:r w:rsidR="009E3D79" w:rsidRPr="00506576">
        <w:rPr>
          <w:rFonts w:ascii="Times New Roman" w:hAnsi="Times New Roman"/>
          <w:szCs w:val="22"/>
        </w:rPr>
        <w:t xml:space="preserve"> the Justices believe</w:t>
      </w:r>
      <w:r w:rsidR="006919F4" w:rsidRPr="00506576">
        <w:rPr>
          <w:rFonts w:ascii="Times New Roman" w:hAnsi="Times New Roman"/>
          <w:szCs w:val="22"/>
        </w:rPr>
        <w:t xml:space="preserve"> that the presence of an o</w:t>
      </w:r>
      <w:r w:rsidR="009610F5" w:rsidRPr="00506576">
        <w:rPr>
          <w:rFonts w:ascii="Times New Roman" w:hAnsi="Times New Roman"/>
          <w:szCs w:val="22"/>
        </w:rPr>
        <w:t>utside party indicates an arm’s-</w:t>
      </w:r>
      <w:r w:rsidR="006919F4" w:rsidRPr="00506576">
        <w:rPr>
          <w:rFonts w:ascii="Times New Roman" w:hAnsi="Times New Roman"/>
          <w:szCs w:val="22"/>
        </w:rPr>
        <w:t>length transaction that should be respected and not disregarded</w:t>
      </w:r>
      <w:r w:rsidR="00B90BBB" w:rsidRPr="00506576">
        <w:rPr>
          <w:rFonts w:ascii="Times New Roman" w:hAnsi="Times New Roman"/>
          <w:szCs w:val="22"/>
        </w:rPr>
        <w:t>,</w:t>
      </w:r>
      <w:r w:rsidR="006919F4" w:rsidRPr="00506576">
        <w:rPr>
          <w:rFonts w:ascii="Times New Roman" w:hAnsi="Times New Roman"/>
          <w:szCs w:val="22"/>
        </w:rPr>
        <w:t xml:space="preserve"> as advocated by the government.</w:t>
      </w:r>
      <w:r w:rsidR="007F58D6" w:rsidRPr="00506576">
        <w:rPr>
          <w:rFonts w:ascii="Times New Roman" w:hAnsi="Times New Roman"/>
          <w:szCs w:val="22"/>
        </w:rPr>
        <w:t xml:space="preserve"> </w:t>
      </w:r>
      <w:r w:rsidR="006919F4" w:rsidRPr="00506576">
        <w:rPr>
          <w:rFonts w:ascii="Times New Roman" w:hAnsi="Times New Roman"/>
          <w:szCs w:val="22"/>
        </w:rPr>
        <w:t xml:space="preserve">These results are not what we expected, yet they may suggest what many </w:t>
      </w:r>
      <w:r w:rsidR="000A7A19" w:rsidRPr="00506576">
        <w:rPr>
          <w:rFonts w:ascii="Times New Roman" w:hAnsi="Times New Roman"/>
          <w:szCs w:val="22"/>
        </w:rPr>
        <w:t xml:space="preserve">American </w:t>
      </w:r>
      <w:r w:rsidR="006919F4" w:rsidRPr="00506576">
        <w:rPr>
          <w:rFonts w:ascii="Times New Roman" w:hAnsi="Times New Roman"/>
          <w:szCs w:val="22"/>
        </w:rPr>
        <w:t xml:space="preserve">tax scholars and commentators have argued for years: </w:t>
      </w:r>
      <w:r w:rsidR="007C4104" w:rsidRPr="00506576">
        <w:rPr>
          <w:rFonts w:ascii="Times New Roman" w:hAnsi="Times New Roman"/>
          <w:szCs w:val="22"/>
        </w:rPr>
        <w:t>U.S. c</w:t>
      </w:r>
      <w:r w:rsidR="006919F4" w:rsidRPr="00506576">
        <w:rPr>
          <w:rFonts w:ascii="Times New Roman" w:hAnsi="Times New Roman"/>
          <w:szCs w:val="22"/>
        </w:rPr>
        <w:t xml:space="preserve">ourts are unpredictable when </w:t>
      </w:r>
      <w:r w:rsidR="007C4104" w:rsidRPr="00506576">
        <w:rPr>
          <w:rFonts w:ascii="Times New Roman" w:hAnsi="Times New Roman"/>
          <w:szCs w:val="22"/>
        </w:rPr>
        <w:t>deciding</w:t>
      </w:r>
      <w:r w:rsidR="006919F4" w:rsidRPr="00506576">
        <w:rPr>
          <w:rFonts w:ascii="Times New Roman" w:hAnsi="Times New Roman"/>
          <w:szCs w:val="22"/>
        </w:rPr>
        <w:t xml:space="preserve"> corporate tax abuse controversies.</w:t>
      </w:r>
    </w:p>
    <w:p w14:paraId="3C6ED2BB" w14:textId="61C4EE39" w:rsidR="006919F4" w:rsidRPr="00506576" w:rsidRDefault="006919F4" w:rsidP="006919F4">
      <w:pPr>
        <w:pStyle w:val="Document"/>
        <w:rPr>
          <w:rFonts w:ascii="Times New Roman" w:hAnsi="Times New Roman"/>
          <w:b/>
          <w:szCs w:val="22"/>
        </w:rPr>
      </w:pPr>
      <w:r w:rsidRPr="00506576">
        <w:rPr>
          <w:rFonts w:ascii="Times New Roman" w:hAnsi="Times New Roman"/>
          <w:szCs w:val="22"/>
        </w:rPr>
        <w:t>The results presented in column (1) of Table 3 depict the effects of each of these three case-related factors separately, but what if the government alleges two or more factors simultaneously?</w:t>
      </w:r>
      <w:r w:rsidR="007F58D6" w:rsidRPr="00506576">
        <w:rPr>
          <w:rFonts w:ascii="Times New Roman" w:hAnsi="Times New Roman"/>
          <w:szCs w:val="22"/>
        </w:rPr>
        <w:t xml:space="preserve"> </w:t>
      </w:r>
      <w:r w:rsidRPr="00506576">
        <w:rPr>
          <w:rFonts w:ascii="Times New Roman" w:hAnsi="Times New Roman"/>
          <w:szCs w:val="22"/>
        </w:rPr>
        <w:t>Perhaps the Court is more likely to unwind an otherwise legal corporate tax strategy when the government musters a strong case with numerous indicia of abuse.</w:t>
      </w:r>
      <w:r w:rsidR="007F58D6" w:rsidRPr="00506576">
        <w:rPr>
          <w:rFonts w:ascii="Times New Roman" w:hAnsi="Times New Roman"/>
          <w:szCs w:val="22"/>
        </w:rPr>
        <w:t xml:space="preserve"> </w:t>
      </w:r>
      <w:r w:rsidRPr="00506576">
        <w:rPr>
          <w:rFonts w:ascii="Times New Roman" w:hAnsi="Times New Roman"/>
          <w:szCs w:val="22"/>
        </w:rPr>
        <w:t xml:space="preserve">To test this hypothesis, we created a </w:t>
      </w:r>
      <w:r w:rsidRPr="00506576">
        <w:rPr>
          <w:rFonts w:ascii="Times New Roman" w:hAnsi="Times New Roman"/>
          <w:i/>
          <w:szCs w:val="22"/>
        </w:rPr>
        <w:t xml:space="preserve">count </w:t>
      </w:r>
      <w:r w:rsidRPr="00506576">
        <w:rPr>
          <w:rFonts w:ascii="Times New Roman" w:hAnsi="Times New Roman"/>
          <w:szCs w:val="22"/>
        </w:rPr>
        <w:t>variable that represents the number of factors alleged.</w:t>
      </w:r>
      <w:r w:rsidR="007F58D6" w:rsidRPr="00506576">
        <w:rPr>
          <w:rFonts w:ascii="Times New Roman" w:hAnsi="Times New Roman"/>
          <w:szCs w:val="22"/>
        </w:rPr>
        <w:t xml:space="preserve"> </w:t>
      </w:r>
      <w:r w:rsidRPr="00506576">
        <w:rPr>
          <w:rFonts w:ascii="Times New Roman" w:hAnsi="Times New Roman"/>
          <w:szCs w:val="22"/>
        </w:rPr>
        <w:t>It is coded as equal to 0, 1, 2, or 3, indicating the number of these factors alleged concurrently in each case.</w:t>
      </w:r>
      <w:r w:rsidR="007F58D6" w:rsidRPr="00506576">
        <w:rPr>
          <w:rFonts w:ascii="Times New Roman" w:hAnsi="Times New Roman"/>
          <w:szCs w:val="22"/>
        </w:rPr>
        <w:t xml:space="preserve"> </w:t>
      </w:r>
      <w:r w:rsidRPr="00506576">
        <w:rPr>
          <w:rFonts w:ascii="Times New Roman" w:hAnsi="Times New Roman"/>
          <w:szCs w:val="22"/>
        </w:rPr>
        <w:t xml:space="preserve">Column (2) of Table 3 presents our findings with respect to the </w:t>
      </w:r>
      <w:r w:rsidRPr="00506576">
        <w:rPr>
          <w:rFonts w:ascii="Times New Roman" w:hAnsi="Times New Roman"/>
          <w:i/>
          <w:szCs w:val="22"/>
        </w:rPr>
        <w:t xml:space="preserve">count </w:t>
      </w:r>
      <w:r w:rsidRPr="00506576">
        <w:rPr>
          <w:rFonts w:ascii="Times New Roman" w:hAnsi="Times New Roman"/>
          <w:szCs w:val="22"/>
        </w:rPr>
        <w:t>variable and indicates that the presence of more than one abuse factor actually decreases</w:t>
      </w:r>
      <w:r w:rsidRPr="00506576">
        <w:rPr>
          <w:rFonts w:ascii="Times New Roman" w:hAnsi="Times New Roman"/>
          <w:i/>
          <w:szCs w:val="22"/>
        </w:rPr>
        <w:t xml:space="preserve"> </w:t>
      </w:r>
      <w:r w:rsidRPr="00506576">
        <w:rPr>
          <w:rFonts w:ascii="Times New Roman" w:hAnsi="Times New Roman"/>
          <w:szCs w:val="22"/>
        </w:rPr>
        <w:t>the probability that the Court will side with the government, although this finding is not statistically significant.</w:t>
      </w:r>
      <w:r w:rsidR="007F58D6" w:rsidRPr="00506576">
        <w:rPr>
          <w:rFonts w:ascii="Times New Roman" w:hAnsi="Times New Roman"/>
          <w:szCs w:val="22"/>
        </w:rPr>
        <w:t xml:space="preserve"> </w:t>
      </w:r>
      <w:r w:rsidRPr="00506576">
        <w:rPr>
          <w:rFonts w:ascii="Times New Roman" w:hAnsi="Times New Roman"/>
          <w:szCs w:val="22"/>
        </w:rPr>
        <w:t xml:space="preserve">The results associated with the </w:t>
      </w:r>
      <w:r w:rsidRPr="00506576">
        <w:rPr>
          <w:rFonts w:ascii="Times New Roman" w:hAnsi="Times New Roman"/>
          <w:i/>
          <w:szCs w:val="22"/>
        </w:rPr>
        <w:t xml:space="preserve">count </w:t>
      </w:r>
      <w:r w:rsidRPr="00506576">
        <w:rPr>
          <w:rFonts w:ascii="Times New Roman" w:hAnsi="Times New Roman"/>
          <w:szCs w:val="22"/>
        </w:rPr>
        <w:t>variable indicate that</w:t>
      </w:r>
      <w:r w:rsidR="00194D51" w:rsidRPr="00506576">
        <w:rPr>
          <w:rFonts w:ascii="Times New Roman" w:hAnsi="Times New Roman"/>
          <w:szCs w:val="22"/>
        </w:rPr>
        <w:t>,</w:t>
      </w:r>
      <w:r w:rsidRPr="00506576">
        <w:rPr>
          <w:rFonts w:ascii="Times New Roman" w:hAnsi="Times New Roman"/>
          <w:szCs w:val="22"/>
        </w:rPr>
        <w:t xml:space="preserve"> as the number of transaction-related allegations increase, the probability of a pro-government outcome decreases by 6</w:t>
      </w:r>
      <w:r w:rsidR="00147B27" w:rsidRPr="00506576">
        <w:rPr>
          <w:rFonts w:ascii="Times New Roman" w:hAnsi="Times New Roman"/>
          <w:szCs w:val="22"/>
        </w:rPr>
        <w:t>%</w:t>
      </w:r>
      <w:r w:rsidRPr="00506576">
        <w:rPr>
          <w:rFonts w:ascii="Times New Roman" w:hAnsi="Times New Roman"/>
          <w:szCs w:val="22"/>
        </w:rPr>
        <w:t>.</w:t>
      </w:r>
      <w:r w:rsidR="007F58D6" w:rsidRPr="00506576">
        <w:rPr>
          <w:rFonts w:ascii="Times New Roman" w:hAnsi="Times New Roman"/>
          <w:szCs w:val="22"/>
        </w:rPr>
        <w:t xml:space="preserve"> </w:t>
      </w:r>
      <w:r w:rsidRPr="00506576">
        <w:rPr>
          <w:rFonts w:ascii="Times New Roman" w:hAnsi="Times New Roman"/>
          <w:szCs w:val="22"/>
        </w:rPr>
        <w:t>This finding suggests that even if the government believes certain factors indicate abuse, pointing to an increasing number of the factors is not a winning strategy.</w:t>
      </w:r>
      <w:r w:rsidR="007F58D6" w:rsidRPr="00506576">
        <w:rPr>
          <w:rFonts w:ascii="Times New Roman" w:hAnsi="Times New Roman"/>
          <w:szCs w:val="22"/>
        </w:rPr>
        <w:t xml:space="preserve"> </w:t>
      </w:r>
      <w:r w:rsidRPr="00506576">
        <w:rPr>
          <w:rFonts w:ascii="Times New Roman" w:hAnsi="Times New Roman"/>
          <w:szCs w:val="22"/>
        </w:rPr>
        <w:t>Again the model implies support for critics of judicial decisionmaking in the abuse context: The outcomes are unpredictable and perhaps counterintuitive.</w:t>
      </w:r>
      <w:r w:rsidR="007F58D6" w:rsidRPr="00506576">
        <w:rPr>
          <w:rFonts w:ascii="Times New Roman" w:hAnsi="Times New Roman"/>
          <w:szCs w:val="22"/>
        </w:rPr>
        <w:t xml:space="preserve"> </w:t>
      </w:r>
    </w:p>
    <w:p w14:paraId="029727D4" w14:textId="77777777" w:rsidR="006919F4" w:rsidRPr="00506576" w:rsidRDefault="006919F4" w:rsidP="006919F4">
      <w:pPr>
        <w:pStyle w:val="Document"/>
        <w:rPr>
          <w:rFonts w:ascii="Times New Roman" w:hAnsi="Times New Roman"/>
          <w:szCs w:val="22"/>
        </w:rPr>
      </w:pPr>
      <w:r w:rsidRPr="00506576">
        <w:rPr>
          <w:rFonts w:ascii="Times New Roman" w:hAnsi="Times New Roman"/>
          <w:szCs w:val="22"/>
        </w:rPr>
        <w:t>To further probe the effects of the transaction-related variables, we examined specific combinations of the factors on the theory that while the Court is not convinced by an increasing number (or count) of allegations, the Justices may be persuaded by specific combinations or groupings.</w:t>
      </w:r>
      <w:r w:rsidR="007F58D6" w:rsidRPr="00506576">
        <w:rPr>
          <w:rFonts w:ascii="Times New Roman" w:hAnsi="Times New Roman"/>
          <w:szCs w:val="22"/>
        </w:rPr>
        <w:t xml:space="preserve"> </w:t>
      </w:r>
      <w:r w:rsidRPr="00506576">
        <w:rPr>
          <w:rFonts w:ascii="Times New Roman" w:hAnsi="Times New Roman"/>
          <w:szCs w:val="22"/>
        </w:rPr>
        <w:t>Perhaps specific combinations of factors may serve as convincing evidence of abuse</w:t>
      </w:r>
      <w:r w:rsidR="00171C27" w:rsidRPr="00506576">
        <w:rPr>
          <w:rFonts w:ascii="Times New Roman" w:hAnsi="Times New Roman"/>
          <w:szCs w:val="22"/>
        </w:rPr>
        <w:t>,</w:t>
      </w:r>
      <w:r w:rsidRPr="00506576">
        <w:rPr>
          <w:rFonts w:ascii="Times New Roman" w:hAnsi="Times New Roman"/>
          <w:szCs w:val="22"/>
        </w:rPr>
        <w:t xml:space="preserve"> whereas factors cited alone or factors randomly grouped together may not have the same probative value.</w:t>
      </w:r>
      <w:r w:rsidR="007F58D6" w:rsidRPr="00506576">
        <w:rPr>
          <w:rFonts w:ascii="Times New Roman" w:hAnsi="Times New Roman"/>
          <w:szCs w:val="22"/>
        </w:rPr>
        <w:t xml:space="preserve"> </w:t>
      </w:r>
      <w:r w:rsidRPr="00506576">
        <w:rPr>
          <w:rFonts w:ascii="Times New Roman" w:hAnsi="Times New Roman"/>
          <w:szCs w:val="22"/>
        </w:rPr>
        <w:t xml:space="preserve">Accordingly, we investigated cases in which the government alleged the following combinations: </w:t>
      </w:r>
      <w:r w:rsidR="00171C27" w:rsidRPr="00506576">
        <w:rPr>
          <w:rFonts w:ascii="Times New Roman" w:hAnsi="Times New Roman"/>
          <w:szCs w:val="22"/>
        </w:rPr>
        <w:t>(</w:t>
      </w:r>
      <w:r w:rsidR="0084597B" w:rsidRPr="00506576">
        <w:rPr>
          <w:rFonts w:ascii="Times New Roman" w:hAnsi="Times New Roman"/>
          <w:szCs w:val="22"/>
        </w:rPr>
        <w:t>1) third parties and multi</w:t>
      </w:r>
      <w:r w:rsidRPr="00506576">
        <w:rPr>
          <w:rFonts w:ascii="Times New Roman" w:hAnsi="Times New Roman"/>
          <w:szCs w:val="22"/>
        </w:rPr>
        <w:t xml:space="preserve">step transactions; </w:t>
      </w:r>
      <w:r w:rsidR="00171C27" w:rsidRPr="00506576">
        <w:rPr>
          <w:rFonts w:ascii="Times New Roman" w:hAnsi="Times New Roman"/>
          <w:szCs w:val="22"/>
        </w:rPr>
        <w:t>(</w:t>
      </w:r>
      <w:r w:rsidRPr="00506576">
        <w:rPr>
          <w:rFonts w:ascii="Times New Roman" w:hAnsi="Times New Roman"/>
          <w:szCs w:val="22"/>
        </w:rPr>
        <w:t xml:space="preserve">2) third parties and the lack of business purpose; and </w:t>
      </w:r>
      <w:r w:rsidR="00171C27" w:rsidRPr="00506576">
        <w:rPr>
          <w:rFonts w:ascii="Times New Roman" w:hAnsi="Times New Roman"/>
          <w:szCs w:val="22"/>
        </w:rPr>
        <w:t>(</w:t>
      </w:r>
      <w:r w:rsidR="0084597B" w:rsidRPr="00506576">
        <w:rPr>
          <w:rFonts w:ascii="Times New Roman" w:hAnsi="Times New Roman"/>
          <w:szCs w:val="22"/>
        </w:rPr>
        <w:t>3) multi</w:t>
      </w:r>
      <w:r w:rsidRPr="00506576">
        <w:rPr>
          <w:rFonts w:ascii="Times New Roman" w:hAnsi="Times New Roman"/>
          <w:szCs w:val="22"/>
        </w:rPr>
        <w:t>step transactions and the lack of business purpose.</w:t>
      </w:r>
      <w:bookmarkStart w:id="76" w:name="_Ref210536473"/>
      <w:r w:rsidRPr="00506576">
        <w:rPr>
          <w:rStyle w:val="NoterefInText"/>
        </w:rPr>
        <w:footnoteReference w:id="19"/>
      </w:r>
      <w:bookmarkEnd w:id="76"/>
      <w:r w:rsidR="007F58D6" w:rsidRPr="00506576">
        <w:rPr>
          <w:rFonts w:ascii="Times New Roman" w:hAnsi="Times New Roman"/>
          <w:szCs w:val="22"/>
        </w:rPr>
        <w:t xml:space="preserve"> </w:t>
      </w:r>
      <w:r w:rsidRPr="00506576">
        <w:rPr>
          <w:rFonts w:ascii="Times New Roman" w:hAnsi="Times New Roman"/>
          <w:szCs w:val="22"/>
        </w:rPr>
        <w:t>Column (3) of Table 3 presents our findings and suggests that the precise blend of facto</w:t>
      </w:r>
      <w:r w:rsidR="00171C27" w:rsidRPr="00506576">
        <w:rPr>
          <w:rFonts w:ascii="Times New Roman" w:hAnsi="Times New Roman"/>
          <w:szCs w:val="22"/>
        </w:rPr>
        <w:t>rs is important to the decision</w:t>
      </w:r>
      <w:r w:rsidRPr="00506576">
        <w:rPr>
          <w:rFonts w:ascii="Times New Roman" w:hAnsi="Times New Roman"/>
          <w:szCs w:val="22"/>
        </w:rPr>
        <w:t>making process.</w:t>
      </w:r>
    </w:p>
    <w:p w14:paraId="7BDFA5F6" w14:textId="39EEEE09" w:rsidR="006919F4" w:rsidRPr="00506576" w:rsidRDefault="006919F4" w:rsidP="006919F4">
      <w:pPr>
        <w:pStyle w:val="Document"/>
        <w:rPr>
          <w:rFonts w:ascii="Times New Roman" w:hAnsi="Times New Roman"/>
          <w:szCs w:val="22"/>
        </w:rPr>
      </w:pPr>
      <w:r w:rsidRPr="00506576">
        <w:rPr>
          <w:rFonts w:ascii="Times New Roman" w:hAnsi="Times New Roman"/>
          <w:szCs w:val="22"/>
        </w:rPr>
        <w:t xml:space="preserve">To understand the results presented in column (3) of Table 3, first note </w:t>
      </w:r>
      <w:r w:rsidRPr="00506576">
        <w:rPr>
          <w:rFonts w:ascii="Times New Roman" w:hAnsi="Times New Roman"/>
          <w:szCs w:val="22"/>
        </w:rPr>
        <w:lastRenderedPageBreak/>
        <w:t>that the column reports empirical findings for each variable separately and then in the three unique combinations.</w:t>
      </w:r>
      <w:r w:rsidR="007F58D6" w:rsidRPr="00506576">
        <w:rPr>
          <w:rFonts w:ascii="Times New Roman" w:hAnsi="Times New Roman"/>
          <w:szCs w:val="22"/>
        </w:rPr>
        <w:t xml:space="preserve"> </w:t>
      </w:r>
      <w:r w:rsidRPr="00506576">
        <w:rPr>
          <w:rFonts w:ascii="Times New Roman" w:hAnsi="Times New Roman"/>
          <w:szCs w:val="22"/>
        </w:rPr>
        <w:t>The three variables listed separately indicate the effects of the variable when it is alleged and</w:t>
      </w:r>
      <w:r w:rsidRPr="00506576">
        <w:rPr>
          <w:rFonts w:ascii="Times New Roman" w:hAnsi="Times New Roman"/>
          <w:i/>
          <w:szCs w:val="22"/>
        </w:rPr>
        <w:t xml:space="preserve"> </w:t>
      </w:r>
      <w:r w:rsidRPr="00506576">
        <w:rPr>
          <w:rFonts w:ascii="Times New Roman" w:hAnsi="Times New Roman"/>
          <w:szCs w:val="22"/>
        </w:rPr>
        <w:t xml:space="preserve">when the others are </w:t>
      </w:r>
      <w:r w:rsidRPr="00506576">
        <w:rPr>
          <w:rFonts w:ascii="Times New Roman" w:hAnsi="Times New Roman"/>
          <w:i/>
          <w:szCs w:val="22"/>
        </w:rPr>
        <w:t>not</w:t>
      </w:r>
      <w:r w:rsidRPr="00506576">
        <w:rPr>
          <w:rFonts w:ascii="Times New Roman" w:hAnsi="Times New Roman"/>
          <w:szCs w:val="22"/>
        </w:rPr>
        <w:t xml:space="preserve"> alleged.</w:t>
      </w:r>
      <w:r w:rsidR="007F58D6" w:rsidRPr="00506576">
        <w:rPr>
          <w:rFonts w:ascii="Times New Roman" w:hAnsi="Times New Roman"/>
          <w:szCs w:val="22"/>
        </w:rPr>
        <w:t xml:space="preserve"> </w:t>
      </w:r>
      <w:r w:rsidRPr="00506576">
        <w:rPr>
          <w:rFonts w:ascii="Times New Roman" w:hAnsi="Times New Roman"/>
          <w:szCs w:val="22"/>
        </w:rPr>
        <w:t xml:space="preserve">Thus, we see that when the government </w:t>
      </w:r>
      <w:r w:rsidRPr="00506576">
        <w:rPr>
          <w:rFonts w:ascii="Times New Roman" w:hAnsi="Times New Roman"/>
          <w:i/>
          <w:szCs w:val="22"/>
        </w:rPr>
        <w:t>only</w:t>
      </w:r>
      <w:r w:rsidRPr="00506576">
        <w:rPr>
          <w:rFonts w:ascii="Times New Roman" w:hAnsi="Times New Roman"/>
          <w:szCs w:val="22"/>
        </w:rPr>
        <w:t xml:space="preserve"> alleges the presence of a third party, it is 36</w:t>
      </w:r>
      <w:r w:rsidR="00147B27" w:rsidRPr="00506576">
        <w:rPr>
          <w:rFonts w:ascii="Times New Roman" w:hAnsi="Times New Roman"/>
          <w:szCs w:val="22"/>
        </w:rPr>
        <w:t>%</w:t>
      </w:r>
      <w:r w:rsidRPr="00506576">
        <w:rPr>
          <w:rFonts w:ascii="Times New Roman" w:hAnsi="Times New Roman"/>
          <w:szCs w:val="22"/>
        </w:rPr>
        <w:t xml:space="preserve"> less</w:t>
      </w:r>
      <w:r w:rsidRPr="00506576">
        <w:rPr>
          <w:rFonts w:ascii="Times New Roman" w:hAnsi="Times New Roman"/>
          <w:i/>
          <w:szCs w:val="22"/>
        </w:rPr>
        <w:t xml:space="preserve"> </w:t>
      </w:r>
      <w:r w:rsidRPr="00506576">
        <w:rPr>
          <w:rFonts w:ascii="Times New Roman" w:hAnsi="Times New Roman"/>
          <w:szCs w:val="22"/>
        </w:rPr>
        <w:t xml:space="preserve">likely to win; when it alleges </w:t>
      </w:r>
      <w:r w:rsidRPr="00506576">
        <w:rPr>
          <w:rFonts w:ascii="Times New Roman" w:hAnsi="Times New Roman"/>
          <w:i/>
          <w:szCs w:val="22"/>
        </w:rPr>
        <w:t>only</w:t>
      </w:r>
      <w:r w:rsidR="00653D85" w:rsidRPr="00506576">
        <w:rPr>
          <w:rFonts w:ascii="Times New Roman" w:hAnsi="Times New Roman"/>
          <w:szCs w:val="22"/>
        </w:rPr>
        <w:t xml:space="preserve"> a multi</w:t>
      </w:r>
      <w:r w:rsidRPr="00506576">
        <w:rPr>
          <w:rFonts w:ascii="Times New Roman" w:hAnsi="Times New Roman"/>
          <w:szCs w:val="22"/>
        </w:rPr>
        <w:t>step transaction it is 35</w:t>
      </w:r>
      <w:r w:rsidR="00147B27" w:rsidRPr="00506576">
        <w:rPr>
          <w:rFonts w:ascii="Times New Roman" w:hAnsi="Times New Roman"/>
          <w:szCs w:val="22"/>
        </w:rPr>
        <w:t>%</w:t>
      </w:r>
      <w:r w:rsidRPr="00506576">
        <w:rPr>
          <w:rFonts w:ascii="Times New Roman" w:hAnsi="Times New Roman"/>
          <w:szCs w:val="22"/>
        </w:rPr>
        <w:t xml:space="preserve"> less</w:t>
      </w:r>
      <w:r w:rsidRPr="00506576">
        <w:rPr>
          <w:rFonts w:ascii="Times New Roman" w:hAnsi="Times New Roman"/>
          <w:i/>
          <w:szCs w:val="22"/>
        </w:rPr>
        <w:t xml:space="preserve"> </w:t>
      </w:r>
      <w:r w:rsidRPr="00506576">
        <w:rPr>
          <w:rFonts w:ascii="Times New Roman" w:hAnsi="Times New Roman"/>
          <w:szCs w:val="22"/>
        </w:rPr>
        <w:t xml:space="preserve">likely to win; when it alleges </w:t>
      </w:r>
      <w:r w:rsidRPr="00506576">
        <w:rPr>
          <w:rFonts w:ascii="Times New Roman" w:hAnsi="Times New Roman"/>
          <w:i/>
          <w:szCs w:val="22"/>
        </w:rPr>
        <w:t xml:space="preserve">only </w:t>
      </w:r>
      <w:r w:rsidRPr="00506576">
        <w:rPr>
          <w:rFonts w:ascii="Times New Roman" w:hAnsi="Times New Roman"/>
          <w:szCs w:val="22"/>
        </w:rPr>
        <w:t>the lack of a business purpose it is 29</w:t>
      </w:r>
      <w:r w:rsidR="00147B27" w:rsidRPr="00506576">
        <w:rPr>
          <w:rFonts w:ascii="Times New Roman" w:hAnsi="Times New Roman"/>
          <w:szCs w:val="22"/>
        </w:rPr>
        <w:t>%</w:t>
      </w:r>
      <w:r w:rsidRPr="00506576">
        <w:rPr>
          <w:rFonts w:ascii="Times New Roman" w:hAnsi="Times New Roman"/>
          <w:szCs w:val="22"/>
        </w:rPr>
        <w:t xml:space="preserve"> more likely to win.</w:t>
      </w:r>
      <w:r w:rsidR="007F58D6" w:rsidRPr="00506576">
        <w:rPr>
          <w:rFonts w:ascii="Times New Roman" w:hAnsi="Times New Roman"/>
          <w:szCs w:val="22"/>
        </w:rPr>
        <w:t xml:space="preserve"> </w:t>
      </w:r>
      <w:r w:rsidRPr="00506576">
        <w:rPr>
          <w:rFonts w:ascii="Times New Roman" w:hAnsi="Times New Roman"/>
          <w:szCs w:val="22"/>
        </w:rPr>
        <w:t>The first two factors, standing alone, hurt the government at statistically significant levels, but when the government alleges only the lack of a business purpose the finding is not statistically significant and thus we cannot have confidence in the finding.</w:t>
      </w:r>
    </w:p>
    <w:p w14:paraId="496FB45B" w14:textId="59C04714" w:rsidR="002D40C3" w:rsidRPr="00506576" w:rsidRDefault="006919F4" w:rsidP="00F002B9">
      <w:pPr>
        <w:pStyle w:val="Document"/>
        <w:rPr>
          <w:rFonts w:ascii="Times New Roman" w:hAnsi="Times New Roman"/>
          <w:szCs w:val="22"/>
        </w:rPr>
      </w:pPr>
      <w:r w:rsidRPr="00506576">
        <w:rPr>
          <w:rFonts w:ascii="Times New Roman" w:hAnsi="Times New Roman"/>
          <w:szCs w:val="22"/>
        </w:rPr>
        <w:t>Now consider the three unique com</w:t>
      </w:r>
      <w:r w:rsidR="006B0475" w:rsidRPr="00506576">
        <w:rPr>
          <w:rFonts w:ascii="Times New Roman" w:hAnsi="Times New Roman"/>
          <w:szCs w:val="22"/>
        </w:rPr>
        <w:t>binations of the variables</w:t>
      </w:r>
      <w:r w:rsidRPr="00506576">
        <w:rPr>
          <w:rFonts w:ascii="Times New Roman" w:hAnsi="Times New Roman"/>
          <w:szCs w:val="22"/>
        </w:rPr>
        <w:t xml:space="preserve"> presented in column (3) of Table 3.</w:t>
      </w:r>
      <w:r w:rsidR="007F58D6" w:rsidRPr="00506576">
        <w:rPr>
          <w:rFonts w:ascii="Times New Roman" w:hAnsi="Times New Roman"/>
          <w:szCs w:val="22"/>
        </w:rPr>
        <w:t xml:space="preserve"> </w:t>
      </w:r>
      <w:r w:rsidRPr="00506576">
        <w:rPr>
          <w:rFonts w:ascii="Times New Roman" w:hAnsi="Times New Roman"/>
          <w:szCs w:val="22"/>
        </w:rPr>
        <w:t>While the interpretation of these terms is somewhat more complex than the other terms in the model</w:t>
      </w:r>
      <w:bookmarkStart w:id="77" w:name="_Ref315437336"/>
      <w:r w:rsidR="00F002B9" w:rsidRPr="00506576">
        <w:rPr>
          <w:rFonts w:ascii="Times New Roman" w:hAnsi="Times New Roman"/>
          <w:szCs w:val="22"/>
        </w:rPr>
        <w:t>,</w:t>
      </w:r>
      <w:bookmarkEnd w:id="77"/>
      <w:r w:rsidRPr="00506576">
        <w:rPr>
          <w:rFonts w:ascii="Times New Roman" w:hAnsi="Times New Roman"/>
          <w:szCs w:val="22"/>
        </w:rPr>
        <w:t xml:space="preserve"> we begin by noting that the results presented indicate the following: When third parties </w:t>
      </w:r>
      <w:r w:rsidRPr="00506576">
        <w:rPr>
          <w:rFonts w:ascii="Times New Roman" w:hAnsi="Times New Roman"/>
          <w:i/>
          <w:szCs w:val="22"/>
        </w:rPr>
        <w:t>and</w:t>
      </w:r>
      <w:r w:rsidR="0003542F" w:rsidRPr="00506576">
        <w:rPr>
          <w:rFonts w:ascii="Times New Roman" w:hAnsi="Times New Roman"/>
          <w:szCs w:val="22"/>
        </w:rPr>
        <w:t xml:space="preserve"> multi</w:t>
      </w:r>
      <w:r w:rsidRPr="00506576">
        <w:rPr>
          <w:rFonts w:ascii="Times New Roman" w:hAnsi="Times New Roman"/>
          <w:szCs w:val="22"/>
        </w:rPr>
        <w:t>step transactions are alleged together, the government is 50</w:t>
      </w:r>
      <w:r w:rsidR="00147B27" w:rsidRPr="00506576">
        <w:rPr>
          <w:rFonts w:ascii="Times New Roman" w:hAnsi="Times New Roman"/>
          <w:szCs w:val="22"/>
        </w:rPr>
        <w:t>%</w:t>
      </w:r>
      <w:r w:rsidRPr="00506576">
        <w:rPr>
          <w:rFonts w:ascii="Times New Roman" w:hAnsi="Times New Roman"/>
          <w:szCs w:val="22"/>
        </w:rPr>
        <w:t xml:space="preserve"> more</w:t>
      </w:r>
      <w:r w:rsidRPr="00506576">
        <w:rPr>
          <w:rFonts w:ascii="Times New Roman" w:hAnsi="Times New Roman"/>
          <w:i/>
          <w:szCs w:val="22"/>
        </w:rPr>
        <w:t xml:space="preserve"> </w:t>
      </w:r>
      <w:r w:rsidRPr="00506576">
        <w:rPr>
          <w:rFonts w:ascii="Times New Roman" w:hAnsi="Times New Roman"/>
          <w:szCs w:val="22"/>
        </w:rPr>
        <w:t>likely to win.</w:t>
      </w:r>
      <w:r w:rsidR="007F58D6" w:rsidRPr="00506576">
        <w:rPr>
          <w:rFonts w:ascii="Times New Roman" w:hAnsi="Times New Roman"/>
          <w:szCs w:val="22"/>
        </w:rPr>
        <w:t xml:space="preserve"> </w:t>
      </w:r>
      <w:r w:rsidRPr="00506576">
        <w:rPr>
          <w:rFonts w:ascii="Times New Roman" w:hAnsi="Times New Roman"/>
          <w:szCs w:val="22"/>
        </w:rPr>
        <w:t>This combination convinces the Court, at</w:t>
      </w:r>
      <w:r w:rsidR="00CC34DA" w:rsidRPr="00506576">
        <w:rPr>
          <w:rFonts w:ascii="Times New Roman" w:hAnsi="Times New Roman"/>
          <w:szCs w:val="22"/>
        </w:rPr>
        <w:t xml:space="preserve"> </w:t>
      </w:r>
      <w:r w:rsidR="003650F2" w:rsidRPr="00506576">
        <w:rPr>
          <w:rFonts w:ascii="Times New Roman" w:hAnsi="Times New Roman"/>
          <w:szCs w:val="22"/>
        </w:rPr>
        <w:t>a</w:t>
      </w:r>
      <w:r w:rsidR="00CC34DA" w:rsidRPr="00506576">
        <w:rPr>
          <w:rFonts w:ascii="Times New Roman" w:hAnsi="Times New Roman"/>
          <w:szCs w:val="22"/>
        </w:rPr>
        <w:t xml:space="preserve"> 0.01</w:t>
      </w:r>
      <w:r w:rsidRPr="00506576">
        <w:rPr>
          <w:rFonts w:ascii="Times New Roman" w:hAnsi="Times New Roman"/>
          <w:szCs w:val="22"/>
        </w:rPr>
        <w:t xml:space="preserve"> </w:t>
      </w:r>
      <w:r w:rsidR="00CC34DA" w:rsidRPr="00506576">
        <w:rPr>
          <w:rFonts w:ascii="Times New Roman" w:hAnsi="Times New Roman"/>
          <w:szCs w:val="22"/>
        </w:rPr>
        <w:t>statistically significant level</w:t>
      </w:r>
      <w:r w:rsidRPr="00506576">
        <w:rPr>
          <w:rFonts w:ascii="Times New Roman" w:hAnsi="Times New Roman"/>
          <w:szCs w:val="22"/>
        </w:rPr>
        <w:t>, that the corporation engaged in a transaction that</w:t>
      </w:r>
      <w:r w:rsidR="0003542F" w:rsidRPr="00506576">
        <w:rPr>
          <w:rFonts w:ascii="Times New Roman" w:hAnsi="Times New Roman"/>
          <w:szCs w:val="22"/>
        </w:rPr>
        <w:t xml:space="preserve"> the judiciary</w:t>
      </w:r>
      <w:r w:rsidRPr="00506576">
        <w:rPr>
          <w:rFonts w:ascii="Times New Roman" w:hAnsi="Times New Roman"/>
          <w:szCs w:val="22"/>
        </w:rPr>
        <w:t xml:space="preserve"> should not </w:t>
      </w:r>
      <w:r w:rsidR="0003542F" w:rsidRPr="00506576">
        <w:rPr>
          <w:rFonts w:ascii="Times New Roman" w:hAnsi="Times New Roman"/>
          <w:szCs w:val="22"/>
        </w:rPr>
        <w:t>support</w:t>
      </w:r>
      <w:r w:rsidRPr="00506576">
        <w:rPr>
          <w:rFonts w:ascii="Times New Roman" w:hAnsi="Times New Roman"/>
          <w:szCs w:val="22"/>
        </w:rPr>
        <w:t>.</w:t>
      </w:r>
      <w:r w:rsidR="007F58D6" w:rsidRPr="00506576">
        <w:rPr>
          <w:rFonts w:ascii="Times New Roman" w:hAnsi="Times New Roman"/>
          <w:szCs w:val="22"/>
        </w:rPr>
        <w:t xml:space="preserve"> </w:t>
      </w:r>
      <w:r w:rsidRPr="00506576">
        <w:rPr>
          <w:rFonts w:ascii="Times New Roman" w:hAnsi="Times New Roman"/>
          <w:szCs w:val="22"/>
        </w:rPr>
        <w:t>The other two combinations, by contrast, do not exert the same positive effect on the Court.</w:t>
      </w:r>
      <w:r w:rsidR="007F58D6" w:rsidRPr="00506576">
        <w:rPr>
          <w:rFonts w:ascii="Times New Roman" w:hAnsi="Times New Roman"/>
          <w:szCs w:val="22"/>
        </w:rPr>
        <w:t xml:space="preserve"> </w:t>
      </w:r>
      <w:r w:rsidRPr="00506576">
        <w:rPr>
          <w:rFonts w:ascii="Times New Roman" w:hAnsi="Times New Roman"/>
          <w:szCs w:val="22"/>
        </w:rPr>
        <w:t xml:space="preserve">When third parties and </w:t>
      </w:r>
      <w:r w:rsidR="006B0475" w:rsidRPr="00506576">
        <w:rPr>
          <w:rFonts w:ascii="Times New Roman" w:hAnsi="Times New Roman"/>
          <w:szCs w:val="22"/>
        </w:rPr>
        <w:t>a</w:t>
      </w:r>
      <w:r w:rsidRPr="00506576">
        <w:rPr>
          <w:rFonts w:ascii="Times New Roman" w:hAnsi="Times New Roman"/>
          <w:szCs w:val="22"/>
        </w:rPr>
        <w:t xml:space="preserve"> lack of business purpose are combined in the government’s argument, the government is 22</w:t>
      </w:r>
      <w:r w:rsidR="00147B27" w:rsidRPr="00506576">
        <w:rPr>
          <w:rFonts w:ascii="Times New Roman" w:hAnsi="Times New Roman"/>
          <w:szCs w:val="22"/>
        </w:rPr>
        <w:t>%</w:t>
      </w:r>
      <w:r w:rsidRPr="00506576">
        <w:rPr>
          <w:rFonts w:ascii="Times New Roman" w:hAnsi="Times New Roman"/>
          <w:szCs w:val="22"/>
        </w:rPr>
        <w:t xml:space="preserve"> less</w:t>
      </w:r>
      <w:r w:rsidRPr="00506576">
        <w:rPr>
          <w:rFonts w:ascii="Times New Roman" w:hAnsi="Times New Roman"/>
          <w:i/>
          <w:szCs w:val="22"/>
        </w:rPr>
        <w:t xml:space="preserve"> </w:t>
      </w:r>
      <w:r w:rsidRPr="00506576">
        <w:rPr>
          <w:rFonts w:ascii="Times New Roman" w:hAnsi="Times New Roman"/>
          <w:szCs w:val="22"/>
        </w:rPr>
        <w:t>likely to prevail</w:t>
      </w:r>
      <w:r w:rsidR="006B0475" w:rsidRPr="00506576">
        <w:rPr>
          <w:rFonts w:ascii="Times New Roman" w:hAnsi="Times New Roman"/>
          <w:szCs w:val="22"/>
        </w:rPr>
        <w:t>. W</w:t>
      </w:r>
      <w:r w:rsidRPr="00506576">
        <w:rPr>
          <w:rFonts w:ascii="Times New Roman" w:hAnsi="Times New Roman"/>
          <w:szCs w:val="22"/>
        </w:rPr>
        <w:t>h</w:t>
      </w:r>
      <w:r w:rsidR="00781059" w:rsidRPr="00506576">
        <w:rPr>
          <w:rFonts w:ascii="Times New Roman" w:hAnsi="Times New Roman"/>
          <w:szCs w:val="22"/>
        </w:rPr>
        <w:t>en the government alleges multi</w:t>
      </w:r>
      <w:r w:rsidRPr="00506576">
        <w:rPr>
          <w:rFonts w:ascii="Times New Roman" w:hAnsi="Times New Roman"/>
          <w:szCs w:val="22"/>
        </w:rPr>
        <w:t xml:space="preserve">step transactions and </w:t>
      </w:r>
      <w:r w:rsidR="006B0475" w:rsidRPr="00506576">
        <w:rPr>
          <w:rFonts w:ascii="Times New Roman" w:hAnsi="Times New Roman"/>
          <w:szCs w:val="22"/>
        </w:rPr>
        <w:t>a</w:t>
      </w:r>
      <w:r w:rsidRPr="00506576">
        <w:rPr>
          <w:rFonts w:ascii="Times New Roman" w:hAnsi="Times New Roman"/>
          <w:szCs w:val="22"/>
        </w:rPr>
        <w:t xml:space="preserve"> lack of business purpose it is 26</w:t>
      </w:r>
      <w:r w:rsidR="00147B27" w:rsidRPr="00506576">
        <w:rPr>
          <w:rFonts w:ascii="Times New Roman" w:hAnsi="Times New Roman"/>
          <w:szCs w:val="22"/>
        </w:rPr>
        <w:t>%</w:t>
      </w:r>
      <w:r w:rsidRPr="00506576">
        <w:rPr>
          <w:rFonts w:ascii="Times New Roman" w:hAnsi="Times New Roman"/>
          <w:szCs w:val="22"/>
        </w:rPr>
        <w:t xml:space="preserve"> less likely to prevail—though neither of these two findings is statistically significant.</w:t>
      </w:r>
      <w:r w:rsidR="007F58D6" w:rsidRPr="00506576">
        <w:rPr>
          <w:rFonts w:ascii="Times New Roman" w:hAnsi="Times New Roman"/>
          <w:szCs w:val="22"/>
        </w:rPr>
        <w:t xml:space="preserve"> </w:t>
      </w:r>
      <w:r w:rsidRPr="00506576">
        <w:rPr>
          <w:rFonts w:ascii="Times New Roman" w:hAnsi="Times New Roman"/>
          <w:szCs w:val="22"/>
        </w:rPr>
        <w:t>The government’s actual win rate confirms these findings: The government prevailed in 60</w:t>
      </w:r>
      <w:r w:rsidR="00147B27" w:rsidRPr="00506576">
        <w:rPr>
          <w:rFonts w:ascii="Times New Roman" w:hAnsi="Times New Roman"/>
          <w:szCs w:val="22"/>
        </w:rPr>
        <w:t>%</w:t>
      </w:r>
      <w:r w:rsidRPr="00506576">
        <w:rPr>
          <w:rFonts w:ascii="Times New Roman" w:hAnsi="Times New Roman"/>
          <w:szCs w:val="22"/>
        </w:rPr>
        <w:t xml:space="preserve"> of the cases that involved third parties and multistep transactions; it prevailed in 50</w:t>
      </w:r>
      <w:r w:rsidR="00147B27" w:rsidRPr="00506576">
        <w:rPr>
          <w:rFonts w:ascii="Times New Roman" w:hAnsi="Times New Roman"/>
          <w:szCs w:val="22"/>
        </w:rPr>
        <w:t>%</w:t>
      </w:r>
      <w:r w:rsidRPr="00506576">
        <w:rPr>
          <w:rFonts w:ascii="Times New Roman" w:hAnsi="Times New Roman"/>
          <w:szCs w:val="22"/>
        </w:rPr>
        <w:t xml:space="preserve"> of the cases involving third parties and </w:t>
      </w:r>
      <w:r w:rsidR="006B0475" w:rsidRPr="00506576">
        <w:rPr>
          <w:rFonts w:ascii="Times New Roman" w:hAnsi="Times New Roman"/>
          <w:szCs w:val="22"/>
        </w:rPr>
        <w:t>an</w:t>
      </w:r>
      <w:r w:rsidRPr="00506576">
        <w:rPr>
          <w:rFonts w:ascii="Times New Roman" w:hAnsi="Times New Roman"/>
          <w:szCs w:val="22"/>
        </w:rPr>
        <w:t xml:space="preserve"> alleged lack of a business purpose; and it prevailed in just 45</w:t>
      </w:r>
      <w:r w:rsidR="00147B27" w:rsidRPr="00506576">
        <w:rPr>
          <w:rFonts w:ascii="Times New Roman" w:hAnsi="Times New Roman"/>
          <w:szCs w:val="22"/>
        </w:rPr>
        <w:t>%</w:t>
      </w:r>
      <w:r w:rsidRPr="00506576">
        <w:rPr>
          <w:rFonts w:ascii="Times New Roman" w:hAnsi="Times New Roman"/>
          <w:szCs w:val="22"/>
        </w:rPr>
        <w:t xml:space="preserve"> of the cases that involved multistep transactions and the alleged lack of a business purpose.</w:t>
      </w:r>
      <w:r w:rsidR="00F002B9" w:rsidRPr="00506576">
        <w:rPr>
          <w:rStyle w:val="FootnoteReference"/>
          <w:rFonts w:ascii="Times New Roman" w:hAnsi="Times New Roman"/>
          <w:szCs w:val="22"/>
        </w:rPr>
        <w:footnoteReference w:id="20"/>
      </w:r>
    </w:p>
    <w:p w14:paraId="4EC049DF" w14:textId="46067102" w:rsidR="006919F4" w:rsidRPr="00506576" w:rsidRDefault="00B410C5" w:rsidP="006919F4">
      <w:pPr>
        <w:pStyle w:val="Document"/>
        <w:rPr>
          <w:rFonts w:ascii="Times New Roman" w:hAnsi="Times New Roman"/>
          <w:szCs w:val="22"/>
        </w:rPr>
      </w:pPr>
      <w:r w:rsidRPr="00506576">
        <w:rPr>
          <w:rFonts w:ascii="Times New Roman" w:hAnsi="Times New Roman"/>
          <w:szCs w:val="22"/>
        </w:rPr>
        <w:t>In sum,</w:t>
      </w:r>
      <w:r w:rsidR="006919F4" w:rsidRPr="00506576">
        <w:rPr>
          <w:rFonts w:ascii="Times New Roman" w:hAnsi="Times New Roman"/>
          <w:szCs w:val="22"/>
        </w:rPr>
        <w:t xml:space="preserve"> we see that a single indicator of abuse does not convince the Court that the Justices should deny the corporation its preferred tax outcome.</w:t>
      </w:r>
      <w:r w:rsidR="007F58D6" w:rsidRPr="00506576">
        <w:rPr>
          <w:rFonts w:ascii="Times New Roman" w:hAnsi="Times New Roman"/>
          <w:szCs w:val="22"/>
        </w:rPr>
        <w:t xml:space="preserve"> </w:t>
      </w:r>
      <w:r w:rsidR="006919F4" w:rsidRPr="00506576">
        <w:rPr>
          <w:rFonts w:ascii="Times New Roman" w:hAnsi="Times New Roman"/>
          <w:szCs w:val="22"/>
        </w:rPr>
        <w:t>The government appears to be more effective when it alleges multiple indicia of abuse—but only if certain combinations are present, not simply an increasing number of allegations.</w:t>
      </w:r>
      <w:r w:rsidR="007F58D6" w:rsidRPr="00506576">
        <w:rPr>
          <w:rFonts w:ascii="Times New Roman" w:hAnsi="Times New Roman"/>
          <w:szCs w:val="22"/>
        </w:rPr>
        <w:t xml:space="preserve"> </w:t>
      </w:r>
      <w:r w:rsidR="006919F4" w:rsidRPr="00506576">
        <w:rPr>
          <w:rFonts w:ascii="Times New Roman" w:hAnsi="Times New Roman"/>
          <w:szCs w:val="22"/>
        </w:rPr>
        <w:t xml:space="preserve">Specifically, the government should point to third parties and </w:t>
      </w:r>
      <w:r w:rsidR="00CC7465" w:rsidRPr="00506576">
        <w:rPr>
          <w:rFonts w:ascii="Times New Roman" w:hAnsi="Times New Roman"/>
          <w:szCs w:val="22"/>
        </w:rPr>
        <w:t>multistep</w:t>
      </w:r>
      <w:r w:rsidR="006919F4" w:rsidRPr="00506576">
        <w:rPr>
          <w:rFonts w:ascii="Times New Roman" w:hAnsi="Times New Roman"/>
          <w:szCs w:val="22"/>
        </w:rPr>
        <w:t xml:space="preserve"> transactions—two objective fact-based allegations—in order to increase its chances of winning.</w:t>
      </w:r>
      <w:r w:rsidRPr="00506576">
        <w:rPr>
          <w:rFonts w:ascii="Times New Roman" w:hAnsi="Times New Roman"/>
          <w:szCs w:val="22"/>
        </w:rPr>
        <w:t xml:space="preserve"> T</w:t>
      </w:r>
      <w:r w:rsidR="006919F4" w:rsidRPr="00506576">
        <w:rPr>
          <w:rFonts w:ascii="Times New Roman" w:hAnsi="Times New Roman"/>
          <w:szCs w:val="22"/>
        </w:rPr>
        <w:t xml:space="preserve">hird parties combined with </w:t>
      </w:r>
      <w:r w:rsidR="00D7399A" w:rsidRPr="00506576">
        <w:rPr>
          <w:rFonts w:ascii="Times New Roman" w:hAnsi="Times New Roman"/>
          <w:szCs w:val="22"/>
        </w:rPr>
        <w:t>a lack of business purpose</w:t>
      </w:r>
      <w:r w:rsidR="006919F4" w:rsidRPr="00506576">
        <w:rPr>
          <w:rFonts w:ascii="Times New Roman" w:hAnsi="Times New Roman"/>
          <w:szCs w:val="22"/>
        </w:rPr>
        <w:t xml:space="preserve">, or </w:t>
      </w:r>
      <w:r w:rsidR="005E7E20" w:rsidRPr="00506576">
        <w:rPr>
          <w:rFonts w:ascii="Times New Roman" w:hAnsi="Times New Roman"/>
          <w:szCs w:val="22"/>
        </w:rPr>
        <w:t>a multistep transaction</w:t>
      </w:r>
      <w:r w:rsidR="006919F4" w:rsidRPr="00506576">
        <w:rPr>
          <w:rFonts w:ascii="Times New Roman" w:hAnsi="Times New Roman"/>
          <w:szCs w:val="22"/>
        </w:rPr>
        <w:t xml:space="preserve"> combined with </w:t>
      </w:r>
      <w:r w:rsidR="00D7399A" w:rsidRPr="00506576">
        <w:rPr>
          <w:rFonts w:ascii="Times New Roman" w:hAnsi="Times New Roman"/>
          <w:szCs w:val="22"/>
        </w:rPr>
        <w:t>a</w:t>
      </w:r>
      <w:r w:rsidR="006919F4" w:rsidRPr="00506576">
        <w:rPr>
          <w:rFonts w:ascii="Times New Roman" w:hAnsi="Times New Roman"/>
          <w:szCs w:val="22"/>
        </w:rPr>
        <w:t xml:space="preserve"> lack of business purpose—one fact-based allegation and the other a matter of opinion—is not a winning combination and together </w:t>
      </w:r>
      <w:r w:rsidR="006919F4" w:rsidRPr="00506576">
        <w:rPr>
          <w:rFonts w:ascii="Times New Roman" w:hAnsi="Times New Roman"/>
          <w:szCs w:val="22"/>
        </w:rPr>
        <w:lastRenderedPageBreak/>
        <w:t>operate to decrease the likelihood that the Court will find in favor of the government.</w:t>
      </w:r>
      <w:r w:rsidR="007F58D6" w:rsidRPr="00506576">
        <w:rPr>
          <w:rFonts w:ascii="Times New Roman" w:hAnsi="Times New Roman"/>
          <w:szCs w:val="22"/>
        </w:rPr>
        <w:t xml:space="preserve"> </w:t>
      </w:r>
      <w:r w:rsidR="006919F4" w:rsidRPr="00506576">
        <w:rPr>
          <w:rFonts w:ascii="Times New Roman" w:hAnsi="Times New Roman"/>
          <w:szCs w:val="22"/>
        </w:rPr>
        <w:t xml:space="preserve">These findings, taken together, suggest that the presence of the third-parties and </w:t>
      </w:r>
      <w:r w:rsidR="00CC7465" w:rsidRPr="00506576">
        <w:rPr>
          <w:rFonts w:ascii="Times New Roman" w:hAnsi="Times New Roman"/>
          <w:szCs w:val="22"/>
        </w:rPr>
        <w:t>multistep</w:t>
      </w:r>
      <w:r w:rsidR="006919F4" w:rsidRPr="00506576">
        <w:rPr>
          <w:rFonts w:ascii="Times New Roman" w:hAnsi="Times New Roman"/>
          <w:szCs w:val="22"/>
        </w:rPr>
        <w:t xml:space="preserve"> transactions general</w:t>
      </w:r>
      <w:r w:rsidR="003650F2" w:rsidRPr="00506576">
        <w:rPr>
          <w:rFonts w:ascii="Times New Roman" w:hAnsi="Times New Roman"/>
          <w:szCs w:val="22"/>
        </w:rPr>
        <w:t>ly</w:t>
      </w:r>
      <w:r w:rsidR="006919F4" w:rsidRPr="00506576">
        <w:rPr>
          <w:rFonts w:ascii="Times New Roman" w:hAnsi="Times New Roman"/>
          <w:szCs w:val="22"/>
        </w:rPr>
        <w:t xml:space="preserve"> make the government’s case substantially weaker with one exception: when they are present together in a transaction that </w:t>
      </w:r>
      <w:r w:rsidR="001252C0" w:rsidRPr="00506576">
        <w:rPr>
          <w:rFonts w:ascii="Times New Roman" w:hAnsi="Times New Roman"/>
          <w:szCs w:val="22"/>
        </w:rPr>
        <w:t>the government believes to be abusive</w:t>
      </w:r>
      <w:r w:rsidR="006919F4" w:rsidRPr="00506576">
        <w:rPr>
          <w:rFonts w:ascii="Times New Roman" w:hAnsi="Times New Roman"/>
          <w:szCs w:val="22"/>
        </w:rPr>
        <w:t>.</w:t>
      </w:r>
      <w:r w:rsidR="007F58D6" w:rsidRPr="00506576">
        <w:rPr>
          <w:rFonts w:ascii="Times New Roman" w:hAnsi="Times New Roman"/>
          <w:szCs w:val="22"/>
        </w:rPr>
        <w:t xml:space="preserve"> </w:t>
      </w:r>
      <w:r w:rsidR="006919F4" w:rsidRPr="00506576">
        <w:rPr>
          <w:rFonts w:ascii="Times New Roman" w:hAnsi="Times New Roman"/>
          <w:szCs w:val="22"/>
        </w:rPr>
        <w:t>Finally, the results presented in Table 3 above indicate that the business purpose test is not playing a stro</w:t>
      </w:r>
      <w:r w:rsidR="004553A8" w:rsidRPr="00506576">
        <w:rPr>
          <w:rFonts w:ascii="Times New Roman" w:hAnsi="Times New Roman"/>
          <w:szCs w:val="22"/>
        </w:rPr>
        <w:t>ng role in the Court’s decision</w:t>
      </w:r>
      <w:r w:rsidR="006919F4" w:rsidRPr="00506576">
        <w:rPr>
          <w:rFonts w:ascii="Times New Roman" w:hAnsi="Times New Roman"/>
          <w:szCs w:val="22"/>
        </w:rPr>
        <w:t>making process.</w:t>
      </w:r>
      <w:r w:rsidR="007F58D6" w:rsidRPr="00506576">
        <w:rPr>
          <w:rFonts w:ascii="Times New Roman" w:hAnsi="Times New Roman"/>
          <w:szCs w:val="22"/>
        </w:rPr>
        <w:t xml:space="preserve"> </w:t>
      </w:r>
      <w:r w:rsidR="006919F4" w:rsidRPr="00506576">
        <w:rPr>
          <w:rFonts w:ascii="Times New Roman" w:hAnsi="Times New Roman"/>
          <w:szCs w:val="22"/>
        </w:rPr>
        <w:t>Indeed, it appears to play little or no role when standing alone and a negative role when combined with other factors.</w:t>
      </w:r>
    </w:p>
    <w:p w14:paraId="41DEDE02" w14:textId="30D798EC" w:rsidR="006919F4" w:rsidRPr="00506576" w:rsidRDefault="00645AAB" w:rsidP="0008128B">
      <w:pPr>
        <w:pStyle w:val="SubHead4"/>
        <w:ind w:left="900" w:hanging="454"/>
        <w:rPr>
          <w:rFonts w:ascii="Times New Roman" w:hAnsi="Times New Roman"/>
          <w:szCs w:val="22"/>
        </w:rPr>
      </w:pPr>
      <w:bookmarkStart w:id="78" w:name="_Toc319267167"/>
      <w:bookmarkStart w:id="79" w:name="_Toc332272319"/>
      <w:bookmarkStart w:id="80" w:name="_Toc337045098"/>
      <w:bookmarkStart w:id="81" w:name="_Toc337045530"/>
      <w:bookmarkStart w:id="82" w:name="_Toc338056873"/>
      <w:r w:rsidRPr="00506576">
        <w:rPr>
          <w:rFonts w:ascii="Times New Roman" w:hAnsi="Times New Roman"/>
          <w:szCs w:val="22"/>
        </w:rPr>
        <w:t>b.</w:t>
      </w:r>
      <w:r w:rsidRPr="00506576">
        <w:rPr>
          <w:rFonts w:ascii="Times New Roman" w:hAnsi="Times New Roman"/>
          <w:szCs w:val="22"/>
        </w:rPr>
        <w:tab/>
      </w:r>
      <w:r w:rsidR="006919F4" w:rsidRPr="00506576">
        <w:rPr>
          <w:rFonts w:ascii="Times New Roman" w:hAnsi="Times New Roman"/>
          <w:szCs w:val="22"/>
        </w:rPr>
        <w:t>Tax Return Factors</w:t>
      </w:r>
      <w:bookmarkEnd w:id="78"/>
      <w:bookmarkEnd w:id="79"/>
      <w:bookmarkEnd w:id="80"/>
      <w:bookmarkEnd w:id="81"/>
      <w:bookmarkEnd w:id="82"/>
    </w:p>
    <w:p w14:paraId="1DF7BF15" w14:textId="5A125353" w:rsidR="006919F4" w:rsidRPr="00506576" w:rsidRDefault="006919F4" w:rsidP="006919F4">
      <w:pPr>
        <w:pStyle w:val="Document"/>
        <w:rPr>
          <w:rFonts w:ascii="Times New Roman" w:hAnsi="Times New Roman"/>
          <w:szCs w:val="22"/>
        </w:rPr>
      </w:pPr>
      <w:r w:rsidRPr="00506576">
        <w:rPr>
          <w:rFonts w:ascii="Times New Roman" w:hAnsi="Times New Roman"/>
          <w:szCs w:val="22"/>
        </w:rPr>
        <w:t xml:space="preserve">We </w:t>
      </w:r>
      <w:r w:rsidR="004624D5" w:rsidRPr="00506576">
        <w:rPr>
          <w:rFonts w:ascii="Times New Roman" w:hAnsi="Times New Roman"/>
          <w:szCs w:val="22"/>
        </w:rPr>
        <w:t xml:space="preserve">now </w:t>
      </w:r>
      <w:r w:rsidRPr="00506576">
        <w:rPr>
          <w:rFonts w:ascii="Times New Roman" w:hAnsi="Times New Roman"/>
          <w:szCs w:val="22"/>
        </w:rPr>
        <w:t>turn to the items on the corporate tax return that raise a red flag of abuse.</w:t>
      </w:r>
      <w:r w:rsidR="007F58D6" w:rsidRPr="00506576">
        <w:rPr>
          <w:rFonts w:ascii="Times New Roman" w:hAnsi="Times New Roman"/>
          <w:szCs w:val="22"/>
        </w:rPr>
        <w:t xml:space="preserve"> </w:t>
      </w:r>
      <w:r w:rsidRPr="00506576">
        <w:rPr>
          <w:rFonts w:ascii="Times New Roman" w:hAnsi="Times New Roman"/>
          <w:szCs w:val="22"/>
        </w:rPr>
        <w:t>We begin with accounting irregularities, such as an asymmetry in the amount of income reported on corporate financial accounting documents and on the corporate tax return filed with the IRS.</w:t>
      </w:r>
      <w:r w:rsidR="007F58D6" w:rsidRPr="00506576">
        <w:rPr>
          <w:rFonts w:ascii="Times New Roman" w:hAnsi="Times New Roman"/>
          <w:szCs w:val="22"/>
        </w:rPr>
        <w:t xml:space="preserve"> </w:t>
      </w:r>
      <w:r w:rsidRPr="00506576">
        <w:rPr>
          <w:rFonts w:ascii="Times New Roman" w:hAnsi="Times New Roman"/>
          <w:szCs w:val="22"/>
        </w:rPr>
        <w:t>Columns (1), (2), and (3) of Table 3 indicate that when the government points to an accounting irregularity in its legal brief filed in Court, it is 15</w:t>
      </w:r>
      <w:r w:rsidR="00147B27" w:rsidRPr="00506576">
        <w:rPr>
          <w:rFonts w:ascii="Times New Roman" w:hAnsi="Times New Roman"/>
          <w:szCs w:val="22"/>
        </w:rPr>
        <w:t>%</w:t>
      </w:r>
      <w:r w:rsidRPr="00506576">
        <w:rPr>
          <w:rFonts w:ascii="Times New Roman" w:hAnsi="Times New Roman"/>
          <w:szCs w:val="22"/>
        </w:rPr>
        <w:t xml:space="preserve"> to 22</w:t>
      </w:r>
      <w:r w:rsidR="00147B27" w:rsidRPr="00506576">
        <w:rPr>
          <w:rFonts w:ascii="Times New Roman" w:hAnsi="Times New Roman"/>
          <w:szCs w:val="22"/>
        </w:rPr>
        <w:t>%</w:t>
      </w:r>
      <w:r w:rsidRPr="00506576">
        <w:rPr>
          <w:rFonts w:ascii="Times New Roman" w:hAnsi="Times New Roman"/>
          <w:szCs w:val="22"/>
        </w:rPr>
        <w:t xml:space="preserve"> more likely to prevail.</w:t>
      </w:r>
      <w:r w:rsidR="007F58D6" w:rsidRPr="00506576">
        <w:rPr>
          <w:rFonts w:ascii="Times New Roman" w:hAnsi="Times New Roman"/>
          <w:szCs w:val="22"/>
        </w:rPr>
        <w:t xml:space="preserve"> </w:t>
      </w:r>
      <w:r w:rsidRPr="00506576">
        <w:rPr>
          <w:rFonts w:ascii="Times New Roman" w:hAnsi="Times New Roman"/>
          <w:szCs w:val="22"/>
        </w:rPr>
        <w:t>This finding is statistically significant in two of the three models, suggesting that accounting irregularities increase the chances that the Justices will find that the corporation sought an inappropriate tax advantage.</w:t>
      </w:r>
      <w:r w:rsidR="007F58D6" w:rsidRPr="00506576">
        <w:rPr>
          <w:rFonts w:ascii="Times New Roman" w:hAnsi="Times New Roman"/>
          <w:szCs w:val="22"/>
        </w:rPr>
        <w:t xml:space="preserve"> </w:t>
      </w:r>
    </w:p>
    <w:p w14:paraId="446A3FA0" w14:textId="0C137CD5" w:rsidR="006919F4" w:rsidRPr="00506576" w:rsidRDefault="004624D5" w:rsidP="006919F4">
      <w:pPr>
        <w:pStyle w:val="Document"/>
        <w:rPr>
          <w:rFonts w:ascii="Times New Roman" w:hAnsi="Times New Roman"/>
          <w:szCs w:val="22"/>
        </w:rPr>
      </w:pPr>
      <w:r w:rsidRPr="00506576">
        <w:rPr>
          <w:rFonts w:ascii="Times New Roman" w:hAnsi="Times New Roman"/>
          <w:szCs w:val="22"/>
        </w:rPr>
        <w:t>We next consider</w:t>
      </w:r>
      <w:r w:rsidR="006919F4" w:rsidRPr="00506576">
        <w:rPr>
          <w:rFonts w:ascii="Times New Roman" w:hAnsi="Times New Roman"/>
          <w:szCs w:val="22"/>
        </w:rPr>
        <w:t xml:space="preserve"> loss transactions that a corporation </w:t>
      </w:r>
      <w:r w:rsidR="00CC0867" w:rsidRPr="00506576">
        <w:rPr>
          <w:rFonts w:ascii="Times New Roman" w:hAnsi="Times New Roman"/>
          <w:szCs w:val="22"/>
        </w:rPr>
        <w:t xml:space="preserve">might use </w:t>
      </w:r>
      <w:r w:rsidR="006919F4" w:rsidRPr="00506576">
        <w:rPr>
          <w:rFonts w:ascii="Times New Roman" w:hAnsi="Times New Roman"/>
          <w:szCs w:val="22"/>
        </w:rPr>
        <w:t>to claim a refund on its tax return filed with the IRS, where the IRS subsequently denied the corporation’s claim.</w:t>
      </w:r>
      <w:r w:rsidR="007F58D6" w:rsidRPr="00506576">
        <w:rPr>
          <w:rFonts w:ascii="Times New Roman" w:hAnsi="Times New Roman"/>
          <w:szCs w:val="22"/>
        </w:rPr>
        <w:t xml:space="preserve"> </w:t>
      </w:r>
      <w:r w:rsidR="006919F4" w:rsidRPr="00506576">
        <w:rPr>
          <w:rFonts w:ascii="Times New Roman" w:hAnsi="Times New Roman"/>
          <w:szCs w:val="22"/>
        </w:rPr>
        <w:t xml:space="preserve">As noted above, corporate refund claims signal to the government that the taxpayer </w:t>
      </w:r>
      <w:r w:rsidR="006919F4" w:rsidRPr="00506576">
        <w:rPr>
          <w:rFonts w:ascii="Times New Roman" w:hAnsi="Times New Roman"/>
          <w:i/>
          <w:szCs w:val="22"/>
        </w:rPr>
        <w:t>may</w:t>
      </w:r>
      <w:r w:rsidR="006919F4" w:rsidRPr="00506576">
        <w:rPr>
          <w:rFonts w:ascii="Times New Roman" w:hAnsi="Times New Roman"/>
          <w:szCs w:val="22"/>
        </w:rPr>
        <w:t xml:space="preserve"> have participated in an abusive transaction in order to generate a tax loss.</w:t>
      </w:r>
      <w:r w:rsidR="007F58D6" w:rsidRPr="00506576">
        <w:rPr>
          <w:rFonts w:ascii="Times New Roman" w:hAnsi="Times New Roman"/>
          <w:szCs w:val="22"/>
        </w:rPr>
        <w:t xml:space="preserve"> </w:t>
      </w:r>
      <w:r w:rsidR="006919F4" w:rsidRPr="00506576">
        <w:rPr>
          <w:rFonts w:ascii="Times New Roman" w:hAnsi="Times New Roman"/>
          <w:szCs w:val="22"/>
        </w:rPr>
        <w:t>All three models presented in Table 3</w:t>
      </w:r>
      <w:r w:rsidR="003B6ACE" w:rsidRPr="00506576">
        <w:rPr>
          <w:rFonts w:ascii="Times New Roman" w:hAnsi="Times New Roman"/>
          <w:szCs w:val="22"/>
        </w:rPr>
        <w:t>,</w:t>
      </w:r>
      <w:r w:rsidR="006919F4" w:rsidRPr="00506576">
        <w:rPr>
          <w:rFonts w:ascii="Times New Roman" w:hAnsi="Times New Roman"/>
          <w:szCs w:val="22"/>
        </w:rPr>
        <w:t xml:space="preserve"> above</w:t>
      </w:r>
      <w:r w:rsidR="003B6ACE" w:rsidRPr="00506576">
        <w:rPr>
          <w:rFonts w:ascii="Times New Roman" w:hAnsi="Times New Roman"/>
          <w:szCs w:val="22"/>
        </w:rPr>
        <w:t>,</w:t>
      </w:r>
      <w:r w:rsidR="006919F4" w:rsidRPr="00506576">
        <w:rPr>
          <w:rFonts w:ascii="Times New Roman" w:hAnsi="Times New Roman"/>
          <w:szCs w:val="22"/>
        </w:rPr>
        <w:t xml:space="preserve"> indicate that when the corporate taxpayer seeks a refund and when the IRS denies the refund claim, the government</w:t>
      </w:r>
      <w:r w:rsidR="00287F7B" w:rsidRPr="00506576">
        <w:rPr>
          <w:rFonts w:ascii="Times New Roman" w:hAnsi="Times New Roman"/>
          <w:szCs w:val="22"/>
        </w:rPr>
        <w:t>’s chances of winning increase by 34% to 42% at highly statistically significant levels</w:t>
      </w:r>
      <w:r w:rsidR="006919F4" w:rsidRPr="00506576">
        <w:rPr>
          <w:rFonts w:ascii="Times New Roman" w:hAnsi="Times New Roman"/>
          <w:szCs w:val="22"/>
        </w:rPr>
        <w:t>.</w:t>
      </w:r>
      <w:r w:rsidR="007F58D6" w:rsidRPr="00506576">
        <w:rPr>
          <w:rFonts w:ascii="Times New Roman" w:hAnsi="Times New Roman"/>
          <w:szCs w:val="22"/>
        </w:rPr>
        <w:t xml:space="preserve"> </w:t>
      </w:r>
      <w:r w:rsidR="006919F4" w:rsidRPr="00506576">
        <w:rPr>
          <w:rFonts w:ascii="Times New Roman" w:hAnsi="Times New Roman"/>
          <w:szCs w:val="22"/>
        </w:rPr>
        <w:t>When numerous models produce consistent and significant findings, the results can be interpreted as robust and strongly probative of the</w:t>
      </w:r>
      <w:r w:rsidR="00160E60" w:rsidRPr="00506576">
        <w:rPr>
          <w:rFonts w:ascii="Times New Roman" w:hAnsi="Times New Roman"/>
          <w:szCs w:val="22"/>
        </w:rPr>
        <w:t xml:space="preserve"> variable’s</w:t>
      </w:r>
      <w:r w:rsidR="006919F4" w:rsidRPr="00506576">
        <w:rPr>
          <w:rFonts w:ascii="Times New Roman" w:hAnsi="Times New Roman"/>
          <w:szCs w:val="22"/>
        </w:rPr>
        <w:t xml:space="preserve"> effects on the outcome of interest</w:t>
      </w:r>
      <w:r w:rsidR="00E350F9" w:rsidRPr="00506576">
        <w:rPr>
          <w:rFonts w:ascii="Times New Roman" w:hAnsi="Times New Roman"/>
          <w:szCs w:val="22"/>
        </w:rPr>
        <w:t>. Our findings</w:t>
      </w:r>
      <w:r w:rsidR="006919F4" w:rsidRPr="00506576">
        <w:rPr>
          <w:rFonts w:ascii="Times New Roman" w:hAnsi="Times New Roman"/>
          <w:szCs w:val="22"/>
        </w:rPr>
        <w:t xml:space="preserve"> suggest that when corporate taxpayers</w:t>
      </w:r>
      <w:r w:rsidR="001A4C60" w:rsidRPr="00506576">
        <w:rPr>
          <w:rFonts w:ascii="Times New Roman" w:hAnsi="Times New Roman"/>
          <w:szCs w:val="22"/>
        </w:rPr>
        <w:t xml:space="preserve"> seek </w:t>
      </w:r>
      <w:r w:rsidR="00287F7B" w:rsidRPr="00506576">
        <w:rPr>
          <w:rFonts w:ascii="Times New Roman" w:hAnsi="Times New Roman"/>
          <w:szCs w:val="22"/>
        </w:rPr>
        <w:t xml:space="preserve">the Court’s assistance in extracting money </w:t>
      </w:r>
      <w:r w:rsidR="001A4C60" w:rsidRPr="00506576">
        <w:rPr>
          <w:rFonts w:ascii="Times New Roman" w:hAnsi="Times New Roman"/>
          <w:szCs w:val="22"/>
        </w:rPr>
        <w:t>from the Treasury</w:t>
      </w:r>
      <w:r w:rsidR="005C7C13" w:rsidRPr="00506576">
        <w:rPr>
          <w:rFonts w:ascii="Times New Roman" w:hAnsi="Times New Roman"/>
          <w:szCs w:val="22"/>
        </w:rPr>
        <w:t xml:space="preserve"> in a refund claim</w:t>
      </w:r>
      <w:r w:rsidR="006919F4" w:rsidRPr="00506576">
        <w:rPr>
          <w:rFonts w:ascii="Times New Roman" w:hAnsi="Times New Roman"/>
          <w:szCs w:val="22"/>
        </w:rPr>
        <w:t xml:space="preserve">, the </w:t>
      </w:r>
      <w:r w:rsidR="005C7C13" w:rsidRPr="00506576">
        <w:rPr>
          <w:rFonts w:ascii="Times New Roman" w:hAnsi="Times New Roman"/>
          <w:szCs w:val="22"/>
        </w:rPr>
        <w:t xml:space="preserve">Justices are </w:t>
      </w:r>
      <w:r w:rsidR="006919F4" w:rsidRPr="00506576">
        <w:rPr>
          <w:rFonts w:ascii="Times New Roman" w:hAnsi="Times New Roman"/>
          <w:szCs w:val="22"/>
        </w:rPr>
        <w:t xml:space="preserve">much more likely to find the transaction abusive than in cases in which the corporation simply seeks to pay </w:t>
      </w:r>
      <w:r w:rsidR="005C7C13" w:rsidRPr="00506576">
        <w:rPr>
          <w:rFonts w:ascii="Times New Roman" w:hAnsi="Times New Roman"/>
          <w:szCs w:val="22"/>
        </w:rPr>
        <w:t xml:space="preserve">less </w:t>
      </w:r>
      <w:r w:rsidR="006919F4" w:rsidRPr="00506576">
        <w:rPr>
          <w:rFonts w:ascii="Times New Roman" w:hAnsi="Times New Roman"/>
          <w:szCs w:val="22"/>
        </w:rPr>
        <w:t>tax than the government deems owed.</w:t>
      </w:r>
      <w:r w:rsidR="007F58D6" w:rsidRPr="00506576">
        <w:rPr>
          <w:rFonts w:ascii="Times New Roman" w:hAnsi="Times New Roman"/>
          <w:szCs w:val="22"/>
        </w:rPr>
        <w:t xml:space="preserve"> </w:t>
      </w:r>
    </w:p>
    <w:p w14:paraId="67943001" w14:textId="58650324" w:rsidR="006919F4" w:rsidRPr="00506576" w:rsidRDefault="0008128B" w:rsidP="0008128B">
      <w:pPr>
        <w:pStyle w:val="SubHead4"/>
        <w:rPr>
          <w:rFonts w:ascii="Times New Roman" w:hAnsi="Times New Roman"/>
          <w:szCs w:val="22"/>
        </w:rPr>
      </w:pPr>
      <w:bookmarkStart w:id="83" w:name="_Toc319267168"/>
      <w:bookmarkStart w:id="84" w:name="_Toc332272320"/>
      <w:bookmarkStart w:id="85" w:name="_Toc337045099"/>
      <w:bookmarkStart w:id="86" w:name="_Toc337045531"/>
      <w:bookmarkStart w:id="87" w:name="_Toc338056874"/>
      <w:r w:rsidRPr="00506576">
        <w:rPr>
          <w:rFonts w:ascii="Times New Roman" w:hAnsi="Times New Roman"/>
          <w:szCs w:val="22"/>
        </w:rPr>
        <w:t>c.</w:t>
      </w:r>
      <w:r w:rsidRPr="00506576">
        <w:rPr>
          <w:rFonts w:ascii="Times New Roman" w:hAnsi="Times New Roman"/>
          <w:szCs w:val="22"/>
        </w:rPr>
        <w:tab/>
      </w:r>
      <w:r w:rsidR="006919F4" w:rsidRPr="00506576">
        <w:rPr>
          <w:rFonts w:ascii="Times New Roman" w:hAnsi="Times New Roman"/>
          <w:szCs w:val="22"/>
        </w:rPr>
        <w:t>Personnel Factor</w:t>
      </w:r>
      <w:bookmarkEnd w:id="83"/>
      <w:bookmarkEnd w:id="84"/>
      <w:bookmarkEnd w:id="85"/>
      <w:bookmarkEnd w:id="86"/>
      <w:bookmarkEnd w:id="87"/>
    </w:p>
    <w:p w14:paraId="228B3A2D" w14:textId="07553854" w:rsidR="00A45BD8" w:rsidRPr="00506576" w:rsidRDefault="003650F2" w:rsidP="00B30F13">
      <w:pPr>
        <w:pStyle w:val="Document"/>
        <w:rPr>
          <w:rFonts w:ascii="Times New Roman" w:hAnsi="Times New Roman"/>
          <w:szCs w:val="22"/>
        </w:rPr>
      </w:pPr>
      <w:r w:rsidRPr="00506576">
        <w:rPr>
          <w:rFonts w:ascii="Times New Roman" w:hAnsi="Times New Roman"/>
          <w:szCs w:val="22"/>
        </w:rPr>
        <w:t>Several</w:t>
      </w:r>
      <w:r w:rsidR="006919F4" w:rsidRPr="00506576">
        <w:rPr>
          <w:rFonts w:ascii="Times New Roman" w:hAnsi="Times New Roman"/>
          <w:szCs w:val="22"/>
        </w:rPr>
        <w:t xml:space="preserve"> scholars have suggested that Justice Scalia’s appointment led to an increase in judicial deference to the text of the tax statute, a literalist approach that often underlies taxpayers’ arguments in corporate tax abuse cases.</w:t>
      </w:r>
      <w:r w:rsidR="007F58D6" w:rsidRPr="00506576">
        <w:rPr>
          <w:rFonts w:ascii="Times New Roman" w:hAnsi="Times New Roman"/>
          <w:szCs w:val="22"/>
        </w:rPr>
        <w:t xml:space="preserve"> </w:t>
      </w:r>
      <w:r w:rsidR="006919F4" w:rsidRPr="00506576">
        <w:rPr>
          <w:rFonts w:ascii="Times New Roman" w:hAnsi="Times New Roman"/>
          <w:szCs w:val="22"/>
        </w:rPr>
        <w:t>Our models indicate that a corporation’s chance of winning increased between 1</w:t>
      </w:r>
      <w:r w:rsidR="00147B27" w:rsidRPr="00506576">
        <w:rPr>
          <w:rFonts w:ascii="Times New Roman" w:hAnsi="Times New Roman"/>
          <w:szCs w:val="22"/>
        </w:rPr>
        <w:t>%</w:t>
      </w:r>
      <w:r w:rsidR="006919F4" w:rsidRPr="00506576">
        <w:rPr>
          <w:rFonts w:ascii="Times New Roman" w:hAnsi="Times New Roman"/>
          <w:szCs w:val="22"/>
        </w:rPr>
        <w:t xml:space="preserve"> and 9</w:t>
      </w:r>
      <w:r w:rsidR="00147B27" w:rsidRPr="00506576">
        <w:rPr>
          <w:rFonts w:ascii="Times New Roman" w:hAnsi="Times New Roman"/>
          <w:szCs w:val="22"/>
        </w:rPr>
        <w:t>%</w:t>
      </w:r>
      <w:r w:rsidR="006919F4" w:rsidRPr="00506576">
        <w:rPr>
          <w:rFonts w:ascii="Times New Roman" w:hAnsi="Times New Roman"/>
          <w:szCs w:val="22"/>
        </w:rPr>
        <w:t xml:space="preserve"> in the post-1986 era.</w:t>
      </w:r>
      <w:r w:rsidR="007F58D6" w:rsidRPr="00506576">
        <w:rPr>
          <w:rFonts w:ascii="Times New Roman" w:hAnsi="Times New Roman"/>
          <w:szCs w:val="22"/>
        </w:rPr>
        <w:t xml:space="preserve"> </w:t>
      </w:r>
      <w:r w:rsidR="006919F4" w:rsidRPr="00506576">
        <w:rPr>
          <w:rFonts w:ascii="Times New Roman" w:hAnsi="Times New Roman"/>
          <w:szCs w:val="22"/>
        </w:rPr>
        <w:t xml:space="preserve">The negative sign on </w:t>
      </w:r>
      <w:r w:rsidR="006919F4" w:rsidRPr="00506576">
        <w:rPr>
          <w:rFonts w:ascii="Times New Roman" w:hAnsi="Times New Roman"/>
          <w:szCs w:val="22"/>
        </w:rPr>
        <w:lastRenderedPageBreak/>
        <w:t xml:space="preserve">Justice Scalia’s coefficient in all three models presented in Table 3 indicates that Justice Scalia </w:t>
      </w:r>
      <w:r w:rsidR="00E13C8B" w:rsidRPr="00506576">
        <w:rPr>
          <w:rFonts w:ascii="Times New Roman" w:hAnsi="Times New Roman"/>
          <w:szCs w:val="22"/>
        </w:rPr>
        <w:t>may have</w:t>
      </w:r>
      <w:r w:rsidR="006919F4" w:rsidRPr="00506576">
        <w:rPr>
          <w:rFonts w:ascii="Times New Roman" w:hAnsi="Times New Roman"/>
          <w:szCs w:val="22"/>
        </w:rPr>
        <w:t xml:space="preserve"> had an effect on the government’s win rate.</w:t>
      </w:r>
      <w:r w:rsidR="007F58D6" w:rsidRPr="00506576">
        <w:rPr>
          <w:rFonts w:ascii="Times New Roman" w:hAnsi="Times New Roman"/>
          <w:szCs w:val="22"/>
        </w:rPr>
        <w:t xml:space="preserve"> </w:t>
      </w:r>
    </w:p>
    <w:p w14:paraId="47B54A9F" w14:textId="41B515E8" w:rsidR="005D260F" w:rsidRPr="00506576" w:rsidRDefault="006919F4" w:rsidP="00222DCD">
      <w:pPr>
        <w:pStyle w:val="Document"/>
        <w:rPr>
          <w:rFonts w:ascii="Times New Roman" w:hAnsi="Times New Roman"/>
          <w:szCs w:val="22"/>
        </w:rPr>
      </w:pPr>
      <w:r w:rsidRPr="00506576">
        <w:rPr>
          <w:rFonts w:ascii="Times New Roman" w:hAnsi="Times New Roman"/>
          <w:szCs w:val="22"/>
        </w:rPr>
        <w:t xml:space="preserve"> We cannot confidently conclude that Justice Scalia and the plain meaning approach to statutory interpretation has had the predicted impact for a few important reasons.</w:t>
      </w:r>
      <w:r w:rsidR="007F58D6" w:rsidRPr="00506576">
        <w:rPr>
          <w:rFonts w:ascii="Times New Roman" w:hAnsi="Times New Roman"/>
          <w:szCs w:val="22"/>
        </w:rPr>
        <w:t xml:space="preserve"> </w:t>
      </w:r>
      <w:r w:rsidRPr="00506576">
        <w:rPr>
          <w:rFonts w:ascii="Times New Roman" w:hAnsi="Times New Roman"/>
          <w:szCs w:val="22"/>
        </w:rPr>
        <w:t>First, the results are not statistically significant.</w:t>
      </w:r>
      <w:r w:rsidR="007F58D6" w:rsidRPr="00506576">
        <w:rPr>
          <w:rFonts w:ascii="Times New Roman" w:hAnsi="Times New Roman"/>
          <w:szCs w:val="22"/>
        </w:rPr>
        <w:t xml:space="preserve"> </w:t>
      </w:r>
      <w:r w:rsidRPr="00506576">
        <w:rPr>
          <w:rFonts w:ascii="Times New Roman" w:hAnsi="Times New Roman"/>
          <w:szCs w:val="22"/>
        </w:rPr>
        <w:t xml:space="preserve">Second, our dataset includes </w:t>
      </w:r>
      <w:r w:rsidR="005C7C13" w:rsidRPr="00506576">
        <w:rPr>
          <w:rFonts w:ascii="Times New Roman" w:hAnsi="Times New Roman"/>
          <w:szCs w:val="22"/>
        </w:rPr>
        <w:t>only a small number of judicial opinions</w:t>
      </w:r>
      <w:r w:rsidR="00B30F13" w:rsidRPr="00506576">
        <w:rPr>
          <w:rFonts w:ascii="Times New Roman" w:hAnsi="Times New Roman"/>
          <w:szCs w:val="22"/>
        </w:rPr>
        <w:t xml:space="preserve">—nine—in </w:t>
      </w:r>
      <w:r w:rsidRPr="00506576">
        <w:rPr>
          <w:rFonts w:ascii="Times New Roman" w:hAnsi="Times New Roman"/>
          <w:szCs w:val="22"/>
        </w:rPr>
        <w:t>the time period under investigation.</w:t>
      </w:r>
      <w:r w:rsidR="007F58D6" w:rsidRPr="00506576">
        <w:rPr>
          <w:rFonts w:ascii="Times New Roman" w:hAnsi="Times New Roman"/>
          <w:szCs w:val="22"/>
        </w:rPr>
        <w:t xml:space="preserve"> </w:t>
      </w:r>
      <w:r w:rsidR="007B3D2A" w:rsidRPr="00506576">
        <w:rPr>
          <w:rFonts w:ascii="Times New Roman" w:hAnsi="Times New Roman"/>
          <w:szCs w:val="22"/>
        </w:rPr>
        <w:t>Third—</w:t>
      </w:r>
      <w:r w:rsidRPr="00506576">
        <w:rPr>
          <w:rFonts w:ascii="Times New Roman" w:hAnsi="Times New Roman"/>
          <w:szCs w:val="22"/>
        </w:rPr>
        <w:t>and perhaps most problematic to t</w:t>
      </w:r>
      <w:r w:rsidR="00AD677A" w:rsidRPr="00506576">
        <w:rPr>
          <w:rFonts w:ascii="Times New Roman" w:hAnsi="Times New Roman"/>
          <w:szCs w:val="22"/>
        </w:rPr>
        <w:t>he theory highlighting Justice</w:t>
      </w:r>
      <w:r w:rsidRPr="00506576">
        <w:rPr>
          <w:rFonts w:ascii="Times New Roman" w:hAnsi="Times New Roman"/>
          <w:szCs w:val="22"/>
        </w:rPr>
        <w:t xml:space="preserve"> Scal</w:t>
      </w:r>
      <w:r w:rsidR="007B3D2A" w:rsidRPr="00506576">
        <w:rPr>
          <w:rFonts w:ascii="Times New Roman" w:hAnsi="Times New Roman"/>
          <w:szCs w:val="22"/>
        </w:rPr>
        <w:t>ia’s role in tax abuse cases</w:t>
      </w:r>
      <w:r w:rsidR="005C7C13" w:rsidRPr="00506576">
        <w:rPr>
          <w:rFonts w:ascii="Times New Roman" w:hAnsi="Times New Roman"/>
          <w:szCs w:val="22"/>
        </w:rPr>
        <w:t xml:space="preserve">, </w:t>
      </w:r>
      <w:r w:rsidRPr="00506576">
        <w:rPr>
          <w:rFonts w:ascii="Times New Roman" w:hAnsi="Times New Roman"/>
          <w:szCs w:val="22"/>
        </w:rPr>
        <w:t>the government’s probability of winning began to decline well before Scalia’s appointment, casting further doubt on the Scalia theory.</w:t>
      </w:r>
      <w:r w:rsidR="007F58D6" w:rsidRPr="00506576">
        <w:rPr>
          <w:rFonts w:ascii="Times New Roman" w:hAnsi="Times New Roman"/>
          <w:szCs w:val="22"/>
        </w:rPr>
        <w:t xml:space="preserve"> </w:t>
      </w:r>
      <w:r w:rsidRPr="00506576">
        <w:rPr>
          <w:rFonts w:ascii="Times New Roman" w:hAnsi="Times New Roman"/>
          <w:szCs w:val="22"/>
        </w:rPr>
        <w:t xml:space="preserve">Finally, the appointment of Justice Scalia in 1986 occurred during the same period as other significant developments in the federal tax law, namely the enactment of </w:t>
      </w:r>
      <w:r w:rsidR="007B3D2A" w:rsidRPr="00506576">
        <w:rPr>
          <w:rFonts w:ascii="Times New Roman" w:hAnsi="Times New Roman"/>
          <w:szCs w:val="22"/>
        </w:rPr>
        <w:t xml:space="preserve">the </w:t>
      </w:r>
      <w:r w:rsidRPr="00506576">
        <w:rPr>
          <w:rFonts w:ascii="Times New Roman" w:hAnsi="Times New Roman"/>
          <w:szCs w:val="22"/>
        </w:rPr>
        <w:t>Tax Reform Act of 1986, which may have had an effect on the Justices’ interpretation of tax avoidance strategies.</w:t>
      </w:r>
      <w:r w:rsidR="007F58D6" w:rsidRPr="00506576">
        <w:rPr>
          <w:rFonts w:ascii="Times New Roman" w:hAnsi="Times New Roman"/>
          <w:szCs w:val="22"/>
        </w:rPr>
        <w:t xml:space="preserve"> </w:t>
      </w:r>
      <w:r w:rsidRPr="00506576">
        <w:rPr>
          <w:rFonts w:ascii="Times New Roman" w:hAnsi="Times New Roman"/>
          <w:szCs w:val="22"/>
        </w:rPr>
        <w:t xml:space="preserve">It bears noting, however, that </w:t>
      </w:r>
      <w:r w:rsidR="004179D4" w:rsidRPr="00506576">
        <w:rPr>
          <w:rFonts w:ascii="Times New Roman" w:hAnsi="Times New Roman"/>
          <w:szCs w:val="22"/>
        </w:rPr>
        <w:t>although</w:t>
      </w:r>
      <w:r w:rsidRPr="00506576">
        <w:rPr>
          <w:rFonts w:ascii="Times New Roman" w:hAnsi="Times New Roman"/>
          <w:szCs w:val="22"/>
        </w:rPr>
        <w:t xml:space="preserve"> the Supreme Court appears to have taken a pro-taxpayer turn in the late 1950s, the government’s probability of winning consistently exceeds the taxpayer’s probability of winning.</w:t>
      </w:r>
    </w:p>
    <w:p w14:paraId="1C70F867" w14:textId="77777777" w:rsidR="005D260F" w:rsidRPr="00506576" w:rsidRDefault="005D260F" w:rsidP="005D260F">
      <w:pPr>
        <w:pStyle w:val="SubHead2"/>
        <w:rPr>
          <w:rFonts w:ascii="Times New Roman" w:hAnsi="Times New Roman"/>
          <w:szCs w:val="22"/>
        </w:rPr>
      </w:pPr>
      <w:r w:rsidRPr="00506576">
        <w:rPr>
          <w:rFonts w:ascii="Times New Roman" w:hAnsi="Times New Roman"/>
          <w:szCs w:val="22"/>
        </w:rPr>
        <w:t>C.</w:t>
      </w:r>
      <w:r w:rsidRPr="00506576">
        <w:rPr>
          <w:rFonts w:ascii="Times New Roman" w:hAnsi="Times New Roman"/>
          <w:szCs w:val="22"/>
        </w:rPr>
        <w:tab/>
        <w:t>Historial Use of the Judicial Doctrines in US Supreme Court</w:t>
      </w:r>
    </w:p>
    <w:p w14:paraId="4EDE3FAB" w14:textId="5B7E51BF" w:rsidR="005D260F" w:rsidRPr="00506576" w:rsidRDefault="005D260F" w:rsidP="005D260F">
      <w:pPr>
        <w:pStyle w:val="Document"/>
        <w:rPr>
          <w:rFonts w:ascii="Times New Roman" w:hAnsi="Times New Roman"/>
          <w:szCs w:val="22"/>
        </w:rPr>
      </w:pPr>
      <w:r w:rsidRPr="00506576">
        <w:rPr>
          <w:rFonts w:ascii="Times New Roman" w:hAnsi="Times New Roman"/>
          <w:szCs w:val="22"/>
        </w:rPr>
        <w:t xml:space="preserve">We have focused on US Supreme Court decisionmaking over the course of the last century. Our findings therefore reflect statistical effects averaged over the course of many years. This raises the question: Are the decisions and outcomes rendered in the mid-1900s and earlier relevant for understanding the contemporary </w:t>
      </w:r>
      <w:r w:rsidR="00EA0178" w:rsidRPr="00506576">
        <w:rPr>
          <w:rFonts w:ascii="Times New Roman" w:hAnsi="Times New Roman"/>
          <w:szCs w:val="22"/>
        </w:rPr>
        <w:t xml:space="preserve">US </w:t>
      </w:r>
      <w:r w:rsidRPr="00506576">
        <w:rPr>
          <w:rFonts w:ascii="Times New Roman" w:hAnsi="Times New Roman"/>
          <w:szCs w:val="22"/>
        </w:rPr>
        <w:t>Supreme Court? To begin, we note that we examined abuse cases over such a long period in order to obtain a sufficient number of observations to fit the data to the models.</w:t>
      </w:r>
      <w:bookmarkStart w:id="88" w:name="_Ref213335300"/>
      <w:r w:rsidRPr="00506576">
        <w:rPr>
          <w:rStyle w:val="NoterefInText"/>
        </w:rPr>
        <w:footnoteReference w:id="21"/>
      </w:r>
      <w:bookmarkEnd w:id="88"/>
      <w:r w:rsidRPr="00506576">
        <w:rPr>
          <w:rFonts w:ascii="Times New Roman" w:hAnsi="Times New Roman"/>
          <w:szCs w:val="22"/>
        </w:rPr>
        <w:t xml:space="preserve"> This technical explanation, of course, leaves the substantive question unanswered. Thus, we conducted a qualitative investigation of the early Court opinions to understand and explain how the docket, arguments, and legal analyses have changed over time. As we discuss below, to our surprise, we found high levels of consistency over the different eras.</w:t>
      </w:r>
    </w:p>
    <w:p w14:paraId="3F3D65E1" w14:textId="102BF888" w:rsidR="005D260F" w:rsidRPr="00506576" w:rsidRDefault="005D260F" w:rsidP="005D260F">
      <w:pPr>
        <w:pStyle w:val="Document"/>
        <w:rPr>
          <w:rFonts w:ascii="Times New Roman" w:hAnsi="Times New Roman"/>
          <w:b/>
          <w:szCs w:val="22"/>
        </w:rPr>
      </w:pPr>
      <w:r w:rsidRPr="00506576">
        <w:rPr>
          <w:rFonts w:ascii="Times New Roman" w:hAnsi="Times New Roman"/>
          <w:szCs w:val="22"/>
        </w:rPr>
        <w:t xml:space="preserve">We found that while the specific details of the transactions and tax positions have changed over the years, the government has consistently looked to the same five factors when identifying abuse. It has pointed to the presence of third parties in cases decided as early as 1913 and as late as 1991; to multistep transactions in cases decided as early as 1925 and as late as 1991; to the lack of a business purpose from 1920 through 1991; to </w:t>
      </w:r>
      <w:r w:rsidRPr="00506576">
        <w:rPr>
          <w:rFonts w:ascii="Times New Roman" w:hAnsi="Times New Roman"/>
          <w:szCs w:val="22"/>
        </w:rPr>
        <w:lastRenderedPageBreak/>
        <w:t>accounting irregularities from 1925 through 2011; and to inappropriate refund requests from 1927 through 1991. These findings indicate that the taxpayers have altered the details of their avoidance strategies over the course of the last century, but they have also continually incorporated the same general attributes that have served as signals of abuse since 1913.</w:t>
      </w:r>
    </w:p>
    <w:p w14:paraId="01EA3E92" w14:textId="77777777" w:rsidR="005D260F" w:rsidRPr="00506576" w:rsidRDefault="005D260F" w:rsidP="005D260F">
      <w:pPr>
        <w:pStyle w:val="Document"/>
        <w:ind w:left="3" w:firstLine="437"/>
        <w:rPr>
          <w:rFonts w:ascii="Times New Roman" w:hAnsi="Times New Roman"/>
          <w:szCs w:val="22"/>
        </w:rPr>
      </w:pPr>
      <w:r w:rsidRPr="00506576">
        <w:rPr>
          <w:rFonts w:ascii="Times New Roman" w:hAnsi="Times New Roman"/>
          <w:szCs w:val="22"/>
        </w:rPr>
        <w:t xml:space="preserve">We also examined the Supreme Court’s opinions for purposes of understanding the transformations in precedent and legal analyses. This was necessary because even if the signals of abuse have remained constant, if the Court has updated and transformed its view of the five factors, then the early opinions may have very little relevance for understanding today’s decisionmaking process. Our qualitative investigation, however, indicates that early judicial opinions continue to affect later Courts. Consider </w:t>
      </w:r>
      <w:r w:rsidRPr="00506576">
        <w:rPr>
          <w:rFonts w:ascii="Times New Roman" w:hAnsi="Times New Roman"/>
          <w:i/>
          <w:szCs w:val="22"/>
        </w:rPr>
        <w:t>United States v. Hughes Properties, Inc.</w:t>
      </w:r>
      <w:r w:rsidRPr="00506576">
        <w:rPr>
          <w:rFonts w:ascii="Times New Roman" w:hAnsi="Times New Roman"/>
          <w:szCs w:val="22"/>
        </w:rPr>
        <w:t>, a 1986 case that involved accounting irregularities.</w:t>
      </w:r>
      <w:r w:rsidRPr="00506576">
        <w:rPr>
          <w:rStyle w:val="NoterefInText"/>
        </w:rPr>
        <w:footnoteReference w:id="22"/>
      </w:r>
      <w:r w:rsidRPr="00506576">
        <w:rPr>
          <w:rFonts w:ascii="Times New Roman" w:hAnsi="Times New Roman"/>
          <w:szCs w:val="22"/>
        </w:rPr>
        <w:t xml:space="preserve"> The majority opinion cited to abuse cases decided in 1926, 1930, and 1961 in order to identify the fundamental principles of tax accounting.</w:t>
      </w:r>
      <w:r w:rsidRPr="00506576">
        <w:rPr>
          <w:rStyle w:val="NoterefInText"/>
        </w:rPr>
        <w:footnoteReference w:id="23"/>
      </w:r>
      <w:r w:rsidRPr="00506576">
        <w:rPr>
          <w:rFonts w:ascii="Times New Roman" w:hAnsi="Times New Roman"/>
          <w:szCs w:val="22"/>
        </w:rPr>
        <w:t xml:space="preserve"> In </w:t>
      </w:r>
      <w:r w:rsidRPr="00506576">
        <w:rPr>
          <w:rFonts w:ascii="Times New Roman" w:hAnsi="Times New Roman"/>
          <w:i/>
          <w:szCs w:val="22"/>
        </w:rPr>
        <w:t>United Dominion Industries, Inc. v. United States</w:t>
      </w:r>
      <w:r w:rsidRPr="00506576">
        <w:rPr>
          <w:rFonts w:ascii="Times New Roman" w:hAnsi="Times New Roman"/>
          <w:szCs w:val="22"/>
        </w:rPr>
        <w:t>, a 2001 case in which the government argued that the taxpayer took a tax position that rose to the level of abuse,</w:t>
      </w:r>
      <w:r w:rsidRPr="00506576">
        <w:rPr>
          <w:rStyle w:val="NoterefInText"/>
        </w:rPr>
        <w:footnoteReference w:id="24"/>
      </w:r>
      <w:r w:rsidRPr="00506576">
        <w:rPr>
          <w:rFonts w:ascii="Times New Roman" w:hAnsi="Times New Roman"/>
          <w:szCs w:val="22"/>
        </w:rPr>
        <w:t xml:space="preserve"> the Court also considered early cases such as </w:t>
      </w:r>
      <w:r w:rsidRPr="00506576">
        <w:rPr>
          <w:rFonts w:ascii="Times New Roman" w:hAnsi="Times New Roman"/>
          <w:i/>
          <w:szCs w:val="22"/>
        </w:rPr>
        <w:t xml:space="preserve">Woolford Realty Co. v. Rose </w:t>
      </w:r>
      <w:r w:rsidRPr="00506576">
        <w:rPr>
          <w:rFonts w:ascii="Times New Roman" w:hAnsi="Times New Roman"/>
          <w:szCs w:val="22"/>
        </w:rPr>
        <w:t>(decided in 1932)</w:t>
      </w:r>
      <w:r w:rsidRPr="00506576">
        <w:rPr>
          <w:rStyle w:val="NoterefInText"/>
        </w:rPr>
        <w:footnoteReference w:id="25"/>
      </w:r>
      <w:r w:rsidRPr="00506576">
        <w:rPr>
          <w:rFonts w:ascii="Times New Roman" w:hAnsi="Times New Roman"/>
          <w:szCs w:val="22"/>
        </w:rPr>
        <w:t xml:space="preserve"> and </w:t>
      </w:r>
      <w:r w:rsidRPr="00506576">
        <w:rPr>
          <w:rFonts w:ascii="Times New Roman" w:hAnsi="Times New Roman"/>
          <w:i/>
          <w:szCs w:val="22"/>
        </w:rPr>
        <w:t xml:space="preserve">Libson Shops, Inc. v. Koehler </w:t>
      </w:r>
      <w:r w:rsidRPr="00506576">
        <w:rPr>
          <w:rFonts w:ascii="Times New Roman" w:hAnsi="Times New Roman"/>
          <w:szCs w:val="22"/>
        </w:rPr>
        <w:t>(decided in 1957).</w:t>
      </w:r>
      <w:r w:rsidRPr="00506576">
        <w:rPr>
          <w:rStyle w:val="NoterefInText"/>
        </w:rPr>
        <w:footnoteReference w:id="26"/>
      </w:r>
      <w:r w:rsidRPr="00506576">
        <w:rPr>
          <w:rFonts w:ascii="Times New Roman" w:hAnsi="Times New Roman"/>
          <w:szCs w:val="22"/>
        </w:rPr>
        <w:t xml:space="preserve"> Indeed, one of the cases included in our study, </w:t>
      </w:r>
      <w:r w:rsidRPr="00506576">
        <w:rPr>
          <w:rFonts w:ascii="Times New Roman" w:hAnsi="Times New Roman"/>
          <w:i/>
          <w:szCs w:val="22"/>
        </w:rPr>
        <w:t>North American Oil Consolidated v. Burnet</w:t>
      </w:r>
      <w:r w:rsidRPr="00506576">
        <w:rPr>
          <w:rFonts w:ascii="Times New Roman" w:hAnsi="Times New Roman"/>
          <w:szCs w:val="22"/>
        </w:rPr>
        <w:t>,</w:t>
      </w:r>
      <w:r w:rsidRPr="00506576">
        <w:rPr>
          <w:rStyle w:val="NoterefInText"/>
        </w:rPr>
        <w:footnoteReference w:id="27"/>
      </w:r>
      <w:r w:rsidRPr="00506576">
        <w:rPr>
          <w:rFonts w:ascii="Times New Roman" w:hAnsi="Times New Roman"/>
          <w:i/>
          <w:szCs w:val="22"/>
        </w:rPr>
        <w:t xml:space="preserve"> </w:t>
      </w:r>
      <w:r w:rsidRPr="00506576">
        <w:rPr>
          <w:rFonts w:ascii="Times New Roman" w:hAnsi="Times New Roman"/>
          <w:szCs w:val="22"/>
        </w:rPr>
        <w:t>decided in 1932, has been cited over one hundred times in the post–World War II era, including in numerous Supreme Court corporate tax abuse cases.</w:t>
      </w:r>
      <w:r w:rsidRPr="00506576">
        <w:rPr>
          <w:rStyle w:val="NoterefInText"/>
        </w:rPr>
        <w:footnoteReference w:id="28"/>
      </w:r>
      <w:r w:rsidRPr="00506576">
        <w:rPr>
          <w:rFonts w:ascii="Times New Roman" w:hAnsi="Times New Roman"/>
          <w:szCs w:val="22"/>
        </w:rPr>
        <w:t xml:space="preserve"> </w:t>
      </w:r>
      <w:r w:rsidRPr="00506576">
        <w:rPr>
          <w:rFonts w:ascii="Times New Roman" w:hAnsi="Times New Roman"/>
          <w:b/>
          <w:szCs w:val="22"/>
        </w:rPr>
        <w:tab/>
      </w:r>
      <w:r w:rsidRPr="00506576">
        <w:rPr>
          <w:rFonts w:ascii="Times New Roman" w:hAnsi="Times New Roman"/>
          <w:szCs w:val="22"/>
        </w:rPr>
        <w:t xml:space="preserve"> </w:t>
      </w:r>
    </w:p>
    <w:p w14:paraId="10FC9479" w14:textId="700974E5" w:rsidR="005D260F" w:rsidRPr="00506576" w:rsidRDefault="005D260F" w:rsidP="00222DCD">
      <w:pPr>
        <w:pStyle w:val="Document"/>
        <w:ind w:left="3" w:firstLine="437"/>
        <w:rPr>
          <w:rFonts w:ascii="Times New Roman" w:eastAsia="Calibri" w:hAnsi="Times New Roman"/>
          <w:szCs w:val="22"/>
        </w:rPr>
      </w:pPr>
      <w:r w:rsidRPr="00506576">
        <w:rPr>
          <w:rFonts w:ascii="Times New Roman" w:hAnsi="Times New Roman"/>
          <w:szCs w:val="22"/>
        </w:rPr>
        <w:t xml:space="preserve">The seventy-six judicial opinions addressing corporate tax abuse and issued between the years 1909 and 1945 have generated 9,863 citations—and more than half of these citations occur in the post–World War II era. Our qualitative analysis, in short, leads us to conclude that the corporate tax abuse opinions do not become antiquated, but rather serve as useful precedent for generations. Professor James Eustice noted that </w:t>
      </w:r>
      <w:r w:rsidRPr="00506576">
        <w:rPr>
          <w:rFonts w:ascii="Times New Roman" w:eastAsia="Calibri" w:hAnsi="Times New Roman"/>
          <w:szCs w:val="22"/>
        </w:rPr>
        <w:t>modern corporate tax abuse is “packaged in new and exotic wrappers,”</w:t>
      </w:r>
      <w:bookmarkStart w:id="89" w:name="_Ref208897668"/>
      <w:r w:rsidRPr="00506576">
        <w:rPr>
          <w:rStyle w:val="NoterefInText"/>
        </w:rPr>
        <w:footnoteReference w:id="29"/>
      </w:r>
      <w:bookmarkEnd w:id="89"/>
      <w:r w:rsidRPr="00506576">
        <w:rPr>
          <w:rFonts w:ascii="Times New Roman" w:eastAsia="Calibri" w:hAnsi="Times New Roman"/>
          <w:szCs w:val="22"/>
        </w:rPr>
        <w:t xml:space="preserve"> but its </w:t>
      </w:r>
      <w:r w:rsidRPr="00506576">
        <w:rPr>
          <w:rFonts w:ascii="Times New Roman" w:eastAsia="Calibri" w:hAnsi="Times New Roman"/>
          <w:szCs w:val="22"/>
        </w:rPr>
        <w:lastRenderedPageBreak/>
        <w:t>basic elements are “still the same old, same old thing.”</w:t>
      </w:r>
      <w:bookmarkStart w:id="90" w:name="_Ref315438016"/>
      <w:r w:rsidRPr="00506576">
        <w:rPr>
          <w:rStyle w:val="NoterefInText"/>
        </w:rPr>
        <w:footnoteReference w:id="30"/>
      </w:r>
      <w:bookmarkEnd w:id="90"/>
      <w:r w:rsidRPr="00506576">
        <w:rPr>
          <w:rFonts w:ascii="Times New Roman" w:eastAsia="Calibri" w:hAnsi="Times New Roman"/>
          <w:szCs w:val="22"/>
        </w:rPr>
        <w:t xml:space="preserve"> We would add that the cases also require the same old jurisprudential considerations.</w:t>
      </w:r>
    </w:p>
    <w:p w14:paraId="5775D2E5" w14:textId="0E0461E8" w:rsidR="006919F4" w:rsidRPr="00506576" w:rsidRDefault="002A1D10" w:rsidP="0038208A">
      <w:pPr>
        <w:pStyle w:val="Subhead1"/>
        <w:rPr>
          <w:rFonts w:ascii="Times New Roman" w:hAnsi="Times New Roman"/>
          <w:sz w:val="22"/>
          <w:szCs w:val="22"/>
        </w:rPr>
      </w:pPr>
      <w:bookmarkStart w:id="91" w:name="_Toc319267171"/>
      <w:bookmarkStart w:id="92" w:name="_Toc332272323"/>
      <w:bookmarkStart w:id="93" w:name="_Toc337045534"/>
      <w:bookmarkStart w:id="94" w:name="_Toc338056877"/>
      <w:r w:rsidRPr="00506576">
        <w:rPr>
          <w:rFonts w:ascii="Times New Roman" w:hAnsi="Times New Roman"/>
          <w:sz w:val="22"/>
          <w:szCs w:val="22"/>
        </w:rPr>
        <w:t>III</w:t>
      </w:r>
      <w:r w:rsidR="00937A41" w:rsidRPr="00506576">
        <w:rPr>
          <w:rFonts w:ascii="Times New Roman" w:hAnsi="Times New Roman"/>
          <w:sz w:val="22"/>
          <w:szCs w:val="22"/>
        </w:rPr>
        <w:br/>
      </w:r>
      <w:bookmarkEnd w:id="91"/>
      <w:bookmarkEnd w:id="92"/>
      <w:bookmarkEnd w:id="93"/>
      <w:bookmarkEnd w:id="94"/>
      <w:r w:rsidR="004A0EA8" w:rsidRPr="00506576">
        <w:rPr>
          <w:rFonts w:ascii="Times New Roman" w:hAnsi="Times New Roman"/>
          <w:sz w:val="22"/>
          <w:szCs w:val="22"/>
        </w:rPr>
        <w:t xml:space="preserve">Shams in Other </w:t>
      </w:r>
      <w:r w:rsidR="007D0183">
        <w:rPr>
          <w:rFonts w:ascii="Times New Roman" w:hAnsi="Times New Roman"/>
          <w:sz w:val="22"/>
          <w:szCs w:val="22"/>
        </w:rPr>
        <w:t xml:space="preserve">US </w:t>
      </w:r>
      <w:r w:rsidR="004A0EA8" w:rsidRPr="00506576">
        <w:rPr>
          <w:rFonts w:ascii="Times New Roman" w:hAnsi="Times New Roman"/>
          <w:sz w:val="22"/>
          <w:szCs w:val="22"/>
        </w:rPr>
        <w:t>Legal Contexts</w:t>
      </w:r>
    </w:p>
    <w:p w14:paraId="35E941AA" w14:textId="1F178C90" w:rsidR="008541C7" w:rsidRPr="00506576" w:rsidRDefault="004A0EA8" w:rsidP="004A0EA8">
      <w:pPr>
        <w:pStyle w:val="Document"/>
        <w:ind w:firstLine="0"/>
        <w:rPr>
          <w:rFonts w:ascii="Times New Roman" w:hAnsi="Times New Roman"/>
          <w:szCs w:val="22"/>
        </w:rPr>
      </w:pPr>
      <w:r w:rsidRPr="00506576">
        <w:rPr>
          <w:rFonts w:ascii="Times New Roman" w:hAnsi="Times New Roman"/>
          <w:szCs w:val="22"/>
        </w:rPr>
        <w:tab/>
      </w:r>
      <w:r w:rsidR="00E22F8E">
        <w:rPr>
          <w:rFonts w:ascii="Times New Roman" w:hAnsi="Times New Roman"/>
          <w:szCs w:val="22"/>
        </w:rPr>
        <w:t>This Chapter</w:t>
      </w:r>
      <w:r w:rsidRPr="00506576">
        <w:rPr>
          <w:rFonts w:ascii="Times New Roman" w:hAnsi="Times New Roman"/>
          <w:szCs w:val="22"/>
        </w:rPr>
        <w:t xml:space="preserve"> has investigated </w:t>
      </w:r>
      <w:r w:rsidR="007D0183">
        <w:rPr>
          <w:rFonts w:ascii="Times New Roman" w:hAnsi="Times New Roman"/>
          <w:szCs w:val="22"/>
        </w:rPr>
        <w:t xml:space="preserve">judicial decision making in the context of corporate tax shams, but </w:t>
      </w:r>
      <w:r w:rsidRPr="00506576">
        <w:rPr>
          <w:rFonts w:ascii="Times New Roman" w:hAnsi="Times New Roman"/>
          <w:szCs w:val="22"/>
        </w:rPr>
        <w:t>allegations of sham-like behavior can be found</w:t>
      </w:r>
      <w:r w:rsidR="00222DCD" w:rsidRPr="00506576">
        <w:rPr>
          <w:rFonts w:ascii="Times New Roman" w:hAnsi="Times New Roman"/>
          <w:szCs w:val="22"/>
        </w:rPr>
        <w:t xml:space="preserve"> in many other taxaton</w:t>
      </w:r>
      <w:r w:rsidR="007D0183">
        <w:rPr>
          <w:rFonts w:ascii="Times New Roman" w:hAnsi="Times New Roman"/>
          <w:szCs w:val="22"/>
        </w:rPr>
        <w:t xml:space="preserve"> contexts.  Indeed, sham transactions have emerged </w:t>
      </w:r>
      <w:r w:rsidRPr="00506576">
        <w:rPr>
          <w:rFonts w:ascii="Times New Roman" w:hAnsi="Times New Roman"/>
          <w:szCs w:val="22"/>
        </w:rPr>
        <w:t>across the legal spectrum</w:t>
      </w:r>
      <w:r w:rsidR="007D0183">
        <w:rPr>
          <w:rFonts w:ascii="Times New Roman" w:hAnsi="Times New Roman"/>
          <w:szCs w:val="22"/>
        </w:rPr>
        <w:t>,</w:t>
      </w:r>
      <w:r w:rsidR="00222DCD" w:rsidRPr="00506576">
        <w:rPr>
          <w:rFonts w:ascii="Times New Roman" w:hAnsi="Times New Roman"/>
          <w:szCs w:val="22"/>
        </w:rPr>
        <w:t xml:space="preserve"> </w:t>
      </w:r>
      <w:r w:rsidR="007D0183">
        <w:rPr>
          <w:rFonts w:ascii="Times New Roman" w:hAnsi="Times New Roman"/>
          <w:szCs w:val="22"/>
        </w:rPr>
        <w:t xml:space="preserve">and </w:t>
      </w:r>
      <w:r w:rsidR="00E22F8E">
        <w:rPr>
          <w:rFonts w:ascii="Times New Roman" w:hAnsi="Times New Roman"/>
          <w:szCs w:val="22"/>
        </w:rPr>
        <w:t>US courts have continu</w:t>
      </w:r>
      <w:r w:rsidR="007D0183">
        <w:rPr>
          <w:rFonts w:ascii="Times New Roman" w:hAnsi="Times New Roman"/>
          <w:szCs w:val="22"/>
        </w:rPr>
        <w:t xml:space="preserve">ally grappled with the question of how these transactions—consisentent with the letter of the law but not its purpose—should be treated. </w:t>
      </w:r>
    </w:p>
    <w:p w14:paraId="0A97DA44" w14:textId="0CB045C0" w:rsidR="00412084" w:rsidRPr="00506576" w:rsidRDefault="0047494F" w:rsidP="004A0EA8">
      <w:pPr>
        <w:pStyle w:val="Document"/>
        <w:ind w:firstLine="0"/>
        <w:rPr>
          <w:rFonts w:ascii="Times New Roman" w:hAnsi="Times New Roman"/>
          <w:szCs w:val="22"/>
        </w:rPr>
      </w:pPr>
      <w:r w:rsidRPr="00506576">
        <w:rPr>
          <w:rFonts w:ascii="Times New Roman" w:hAnsi="Times New Roman"/>
          <w:szCs w:val="22"/>
        </w:rPr>
        <w:tab/>
      </w:r>
      <w:r w:rsidR="00ED2ADC" w:rsidRPr="00506576">
        <w:rPr>
          <w:rFonts w:ascii="Times New Roman" w:hAnsi="Times New Roman"/>
          <w:szCs w:val="22"/>
        </w:rPr>
        <w:t xml:space="preserve">The extant </w:t>
      </w:r>
      <w:r w:rsidR="007D0183">
        <w:rPr>
          <w:rFonts w:ascii="Times New Roman" w:hAnsi="Times New Roman"/>
          <w:szCs w:val="22"/>
        </w:rPr>
        <w:t xml:space="preserve">US scholarly </w:t>
      </w:r>
      <w:r w:rsidR="00ED2ADC" w:rsidRPr="00506576">
        <w:rPr>
          <w:rFonts w:ascii="Times New Roman" w:hAnsi="Times New Roman"/>
          <w:szCs w:val="22"/>
        </w:rPr>
        <w:t xml:space="preserve">literature is replete with examples of suspected sham transactions. </w:t>
      </w:r>
      <w:r w:rsidR="0045323C" w:rsidRPr="00506576">
        <w:rPr>
          <w:rFonts w:ascii="Times New Roman" w:hAnsi="Times New Roman"/>
          <w:szCs w:val="22"/>
        </w:rPr>
        <w:t xml:space="preserve"> In the constitutional context</w:t>
      </w:r>
      <w:r w:rsidR="00ED2ADC" w:rsidRPr="00506576">
        <w:rPr>
          <w:rFonts w:ascii="Times New Roman" w:hAnsi="Times New Roman"/>
          <w:szCs w:val="22"/>
        </w:rPr>
        <w:t xml:space="preserve">, public officials have </w:t>
      </w:r>
      <w:r w:rsidR="0045323C" w:rsidRPr="00506576">
        <w:rPr>
          <w:rFonts w:ascii="Times New Roman" w:hAnsi="Times New Roman"/>
          <w:szCs w:val="22"/>
        </w:rPr>
        <w:t>attempted</w:t>
      </w:r>
      <w:r w:rsidR="00ED2ADC" w:rsidRPr="00506576">
        <w:rPr>
          <w:rFonts w:ascii="Times New Roman" w:hAnsi="Times New Roman"/>
          <w:szCs w:val="22"/>
        </w:rPr>
        <w:t xml:space="preserve"> to avoid </w:t>
      </w:r>
      <w:r w:rsidR="00E22F8E">
        <w:rPr>
          <w:rFonts w:ascii="Times New Roman" w:hAnsi="Times New Roman"/>
          <w:szCs w:val="22"/>
        </w:rPr>
        <w:t>Constitutional</w:t>
      </w:r>
      <w:r w:rsidR="005A3089" w:rsidRPr="00506576">
        <w:rPr>
          <w:rFonts w:ascii="Times New Roman" w:hAnsi="Times New Roman"/>
          <w:szCs w:val="22"/>
        </w:rPr>
        <w:t xml:space="preserve"> </w:t>
      </w:r>
      <w:r w:rsidR="00ED2ADC" w:rsidRPr="00506576">
        <w:rPr>
          <w:rFonts w:ascii="Times New Roman" w:hAnsi="Times New Roman"/>
          <w:szCs w:val="22"/>
        </w:rPr>
        <w:t xml:space="preserve">anti-discrimination rules </w:t>
      </w:r>
      <w:r w:rsidR="00173CC2" w:rsidRPr="00506576">
        <w:rPr>
          <w:rFonts w:ascii="Times New Roman" w:hAnsi="Times New Roman"/>
          <w:szCs w:val="22"/>
        </w:rPr>
        <w:t xml:space="preserve">(applicable only to state actors) </w:t>
      </w:r>
      <w:r w:rsidR="00ED2ADC" w:rsidRPr="00506576">
        <w:rPr>
          <w:rFonts w:ascii="Times New Roman" w:hAnsi="Times New Roman"/>
          <w:szCs w:val="22"/>
        </w:rPr>
        <w:t xml:space="preserve">by selling assets, such as state hospitals, </w:t>
      </w:r>
      <w:r w:rsidRPr="00506576">
        <w:rPr>
          <w:rFonts w:ascii="Times New Roman" w:hAnsi="Times New Roman"/>
          <w:szCs w:val="22"/>
        </w:rPr>
        <w:t xml:space="preserve">to </w:t>
      </w:r>
      <w:r w:rsidR="00ED2ADC" w:rsidRPr="00506576">
        <w:rPr>
          <w:rFonts w:ascii="Times New Roman" w:hAnsi="Times New Roman"/>
          <w:szCs w:val="22"/>
        </w:rPr>
        <w:t xml:space="preserve">private entities while </w:t>
      </w:r>
      <w:r w:rsidR="00EA0178" w:rsidRPr="00506576">
        <w:rPr>
          <w:rFonts w:ascii="Times New Roman" w:hAnsi="Times New Roman"/>
          <w:szCs w:val="22"/>
        </w:rPr>
        <w:t xml:space="preserve">apparently </w:t>
      </w:r>
      <w:r w:rsidR="00ED2ADC" w:rsidRPr="00506576">
        <w:rPr>
          <w:rFonts w:ascii="Times New Roman" w:hAnsi="Times New Roman"/>
          <w:szCs w:val="22"/>
        </w:rPr>
        <w:t>still retaining substantive control over properties</w:t>
      </w:r>
      <w:r w:rsidRPr="00506576">
        <w:rPr>
          <w:rFonts w:ascii="Times New Roman" w:hAnsi="Times New Roman"/>
          <w:szCs w:val="22"/>
        </w:rPr>
        <w:t>.</w:t>
      </w:r>
      <w:r w:rsidR="007D0183">
        <w:rPr>
          <w:rStyle w:val="FootnoteReference"/>
          <w:rFonts w:ascii="Times New Roman" w:hAnsi="Times New Roman"/>
          <w:szCs w:val="22"/>
        </w:rPr>
        <w:footnoteReference w:id="31"/>
      </w:r>
      <w:r w:rsidRPr="00506576">
        <w:rPr>
          <w:rFonts w:ascii="Times New Roman" w:hAnsi="Times New Roman"/>
          <w:szCs w:val="22"/>
        </w:rPr>
        <w:t xml:space="preserve">  </w:t>
      </w:r>
      <w:r w:rsidR="00F67056" w:rsidRPr="00506576">
        <w:rPr>
          <w:rFonts w:ascii="Times New Roman" w:hAnsi="Times New Roman"/>
          <w:szCs w:val="22"/>
        </w:rPr>
        <w:t>In</w:t>
      </w:r>
      <w:r w:rsidR="005A3089" w:rsidRPr="00506576">
        <w:rPr>
          <w:rFonts w:ascii="Times New Roman" w:hAnsi="Times New Roman"/>
          <w:szCs w:val="22"/>
        </w:rPr>
        <w:t xml:space="preserve"> </w:t>
      </w:r>
      <w:r w:rsidR="00F67056" w:rsidRPr="00506576">
        <w:rPr>
          <w:rFonts w:ascii="Times New Roman" w:hAnsi="Times New Roman"/>
          <w:szCs w:val="22"/>
        </w:rPr>
        <w:t xml:space="preserve">antitrust </w:t>
      </w:r>
      <w:r w:rsidR="005A3089" w:rsidRPr="00506576">
        <w:rPr>
          <w:rFonts w:ascii="Times New Roman" w:hAnsi="Times New Roman"/>
          <w:szCs w:val="22"/>
        </w:rPr>
        <w:t>disputes</w:t>
      </w:r>
      <w:r w:rsidR="00F67056" w:rsidRPr="00506576">
        <w:rPr>
          <w:rFonts w:ascii="Times New Roman" w:hAnsi="Times New Roman"/>
          <w:szCs w:val="22"/>
        </w:rPr>
        <w:t xml:space="preserve">, courts have considered the problem of “sham litigation”—lawsuits brought </w:t>
      </w:r>
      <w:r w:rsidR="0045323C" w:rsidRPr="00506576">
        <w:rPr>
          <w:rFonts w:ascii="Times New Roman" w:hAnsi="Times New Roman"/>
          <w:szCs w:val="22"/>
        </w:rPr>
        <w:t>so</w:t>
      </w:r>
      <w:r w:rsidR="005A3089" w:rsidRPr="00506576">
        <w:rPr>
          <w:rFonts w:ascii="Times New Roman" w:hAnsi="Times New Roman"/>
          <w:szCs w:val="22"/>
        </w:rPr>
        <w:t>l</w:t>
      </w:r>
      <w:r w:rsidR="0045323C" w:rsidRPr="00506576">
        <w:rPr>
          <w:rFonts w:ascii="Times New Roman" w:hAnsi="Times New Roman"/>
          <w:szCs w:val="22"/>
        </w:rPr>
        <w:t>ely to impose costs upon</w:t>
      </w:r>
      <w:r w:rsidR="00F67056" w:rsidRPr="00506576">
        <w:rPr>
          <w:rFonts w:ascii="Times New Roman" w:hAnsi="Times New Roman"/>
          <w:szCs w:val="22"/>
        </w:rPr>
        <w:t xml:space="preserve"> competitors in order to drive them from the market.</w:t>
      </w:r>
      <w:r w:rsidR="007D0183">
        <w:rPr>
          <w:rStyle w:val="FootnoteReference"/>
          <w:rFonts w:ascii="Times New Roman" w:hAnsi="Times New Roman"/>
          <w:szCs w:val="22"/>
        </w:rPr>
        <w:footnoteReference w:id="32"/>
      </w:r>
      <w:r w:rsidR="00F67056" w:rsidRPr="00506576">
        <w:rPr>
          <w:rFonts w:ascii="Times New Roman" w:hAnsi="Times New Roman"/>
          <w:szCs w:val="22"/>
        </w:rPr>
        <w:t xml:space="preserve">  </w:t>
      </w:r>
      <w:r w:rsidR="00ED2ADC" w:rsidRPr="00506576">
        <w:rPr>
          <w:rFonts w:ascii="Times New Roman" w:hAnsi="Times New Roman"/>
          <w:szCs w:val="22"/>
        </w:rPr>
        <w:t xml:space="preserve">In the </w:t>
      </w:r>
      <w:r w:rsidR="00F67056" w:rsidRPr="00506576">
        <w:rPr>
          <w:rFonts w:ascii="Times New Roman" w:hAnsi="Times New Roman"/>
          <w:szCs w:val="22"/>
        </w:rPr>
        <w:t>trademark context</w:t>
      </w:r>
      <w:r w:rsidR="00ED2ADC" w:rsidRPr="00506576">
        <w:rPr>
          <w:rFonts w:ascii="Times New Roman" w:hAnsi="Times New Roman"/>
          <w:szCs w:val="22"/>
        </w:rPr>
        <w:t xml:space="preserve">, individuals and entities have sought to obtain trademark </w:t>
      </w:r>
      <w:r w:rsidRPr="00506576">
        <w:rPr>
          <w:rFonts w:ascii="Times New Roman" w:hAnsi="Times New Roman"/>
          <w:szCs w:val="22"/>
        </w:rPr>
        <w:t xml:space="preserve">protection </w:t>
      </w:r>
      <w:r w:rsidR="00ED2ADC" w:rsidRPr="00506576">
        <w:rPr>
          <w:rFonts w:ascii="Times New Roman" w:hAnsi="Times New Roman"/>
          <w:szCs w:val="22"/>
        </w:rPr>
        <w:t>by satisfying the “</w:t>
      </w:r>
      <w:r w:rsidRPr="00506576">
        <w:rPr>
          <w:rFonts w:ascii="Times New Roman" w:hAnsi="Times New Roman"/>
          <w:szCs w:val="22"/>
        </w:rPr>
        <w:t>sale of good</w:t>
      </w:r>
      <w:r w:rsidR="00ED2ADC" w:rsidRPr="00506576">
        <w:rPr>
          <w:rFonts w:ascii="Times New Roman" w:hAnsi="Times New Roman"/>
          <w:szCs w:val="22"/>
        </w:rPr>
        <w:t xml:space="preserve"> requirement” by selling the item to a friend, a r</w:t>
      </w:r>
      <w:r w:rsidR="00173CC2" w:rsidRPr="00506576">
        <w:rPr>
          <w:rFonts w:ascii="Times New Roman" w:hAnsi="Times New Roman"/>
          <w:szCs w:val="22"/>
        </w:rPr>
        <w:t>elative, or a controlled compan</w:t>
      </w:r>
      <w:r w:rsidR="00ED2ADC" w:rsidRPr="00506576">
        <w:rPr>
          <w:rFonts w:ascii="Times New Roman" w:hAnsi="Times New Roman"/>
          <w:szCs w:val="22"/>
        </w:rPr>
        <w:t>y</w:t>
      </w:r>
      <w:r w:rsidR="00F67056" w:rsidRPr="00506576">
        <w:rPr>
          <w:rFonts w:ascii="Times New Roman" w:hAnsi="Times New Roman"/>
          <w:szCs w:val="22"/>
        </w:rPr>
        <w:t xml:space="preserve"> rather than to an outside third party in an arm’s length transaction</w:t>
      </w:r>
      <w:r w:rsidR="00EA0178" w:rsidRPr="00506576">
        <w:rPr>
          <w:rFonts w:ascii="Times New Roman" w:hAnsi="Times New Roman"/>
          <w:szCs w:val="22"/>
        </w:rPr>
        <w:t xml:space="preserve"> as the law appear to anticipate</w:t>
      </w:r>
      <w:r w:rsidR="000F00CC" w:rsidRPr="00506576">
        <w:rPr>
          <w:rFonts w:ascii="Times New Roman" w:hAnsi="Times New Roman"/>
          <w:szCs w:val="22"/>
        </w:rPr>
        <w:t>.</w:t>
      </w:r>
      <w:r w:rsidR="007D0183">
        <w:rPr>
          <w:rStyle w:val="FootnoteReference"/>
          <w:rFonts w:ascii="Times New Roman" w:hAnsi="Times New Roman"/>
          <w:szCs w:val="22"/>
        </w:rPr>
        <w:footnoteReference w:id="33"/>
      </w:r>
      <w:r w:rsidR="00E91CC4" w:rsidRPr="00506576">
        <w:rPr>
          <w:rFonts w:ascii="Times New Roman" w:hAnsi="Times New Roman"/>
          <w:szCs w:val="22"/>
        </w:rPr>
        <w:t xml:space="preserve"> </w:t>
      </w:r>
      <w:r w:rsidR="00173CC2" w:rsidRPr="00506576">
        <w:rPr>
          <w:rFonts w:ascii="Times New Roman" w:hAnsi="Times New Roman"/>
          <w:szCs w:val="22"/>
        </w:rPr>
        <w:t xml:space="preserve"> </w:t>
      </w:r>
      <w:r w:rsidR="00ED2ADC" w:rsidRPr="00506576">
        <w:rPr>
          <w:rFonts w:ascii="Times New Roman" w:hAnsi="Times New Roman"/>
          <w:szCs w:val="22"/>
        </w:rPr>
        <w:t>In contract</w:t>
      </w:r>
      <w:r w:rsidR="00173CC2" w:rsidRPr="00506576">
        <w:rPr>
          <w:rFonts w:ascii="Times New Roman" w:hAnsi="Times New Roman"/>
          <w:szCs w:val="22"/>
        </w:rPr>
        <w:t xml:space="preserve"> dispute</w:t>
      </w:r>
      <w:r w:rsidR="00F67056" w:rsidRPr="00506576">
        <w:rPr>
          <w:rFonts w:ascii="Times New Roman" w:hAnsi="Times New Roman"/>
          <w:szCs w:val="22"/>
        </w:rPr>
        <w:t>s</w:t>
      </w:r>
      <w:r w:rsidR="00173CC2" w:rsidRPr="00506576">
        <w:rPr>
          <w:rFonts w:ascii="Times New Roman" w:hAnsi="Times New Roman"/>
          <w:szCs w:val="22"/>
        </w:rPr>
        <w:t xml:space="preserve">, </w:t>
      </w:r>
      <w:r w:rsidR="00F67056" w:rsidRPr="00506576">
        <w:rPr>
          <w:rFonts w:ascii="Times New Roman" w:hAnsi="Times New Roman"/>
          <w:szCs w:val="22"/>
        </w:rPr>
        <w:t xml:space="preserve">companies </w:t>
      </w:r>
      <w:r w:rsidR="00173CC2" w:rsidRPr="00506576">
        <w:rPr>
          <w:rFonts w:ascii="Times New Roman" w:hAnsi="Times New Roman"/>
          <w:szCs w:val="22"/>
        </w:rPr>
        <w:t xml:space="preserve">have sold property to a sister company at a </w:t>
      </w:r>
      <w:r w:rsidR="00F67056" w:rsidRPr="00506576">
        <w:rPr>
          <w:rFonts w:ascii="Times New Roman" w:hAnsi="Times New Roman"/>
          <w:szCs w:val="22"/>
        </w:rPr>
        <w:t xml:space="preserve">ultra </w:t>
      </w:r>
      <w:r w:rsidR="00173CC2" w:rsidRPr="00506576">
        <w:rPr>
          <w:rFonts w:ascii="Times New Roman" w:hAnsi="Times New Roman"/>
          <w:szCs w:val="22"/>
        </w:rPr>
        <w:t>low price</w:t>
      </w:r>
      <w:r w:rsidR="00F67056" w:rsidRPr="00506576">
        <w:rPr>
          <w:rFonts w:ascii="Times New Roman" w:hAnsi="Times New Roman"/>
          <w:szCs w:val="22"/>
        </w:rPr>
        <w:t>s</w:t>
      </w:r>
      <w:r w:rsidR="00173CC2" w:rsidRPr="00506576">
        <w:rPr>
          <w:rFonts w:ascii="Times New Roman" w:hAnsi="Times New Roman"/>
          <w:szCs w:val="22"/>
        </w:rPr>
        <w:t xml:space="preserve"> </w:t>
      </w:r>
      <w:r w:rsidR="004273E9" w:rsidRPr="00506576">
        <w:rPr>
          <w:rFonts w:ascii="Times New Roman" w:hAnsi="Times New Roman"/>
          <w:szCs w:val="22"/>
        </w:rPr>
        <w:t xml:space="preserve">in order to increase </w:t>
      </w:r>
      <w:r w:rsidR="00F67056" w:rsidRPr="00506576">
        <w:rPr>
          <w:rFonts w:ascii="Times New Roman" w:hAnsi="Times New Roman"/>
          <w:szCs w:val="22"/>
        </w:rPr>
        <w:t xml:space="preserve">the observed </w:t>
      </w:r>
      <w:r w:rsidR="004273E9" w:rsidRPr="00506576">
        <w:rPr>
          <w:rFonts w:ascii="Times New Roman" w:hAnsi="Times New Roman"/>
          <w:szCs w:val="22"/>
        </w:rPr>
        <w:t>damages</w:t>
      </w:r>
      <w:r w:rsidR="00173CC2" w:rsidRPr="00506576">
        <w:rPr>
          <w:rFonts w:ascii="Times New Roman" w:hAnsi="Times New Roman"/>
          <w:szCs w:val="22"/>
        </w:rPr>
        <w:t xml:space="preserve"> </w:t>
      </w:r>
      <w:r w:rsidR="00412084" w:rsidRPr="00506576">
        <w:rPr>
          <w:rFonts w:ascii="Times New Roman" w:hAnsi="Times New Roman"/>
          <w:szCs w:val="22"/>
        </w:rPr>
        <w:t>associated</w:t>
      </w:r>
      <w:r w:rsidR="00173CC2" w:rsidRPr="00506576">
        <w:rPr>
          <w:rFonts w:ascii="Times New Roman" w:hAnsi="Times New Roman"/>
          <w:szCs w:val="22"/>
        </w:rPr>
        <w:t xml:space="preserve"> with </w:t>
      </w:r>
      <w:r w:rsidR="0045323C" w:rsidRPr="00506576">
        <w:rPr>
          <w:rFonts w:ascii="Times New Roman" w:hAnsi="Times New Roman"/>
          <w:szCs w:val="22"/>
        </w:rPr>
        <w:t xml:space="preserve">alleged </w:t>
      </w:r>
      <w:r w:rsidR="00173CC2" w:rsidRPr="00506576">
        <w:rPr>
          <w:rFonts w:ascii="Times New Roman" w:hAnsi="Times New Roman"/>
          <w:szCs w:val="22"/>
        </w:rPr>
        <w:t>loss</w:t>
      </w:r>
      <w:r w:rsidR="00EA0178" w:rsidRPr="00506576">
        <w:rPr>
          <w:rFonts w:ascii="Times New Roman" w:hAnsi="Times New Roman"/>
          <w:szCs w:val="22"/>
        </w:rPr>
        <w:t>es</w:t>
      </w:r>
      <w:r w:rsidR="00173CC2" w:rsidRPr="00506576">
        <w:rPr>
          <w:rFonts w:ascii="Times New Roman" w:hAnsi="Times New Roman"/>
          <w:szCs w:val="22"/>
        </w:rPr>
        <w:t xml:space="preserve"> </w:t>
      </w:r>
      <w:r w:rsidR="00EA0178" w:rsidRPr="00506576">
        <w:rPr>
          <w:rFonts w:ascii="Times New Roman" w:hAnsi="Times New Roman"/>
          <w:szCs w:val="22"/>
        </w:rPr>
        <w:t xml:space="preserve">associated </w:t>
      </w:r>
      <w:r w:rsidR="0045323C" w:rsidRPr="00506576">
        <w:rPr>
          <w:rFonts w:ascii="Times New Roman" w:hAnsi="Times New Roman"/>
          <w:szCs w:val="22"/>
        </w:rPr>
        <w:t>with a breach</w:t>
      </w:r>
      <w:r w:rsidR="00EA0178" w:rsidRPr="00506576">
        <w:rPr>
          <w:rFonts w:ascii="Times New Roman" w:hAnsi="Times New Roman"/>
          <w:szCs w:val="22"/>
        </w:rPr>
        <w:t xml:space="preserve"> of contract</w:t>
      </w:r>
      <w:r w:rsidR="004273E9" w:rsidRPr="00506576">
        <w:rPr>
          <w:rFonts w:ascii="Times New Roman" w:hAnsi="Times New Roman"/>
          <w:szCs w:val="22"/>
        </w:rPr>
        <w:t>.</w:t>
      </w:r>
      <w:r w:rsidR="00EE688E">
        <w:rPr>
          <w:rStyle w:val="FootnoteReference"/>
          <w:rFonts w:ascii="Times New Roman" w:hAnsi="Times New Roman"/>
          <w:szCs w:val="22"/>
        </w:rPr>
        <w:footnoteReference w:id="34"/>
      </w:r>
      <w:r w:rsidR="003C65AD" w:rsidRPr="00506576">
        <w:rPr>
          <w:rFonts w:ascii="Times New Roman" w:hAnsi="Times New Roman"/>
          <w:szCs w:val="22"/>
        </w:rPr>
        <w:t xml:space="preserve"> </w:t>
      </w:r>
      <w:r w:rsidR="00173CC2" w:rsidRPr="00506576">
        <w:rPr>
          <w:rFonts w:ascii="Times New Roman" w:hAnsi="Times New Roman"/>
          <w:szCs w:val="22"/>
        </w:rPr>
        <w:t xml:space="preserve"> In the enivornment</w:t>
      </w:r>
      <w:r w:rsidR="00EA0178" w:rsidRPr="00506576">
        <w:rPr>
          <w:rFonts w:ascii="Times New Roman" w:hAnsi="Times New Roman"/>
          <w:szCs w:val="22"/>
        </w:rPr>
        <w:t>al</w:t>
      </w:r>
      <w:r w:rsidR="00173CC2" w:rsidRPr="00506576">
        <w:rPr>
          <w:rFonts w:ascii="Times New Roman" w:hAnsi="Times New Roman"/>
          <w:szCs w:val="22"/>
        </w:rPr>
        <w:t xml:space="preserve"> context, </w:t>
      </w:r>
      <w:r w:rsidR="0045323C" w:rsidRPr="00506576">
        <w:rPr>
          <w:rFonts w:ascii="Times New Roman" w:hAnsi="Times New Roman"/>
          <w:szCs w:val="22"/>
        </w:rPr>
        <w:t>polluted and</w:t>
      </w:r>
      <w:r w:rsidR="00F67056" w:rsidRPr="00506576">
        <w:rPr>
          <w:rFonts w:ascii="Times New Roman" w:hAnsi="Times New Roman"/>
          <w:szCs w:val="22"/>
        </w:rPr>
        <w:t xml:space="preserve"> hazardous </w:t>
      </w:r>
      <w:r w:rsidR="00173CC2" w:rsidRPr="00506576">
        <w:rPr>
          <w:rFonts w:ascii="Times New Roman" w:hAnsi="Times New Roman"/>
          <w:szCs w:val="22"/>
        </w:rPr>
        <w:t xml:space="preserve">properties </w:t>
      </w:r>
      <w:r w:rsidR="00F67056" w:rsidRPr="00506576">
        <w:rPr>
          <w:rFonts w:ascii="Times New Roman" w:hAnsi="Times New Roman"/>
          <w:szCs w:val="22"/>
        </w:rPr>
        <w:t xml:space="preserve">have been sold </w:t>
      </w:r>
      <w:r w:rsidR="00173CC2" w:rsidRPr="00506576">
        <w:rPr>
          <w:rFonts w:ascii="Times New Roman" w:hAnsi="Times New Roman"/>
          <w:szCs w:val="22"/>
        </w:rPr>
        <w:t xml:space="preserve">to </w:t>
      </w:r>
      <w:r w:rsidR="00F67056" w:rsidRPr="00506576">
        <w:rPr>
          <w:rFonts w:ascii="Times New Roman" w:hAnsi="Times New Roman"/>
          <w:szCs w:val="22"/>
        </w:rPr>
        <w:t xml:space="preserve">penniless </w:t>
      </w:r>
      <w:r w:rsidR="0025283E" w:rsidRPr="00506576">
        <w:rPr>
          <w:rFonts w:ascii="Times New Roman" w:hAnsi="Times New Roman"/>
          <w:szCs w:val="22"/>
        </w:rPr>
        <w:t>third person</w:t>
      </w:r>
      <w:r w:rsidR="0045323C" w:rsidRPr="00506576">
        <w:rPr>
          <w:rFonts w:ascii="Times New Roman" w:hAnsi="Times New Roman"/>
          <w:szCs w:val="22"/>
        </w:rPr>
        <w:t>s</w:t>
      </w:r>
      <w:r w:rsidR="0025283E" w:rsidRPr="00506576">
        <w:rPr>
          <w:rFonts w:ascii="Times New Roman" w:hAnsi="Times New Roman"/>
          <w:szCs w:val="22"/>
        </w:rPr>
        <w:t xml:space="preserve"> </w:t>
      </w:r>
      <w:r w:rsidR="00F67056" w:rsidRPr="00506576">
        <w:rPr>
          <w:rFonts w:ascii="Times New Roman" w:hAnsi="Times New Roman"/>
          <w:szCs w:val="22"/>
        </w:rPr>
        <w:t xml:space="preserve">in an effort </w:t>
      </w:r>
      <w:r w:rsidR="0025283E" w:rsidRPr="00506576">
        <w:rPr>
          <w:rFonts w:ascii="Times New Roman" w:hAnsi="Times New Roman"/>
          <w:szCs w:val="22"/>
        </w:rPr>
        <w:t>to avoid environmental regulation</w:t>
      </w:r>
      <w:r w:rsidR="00F67056" w:rsidRPr="00506576">
        <w:rPr>
          <w:rFonts w:ascii="Times New Roman" w:hAnsi="Times New Roman"/>
          <w:szCs w:val="22"/>
        </w:rPr>
        <w:t>s rquireming owners to clean-up the property</w:t>
      </w:r>
      <w:r w:rsidR="0025283E" w:rsidRPr="00506576">
        <w:rPr>
          <w:rFonts w:ascii="Times New Roman" w:hAnsi="Times New Roman"/>
          <w:szCs w:val="22"/>
        </w:rPr>
        <w:t>.</w:t>
      </w:r>
      <w:r w:rsidR="00EE688E">
        <w:rPr>
          <w:rStyle w:val="FootnoteReference"/>
          <w:rFonts w:ascii="Times New Roman" w:hAnsi="Times New Roman"/>
          <w:szCs w:val="22"/>
        </w:rPr>
        <w:footnoteReference w:id="35"/>
      </w:r>
      <w:r w:rsidR="0025283E" w:rsidRPr="00506576">
        <w:rPr>
          <w:rFonts w:ascii="Times New Roman" w:hAnsi="Times New Roman"/>
          <w:szCs w:val="22"/>
        </w:rPr>
        <w:t xml:space="preserve">  </w:t>
      </w:r>
      <w:r w:rsidR="00173CC2" w:rsidRPr="00506576">
        <w:rPr>
          <w:rFonts w:ascii="Times New Roman" w:hAnsi="Times New Roman"/>
          <w:szCs w:val="22"/>
        </w:rPr>
        <w:t xml:space="preserve">In the securities context, companies have </w:t>
      </w:r>
      <w:r w:rsidR="0045323C" w:rsidRPr="00506576">
        <w:rPr>
          <w:rFonts w:ascii="Times New Roman" w:hAnsi="Times New Roman"/>
          <w:szCs w:val="22"/>
        </w:rPr>
        <w:t>attempted to demonstrate profitability by engaging</w:t>
      </w:r>
      <w:r w:rsidR="00173CC2" w:rsidRPr="00506576">
        <w:rPr>
          <w:rFonts w:ascii="Times New Roman" w:hAnsi="Times New Roman"/>
          <w:szCs w:val="22"/>
        </w:rPr>
        <w:t xml:space="preserve"> in i</w:t>
      </w:r>
      <w:r w:rsidR="0025283E" w:rsidRPr="00506576">
        <w:rPr>
          <w:rFonts w:ascii="Times New Roman" w:hAnsi="Times New Roman"/>
          <w:szCs w:val="22"/>
        </w:rPr>
        <w:t xml:space="preserve">ntra-company sales </w:t>
      </w:r>
      <w:r w:rsidR="0045323C" w:rsidRPr="00506576">
        <w:rPr>
          <w:rFonts w:ascii="Times New Roman" w:hAnsi="Times New Roman"/>
          <w:szCs w:val="22"/>
        </w:rPr>
        <w:t xml:space="preserve">in order </w:t>
      </w:r>
      <w:r w:rsidR="0025283E" w:rsidRPr="00506576">
        <w:rPr>
          <w:rFonts w:ascii="Times New Roman" w:hAnsi="Times New Roman"/>
          <w:szCs w:val="22"/>
        </w:rPr>
        <w:t>to increase the recorded revenue from receipt of monies</w:t>
      </w:r>
      <w:r w:rsidR="0045323C" w:rsidRPr="00506576">
        <w:rPr>
          <w:rFonts w:ascii="Times New Roman" w:hAnsi="Times New Roman"/>
          <w:szCs w:val="22"/>
        </w:rPr>
        <w:t>, monies</w:t>
      </w:r>
      <w:r w:rsidR="0025283E" w:rsidRPr="00506576">
        <w:rPr>
          <w:rFonts w:ascii="Times New Roman" w:hAnsi="Times New Roman"/>
          <w:szCs w:val="22"/>
        </w:rPr>
        <w:t xml:space="preserve"> that </w:t>
      </w:r>
      <w:r w:rsidR="0025283E" w:rsidRPr="00506576">
        <w:rPr>
          <w:rFonts w:ascii="Times New Roman" w:hAnsi="Times New Roman"/>
          <w:szCs w:val="22"/>
        </w:rPr>
        <w:lastRenderedPageBreak/>
        <w:t>ulimately came from within the companies own cash reserves.</w:t>
      </w:r>
      <w:r w:rsidR="00EE688E">
        <w:rPr>
          <w:rStyle w:val="FootnoteReference"/>
          <w:rFonts w:ascii="Times New Roman" w:hAnsi="Times New Roman"/>
          <w:szCs w:val="22"/>
        </w:rPr>
        <w:footnoteReference w:id="36"/>
      </w:r>
      <w:r w:rsidR="00EA0178" w:rsidRPr="00506576">
        <w:rPr>
          <w:rFonts w:ascii="Times New Roman" w:hAnsi="Times New Roman"/>
          <w:szCs w:val="22"/>
        </w:rPr>
        <w:t xml:space="preserve">  </w:t>
      </w:r>
      <w:r w:rsidR="00FD433F" w:rsidRPr="00506576">
        <w:rPr>
          <w:rFonts w:ascii="Times New Roman" w:hAnsi="Times New Roman"/>
          <w:szCs w:val="22"/>
        </w:rPr>
        <w:t xml:space="preserve">This list represents just a small sampling of the many examples of sham transactions that occur in the </w:t>
      </w:r>
      <w:r w:rsidR="008541C7" w:rsidRPr="00506576">
        <w:rPr>
          <w:rFonts w:ascii="Times New Roman" w:hAnsi="Times New Roman"/>
          <w:szCs w:val="22"/>
        </w:rPr>
        <w:t>US</w:t>
      </w:r>
      <w:r w:rsidR="00FD433F" w:rsidRPr="00506576">
        <w:rPr>
          <w:rFonts w:ascii="Times New Roman" w:hAnsi="Times New Roman"/>
          <w:szCs w:val="22"/>
        </w:rPr>
        <w:t>.</w:t>
      </w:r>
    </w:p>
    <w:p w14:paraId="21DB9612" w14:textId="3559C5E8" w:rsidR="00FD433F" w:rsidRPr="00506576" w:rsidRDefault="00FD433F" w:rsidP="004A0EA8">
      <w:pPr>
        <w:pStyle w:val="Document"/>
        <w:ind w:firstLine="0"/>
        <w:rPr>
          <w:rFonts w:ascii="Times New Roman" w:hAnsi="Times New Roman"/>
          <w:szCs w:val="22"/>
        </w:rPr>
      </w:pPr>
      <w:r w:rsidRPr="00506576">
        <w:rPr>
          <w:rFonts w:ascii="Times New Roman" w:hAnsi="Times New Roman"/>
          <w:szCs w:val="22"/>
        </w:rPr>
        <w:tab/>
      </w:r>
      <w:r w:rsidR="00E22F8E">
        <w:rPr>
          <w:rFonts w:ascii="Times New Roman" w:hAnsi="Times New Roman"/>
          <w:szCs w:val="22"/>
        </w:rPr>
        <w:t xml:space="preserve">Moreover, just as </w:t>
      </w:r>
      <w:r w:rsidRPr="00506576">
        <w:rPr>
          <w:rFonts w:ascii="Times New Roman" w:hAnsi="Times New Roman"/>
          <w:szCs w:val="22"/>
        </w:rPr>
        <w:t xml:space="preserve">in the </w:t>
      </w:r>
      <w:r w:rsidR="00E22F8E">
        <w:rPr>
          <w:rFonts w:ascii="Times New Roman" w:hAnsi="Times New Roman"/>
          <w:szCs w:val="22"/>
        </w:rPr>
        <w:t xml:space="preserve">corporate </w:t>
      </w:r>
      <w:r w:rsidRPr="00506576">
        <w:rPr>
          <w:rFonts w:ascii="Times New Roman" w:hAnsi="Times New Roman"/>
          <w:szCs w:val="22"/>
        </w:rPr>
        <w:t xml:space="preserve">tax context, these sham transactions are all designed to exploit the letter of the law </w:t>
      </w:r>
      <w:r w:rsidR="00E22F8E">
        <w:rPr>
          <w:rFonts w:ascii="Times New Roman" w:hAnsi="Times New Roman"/>
          <w:szCs w:val="22"/>
        </w:rPr>
        <w:t xml:space="preserve">in order </w:t>
      </w:r>
      <w:r w:rsidRPr="00506576">
        <w:rPr>
          <w:rFonts w:ascii="Times New Roman" w:hAnsi="Times New Roman"/>
          <w:szCs w:val="22"/>
        </w:rPr>
        <w:t>to achieve outcomes that appear at odds with the purpose of the underlying law.</w:t>
      </w:r>
      <w:r w:rsidR="008C764B" w:rsidRPr="00506576">
        <w:rPr>
          <w:rFonts w:ascii="Times New Roman" w:hAnsi="Times New Roman"/>
          <w:szCs w:val="22"/>
        </w:rPr>
        <w:t xml:space="preserve">  </w:t>
      </w:r>
      <w:r w:rsidRPr="00506576">
        <w:rPr>
          <w:rFonts w:ascii="Times New Roman" w:hAnsi="Times New Roman"/>
          <w:szCs w:val="22"/>
        </w:rPr>
        <w:t xml:space="preserve">Throughout history, and in virtually every area of the law, US courts have considered alleged sham transactions and have struggled with how to address them.  More specifically, courts </w:t>
      </w:r>
      <w:r w:rsidR="00E22F8E">
        <w:rPr>
          <w:rFonts w:ascii="Times New Roman" w:hAnsi="Times New Roman"/>
          <w:szCs w:val="22"/>
        </w:rPr>
        <w:t xml:space="preserve">must routinely decide </w:t>
      </w:r>
      <w:r w:rsidRPr="00506576">
        <w:rPr>
          <w:rFonts w:ascii="Times New Roman" w:hAnsi="Times New Roman"/>
          <w:szCs w:val="22"/>
        </w:rPr>
        <w:t xml:space="preserve">whether </w:t>
      </w:r>
      <w:r w:rsidR="00E22F8E">
        <w:rPr>
          <w:rFonts w:ascii="Times New Roman" w:hAnsi="Times New Roman"/>
          <w:szCs w:val="22"/>
        </w:rPr>
        <w:t xml:space="preserve">they should respect </w:t>
      </w:r>
      <w:r w:rsidRPr="00506576">
        <w:rPr>
          <w:rFonts w:ascii="Times New Roman" w:hAnsi="Times New Roman"/>
          <w:szCs w:val="22"/>
        </w:rPr>
        <w:t xml:space="preserve">the </w:t>
      </w:r>
      <w:r w:rsidR="00E22F8E">
        <w:rPr>
          <w:rFonts w:ascii="Times New Roman" w:hAnsi="Times New Roman"/>
          <w:szCs w:val="22"/>
        </w:rPr>
        <w:t xml:space="preserve">transaction </w:t>
      </w:r>
      <w:r w:rsidRPr="00506576">
        <w:rPr>
          <w:rFonts w:ascii="Times New Roman" w:hAnsi="Times New Roman"/>
          <w:szCs w:val="22"/>
        </w:rPr>
        <w:t xml:space="preserve">alleged </w:t>
      </w:r>
      <w:r w:rsidR="00E22F8E">
        <w:rPr>
          <w:rFonts w:ascii="Times New Roman" w:hAnsi="Times New Roman"/>
          <w:szCs w:val="22"/>
        </w:rPr>
        <w:t xml:space="preserve">to be a </w:t>
      </w:r>
      <w:r w:rsidRPr="00506576">
        <w:rPr>
          <w:rFonts w:ascii="Times New Roman" w:hAnsi="Times New Roman"/>
          <w:szCs w:val="22"/>
        </w:rPr>
        <w:t xml:space="preserve">sham </w:t>
      </w:r>
      <w:r w:rsidR="00E22F8E">
        <w:rPr>
          <w:rFonts w:ascii="Times New Roman" w:hAnsi="Times New Roman"/>
          <w:szCs w:val="22"/>
        </w:rPr>
        <w:t xml:space="preserve">or whether they </w:t>
      </w:r>
      <w:r w:rsidRPr="00506576">
        <w:rPr>
          <w:rFonts w:ascii="Times New Roman" w:hAnsi="Times New Roman"/>
          <w:szCs w:val="22"/>
        </w:rPr>
        <w:t xml:space="preserve">should </w:t>
      </w:r>
      <w:r w:rsidR="00E22F8E">
        <w:rPr>
          <w:rFonts w:ascii="Times New Roman" w:hAnsi="Times New Roman"/>
          <w:szCs w:val="22"/>
        </w:rPr>
        <w:t xml:space="preserve">unwind the transaction, thereby </w:t>
      </w:r>
      <w:r w:rsidRPr="00506576">
        <w:rPr>
          <w:rFonts w:ascii="Times New Roman" w:hAnsi="Times New Roman"/>
          <w:szCs w:val="22"/>
        </w:rPr>
        <w:t xml:space="preserve">denying the parties their preferred results. </w:t>
      </w:r>
      <w:r w:rsidR="00E22F8E">
        <w:rPr>
          <w:rFonts w:ascii="Times New Roman" w:hAnsi="Times New Roman"/>
          <w:szCs w:val="22"/>
        </w:rPr>
        <w:t xml:space="preserve"> As </w:t>
      </w:r>
      <w:r w:rsidRPr="00506576">
        <w:rPr>
          <w:rFonts w:ascii="Times New Roman" w:hAnsi="Times New Roman"/>
          <w:szCs w:val="22"/>
        </w:rPr>
        <w:t xml:space="preserve">in </w:t>
      </w:r>
      <w:r w:rsidR="00E22F8E">
        <w:rPr>
          <w:rFonts w:ascii="Times New Roman" w:hAnsi="Times New Roman"/>
          <w:szCs w:val="22"/>
        </w:rPr>
        <w:t xml:space="preserve">the corporate </w:t>
      </w:r>
      <w:r w:rsidRPr="00506576">
        <w:rPr>
          <w:rFonts w:ascii="Times New Roman" w:hAnsi="Times New Roman"/>
          <w:szCs w:val="22"/>
        </w:rPr>
        <w:t xml:space="preserve">tax law, courts have failed to articulate a </w:t>
      </w:r>
      <w:r w:rsidR="00E22F8E">
        <w:rPr>
          <w:rFonts w:ascii="Times New Roman" w:hAnsi="Times New Roman"/>
          <w:szCs w:val="22"/>
        </w:rPr>
        <w:t xml:space="preserve">a clear and </w:t>
      </w:r>
      <w:r w:rsidRPr="00506576">
        <w:rPr>
          <w:rFonts w:ascii="Times New Roman" w:hAnsi="Times New Roman"/>
          <w:szCs w:val="22"/>
        </w:rPr>
        <w:t xml:space="preserve">uniform approach for deciding whether particular arrangements </w:t>
      </w:r>
      <w:r w:rsidR="00E22F8E">
        <w:rPr>
          <w:rFonts w:ascii="Times New Roman" w:hAnsi="Times New Roman"/>
          <w:szCs w:val="22"/>
        </w:rPr>
        <w:t xml:space="preserve">and devices </w:t>
      </w:r>
      <w:r w:rsidRPr="00506576">
        <w:rPr>
          <w:rFonts w:ascii="Times New Roman" w:hAnsi="Times New Roman"/>
          <w:szCs w:val="22"/>
        </w:rPr>
        <w:t xml:space="preserve">are shams.  We leave for another day the question of whether factors similar to those that have affect </w:t>
      </w:r>
      <w:r w:rsidR="00200C81" w:rsidRPr="00506576">
        <w:rPr>
          <w:rFonts w:ascii="Times New Roman" w:hAnsi="Times New Roman"/>
          <w:szCs w:val="22"/>
        </w:rPr>
        <w:t xml:space="preserve">judicial outcomes in corporate tax abuse cases </w:t>
      </w:r>
      <w:r w:rsidR="00CF5750" w:rsidRPr="00506576">
        <w:rPr>
          <w:rFonts w:ascii="Times New Roman" w:hAnsi="Times New Roman"/>
          <w:szCs w:val="22"/>
        </w:rPr>
        <w:t xml:space="preserve">similarly </w:t>
      </w:r>
      <w:r w:rsidR="00200C81" w:rsidRPr="00506576">
        <w:rPr>
          <w:rFonts w:ascii="Times New Roman" w:hAnsi="Times New Roman"/>
          <w:szCs w:val="22"/>
        </w:rPr>
        <w:t xml:space="preserve">influence judges </w:t>
      </w:r>
      <w:r w:rsidR="00E22F8E">
        <w:rPr>
          <w:rFonts w:ascii="Times New Roman" w:hAnsi="Times New Roman"/>
          <w:szCs w:val="22"/>
        </w:rPr>
        <w:t xml:space="preserve">considering </w:t>
      </w:r>
      <w:r w:rsidR="00200C81" w:rsidRPr="00506576">
        <w:rPr>
          <w:rFonts w:ascii="Times New Roman" w:hAnsi="Times New Roman"/>
          <w:szCs w:val="22"/>
        </w:rPr>
        <w:t>sham controversies</w:t>
      </w:r>
      <w:r w:rsidR="00E22F8E">
        <w:rPr>
          <w:rFonts w:ascii="Times New Roman" w:hAnsi="Times New Roman"/>
          <w:szCs w:val="22"/>
        </w:rPr>
        <w:t xml:space="preserve"> in other legal contexts</w:t>
      </w:r>
      <w:r w:rsidR="00200C81" w:rsidRPr="00506576">
        <w:rPr>
          <w:rFonts w:ascii="Times New Roman" w:hAnsi="Times New Roman"/>
          <w:szCs w:val="22"/>
        </w:rPr>
        <w:t>.</w:t>
      </w:r>
    </w:p>
    <w:p w14:paraId="4B8C7423" w14:textId="77777777" w:rsidR="006919F4" w:rsidRPr="00506576" w:rsidRDefault="006919F4" w:rsidP="0038208A">
      <w:pPr>
        <w:pStyle w:val="Subhead1"/>
        <w:rPr>
          <w:rFonts w:ascii="Times New Roman" w:hAnsi="Times New Roman"/>
          <w:sz w:val="22"/>
          <w:szCs w:val="22"/>
        </w:rPr>
      </w:pPr>
      <w:bookmarkStart w:id="95" w:name="_Toc300075043"/>
      <w:bookmarkStart w:id="96" w:name="_Toc319267177"/>
      <w:bookmarkStart w:id="97" w:name="_Toc332272329"/>
      <w:bookmarkStart w:id="98" w:name="_Toc337045540"/>
      <w:bookmarkStart w:id="99" w:name="_Toc338056883"/>
      <w:r w:rsidRPr="00506576">
        <w:rPr>
          <w:rFonts w:ascii="Times New Roman" w:hAnsi="Times New Roman"/>
          <w:sz w:val="22"/>
          <w:szCs w:val="22"/>
        </w:rPr>
        <w:t>Conclusion</w:t>
      </w:r>
      <w:bookmarkEnd w:id="95"/>
      <w:bookmarkEnd w:id="96"/>
      <w:bookmarkEnd w:id="97"/>
      <w:bookmarkEnd w:id="98"/>
      <w:bookmarkEnd w:id="99"/>
    </w:p>
    <w:p w14:paraId="665044DE" w14:textId="745DC5D0" w:rsidR="006919F4" w:rsidRPr="00506576" w:rsidRDefault="00A5308C" w:rsidP="006919F4">
      <w:pPr>
        <w:pStyle w:val="Document"/>
        <w:rPr>
          <w:rFonts w:ascii="Times New Roman" w:hAnsi="Times New Roman"/>
          <w:szCs w:val="22"/>
        </w:rPr>
      </w:pPr>
      <w:r>
        <w:rPr>
          <w:rFonts w:ascii="Times New Roman" w:hAnsi="Times New Roman"/>
          <w:szCs w:val="22"/>
        </w:rPr>
        <w:t xml:space="preserve">Allegations of sham-like behavior </w:t>
      </w:r>
      <w:r w:rsidR="000224A3">
        <w:rPr>
          <w:rFonts w:ascii="Times New Roman" w:hAnsi="Times New Roman"/>
          <w:szCs w:val="22"/>
        </w:rPr>
        <w:t xml:space="preserve">exist in every legal context and in </w:t>
      </w:r>
      <w:r>
        <w:rPr>
          <w:rFonts w:ascii="Times New Roman" w:hAnsi="Times New Roman"/>
          <w:szCs w:val="22"/>
        </w:rPr>
        <w:t xml:space="preserve">jurisdictions </w:t>
      </w:r>
      <w:r w:rsidR="000224A3">
        <w:rPr>
          <w:rFonts w:ascii="Times New Roman" w:hAnsi="Times New Roman"/>
          <w:szCs w:val="22"/>
        </w:rPr>
        <w:t xml:space="preserve">across </w:t>
      </w:r>
      <w:r>
        <w:rPr>
          <w:rFonts w:ascii="Times New Roman" w:hAnsi="Times New Roman"/>
          <w:szCs w:val="22"/>
        </w:rPr>
        <w:t>the world. In this Chapter, we focused on one particular area—coporatate tax shams in the US—and found that the US Supreme Court continually looks to certain factors when determining whether a the taxpayer has engaged in a abuse.  Moreover, and unlike courts in many other coutries, the US Supreme Court decides the majority of the abuse controversies in favor of the government and against the corporation seeking to deploy</w:t>
      </w:r>
      <w:r w:rsidR="006919F4" w:rsidRPr="00506576">
        <w:rPr>
          <w:rFonts w:ascii="Times New Roman" w:hAnsi="Times New Roman"/>
          <w:szCs w:val="22"/>
        </w:rPr>
        <w:t xml:space="preserve"> ingenious strategies </w:t>
      </w:r>
      <w:r>
        <w:rPr>
          <w:rFonts w:ascii="Times New Roman" w:hAnsi="Times New Roman"/>
          <w:szCs w:val="22"/>
        </w:rPr>
        <w:t xml:space="preserve">that </w:t>
      </w:r>
      <w:r w:rsidR="006919F4" w:rsidRPr="00506576">
        <w:rPr>
          <w:rFonts w:ascii="Times New Roman" w:hAnsi="Times New Roman"/>
          <w:szCs w:val="22"/>
        </w:rPr>
        <w:t>adhere to the letter of the law</w:t>
      </w:r>
      <w:r>
        <w:rPr>
          <w:rFonts w:ascii="Times New Roman" w:hAnsi="Times New Roman"/>
          <w:szCs w:val="22"/>
        </w:rPr>
        <w:t xml:space="preserve"> but not its purpose.  In identifying these trends, this study helps to identify when and </w:t>
      </w:r>
      <w:r w:rsidR="006919F4" w:rsidRPr="00506576">
        <w:rPr>
          <w:rFonts w:ascii="Times New Roman" w:hAnsi="Times New Roman"/>
          <w:szCs w:val="22"/>
        </w:rPr>
        <w:t xml:space="preserve">why </w:t>
      </w:r>
      <w:r>
        <w:rPr>
          <w:rFonts w:ascii="Times New Roman" w:hAnsi="Times New Roman"/>
          <w:szCs w:val="22"/>
        </w:rPr>
        <w:t xml:space="preserve">the US </w:t>
      </w:r>
      <w:r w:rsidR="006919F4" w:rsidRPr="00506576">
        <w:rPr>
          <w:rFonts w:ascii="Times New Roman" w:hAnsi="Times New Roman"/>
          <w:szCs w:val="22"/>
        </w:rPr>
        <w:t xml:space="preserve">Supreme Court determines </w:t>
      </w:r>
      <w:r>
        <w:rPr>
          <w:rFonts w:ascii="Times New Roman" w:hAnsi="Times New Roman"/>
          <w:szCs w:val="22"/>
        </w:rPr>
        <w:t xml:space="preserve">that </w:t>
      </w:r>
      <w:r w:rsidR="006919F4" w:rsidRPr="00506576">
        <w:rPr>
          <w:rFonts w:ascii="Times New Roman" w:hAnsi="Times New Roman"/>
          <w:szCs w:val="22"/>
        </w:rPr>
        <w:t>ostensibly legal behavior has shaded into abuse and fraud.</w:t>
      </w:r>
      <w:r w:rsidR="007F58D6" w:rsidRPr="00506576">
        <w:rPr>
          <w:rFonts w:ascii="Times New Roman" w:hAnsi="Times New Roman"/>
          <w:szCs w:val="22"/>
        </w:rPr>
        <w:t xml:space="preserve"> </w:t>
      </w:r>
      <w:r>
        <w:rPr>
          <w:rFonts w:ascii="Times New Roman" w:hAnsi="Times New Roman"/>
          <w:szCs w:val="22"/>
        </w:rPr>
        <w:t xml:space="preserve"> Empirical studies in various other sham contexts might highlight similar heretofor unidentified trends in US judicial decision making, thereby shedding light on an area of the law that has long be plagued with confusion and seemingly erratic outcomes.  In coutries, such as Canada, New Zealand, and Australia, empirical studies of </w:t>
      </w:r>
      <w:r w:rsidR="004E2145">
        <w:rPr>
          <w:rFonts w:ascii="Times New Roman" w:hAnsi="Times New Roman"/>
          <w:szCs w:val="22"/>
        </w:rPr>
        <w:t>alleged sham transactions might illuminate the factors that convince courts to unwind a transaction—in the rare circumstances in which such a decision is rendered.</w:t>
      </w:r>
    </w:p>
    <w:p w14:paraId="306EF6E7" w14:textId="16882306" w:rsidR="006919F4" w:rsidRPr="00506576" w:rsidRDefault="006919F4" w:rsidP="006919F4">
      <w:pPr>
        <w:pStyle w:val="Document"/>
        <w:rPr>
          <w:rFonts w:ascii="Times New Roman" w:hAnsi="Times New Roman"/>
          <w:szCs w:val="22"/>
        </w:rPr>
      </w:pPr>
    </w:p>
    <w:p w14:paraId="2C02D83B" w14:textId="067C134A" w:rsidR="006919F4" w:rsidRPr="00506576" w:rsidRDefault="006919F4" w:rsidP="00324ED5">
      <w:pPr>
        <w:pStyle w:val="Document"/>
        <w:ind w:firstLine="0"/>
        <w:rPr>
          <w:rFonts w:ascii="Times New Roman" w:hAnsi="Times New Roman"/>
          <w:szCs w:val="22"/>
        </w:rPr>
      </w:pPr>
    </w:p>
    <w:p w14:paraId="310176A3" w14:textId="4D85082A" w:rsidR="004A0EA8" w:rsidRPr="00506576" w:rsidRDefault="00CC4876" w:rsidP="004A0EA8">
      <w:pPr>
        <w:pStyle w:val="FootNote"/>
        <w:rPr>
          <w:rFonts w:ascii="Times New Roman" w:hAnsi="Times New Roman"/>
          <w:b/>
          <w:sz w:val="22"/>
          <w:szCs w:val="22"/>
        </w:rPr>
      </w:pPr>
      <w:r w:rsidRPr="00506576">
        <w:rPr>
          <w:rFonts w:ascii="Times New Roman" w:hAnsi="Times New Roman"/>
          <w:sz w:val="22"/>
          <w:szCs w:val="22"/>
        </w:rPr>
        <w:t xml:space="preserve"> </w:t>
      </w:r>
    </w:p>
    <w:p w14:paraId="67E75700" w14:textId="77777777" w:rsidR="004A0EA8" w:rsidRPr="00506576" w:rsidRDefault="004A0EA8" w:rsidP="00324ED5">
      <w:pPr>
        <w:pStyle w:val="Document"/>
        <w:ind w:firstLine="0"/>
        <w:rPr>
          <w:rFonts w:ascii="Times New Roman" w:hAnsi="Times New Roman"/>
          <w:szCs w:val="22"/>
        </w:rPr>
      </w:pPr>
    </w:p>
    <w:sectPr w:rsidR="004A0EA8" w:rsidRPr="00506576" w:rsidSect="00835E0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2779" w:bottom="2520" w:left="2779" w:header="720" w:footer="25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0930" w14:textId="77777777" w:rsidR="00E94A88" w:rsidRDefault="00E94A88">
      <w:r>
        <w:separator/>
      </w:r>
    </w:p>
  </w:endnote>
  <w:endnote w:type="continuationSeparator" w:id="0">
    <w:p w14:paraId="7DC0B2FC" w14:textId="77777777" w:rsidR="00E94A88" w:rsidRDefault="00E9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Te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A6C0" w14:textId="77777777" w:rsidR="00E94A88" w:rsidRDefault="00E94A88" w:rsidP="005065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3A1B50" w14:textId="77777777" w:rsidR="00E94A88" w:rsidRDefault="00E94A88" w:rsidP="00506576">
    <w:pPr>
      <w:spacing w:line="20" w:lineRule="exact"/>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D970" w14:textId="77777777" w:rsidR="00E94A88" w:rsidRPr="00506576" w:rsidRDefault="00E94A88" w:rsidP="00506576">
    <w:pPr>
      <w:pStyle w:val="Footer"/>
      <w:framePr w:wrap="around" w:vAnchor="text" w:hAnchor="margin" w:xAlign="center" w:y="1"/>
      <w:rPr>
        <w:rStyle w:val="PageNumber"/>
        <w:sz w:val="22"/>
        <w:szCs w:val="22"/>
      </w:rPr>
    </w:pPr>
    <w:r w:rsidRPr="00506576">
      <w:rPr>
        <w:rStyle w:val="PageNumber"/>
        <w:sz w:val="22"/>
        <w:szCs w:val="22"/>
      </w:rPr>
      <w:fldChar w:fldCharType="begin"/>
    </w:r>
    <w:r w:rsidRPr="00506576">
      <w:rPr>
        <w:rStyle w:val="PageNumber"/>
        <w:sz w:val="22"/>
        <w:szCs w:val="22"/>
      </w:rPr>
      <w:instrText xml:space="preserve">PAGE  </w:instrText>
    </w:r>
    <w:r w:rsidRPr="00506576">
      <w:rPr>
        <w:rStyle w:val="PageNumber"/>
        <w:sz w:val="22"/>
        <w:szCs w:val="22"/>
      </w:rPr>
      <w:fldChar w:fldCharType="separate"/>
    </w:r>
    <w:r w:rsidR="00B77928">
      <w:rPr>
        <w:rStyle w:val="PageNumber"/>
        <w:noProof/>
        <w:sz w:val="22"/>
        <w:szCs w:val="22"/>
      </w:rPr>
      <w:t>1</w:t>
    </w:r>
    <w:r w:rsidRPr="00506576">
      <w:rPr>
        <w:rStyle w:val="PageNumber"/>
        <w:sz w:val="22"/>
        <w:szCs w:val="22"/>
      </w:rPr>
      <w:fldChar w:fldCharType="end"/>
    </w:r>
  </w:p>
  <w:p w14:paraId="51040017" w14:textId="79A30B28" w:rsidR="00E94A88" w:rsidRDefault="00E94A88" w:rsidP="00506576">
    <w:pPr>
      <w:spacing w:line="20" w:lineRule="exact"/>
      <w:ind w:right="360" w:firstLine="360"/>
    </w:pP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77928">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5FF6" w14:textId="24BF54EF" w:rsidR="00E94A88" w:rsidRDefault="00E94A88">
    <w:pPr>
      <w:spacing w:before="260" w:after="120" w:line="170" w:lineRule="exact"/>
      <w:jc w:val="center"/>
      <w:rPr>
        <w:rFonts w:ascii="TimesTen" w:hAnsi="TimesTen"/>
        <w:sz w:val="17"/>
      </w:rP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1A9F2" w14:textId="77777777" w:rsidR="00E94A88" w:rsidRPr="006919F4" w:rsidRDefault="00E94A88" w:rsidP="006919F4">
      <w:pPr>
        <w:pStyle w:val="Footer"/>
        <w:pBdr>
          <w:bottom w:val="single" w:sz="6" w:space="0" w:color="auto"/>
        </w:pBdr>
        <w:spacing w:after="80"/>
      </w:pPr>
    </w:p>
  </w:footnote>
  <w:footnote w:type="continuationSeparator" w:id="0">
    <w:p w14:paraId="5202A5D3" w14:textId="77777777" w:rsidR="00E94A88" w:rsidRPr="006919F4" w:rsidRDefault="00E94A88" w:rsidP="006919F4">
      <w:pPr>
        <w:pStyle w:val="Footer"/>
        <w:pBdr>
          <w:bottom w:val="single" w:sz="6" w:space="0" w:color="auto"/>
        </w:pBdr>
        <w:spacing w:after="80"/>
      </w:pPr>
    </w:p>
  </w:footnote>
  <w:footnote w:id="1">
    <w:p w14:paraId="4C2B6957" w14:textId="75A41199" w:rsidR="00E94A88" w:rsidRPr="00095EC4" w:rsidRDefault="00E94A88" w:rsidP="00466B53">
      <w:pPr>
        <w:pStyle w:val="FootNote"/>
        <w:spacing w:line="240" w:lineRule="auto"/>
        <w:rPr>
          <w:rFonts w:ascii="Times New Roman" w:hAnsi="Times New Roman"/>
          <w:szCs w:val="17"/>
        </w:rPr>
      </w:pPr>
      <w:r>
        <w:tab/>
      </w:r>
      <w:r w:rsidRPr="00095EC4">
        <w:rPr>
          <w:rFonts w:ascii="Times New Roman" w:hAnsi="Times New Roman"/>
          <w:szCs w:val="17"/>
        </w:rPr>
        <w:footnoteRef/>
      </w:r>
      <w:r w:rsidRPr="00095EC4">
        <w:rPr>
          <w:rFonts w:ascii="Times New Roman" w:hAnsi="Times New Roman"/>
          <w:szCs w:val="17"/>
        </w:rPr>
        <w:t xml:space="preserve"> </w:t>
      </w:r>
      <w:r w:rsidR="00D205D4">
        <w:rPr>
          <w:rFonts w:ascii="Times New Roman" w:hAnsi="Times New Roman"/>
          <w:szCs w:val="17"/>
        </w:rPr>
        <w:t xml:space="preserve">Nancy Staudt is the Edward G. Lewis Chair in Law and Public Policy and the Academic Director of the Schwarzenegger Institute at USC.  Joshua Blank is a Professor of Tax Practice and Faculty Director of the NYU Graduate Program on Taxation. </w:t>
      </w:r>
      <w:r w:rsidRPr="00095EC4">
        <w:rPr>
          <w:rFonts w:ascii="Times New Roman" w:hAnsi="Times New Roman"/>
          <w:szCs w:val="17"/>
        </w:rPr>
        <w:t xml:space="preserve">This chapter is excerpted with permission from Joshua D. Blank &amp; Nancy Staudt, </w:t>
      </w:r>
      <w:r w:rsidRPr="00095EC4">
        <w:rPr>
          <w:rFonts w:ascii="Times New Roman" w:hAnsi="Times New Roman"/>
          <w:i/>
          <w:szCs w:val="17"/>
        </w:rPr>
        <w:t>Corporate Shams</w:t>
      </w:r>
      <w:r w:rsidRPr="00095EC4">
        <w:rPr>
          <w:rFonts w:ascii="Times New Roman" w:hAnsi="Times New Roman"/>
          <w:szCs w:val="17"/>
        </w:rPr>
        <w:t xml:space="preserve">, 87 </w:t>
      </w:r>
      <w:r w:rsidRPr="00095EC4">
        <w:rPr>
          <w:rFonts w:ascii="Times New Roman" w:hAnsi="Times New Roman"/>
          <w:smallCaps/>
          <w:szCs w:val="17"/>
        </w:rPr>
        <w:t>N.Y.U. L. Rev.</w:t>
      </w:r>
      <w:r w:rsidR="00D205D4">
        <w:rPr>
          <w:rFonts w:ascii="Times New Roman" w:hAnsi="Times New Roman"/>
          <w:szCs w:val="17"/>
        </w:rPr>
        <w:t xml:space="preserve"> 1641</w:t>
      </w:r>
      <w:r w:rsidRPr="00095EC4">
        <w:rPr>
          <w:rFonts w:ascii="Times New Roman" w:hAnsi="Times New Roman"/>
          <w:szCs w:val="17"/>
        </w:rPr>
        <w:t xml:space="preserve"> (2012).</w:t>
      </w:r>
    </w:p>
  </w:footnote>
  <w:footnote w:id="2">
    <w:p w14:paraId="28A97B8A" w14:textId="26FB5297" w:rsidR="00E94A88" w:rsidRPr="00095EC4" w:rsidRDefault="00E94A88">
      <w:pPr>
        <w:pStyle w:val="FootnoteText"/>
        <w:rPr>
          <w:sz w:val="17"/>
          <w:szCs w:val="17"/>
        </w:rPr>
      </w:pPr>
      <w:r w:rsidRPr="00095EC4">
        <w:rPr>
          <w:rStyle w:val="FootnoteReference"/>
          <w:sz w:val="17"/>
          <w:szCs w:val="17"/>
        </w:rPr>
        <w:footnoteRef/>
      </w:r>
      <w:r w:rsidRPr="00095EC4">
        <w:rPr>
          <w:sz w:val="17"/>
          <w:szCs w:val="17"/>
        </w:rPr>
        <w:t xml:space="preserve"> Note, </w:t>
      </w:r>
      <w:r w:rsidRPr="00095EC4">
        <w:rPr>
          <w:i/>
          <w:sz w:val="17"/>
          <w:szCs w:val="17"/>
        </w:rPr>
        <w:t xml:space="preserve">Alienating Sham Marriages For Tougher Immigration Penalties:  Congress Enacts the Marriage Fraud Act, </w:t>
      </w:r>
      <w:r w:rsidRPr="00095EC4">
        <w:rPr>
          <w:sz w:val="17"/>
          <w:szCs w:val="17"/>
        </w:rPr>
        <w:t xml:space="preserve">15 </w:t>
      </w:r>
      <w:proofErr w:type="spellStart"/>
      <w:r w:rsidRPr="00095EC4">
        <w:rPr>
          <w:sz w:val="17"/>
          <w:szCs w:val="17"/>
        </w:rPr>
        <w:t>Pepp</w:t>
      </w:r>
      <w:proofErr w:type="spellEnd"/>
      <w:r w:rsidRPr="00095EC4">
        <w:rPr>
          <w:sz w:val="17"/>
          <w:szCs w:val="17"/>
        </w:rPr>
        <w:t xml:space="preserve">. </w:t>
      </w:r>
      <w:proofErr w:type="spellStart"/>
      <w:r w:rsidRPr="00095EC4">
        <w:rPr>
          <w:sz w:val="17"/>
          <w:szCs w:val="17"/>
        </w:rPr>
        <w:t>L.Rev</w:t>
      </w:r>
      <w:proofErr w:type="spellEnd"/>
      <w:r w:rsidRPr="00095EC4">
        <w:rPr>
          <w:sz w:val="17"/>
          <w:szCs w:val="17"/>
        </w:rPr>
        <w:t>. 181 (1987)</w:t>
      </w:r>
    </w:p>
  </w:footnote>
  <w:footnote w:id="3">
    <w:p w14:paraId="3A5A5D83" w14:textId="62F6AA95" w:rsidR="00E94A88" w:rsidRPr="00095EC4" w:rsidRDefault="00E94A88" w:rsidP="009C0E21">
      <w:pPr>
        <w:widowControl w:val="0"/>
        <w:autoSpaceDE w:val="0"/>
        <w:autoSpaceDN w:val="0"/>
        <w:adjustRightInd w:val="0"/>
        <w:rPr>
          <w:color w:val="252525"/>
          <w:sz w:val="17"/>
          <w:szCs w:val="17"/>
        </w:rPr>
      </w:pPr>
      <w:r w:rsidRPr="00095EC4">
        <w:rPr>
          <w:rStyle w:val="FootnoteReference"/>
          <w:sz w:val="17"/>
          <w:szCs w:val="17"/>
        </w:rPr>
        <w:footnoteRef/>
      </w:r>
      <w:r w:rsidRPr="00095EC4">
        <w:rPr>
          <w:sz w:val="17"/>
          <w:szCs w:val="17"/>
        </w:rPr>
        <w:t xml:space="preserve"> Timothy Hall, </w:t>
      </w:r>
      <w:r w:rsidRPr="00095EC4">
        <w:rPr>
          <w:i/>
          <w:color w:val="252525"/>
          <w:sz w:val="17"/>
          <w:szCs w:val="17"/>
        </w:rPr>
        <w:t>Denial of social security retirement benefits to member of family business on ground that retirement was sham designed to qualify for benefits</w:t>
      </w:r>
      <w:r w:rsidRPr="00095EC4">
        <w:rPr>
          <w:color w:val="252525"/>
          <w:sz w:val="17"/>
          <w:szCs w:val="17"/>
        </w:rPr>
        <w:t>, 102 A.L.R. 25 (1991)</w:t>
      </w:r>
    </w:p>
  </w:footnote>
  <w:footnote w:id="4">
    <w:p w14:paraId="5B677149" w14:textId="36B41608" w:rsidR="00E94A88" w:rsidRPr="00095EC4" w:rsidRDefault="00E94A88">
      <w:pPr>
        <w:pStyle w:val="FootnoteText"/>
        <w:rPr>
          <w:sz w:val="17"/>
          <w:szCs w:val="17"/>
        </w:rPr>
      </w:pPr>
      <w:r w:rsidRPr="00095EC4">
        <w:rPr>
          <w:rStyle w:val="FootnoteReference"/>
          <w:sz w:val="17"/>
          <w:szCs w:val="17"/>
        </w:rPr>
        <w:footnoteRef/>
      </w:r>
      <w:r w:rsidRPr="00095EC4">
        <w:rPr>
          <w:sz w:val="17"/>
          <w:szCs w:val="17"/>
        </w:rPr>
        <w:t xml:space="preserve"> </w:t>
      </w:r>
      <w:proofErr w:type="spellStart"/>
      <w:r w:rsidRPr="00095EC4">
        <w:rPr>
          <w:sz w:val="17"/>
          <w:szCs w:val="17"/>
        </w:rPr>
        <w:t>Shu</w:t>
      </w:r>
      <w:proofErr w:type="spellEnd"/>
      <w:r w:rsidRPr="00095EC4">
        <w:rPr>
          <w:sz w:val="17"/>
          <w:szCs w:val="17"/>
        </w:rPr>
        <w:t xml:space="preserve">-Yi </w:t>
      </w:r>
      <w:proofErr w:type="spellStart"/>
      <w:r w:rsidRPr="00095EC4">
        <w:rPr>
          <w:sz w:val="17"/>
          <w:szCs w:val="17"/>
        </w:rPr>
        <w:t>Oei</w:t>
      </w:r>
      <w:proofErr w:type="spellEnd"/>
      <w:r w:rsidRPr="00095EC4">
        <w:rPr>
          <w:sz w:val="17"/>
          <w:szCs w:val="17"/>
        </w:rPr>
        <w:t xml:space="preserve">, </w:t>
      </w:r>
      <w:r w:rsidRPr="00095EC4">
        <w:rPr>
          <w:i/>
          <w:sz w:val="17"/>
          <w:szCs w:val="17"/>
        </w:rPr>
        <w:t xml:space="preserve">Context Matters: The </w:t>
      </w:r>
      <w:proofErr w:type="spellStart"/>
      <w:r w:rsidRPr="00095EC4">
        <w:rPr>
          <w:i/>
          <w:sz w:val="17"/>
          <w:szCs w:val="17"/>
        </w:rPr>
        <w:t>Recharacterization</w:t>
      </w:r>
      <w:proofErr w:type="spellEnd"/>
      <w:r w:rsidRPr="00095EC4">
        <w:rPr>
          <w:i/>
          <w:sz w:val="17"/>
          <w:szCs w:val="17"/>
        </w:rPr>
        <w:t xml:space="preserve"> of Leases in the Bankruptcy and Tax Law, </w:t>
      </w:r>
      <w:r w:rsidRPr="00095EC4">
        <w:rPr>
          <w:sz w:val="17"/>
          <w:szCs w:val="17"/>
        </w:rPr>
        <w:t xml:space="preserve">82 Am. </w:t>
      </w:r>
      <w:proofErr w:type="spellStart"/>
      <w:r w:rsidRPr="00095EC4">
        <w:rPr>
          <w:sz w:val="17"/>
          <w:szCs w:val="17"/>
        </w:rPr>
        <w:t>Bankr</w:t>
      </w:r>
      <w:proofErr w:type="spellEnd"/>
      <w:r w:rsidRPr="00095EC4">
        <w:rPr>
          <w:sz w:val="17"/>
          <w:szCs w:val="17"/>
        </w:rPr>
        <w:t xml:space="preserve">. LJ. </w:t>
      </w:r>
      <w:proofErr w:type="gramStart"/>
      <w:r w:rsidRPr="00095EC4">
        <w:rPr>
          <w:sz w:val="17"/>
          <w:szCs w:val="17"/>
        </w:rPr>
        <w:t>635 (2008).</w:t>
      </w:r>
      <w:proofErr w:type="gramEnd"/>
    </w:p>
  </w:footnote>
  <w:footnote w:id="5">
    <w:p w14:paraId="068B267F" w14:textId="266A2AB6" w:rsidR="00E94A88" w:rsidRPr="00095EC4" w:rsidRDefault="00E94A88" w:rsidP="00095EC4">
      <w:pPr>
        <w:widowControl w:val="0"/>
        <w:autoSpaceDE w:val="0"/>
        <w:autoSpaceDN w:val="0"/>
        <w:adjustRightInd w:val="0"/>
        <w:rPr>
          <w:i/>
          <w:sz w:val="17"/>
          <w:szCs w:val="17"/>
        </w:rPr>
      </w:pPr>
      <w:r w:rsidRPr="00095EC4">
        <w:rPr>
          <w:rStyle w:val="FootnoteReference"/>
          <w:sz w:val="17"/>
          <w:szCs w:val="17"/>
        </w:rPr>
        <w:footnoteRef/>
      </w:r>
      <w:r w:rsidRPr="00095EC4">
        <w:rPr>
          <w:sz w:val="17"/>
          <w:szCs w:val="17"/>
        </w:rPr>
        <w:t xml:space="preserve"> Comment, </w:t>
      </w:r>
      <w:r w:rsidRPr="00095EC4">
        <w:rPr>
          <w:i/>
          <w:color w:val="252525"/>
          <w:sz w:val="17"/>
          <w:szCs w:val="17"/>
        </w:rPr>
        <w:t xml:space="preserve">Defining the “Sham Litigation” Exception to the </w:t>
      </w:r>
      <w:proofErr w:type="spellStart"/>
      <w:r w:rsidRPr="00095EC4">
        <w:rPr>
          <w:i/>
          <w:color w:val="252525"/>
          <w:sz w:val="17"/>
          <w:szCs w:val="17"/>
        </w:rPr>
        <w:t>Noerr</w:t>
      </w:r>
      <w:proofErr w:type="spellEnd"/>
      <w:r w:rsidRPr="00095EC4">
        <w:rPr>
          <w:i/>
          <w:color w:val="252525"/>
          <w:sz w:val="17"/>
          <w:szCs w:val="17"/>
        </w:rPr>
        <w:t xml:space="preserve">-Pennington Antitrust Immunity Doctrine:  An Analysis of the Professional Real Estate Investors v. Columbia Pictures Industries Decision, </w:t>
      </w:r>
      <w:r w:rsidRPr="00095EC4">
        <w:rPr>
          <w:color w:val="252525"/>
          <w:sz w:val="17"/>
          <w:szCs w:val="17"/>
        </w:rPr>
        <w:t>46 Ala. L. Rev. 815 (1995)</w:t>
      </w:r>
      <w:r>
        <w:rPr>
          <w:color w:val="252525"/>
          <w:sz w:val="17"/>
          <w:szCs w:val="17"/>
        </w:rPr>
        <w:t>.</w:t>
      </w:r>
      <w:r w:rsidRPr="00095EC4">
        <w:rPr>
          <w:color w:val="252525"/>
          <w:sz w:val="17"/>
          <w:szCs w:val="17"/>
        </w:rPr>
        <w:t xml:space="preserve"> </w:t>
      </w:r>
    </w:p>
  </w:footnote>
  <w:footnote w:id="6">
    <w:p w14:paraId="0C67F129" w14:textId="28BE81C8" w:rsidR="00E94A88" w:rsidRPr="00095EC4" w:rsidRDefault="00E94A88">
      <w:pPr>
        <w:pStyle w:val="FootnoteText"/>
        <w:rPr>
          <w:i/>
          <w:sz w:val="17"/>
          <w:szCs w:val="17"/>
        </w:rPr>
      </w:pPr>
      <w:r w:rsidRPr="00095EC4">
        <w:rPr>
          <w:rStyle w:val="FootnoteReference"/>
          <w:sz w:val="17"/>
          <w:szCs w:val="17"/>
        </w:rPr>
        <w:footnoteRef/>
      </w:r>
      <w:r w:rsidRPr="00095EC4">
        <w:rPr>
          <w:sz w:val="17"/>
          <w:szCs w:val="17"/>
        </w:rPr>
        <w:t xml:space="preserve"> </w:t>
      </w:r>
      <w:proofErr w:type="gramStart"/>
      <w:r w:rsidRPr="00095EC4">
        <w:rPr>
          <w:sz w:val="17"/>
          <w:szCs w:val="17"/>
        </w:rPr>
        <w:t xml:space="preserve">A.C.L. Davis, </w:t>
      </w:r>
      <w:r w:rsidRPr="00095EC4">
        <w:rPr>
          <w:i/>
          <w:sz w:val="17"/>
          <w:szCs w:val="17"/>
        </w:rPr>
        <w:t xml:space="preserve">Sensible Thinking about Sham Transactions, </w:t>
      </w:r>
      <w:r w:rsidRPr="00095EC4">
        <w:rPr>
          <w:sz w:val="17"/>
          <w:szCs w:val="17"/>
        </w:rPr>
        <w:t xml:space="preserve">38 Indus. L.J. 318 (2009); Miranda Stewart, </w:t>
      </w:r>
      <w:r w:rsidRPr="00095EC4">
        <w:rPr>
          <w:i/>
          <w:sz w:val="17"/>
          <w:szCs w:val="17"/>
        </w:rPr>
        <w:t xml:space="preserve">What is the Point of the Doctrine of Sham, </w:t>
      </w:r>
      <w:r w:rsidRPr="00095EC4">
        <w:rPr>
          <w:sz w:val="17"/>
          <w:szCs w:val="17"/>
        </w:rPr>
        <w:t>[chapter in the book].</w:t>
      </w:r>
      <w:proofErr w:type="gramEnd"/>
      <w:r w:rsidRPr="00095EC4">
        <w:rPr>
          <w:i/>
          <w:sz w:val="17"/>
          <w:szCs w:val="17"/>
        </w:rPr>
        <w:t xml:space="preserve"> </w:t>
      </w:r>
    </w:p>
  </w:footnote>
  <w:footnote w:id="7">
    <w:p w14:paraId="631082D8" w14:textId="77777777" w:rsidR="00E94A88" w:rsidRPr="00095EC4" w:rsidRDefault="00E94A88" w:rsidP="00466B53">
      <w:pPr>
        <w:pStyle w:val="FootNote"/>
        <w:spacing w:line="240" w:lineRule="auto"/>
        <w:rPr>
          <w:rFonts w:ascii="Times New Roman" w:hAnsi="Times New Roman"/>
          <w:b/>
          <w:szCs w:val="17"/>
        </w:rPr>
      </w:pPr>
      <w:r w:rsidRPr="00095EC4">
        <w:rPr>
          <w:rFonts w:ascii="Times New Roman" w:hAnsi="Times New Roman"/>
          <w:szCs w:val="17"/>
        </w:rPr>
        <w:tab/>
      </w:r>
      <w:r w:rsidRPr="000123C1">
        <w:rPr>
          <w:rStyle w:val="NoterefInNote"/>
          <w:rFonts w:ascii="Times New Roman" w:hAnsi="Times New Roman"/>
          <w:sz w:val="17"/>
          <w:szCs w:val="17"/>
          <w:vertAlign w:val="superscript"/>
        </w:rPr>
        <w:footnoteRef/>
      </w:r>
      <w:r w:rsidRPr="00095EC4">
        <w:rPr>
          <w:rFonts w:ascii="Times New Roman" w:hAnsi="Times New Roman"/>
          <w:szCs w:val="17"/>
        </w:rPr>
        <w:tab/>
        <w:t xml:space="preserve"> Kyle D. Logue, </w:t>
      </w:r>
      <w:r w:rsidRPr="00095EC4">
        <w:rPr>
          <w:rFonts w:ascii="Times New Roman" w:hAnsi="Times New Roman"/>
          <w:i/>
          <w:szCs w:val="17"/>
        </w:rPr>
        <w:t>Optimal Tax Compliance and Penalties When the Law Is Uncertain</w:t>
      </w:r>
      <w:r w:rsidRPr="00095EC4">
        <w:rPr>
          <w:rFonts w:ascii="Times New Roman" w:hAnsi="Times New Roman"/>
          <w:szCs w:val="17"/>
        </w:rPr>
        <w:t xml:space="preserve">, 27 </w:t>
      </w:r>
      <w:r w:rsidRPr="00095EC4">
        <w:rPr>
          <w:rFonts w:ascii="Times New Roman" w:hAnsi="Times New Roman"/>
          <w:smallCaps/>
          <w:szCs w:val="17"/>
        </w:rPr>
        <w:t xml:space="preserve">Va. Tax Rev. </w:t>
      </w:r>
      <w:r w:rsidRPr="00095EC4">
        <w:rPr>
          <w:rFonts w:ascii="Times New Roman" w:hAnsi="Times New Roman"/>
          <w:szCs w:val="17"/>
        </w:rPr>
        <w:t xml:space="preserve">241, 251–52 &amp; 252 fig.1 (2007) (presenting a useful continuum of uncertainty in tax abuse cases similar to our Figure 1); Kyle D. Logue, </w:t>
      </w:r>
      <w:r w:rsidRPr="00095EC4">
        <w:rPr>
          <w:rFonts w:ascii="Times New Roman" w:hAnsi="Times New Roman"/>
          <w:i/>
          <w:szCs w:val="17"/>
        </w:rPr>
        <w:t xml:space="preserve">Tax Law Uncertainty and the Role of Tax Insurance, </w:t>
      </w:r>
      <w:r w:rsidRPr="00095EC4">
        <w:rPr>
          <w:rFonts w:ascii="Times New Roman" w:hAnsi="Times New Roman"/>
          <w:szCs w:val="17"/>
        </w:rPr>
        <w:t xml:space="preserve">25 </w:t>
      </w:r>
      <w:r w:rsidRPr="00095EC4">
        <w:rPr>
          <w:rFonts w:ascii="Times New Roman" w:hAnsi="Times New Roman"/>
          <w:smallCaps/>
          <w:szCs w:val="17"/>
        </w:rPr>
        <w:t>Va. Tax Rev.</w:t>
      </w:r>
      <w:r w:rsidRPr="00095EC4">
        <w:rPr>
          <w:rFonts w:ascii="Times New Roman" w:hAnsi="Times New Roman"/>
          <w:szCs w:val="17"/>
        </w:rPr>
        <w:t xml:space="preserve"> 339, 360 fig.1 (2005) (same).</w:t>
      </w:r>
    </w:p>
  </w:footnote>
  <w:footnote w:id="8">
    <w:p w14:paraId="527DF150" w14:textId="77777777" w:rsidR="00E94A88" w:rsidRPr="00095EC4" w:rsidRDefault="00E94A88" w:rsidP="00466B53">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Treas. Reg. § 1.6011-4(e) (as amended in 2007).</w:t>
      </w:r>
    </w:p>
  </w:footnote>
  <w:footnote w:id="9">
    <w:p w14:paraId="446A3A3D" w14:textId="242EF833" w:rsidR="00E94A88" w:rsidRPr="00095EC4" w:rsidRDefault="00E94A88" w:rsidP="00466B53">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w:t>
      </w:r>
      <w:r w:rsidRPr="00095EC4">
        <w:rPr>
          <w:rFonts w:ascii="Times New Roman" w:hAnsi="Times New Roman"/>
          <w:i/>
          <w:szCs w:val="17"/>
        </w:rPr>
        <w:t>See Guidance for Examiners and Managers on the Codified Economic Substance Doctrine and Related Penalties</w:t>
      </w:r>
      <w:r w:rsidRPr="00095EC4">
        <w:rPr>
          <w:rFonts w:ascii="Times New Roman" w:hAnsi="Times New Roman"/>
          <w:szCs w:val="17"/>
        </w:rPr>
        <w:t>, IRS.</w:t>
      </w:r>
      <w:r w:rsidRPr="00095EC4">
        <w:rPr>
          <w:rFonts w:ascii="Times New Roman" w:hAnsi="Times New Roman"/>
          <w:smallCaps/>
          <w:szCs w:val="17"/>
        </w:rPr>
        <w:t>gov</w:t>
      </w:r>
      <w:r w:rsidRPr="00095EC4">
        <w:rPr>
          <w:rFonts w:ascii="Times New Roman" w:hAnsi="Times New Roman"/>
          <w:szCs w:val="17"/>
        </w:rPr>
        <w:t xml:space="preserve">, http://www.irs.gov/Businesses/Guidance-for-Examiners-and-Managers-on-the-Codified-Economic-Substance-Doctrine-and-Related-Penalties (last updated Aug. 4, 2012) [hereinafter </w:t>
      </w:r>
      <w:r w:rsidRPr="00095EC4">
        <w:rPr>
          <w:rFonts w:ascii="Times New Roman" w:hAnsi="Times New Roman"/>
          <w:i/>
          <w:szCs w:val="17"/>
        </w:rPr>
        <w:t>Guidance for Examiners and Managers</w:t>
      </w:r>
      <w:r w:rsidRPr="00095EC4">
        <w:rPr>
          <w:rFonts w:ascii="Times New Roman" w:hAnsi="Times New Roman"/>
          <w:szCs w:val="17"/>
        </w:rPr>
        <w:t>].</w:t>
      </w:r>
    </w:p>
  </w:footnote>
  <w:footnote w:id="10">
    <w:p w14:paraId="31D71137" w14:textId="5B9CB181" w:rsidR="00E94A88" w:rsidRPr="00095EC4" w:rsidRDefault="00E94A88" w:rsidP="00466B53">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M. Carr Ferguson, Senior Counsel, Davis Polk &amp; Wardwell LLP, 2000 Erwin N. Griswold Lecture Before the American College of Tax Counsel: How Will a Court Rule?, </w:t>
      </w:r>
      <w:r w:rsidRPr="00095EC4">
        <w:rPr>
          <w:rFonts w:ascii="Times New Roman" w:hAnsi="Times New Roman"/>
          <w:i/>
          <w:szCs w:val="17"/>
        </w:rPr>
        <w:t>in</w:t>
      </w:r>
      <w:r w:rsidRPr="00095EC4">
        <w:rPr>
          <w:rFonts w:ascii="Times New Roman" w:hAnsi="Times New Roman"/>
          <w:szCs w:val="17"/>
        </w:rPr>
        <w:t xml:space="preserve"> 53 </w:t>
      </w:r>
      <w:r w:rsidRPr="00095EC4">
        <w:rPr>
          <w:rFonts w:ascii="Times New Roman" w:hAnsi="Times New Roman"/>
          <w:smallCaps/>
          <w:szCs w:val="17"/>
        </w:rPr>
        <w:t>Tax Law.</w:t>
      </w:r>
      <w:r w:rsidRPr="00095EC4">
        <w:rPr>
          <w:rFonts w:ascii="Times New Roman" w:hAnsi="Times New Roman"/>
          <w:szCs w:val="17"/>
        </w:rPr>
        <w:t xml:space="preserve"> 721, 730 (2000)..</w:t>
      </w:r>
    </w:p>
  </w:footnote>
  <w:footnote w:id="11">
    <w:p w14:paraId="22BC4798" w14:textId="1CA48097" w:rsidR="00E94A88" w:rsidRPr="00095EC4" w:rsidRDefault="00E94A88" w:rsidP="00466B53">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Peter C. Canellos, </w:t>
      </w:r>
      <w:r w:rsidRPr="00095EC4">
        <w:rPr>
          <w:rFonts w:ascii="Times New Roman" w:hAnsi="Times New Roman"/>
          <w:i/>
          <w:szCs w:val="17"/>
        </w:rPr>
        <w:t>A Tax Practitioner’s Perspective on Substance, Form and Business Purpose in Structuring Business Transactions and in Tax Shelters</w:t>
      </w:r>
      <w:r w:rsidRPr="00095EC4">
        <w:rPr>
          <w:rFonts w:ascii="Times New Roman" w:hAnsi="Times New Roman"/>
          <w:szCs w:val="17"/>
        </w:rPr>
        <w:t xml:space="preserve">, 54 </w:t>
      </w:r>
      <w:r w:rsidRPr="00095EC4">
        <w:rPr>
          <w:rFonts w:ascii="Times New Roman" w:hAnsi="Times New Roman"/>
          <w:smallCaps/>
          <w:szCs w:val="17"/>
        </w:rPr>
        <w:t>SMU L. Rev.</w:t>
      </w:r>
      <w:r w:rsidRPr="00095EC4">
        <w:rPr>
          <w:rFonts w:ascii="Times New Roman" w:hAnsi="Times New Roman"/>
          <w:szCs w:val="17"/>
        </w:rPr>
        <w:t xml:space="preserve"> 47, 53–54 (2001).</w:t>
      </w:r>
    </w:p>
  </w:footnote>
  <w:footnote w:id="12">
    <w:p w14:paraId="484530CD" w14:textId="462B9E3E" w:rsidR="00E94A88" w:rsidRPr="00095EC4" w:rsidRDefault="00E94A88" w:rsidP="00466B53">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Leandra Lederman, </w:t>
      </w:r>
      <w:r w:rsidRPr="00095EC4">
        <w:rPr>
          <w:rFonts w:ascii="Times New Roman" w:hAnsi="Times New Roman"/>
          <w:i/>
          <w:szCs w:val="17"/>
        </w:rPr>
        <w:t>W(h)ither Economic Substance?</w:t>
      </w:r>
      <w:r w:rsidRPr="00095EC4">
        <w:rPr>
          <w:rFonts w:ascii="Times New Roman" w:hAnsi="Times New Roman"/>
          <w:szCs w:val="17"/>
        </w:rPr>
        <w:t xml:space="preserve">, 95 </w:t>
      </w:r>
      <w:r w:rsidRPr="00095EC4">
        <w:rPr>
          <w:rFonts w:ascii="Times New Roman" w:hAnsi="Times New Roman"/>
          <w:smallCaps/>
          <w:szCs w:val="17"/>
        </w:rPr>
        <w:t>Iowa L. Rev.</w:t>
      </w:r>
      <w:r w:rsidRPr="00095EC4">
        <w:rPr>
          <w:rFonts w:ascii="Times New Roman" w:hAnsi="Times New Roman"/>
          <w:szCs w:val="17"/>
        </w:rPr>
        <w:t xml:space="preserve"> 389, 391 (2010) </w:t>
      </w:r>
    </w:p>
  </w:footnote>
  <w:footnote w:id="13">
    <w:p w14:paraId="144D2962" w14:textId="46F2825E" w:rsidR="00E94A88" w:rsidRPr="00095EC4" w:rsidRDefault="00E94A88" w:rsidP="00466B53">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Shannon Weeks McCormack, </w:t>
      </w:r>
      <w:r w:rsidRPr="00095EC4">
        <w:rPr>
          <w:rFonts w:ascii="Times New Roman" w:hAnsi="Times New Roman"/>
          <w:i/>
          <w:szCs w:val="17"/>
        </w:rPr>
        <w:t>Tax Shelters and Statutory Interpretation: A Much Needed Purposive Approach</w:t>
      </w:r>
      <w:r w:rsidRPr="00095EC4">
        <w:rPr>
          <w:rFonts w:ascii="Times New Roman" w:hAnsi="Times New Roman"/>
          <w:szCs w:val="17"/>
        </w:rPr>
        <w:t xml:space="preserve">, 2009 </w:t>
      </w:r>
      <w:r w:rsidRPr="00095EC4">
        <w:rPr>
          <w:rFonts w:ascii="Times New Roman" w:hAnsi="Times New Roman"/>
          <w:smallCaps/>
          <w:szCs w:val="17"/>
        </w:rPr>
        <w:t>U. Ill. L. Rev.</w:t>
      </w:r>
      <w:r w:rsidRPr="00095EC4">
        <w:rPr>
          <w:rFonts w:ascii="Times New Roman" w:hAnsi="Times New Roman"/>
          <w:szCs w:val="17"/>
        </w:rPr>
        <w:t xml:space="preserve"> 697, 715</w:t>
      </w:r>
    </w:p>
  </w:footnote>
  <w:footnote w:id="14">
    <w:p w14:paraId="124A6A69" w14:textId="77777777" w:rsidR="00E94A88" w:rsidRPr="00095EC4" w:rsidRDefault="00E94A88" w:rsidP="00835E07">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Steve A. Dean &amp; Lawrence M. Solan, </w:t>
      </w:r>
      <w:r w:rsidRPr="00095EC4">
        <w:rPr>
          <w:rFonts w:ascii="Times New Roman" w:hAnsi="Times New Roman"/>
          <w:i/>
          <w:szCs w:val="17"/>
        </w:rPr>
        <w:t>Tax Shelters and the Code: Navigating Between Text and Intent</w:t>
      </w:r>
      <w:r w:rsidRPr="00095EC4">
        <w:rPr>
          <w:rFonts w:ascii="Times New Roman" w:hAnsi="Times New Roman"/>
          <w:szCs w:val="17"/>
        </w:rPr>
        <w:t>,</w:t>
      </w:r>
      <w:r w:rsidRPr="00095EC4">
        <w:rPr>
          <w:rFonts w:ascii="Times New Roman" w:hAnsi="Times New Roman"/>
          <w:i/>
          <w:szCs w:val="17"/>
        </w:rPr>
        <w:t xml:space="preserve"> </w:t>
      </w:r>
      <w:r w:rsidRPr="00095EC4">
        <w:rPr>
          <w:rFonts w:ascii="Times New Roman" w:hAnsi="Times New Roman"/>
          <w:szCs w:val="17"/>
        </w:rPr>
        <w:t xml:space="preserve">26 </w:t>
      </w:r>
      <w:r w:rsidRPr="00095EC4">
        <w:rPr>
          <w:rFonts w:ascii="Times New Roman" w:hAnsi="Times New Roman"/>
          <w:smallCaps/>
          <w:szCs w:val="17"/>
        </w:rPr>
        <w:t>Va. Tax Rev.</w:t>
      </w:r>
      <w:r w:rsidRPr="00095EC4">
        <w:rPr>
          <w:rFonts w:ascii="Times New Roman" w:hAnsi="Times New Roman"/>
          <w:szCs w:val="17"/>
        </w:rPr>
        <w:t xml:space="preserve"> 879, 885 (2007). </w:t>
      </w:r>
    </w:p>
  </w:footnote>
  <w:footnote w:id="15">
    <w:p w14:paraId="2EFF512D" w14:textId="66AEE0E4" w:rsidR="00E94A88" w:rsidRPr="00095EC4" w:rsidRDefault="00E94A88" w:rsidP="008B0427">
      <w:pPr>
        <w:pStyle w:val="FootnoteText"/>
        <w:ind w:left="2" w:firstLine="1"/>
        <w:rPr>
          <w:sz w:val="17"/>
          <w:szCs w:val="17"/>
        </w:rPr>
      </w:pPr>
      <w:r w:rsidRPr="00095EC4">
        <w:rPr>
          <w:rStyle w:val="FootnoteReference"/>
          <w:sz w:val="17"/>
          <w:szCs w:val="17"/>
        </w:rPr>
        <w:footnoteRef/>
      </w:r>
      <w:r w:rsidRPr="00095EC4">
        <w:rPr>
          <w:sz w:val="17"/>
          <w:szCs w:val="17"/>
        </w:rPr>
        <w:t xml:space="preserve"> See generally, The Honorable Justice Michael Kirby, Of “Sham” and Other Lessons for Australian Revenue Law, 32 Melbourne U. </w:t>
      </w:r>
      <w:proofErr w:type="spellStart"/>
      <w:r w:rsidRPr="00095EC4">
        <w:rPr>
          <w:sz w:val="17"/>
          <w:szCs w:val="17"/>
        </w:rPr>
        <w:t>L.Rev</w:t>
      </w:r>
      <w:proofErr w:type="spellEnd"/>
      <w:r w:rsidRPr="00095EC4">
        <w:rPr>
          <w:sz w:val="17"/>
          <w:szCs w:val="17"/>
        </w:rPr>
        <w:t xml:space="preserve"> 27 (2008).</w:t>
      </w:r>
    </w:p>
  </w:footnote>
  <w:footnote w:id="16">
    <w:p w14:paraId="0EB0BD4D" w14:textId="3F0C50D6" w:rsidR="00E94A88" w:rsidRPr="00095EC4" w:rsidRDefault="00E94A88" w:rsidP="00466B53">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Marvin A. Chirelstein &amp; Lawrence A. Zelenak, Essay, </w:t>
      </w:r>
      <w:r w:rsidRPr="00095EC4">
        <w:rPr>
          <w:rFonts w:ascii="Times New Roman" w:hAnsi="Times New Roman"/>
          <w:i/>
          <w:szCs w:val="17"/>
        </w:rPr>
        <w:t>Tax Shelters and the Search for a Silver Bullet</w:t>
      </w:r>
      <w:r w:rsidRPr="00095EC4">
        <w:rPr>
          <w:rFonts w:ascii="Times New Roman" w:hAnsi="Times New Roman"/>
          <w:szCs w:val="17"/>
        </w:rPr>
        <w:t xml:space="preserve">, 105 </w:t>
      </w:r>
      <w:r w:rsidRPr="00095EC4">
        <w:rPr>
          <w:rFonts w:ascii="Times New Roman" w:hAnsi="Times New Roman"/>
          <w:smallCaps/>
          <w:szCs w:val="17"/>
        </w:rPr>
        <w:t>Colum. L. Rev.</w:t>
      </w:r>
      <w:r w:rsidRPr="00095EC4">
        <w:rPr>
          <w:rFonts w:ascii="Times New Roman" w:hAnsi="Times New Roman"/>
          <w:szCs w:val="17"/>
        </w:rPr>
        <w:t xml:space="preserve"> 1939 (2005)</w:t>
      </w:r>
    </w:p>
  </w:footnote>
  <w:footnote w:id="17">
    <w:p w14:paraId="0C3E39BA" w14:textId="0E39D88A" w:rsidR="00E94A88" w:rsidRPr="00095EC4" w:rsidRDefault="00E94A88" w:rsidP="005549A0">
      <w:pPr>
        <w:pStyle w:val="FootnoteText"/>
        <w:rPr>
          <w:sz w:val="17"/>
          <w:szCs w:val="17"/>
        </w:rPr>
      </w:pPr>
      <w:r w:rsidRPr="00095EC4">
        <w:rPr>
          <w:rStyle w:val="FootnoteReference"/>
          <w:sz w:val="17"/>
          <w:szCs w:val="17"/>
        </w:rPr>
        <w:footnoteRef/>
      </w:r>
      <w:r w:rsidRPr="00095EC4">
        <w:rPr>
          <w:sz w:val="17"/>
          <w:szCs w:val="17"/>
        </w:rPr>
        <w:t xml:space="preserve"> For a more detailed discussion of model interpretation, see Joshua D. Blank &amp; Nancy Staudt, </w:t>
      </w:r>
      <w:r w:rsidRPr="00095EC4">
        <w:rPr>
          <w:i/>
          <w:sz w:val="17"/>
          <w:szCs w:val="17"/>
        </w:rPr>
        <w:t>Corporate Shams</w:t>
      </w:r>
      <w:r w:rsidRPr="00095EC4">
        <w:rPr>
          <w:sz w:val="17"/>
          <w:szCs w:val="17"/>
        </w:rPr>
        <w:t xml:space="preserve">, 87 </w:t>
      </w:r>
      <w:r w:rsidRPr="00095EC4">
        <w:rPr>
          <w:smallCaps/>
          <w:sz w:val="17"/>
          <w:szCs w:val="17"/>
        </w:rPr>
        <w:t>N.Y.U. L. Rev.</w:t>
      </w:r>
      <w:r w:rsidRPr="00095EC4">
        <w:rPr>
          <w:sz w:val="17"/>
          <w:szCs w:val="17"/>
        </w:rPr>
        <w:t xml:space="preserve"> __ (2012).</w:t>
      </w:r>
    </w:p>
  </w:footnote>
  <w:footnote w:id="18">
    <w:p w14:paraId="03BC1927" w14:textId="49692836" w:rsidR="00E94A88" w:rsidRPr="00095EC4" w:rsidRDefault="00E94A88" w:rsidP="005549A0">
      <w:pPr>
        <w:pStyle w:val="FootnoteText"/>
        <w:rPr>
          <w:sz w:val="17"/>
          <w:szCs w:val="17"/>
        </w:rPr>
      </w:pPr>
      <w:r w:rsidRPr="00095EC4">
        <w:rPr>
          <w:rStyle w:val="FootnoteReference"/>
          <w:sz w:val="17"/>
          <w:szCs w:val="17"/>
        </w:rPr>
        <w:footnoteRef/>
      </w:r>
      <w:r w:rsidRPr="00095EC4">
        <w:rPr>
          <w:sz w:val="17"/>
          <w:szCs w:val="17"/>
        </w:rPr>
        <w:t xml:space="preserve"> Cite the literature that Miranda sent.</w:t>
      </w:r>
    </w:p>
  </w:footnote>
  <w:footnote w:id="19">
    <w:p w14:paraId="3C8DA254"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We were unable to examine all three variables simultaneously due to the small number of cases in our dataset.</w:t>
      </w:r>
    </w:p>
  </w:footnote>
  <w:footnote w:id="20">
    <w:p w14:paraId="46FB4F58" w14:textId="68733BB4" w:rsidR="00E94A88" w:rsidRPr="00095EC4" w:rsidRDefault="00E94A88" w:rsidP="005549A0">
      <w:pPr>
        <w:pStyle w:val="FootnoteText"/>
        <w:ind w:firstLine="1"/>
        <w:rPr>
          <w:sz w:val="17"/>
          <w:szCs w:val="17"/>
        </w:rPr>
      </w:pPr>
      <w:r w:rsidRPr="00095EC4">
        <w:rPr>
          <w:rStyle w:val="FootnoteReference"/>
          <w:sz w:val="17"/>
          <w:szCs w:val="17"/>
        </w:rPr>
        <w:footnoteRef/>
      </w:r>
      <w:r w:rsidRPr="00095EC4">
        <w:rPr>
          <w:sz w:val="17"/>
          <w:szCs w:val="17"/>
        </w:rPr>
        <w:t xml:space="preserve"> </w:t>
      </w:r>
      <w:r w:rsidRPr="00095EC4">
        <w:rPr>
          <w:sz w:val="17"/>
          <w:szCs w:val="17"/>
        </w:rPr>
        <w:tab/>
        <w:t xml:space="preserve">For a more nuanced interpretation of the interaction effects, see Joshua D. Blank &amp; Nancy Staudt, </w:t>
      </w:r>
      <w:r w:rsidRPr="00095EC4">
        <w:rPr>
          <w:i/>
          <w:sz w:val="17"/>
          <w:szCs w:val="17"/>
        </w:rPr>
        <w:t>Corporate Shams</w:t>
      </w:r>
      <w:r w:rsidRPr="00095EC4">
        <w:rPr>
          <w:sz w:val="17"/>
          <w:szCs w:val="17"/>
        </w:rPr>
        <w:t xml:space="preserve">, 87 </w:t>
      </w:r>
      <w:r w:rsidRPr="00095EC4">
        <w:rPr>
          <w:smallCaps/>
          <w:sz w:val="17"/>
          <w:szCs w:val="17"/>
        </w:rPr>
        <w:t>N.Y.U. L. Rev.</w:t>
      </w:r>
      <w:r w:rsidRPr="00095EC4">
        <w:rPr>
          <w:sz w:val="17"/>
          <w:szCs w:val="17"/>
        </w:rPr>
        <w:t xml:space="preserve"> __ (2012).</w:t>
      </w:r>
    </w:p>
  </w:footnote>
  <w:footnote w:id="21">
    <w:p w14:paraId="36E96103" w14:textId="607C007F"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We identified 137 tax abuse cases using the methodology described above.The Supreme Court decided ninety-three of these cases prior to 1950, leaving only forty-four to analyze with our models in the post-1950 era. When we attempted to do this with STATA, we found the model dropped numerous variables and produced unintelligible results.</w:t>
      </w:r>
    </w:p>
  </w:footnote>
  <w:footnote w:id="22">
    <w:p w14:paraId="30584A72"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476 U.S. 593, 595 (1986). </w:t>
      </w:r>
    </w:p>
  </w:footnote>
  <w:footnote w:id="23">
    <w:p w14:paraId="462CC69D" w14:textId="77777777" w:rsidR="00E94A88" w:rsidRPr="00095EC4" w:rsidRDefault="00E94A88" w:rsidP="00835E07">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The Court, for example, cited to </w:t>
      </w:r>
      <w:r w:rsidRPr="00095EC4">
        <w:rPr>
          <w:rFonts w:ascii="Times New Roman" w:hAnsi="Times New Roman"/>
          <w:i/>
          <w:szCs w:val="17"/>
        </w:rPr>
        <w:t>United States v. Anderson</w:t>
      </w:r>
      <w:r w:rsidRPr="00095EC4">
        <w:rPr>
          <w:rFonts w:ascii="Times New Roman" w:hAnsi="Times New Roman"/>
          <w:szCs w:val="17"/>
        </w:rPr>
        <w:t xml:space="preserve">, 269 U.S. 422, 441 (1926); </w:t>
      </w:r>
      <w:r w:rsidRPr="00095EC4">
        <w:rPr>
          <w:rFonts w:ascii="Times New Roman" w:hAnsi="Times New Roman"/>
          <w:i/>
          <w:szCs w:val="17"/>
        </w:rPr>
        <w:t>Lucas v. Kansas City Structural Steel</w:t>
      </w:r>
      <w:r w:rsidRPr="00095EC4">
        <w:rPr>
          <w:rFonts w:ascii="Times New Roman" w:hAnsi="Times New Roman"/>
          <w:szCs w:val="17"/>
        </w:rPr>
        <w:t xml:space="preserve">, 281 U.S. 264, 269 (1930), and also noted </w:t>
      </w:r>
      <w:r w:rsidRPr="00095EC4">
        <w:rPr>
          <w:rFonts w:ascii="Times New Roman" w:hAnsi="Times New Roman"/>
          <w:i/>
          <w:szCs w:val="17"/>
        </w:rPr>
        <w:t>United States v. Consolidated Edison Co. of New York</w:t>
      </w:r>
      <w:r w:rsidRPr="00095EC4">
        <w:rPr>
          <w:rFonts w:ascii="Times New Roman" w:hAnsi="Times New Roman"/>
          <w:szCs w:val="17"/>
        </w:rPr>
        <w:t xml:space="preserve">, 366 U.S. 380, 385 (1961). </w:t>
      </w:r>
      <w:r w:rsidRPr="00095EC4">
        <w:rPr>
          <w:rFonts w:ascii="Times New Roman" w:hAnsi="Times New Roman"/>
          <w:i/>
          <w:szCs w:val="17"/>
        </w:rPr>
        <w:t>Hughes Properties</w:t>
      </w:r>
      <w:r w:rsidRPr="00095EC4">
        <w:rPr>
          <w:rFonts w:ascii="Times New Roman" w:hAnsi="Times New Roman"/>
          <w:szCs w:val="17"/>
        </w:rPr>
        <w:t xml:space="preserve">, 476 U.S. at 600, 603 (1986). </w:t>
      </w:r>
    </w:p>
  </w:footnote>
  <w:footnote w:id="24">
    <w:p w14:paraId="3ECC4EA6"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532 U.S. 822, 837 (2001). </w:t>
      </w:r>
    </w:p>
  </w:footnote>
  <w:footnote w:id="25">
    <w:p w14:paraId="3EF2196F"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w:t>
      </w:r>
      <w:r w:rsidRPr="00095EC4">
        <w:rPr>
          <w:rFonts w:ascii="Times New Roman" w:hAnsi="Times New Roman"/>
          <w:i/>
          <w:szCs w:val="17"/>
        </w:rPr>
        <w:t>Id.</w:t>
      </w:r>
      <w:r w:rsidRPr="00095EC4">
        <w:rPr>
          <w:rFonts w:ascii="Times New Roman" w:hAnsi="Times New Roman"/>
          <w:szCs w:val="17"/>
        </w:rPr>
        <w:t xml:space="preserve"> at 840, 842 (Stevens, J., dissenting) (citing Woolford Realty Co. v. Rose, 286 U.S. 319, 328, 330 (1932)). </w:t>
      </w:r>
    </w:p>
  </w:footnote>
  <w:footnote w:id="26">
    <w:p w14:paraId="68C69D13" w14:textId="77777777" w:rsidR="00E94A88" w:rsidRPr="00095EC4" w:rsidRDefault="00E94A88" w:rsidP="00835E07">
      <w:pPr>
        <w:pStyle w:val="FootNote"/>
        <w:spacing w:line="240" w:lineRule="auto"/>
        <w:rPr>
          <w:rFonts w:ascii="Times New Roman" w:hAnsi="Times New Roman"/>
          <w:b/>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w:t>
      </w:r>
      <w:r w:rsidRPr="00095EC4">
        <w:rPr>
          <w:rFonts w:ascii="Times New Roman" w:hAnsi="Times New Roman"/>
          <w:i/>
          <w:szCs w:val="17"/>
        </w:rPr>
        <w:t>United Dominion</w:t>
      </w:r>
      <w:r w:rsidRPr="00095EC4">
        <w:rPr>
          <w:rFonts w:ascii="Times New Roman" w:hAnsi="Times New Roman"/>
          <w:szCs w:val="17"/>
        </w:rPr>
        <w:t>, 532 U.S. at 825 (citing Lisbon Shops, Inc. v. Koehler, 353 U.S. 382, 386 (1957)).</w:t>
      </w:r>
    </w:p>
  </w:footnote>
  <w:footnote w:id="27">
    <w:p w14:paraId="2684D55E"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286 U.S. 417 (1932). </w:t>
      </w:r>
    </w:p>
  </w:footnote>
  <w:footnote w:id="28">
    <w:p w14:paraId="50FA4D77"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w:t>
      </w:r>
      <w:r w:rsidRPr="00095EC4">
        <w:rPr>
          <w:rFonts w:ascii="Times New Roman" w:hAnsi="Times New Roman"/>
          <w:i/>
          <w:szCs w:val="17"/>
        </w:rPr>
        <w:t>See, e.g.</w:t>
      </w:r>
      <w:r w:rsidRPr="00095EC4">
        <w:rPr>
          <w:rFonts w:ascii="Times New Roman" w:hAnsi="Times New Roman"/>
          <w:szCs w:val="17"/>
        </w:rPr>
        <w:t xml:space="preserve">, Comm’r v. Indianapolis Power &amp; Light Co., 493 U.S. 203, 209 (1990); Am. Auto. Ass’n v. United States, 367 U.S. 687, 700 (1961) (Stewart, J., dissenting). </w:t>
      </w:r>
    </w:p>
  </w:footnote>
  <w:footnote w:id="29">
    <w:p w14:paraId="2D7AB1A9" w14:textId="77777777"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ab/>
        <w:t xml:space="preserve"> James S. Eustice, </w:t>
      </w:r>
      <w:r w:rsidRPr="00095EC4">
        <w:rPr>
          <w:rFonts w:ascii="Times New Roman" w:hAnsi="Times New Roman"/>
          <w:i/>
          <w:szCs w:val="17"/>
        </w:rPr>
        <w:t>Abusive Corporate Tax Shelters:</w:t>
      </w:r>
      <w:r w:rsidRPr="00095EC4">
        <w:rPr>
          <w:rFonts w:ascii="Times New Roman" w:hAnsi="Times New Roman"/>
          <w:szCs w:val="17"/>
        </w:rPr>
        <w:t xml:space="preserve"> </w:t>
      </w:r>
      <w:r w:rsidRPr="00095EC4">
        <w:rPr>
          <w:rFonts w:ascii="Times New Roman" w:hAnsi="Times New Roman"/>
          <w:i/>
          <w:szCs w:val="17"/>
        </w:rPr>
        <w:t>Old “Brine” in New Bottles</w:t>
      </w:r>
      <w:r w:rsidRPr="00095EC4">
        <w:rPr>
          <w:rFonts w:ascii="Times New Roman" w:hAnsi="Times New Roman"/>
          <w:szCs w:val="17"/>
        </w:rPr>
        <w:t xml:space="preserve">, 55 </w:t>
      </w:r>
      <w:r w:rsidRPr="00095EC4">
        <w:rPr>
          <w:rFonts w:ascii="Times New Roman" w:hAnsi="Times New Roman"/>
          <w:smallCaps/>
          <w:szCs w:val="17"/>
        </w:rPr>
        <w:t>Tax L. Rev.</w:t>
      </w:r>
      <w:r w:rsidRPr="00095EC4">
        <w:rPr>
          <w:rFonts w:ascii="Times New Roman" w:hAnsi="Times New Roman"/>
          <w:szCs w:val="17"/>
        </w:rPr>
        <w:t xml:space="preserve"> 135, 172 (2002). </w:t>
      </w:r>
    </w:p>
  </w:footnote>
  <w:footnote w:id="30">
    <w:p w14:paraId="56FE7BA8" w14:textId="5E915BEB" w:rsidR="00E94A88" w:rsidRPr="00095EC4" w:rsidRDefault="00E94A88" w:rsidP="00835E07">
      <w:pPr>
        <w:pStyle w:val="FootNote"/>
        <w:spacing w:line="240" w:lineRule="auto"/>
        <w:rPr>
          <w:rFonts w:ascii="Times New Roman" w:hAnsi="Times New Roman"/>
          <w:szCs w:val="17"/>
        </w:rPr>
      </w:pPr>
      <w:r w:rsidRPr="00095EC4">
        <w:rPr>
          <w:rFonts w:ascii="Times New Roman" w:hAnsi="Times New Roman"/>
          <w:szCs w:val="17"/>
        </w:rPr>
        <w:tab/>
      </w:r>
      <w:r w:rsidRPr="00095EC4">
        <w:rPr>
          <w:rStyle w:val="NoterefInNote"/>
          <w:rFonts w:ascii="Times New Roman" w:hAnsi="Times New Roman"/>
          <w:sz w:val="17"/>
          <w:szCs w:val="17"/>
        </w:rPr>
        <w:footnoteRef/>
      </w:r>
      <w:r w:rsidRPr="00095EC4">
        <w:rPr>
          <w:rFonts w:ascii="Times New Roman" w:hAnsi="Times New Roman"/>
          <w:szCs w:val="17"/>
        </w:rPr>
        <w:t xml:space="preserve"> </w:t>
      </w:r>
      <w:r w:rsidRPr="00095EC4">
        <w:rPr>
          <w:rFonts w:ascii="Times New Roman" w:hAnsi="Times New Roman"/>
          <w:i/>
          <w:szCs w:val="17"/>
        </w:rPr>
        <w:t>Id.</w:t>
      </w:r>
      <w:r w:rsidRPr="00095EC4">
        <w:rPr>
          <w:rFonts w:ascii="Times New Roman" w:hAnsi="Times New Roman"/>
          <w:szCs w:val="17"/>
        </w:rPr>
        <w:t xml:space="preserve"> </w:t>
      </w:r>
    </w:p>
  </w:footnote>
  <w:footnote w:id="31">
    <w:p w14:paraId="15D23528" w14:textId="46255A09" w:rsidR="00E94A88" w:rsidRPr="007D0183" w:rsidRDefault="00E94A88" w:rsidP="007D0183">
      <w:pPr>
        <w:widowControl w:val="0"/>
        <w:autoSpaceDE w:val="0"/>
        <w:autoSpaceDN w:val="0"/>
        <w:adjustRightInd w:val="0"/>
        <w:rPr>
          <w:sz w:val="17"/>
          <w:szCs w:val="17"/>
        </w:rPr>
      </w:pPr>
      <w:r w:rsidRPr="007D0183">
        <w:rPr>
          <w:rStyle w:val="FootnoteReference"/>
          <w:sz w:val="17"/>
          <w:szCs w:val="17"/>
        </w:rPr>
        <w:footnoteRef/>
      </w:r>
      <w:r w:rsidRPr="007D0183">
        <w:rPr>
          <w:sz w:val="17"/>
          <w:szCs w:val="17"/>
        </w:rPr>
        <w:t xml:space="preserve"> </w:t>
      </w:r>
      <w:r>
        <w:rPr>
          <w:iCs/>
          <w:sz w:val="17"/>
          <w:szCs w:val="17"/>
        </w:rPr>
        <w:t xml:space="preserve">Angela M </w:t>
      </w:r>
      <w:proofErr w:type="spellStart"/>
      <w:r>
        <w:rPr>
          <w:iCs/>
          <w:sz w:val="17"/>
          <w:szCs w:val="17"/>
        </w:rPr>
        <w:t>Diveley</w:t>
      </w:r>
      <w:proofErr w:type="spellEnd"/>
      <w:r>
        <w:rPr>
          <w:iCs/>
          <w:sz w:val="17"/>
          <w:szCs w:val="17"/>
        </w:rPr>
        <w:t xml:space="preserve">, </w:t>
      </w:r>
      <w:r>
        <w:rPr>
          <w:i/>
          <w:iCs/>
          <w:sz w:val="17"/>
          <w:szCs w:val="17"/>
        </w:rPr>
        <w:t xml:space="preserve">Clarifying State Action Immunity Under the Anti-Trust Law: FTC v. Phoebe Putney Health System, Inc., </w:t>
      </w:r>
      <w:r w:rsidRPr="007D0183">
        <w:rPr>
          <w:sz w:val="17"/>
          <w:szCs w:val="17"/>
        </w:rPr>
        <w:t xml:space="preserve"> </w:t>
      </w:r>
    </w:p>
  </w:footnote>
  <w:footnote w:id="32">
    <w:p w14:paraId="1192ADC3" w14:textId="0A90A465" w:rsidR="00E94A88" w:rsidRPr="007D0183" w:rsidRDefault="00E94A88">
      <w:pPr>
        <w:pStyle w:val="FootnoteText"/>
        <w:rPr>
          <w:sz w:val="17"/>
          <w:szCs w:val="17"/>
        </w:rPr>
      </w:pPr>
      <w:r w:rsidRPr="007D0183">
        <w:rPr>
          <w:rStyle w:val="FootnoteReference"/>
          <w:sz w:val="17"/>
          <w:szCs w:val="17"/>
        </w:rPr>
        <w:footnoteRef/>
      </w:r>
      <w:r w:rsidRPr="007D0183">
        <w:rPr>
          <w:sz w:val="17"/>
          <w:szCs w:val="17"/>
        </w:rPr>
        <w:t xml:space="preserve"> </w:t>
      </w:r>
      <w:r>
        <w:rPr>
          <w:sz w:val="17"/>
          <w:szCs w:val="17"/>
        </w:rPr>
        <w:t xml:space="preserve"> </w:t>
      </w:r>
      <w:r w:rsidRPr="00095EC4">
        <w:rPr>
          <w:sz w:val="17"/>
          <w:szCs w:val="17"/>
        </w:rPr>
        <w:t xml:space="preserve">Comment, </w:t>
      </w:r>
      <w:r w:rsidRPr="00095EC4">
        <w:rPr>
          <w:i/>
          <w:color w:val="252525"/>
          <w:sz w:val="17"/>
          <w:szCs w:val="17"/>
        </w:rPr>
        <w:t xml:space="preserve">Defining the “Sham Litigation” Exception to the </w:t>
      </w:r>
      <w:proofErr w:type="spellStart"/>
      <w:r w:rsidRPr="00095EC4">
        <w:rPr>
          <w:i/>
          <w:color w:val="252525"/>
          <w:sz w:val="17"/>
          <w:szCs w:val="17"/>
        </w:rPr>
        <w:t>Noerr</w:t>
      </w:r>
      <w:proofErr w:type="spellEnd"/>
      <w:r w:rsidRPr="00095EC4">
        <w:rPr>
          <w:i/>
          <w:color w:val="252525"/>
          <w:sz w:val="17"/>
          <w:szCs w:val="17"/>
        </w:rPr>
        <w:t xml:space="preserve">-Pennington Antitrust Immunity Doctrine:  An Analysis of the Professional Real Estate Investors v. Columbia Pictures Industries Decision, </w:t>
      </w:r>
      <w:r w:rsidRPr="00095EC4">
        <w:rPr>
          <w:color w:val="252525"/>
          <w:sz w:val="17"/>
          <w:szCs w:val="17"/>
        </w:rPr>
        <w:t>46 Ala. L. Rev. 815 (1995)</w:t>
      </w:r>
      <w:r>
        <w:rPr>
          <w:color w:val="252525"/>
          <w:sz w:val="17"/>
          <w:szCs w:val="17"/>
        </w:rPr>
        <w:t>.</w:t>
      </w:r>
    </w:p>
  </w:footnote>
  <w:footnote w:id="33">
    <w:p w14:paraId="4A362999" w14:textId="0D99E948" w:rsidR="00E94A88" w:rsidRPr="00186E0C" w:rsidRDefault="00E94A88" w:rsidP="007D0183">
      <w:pPr>
        <w:widowControl w:val="0"/>
        <w:autoSpaceDE w:val="0"/>
        <w:autoSpaceDN w:val="0"/>
        <w:adjustRightInd w:val="0"/>
        <w:rPr>
          <w:i/>
          <w:sz w:val="17"/>
          <w:szCs w:val="17"/>
        </w:rPr>
      </w:pPr>
      <w:r w:rsidRPr="007D0183">
        <w:rPr>
          <w:rStyle w:val="FootnoteReference"/>
          <w:sz w:val="17"/>
          <w:szCs w:val="17"/>
        </w:rPr>
        <w:footnoteRef/>
      </w:r>
      <w:r w:rsidRPr="007D0183">
        <w:rPr>
          <w:sz w:val="17"/>
          <w:szCs w:val="17"/>
        </w:rPr>
        <w:t xml:space="preserve">  </w:t>
      </w:r>
      <w:r>
        <w:rPr>
          <w:sz w:val="17"/>
          <w:szCs w:val="17"/>
        </w:rPr>
        <w:t xml:space="preserve">Brian G. Gilpin, </w:t>
      </w:r>
      <w:r w:rsidRPr="00186E0C">
        <w:rPr>
          <w:bCs/>
          <w:i/>
          <w:sz w:val="17"/>
          <w:szCs w:val="17"/>
        </w:rPr>
        <w:t>Trademarks in Cyberspace: Fulfilling</w:t>
      </w:r>
      <w:r w:rsidRPr="00186E0C">
        <w:rPr>
          <w:i/>
          <w:sz w:val="17"/>
          <w:szCs w:val="17"/>
        </w:rPr>
        <w:t xml:space="preserve"> </w:t>
      </w:r>
      <w:r w:rsidRPr="00186E0C">
        <w:rPr>
          <w:bCs/>
          <w:i/>
          <w:sz w:val="17"/>
          <w:szCs w:val="17"/>
        </w:rPr>
        <w:t>the "Use" Requirement Through the</w:t>
      </w:r>
    </w:p>
    <w:p w14:paraId="066A2D63" w14:textId="58F77435" w:rsidR="00E94A88" w:rsidRPr="007D0183" w:rsidRDefault="00E94A88" w:rsidP="00186E0C">
      <w:pPr>
        <w:widowControl w:val="0"/>
        <w:autoSpaceDE w:val="0"/>
        <w:autoSpaceDN w:val="0"/>
        <w:adjustRightInd w:val="0"/>
        <w:rPr>
          <w:sz w:val="17"/>
          <w:szCs w:val="17"/>
        </w:rPr>
      </w:pPr>
      <w:proofErr w:type="gramStart"/>
      <w:r w:rsidRPr="00186E0C">
        <w:rPr>
          <w:bCs/>
          <w:i/>
          <w:sz w:val="17"/>
          <w:szCs w:val="17"/>
        </w:rPr>
        <w:t>Internet</w:t>
      </w:r>
      <w:r>
        <w:rPr>
          <w:bCs/>
          <w:i/>
          <w:sz w:val="17"/>
          <w:szCs w:val="17"/>
        </w:rPr>
        <w:t xml:space="preserve">, </w:t>
      </w:r>
      <w:r w:rsidRPr="007D0183">
        <w:rPr>
          <w:sz w:val="17"/>
          <w:szCs w:val="17"/>
        </w:rPr>
        <w:t>78 J. Pat.</w:t>
      </w:r>
      <w:proofErr w:type="gramEnd"/>
      <w:r w:rsidRPr="007D0183">
        <w:rPr>
          <w:sz w:val="17"/>
          <w:szCs w:val="17"/>
        </w:rPr>
        <w:t xml:space="preserve"> &amp; Trademark Off. </w:t>
      </w:r>
      <w:proofErr w:type="spellStart"/>
      <w:r w:rsidRPr="007D0183">
        <w:rPr>
          <w:sz w:val="17"/>
          <w:szCs w:val="17"/>
        </w:rPr>
        <w:t>Soc'y</w:t>
      </w:r>
      <w:proofErr w:type="spellEnd"/>
      <w:r w:rsidRPr="007D0183">
        <w:rPr>
          <w:sz w:val="17"/>
          <w:szCs w:val="17"/>
        </w:rPr>
        <w:t xml:space="preserve"> 830 1996</w:t>
      </w:r>
    </w:p>
  </w:footnote>
  <w:footnote w:id="34">
    <w:p w14:paraId="21783CD6" w14:textId="39F1CD93" w:rsidR="00E94A88" w:rsidRPr="00EE688E" w:rsidRDefault="00E94A88" w:rsidP="00EE688E">
      <w:pPr>
        <w:widowControl w:val="0"/>
        <w:autoSpaceDE w:val="0"/>
        <w:autoSpaceDN w:val="0"/>
        <w:adjustRightInd w:val="0"/>
        <w:rPr>
          <w:i/>
          <w:sz w:val="17"/>
          <w:szCs w:val="17"/>
        </w:rPr>
      </w:pPr>
      <w:r w:rsidRPr="00EE688E">
        <w:rPr>
          <w:rStyle w:val="FootnoteReference"/>
          <w:sz w:val="17"/>
          <w:szCs w:val="17"/>
        </w:rPr>
        <w:footnoteRef/>
      </w:r>
      <w:r w:rsidRPr="00EE688E">
        <w:rPr>
          <w:sz w:val="17"/>
          <w:szCs w:val="17"/>
        </w:rPr>
        <w:t xml:space="preserve"> </w:t>
      </w:r>
      <w:r>
        <w:rPr>
          <w:bCs/>
          <w:sz w:val="17"/>
          <w:szCs w:val="17"/>
        </w:rPr>
        <w:t xml:space="preserve">Comment, </w:t>
      </w:r>
      <w:r>
        <w:rPr>
          <w:bCs/>
          <w:i/>
          <w:sz w:val="17"/>
          <w:szCs w:val="17"/>
        </w:rPr>
        <w:t xml:space="preserve">The Inequitable Interpretation of Reasonable Notification Under Section 2-706(3) of the Uniform Commercial Code, </w:t>
      </w:r>
      <w:r>
        <w:rPr>
          <w:sz w:val="17"/>
          <w:szCs w:val="17"/>
        </w:rPr>
        <w:t>1989 Wis. L. Rev. 199 (1989).</w:t>
      </w:r>
    </w:p>
  </w:footnote>
  <w:footnote w:id="35">
    <w:p w14:paraId="6432C189" w14:textId="5C3C5B3D" w:rsidR="00E94A88" w:rsidRPr="00EE688E" w:rsidRDefault="00E94A88" w:rsidP="00EE688E">
      <w:pPr>
        <w:widowControl w:val="0"/>
        <w:autoSpaceDE w:val="0"/>
        <w:autoSpaceDN w:val="0"/>
        <w:adjustRightInd w:val="0"/>
        <w:rPr>
          <w:rFonts w:ascii="Helvetica" w:hAnsi="Helvetica" w:cs="Helvetica"/>
        </w:rPr>
      </w:pPr>
      <w:r w:rsidRPr="00EE688E">
        <w:rPr>
          <w:rStyle w:val="FootnoteReference"/>
          <w:sz w:val="17"/>
          <w:szCs w:val="17"/>
        </w:rPr>
        <w:footnoteRef/>
      </w:r>
      <w:r w:rsidRPr="00EE688E">
        <w:rPr>
          <w:sz w:val="17"/>
          <w:szCs w:val="17"/>
        </w:rPr>
        <w:t xml:space="preserve"> </w:t>
      </w:r>
      <w:r>
        <w:rPr>
          <w:sz w:val="17"/>
          <w:szCs w:val="17"/>
        </w:rPr>
        <w:t xml:space="preserve"> </w:t>
      </w:r>
      <w:r w:rsidRPr="00EE688E">
        <w:rPr>
          <w:sz w:val="17"/>
          <w:szCs w:val="17"/>
        </w:rPr>
        <w:t xml:space="preserve">Christine A. Yost, </w:t>
      </w:r>
      <w:r w:rsidRPr="00EE688E">
        <w:rPr>
          <w:i/>
          <w:sz w:val="17"/>
          <w:szCs w:val="17"/>
        </w:rPr>
        <w:t>Liability Under CERCLA § 9601(35)(C) for Immed</w:t>
      </w:r>
      <w:r>
        <w:rPr>
          <w:i/>
          <w:sz w:val="17"/>
          <w:szCs w:val="17"/>
        </w:rPr>
        <w:t>i</w:t>
      </w:r>
      <w:r w:rsidRPr="00EE688E">
        <w:rPr>
          <w:i/>
          <w:sz w:val="17"/>
          <w:szCs w:val="17"/>
        </w:rPr>
        <w:t>ate Landowners Who Discover Contamination, Do Not Disclose, and Sell to Innocent Buyers</w:t>
      </w:r>
      <w:r w:rsidRPr="00EE688E">
        <w:rPr>
          <w:sz w:val="17"/>
          <w:szCs w:val="17"/>
        </w:rPr>
        <w:t xml:space="preserve">, 35 B.C. </w:t>
      </w:r>
      <w:proofErr w:type="spellStart"/>
      <w:r w:rsidRPr="00EE688E">
        <w:rPr>
          <w:sz w:val="17"/>
          <w:szCs w:val="17"/>
        </w:rPr>
        <w:t>Envtl</w:t>
      </w:r>
      <w:proofErr w:type="spellEnd"/>
      <w:r w:rsidRPr="00EE688E">
        <w:rPr>
          <w:sz w:val="17"/>
          <w:szCs w:val="17"/>
        </w:rPr>
        <w:t xml:space="preserve">. </w:t>
      </w:r>
      <w:proofErr w:type="spellStart"/>
      <w:r w:rsidRPr="00EE688E">
        <w:rPr>
          <w:sz w:val="17"/>
          <w:szCs w:val="17"/>
        </w:rPr>
        <w:t>Aff</w:t>
      </w:r>
      <w:proofErr w:type="spellEnd"/>
      <w:r w:rsidRPr="00EE688E">
        <w:rPr>
          <w:sz w:val="17"/>
          <w:szCs w:val="17"/>
        </w:rPr>
        <w:t>. L</w:t>
      </w:r>
      <w:r>
        <w:rPr>
          <w:sz w:val="17"/>
          <w:szCs w:val="17"/>
        </w:rPr>
        <w:t>. Rev. 141 (2008).</w:t>
      </w:r>
    </w:p>
  </w:footnote>
  <w:footnote w:id="36">
    <w:p w14:paraId="053CBDD0" w14:textId="70A3621C" w:rsidR="00E94A88" w:rsidRPr="00EE688E" w:rsidRDefault="00E94A88" w:rsidP="00EE688E">
      <w:pPr>
        <w:widowControl w:val="0"/>
        <w:autoSpaceDE w:val="0"/>
        <w:autoSpaceDN w:val="0"/>
        <w:adjustRightInd w:val="0"/>
        <w:rPr>
          <w:sz w:val="17"/>
          <w:szCs w:val="17"/>
        </w:rPr>
      </w:pPr>
      <w:r w:rsidRPr="00EE688E">
        <w:rPr>
          <w:rStyle w:val="FootnoteReference"/>
          <w:sz w:val="17"/>
          <w:szCs w:val="17"/>
        </w:rPr>
        <w:footnoteRef/>
      </w:r>
      <w:r w:rsidRPr="00EE688E">
        <w:rPr>
          <w:sz w:val="17"/>
          <w:szCs w:val="17"/>
        </w:rPr>
        <w:t xml:space="preserve"> </w:t>
      </w:r>
      <w:r>
        <w:rPr>
          <w:sz w:val="17"/>
          <w:szCs w:val="17"/>
        </w:rPr>
        <w:t xml:space="preserve">James C. Dugan and Todd G. Cosenza, </w:t>
      </w:r>
      <w:r>
        <w:rPr>
          <w:i/>
          <w:sz w:val="17"/>
          <w:szCs w:val="17"/>
        </w:rPr>
        <w:t xml:space="preserve">The Future of Secondary Actor Liability Under Rule 10(B)-5 After Stoner DGE Investment Partners, LLC v. </w:t>
      </w:r>
      <w:proofErr w:type="spellStart"/>
      <w:r>
        <w:rPr>
          <w:i/>
          <w:sz w:val="17"/>
          <w:szCs w:val="17"/>
        </w:rPr>
        <w:t>Cientific</w:t>
      </w:r>
      <w:proofErr w:type="spellEnd"/>
      <w:r>
        <w:rPr>
          <w:i/>
          <w:sz w:val="17"/>
          <w:szCs w:val="17"/>
        </w:rPr>
        <w:t xml:space="preserve">-Atlanta, Inc., </w:t>
      </w:r>
      <w:r w:rsidRPr="00EE688E">
        <w:rPr>
          <w:sz w:val="17"/>
          <w:szCs w:val="17"/>
        </w:rPr>
        <w:t>5 N.Y.U. J. L. &amp; Bus. 793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2525" w14:textId="3C5094CA" w:rsidR="00E94A88" w:rsidRDefault="00E94A88" w:rsidP="00846C79">
    <w:pPr>
      <w:tabs>
        <w:tab w:val="center" w:pos="3300"/>
        <w:tab w:val="right" w:pos="6720"/>
      </w:tabs>
      <w:spacing w:before="720" w:after="280" w:line="170" w:lineRule="exact"/>
      <w:jc w:val="both"/>
      <w:rPr>
        <w:rFonts w:ascii="TimesTen" w:hAnsi="TimesTen"/>
        <w:sz w:val="17"/>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E7C1" w14:textId="790B8699" w:rsidR="00E94A88" w:rsidRDefault="00E94A88" w:rsidP="00846C79">
    <w:pPr>
      <w:tabs>
        <w:tab w:val="center" w:pos="3300"/>
        <w:tab w:val="right" w:pos="6720"/>
      </w:tabs>
      <w:spacing w:before="720" w:after="280" w:line="170" w:lineRule="exact"/>
      <w:jc w:val="both"/>
      <w:rPr>
        <w:rFonts w:ascii="TimesTen" w:hAnsi="TimesTen"/>
        <w:sz w:val="17"/>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9F1D" w14:textId="77777777" w:rsidR="00E94A88" w:rsidRDefault="00E94A88">
    <w:pPr>
      <w:tabs>
        <w:tab w:val="right" w:pos="6720"/>
      </w:tabs>
      <w:spacing w:before="720" w:after="440" w:line="170" w:lineRule="exact"/>
      <w:jc w:val="both"/>
      <w:rPr>
        <w:rFonts w:ascii="TimesTen" w:hAnsi="TimesTen"/>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08E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90E04"/>
    <w:multiLevelType w:val="hybridMultilevel"/>
    <w:tmpl w:val="202E1048"/>
    <w:name w:val="List Paragraph"/>
    <w:lvl w:ilvl="0" w:tplc="F5B490E6">
      <w:start w:val="1"/>
      <w:numFmt w:val="lowerLetter"/>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nsid w:val="100B177C"/>
    <w:multiLevelType w:val="hybridMultilevel"/>
    <w:tmpl w:val="9F76E93C"/>
    <w:lvl w:ilvl="0" w:tplc="2A4E498A">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4">
    <w:nsid w:val="2CE92513"/>
    <w:multiLevelType w:val="hybridMultilevel"/>
    <w:tmpl w:val="BC06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807C8"/>
    <w:multiLevelType w:val="hybridMultilevel"/>
    <w:tmpl w:val="5CE083AE"/>
    <w:name w:val="Style2"/>
    <w:lvl w:ilvl="0" w:tplc="11925278">
      <w:start w:val="1"/>
      <w:numFmt w:val="lowerLetter"/>
      <w:lvlText w:val="%1."/>
      <w:lvlJc w:val="left"/>
      <w:pPr>
        <w:ind w:left="1282" w:hanging="360"/>
      </w:pPr>
      <w:rPr>
        <w:rFonts w:hint="default"/>
        <w:i/>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6">
    <w:nsid w:val="485062EE"/>
    <w:multiLevelType w:val="hybridMultilevel"/>
    <w:tmpl w:val="61902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64F52"/>
    <w:multiLevelType w:val="hybridMultilevel"/>
    <w:tmpl w:val="C7AC8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C3C98"/>
    <w:multiLevelType w:val="hybridMultilevel"/>
    <w:tmpl w:val="1DF4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82EAA"/>
    <w:multiLevelType w:val="hybridMultilevel"/>
    <w:tmpl w:val="643E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47904"/>
    <w:multiLevelType w:val="hybridMultilevel"/>
    <w:tmpl w:val="DE449120"/>
    <w:name w:val="_SubHead3"/>
    <w:lvl w:ilvl="0" w:tplc="F6525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26840"/>
    <w:multiLevelType w:val="hybridMultilevel"/>
    <w:tmpl w:val="0BBEC200"/>
    <w:lvl w:ilvl="0" w:tplc="A22E63DA">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7E4329AB"/>
    <w:multiLevelType w:val="hybridMultilevel"/>
    <w:tmpl w:val="0C78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0"/>
  </w:num>
  <w:num w:numId="5">
    <w:abstractNumId w:val="1"/>
  </w:num>
  <w:num w:numId="6">
    <w:abstractNumId w:val="5"/>
  </w:num>
  <w:num w:numId="7">
    <w:abstractNumId w:val="11"/>
  </w:num>
  <w:num w:numId="8">
    <w:abstractNumId w:val="8"/>
  </w:num>
  <w:num w:numId="9">
    <w:abstractNumId w:val="3"/>
  </w:num>
  <w:num w:numId="10">
    <w:abstractNumId w:val="10"/>
    <w:lvlOverride w:ilvl="0">
      <w:startOverride w:val="1"/>
    </w:lvlOverride>
  </w:num>
  <w:num w:numId="11">
    <w:abstractNumId w:val="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proofState w:spelling="clean" w:grammar="clean"/>
  <w:attachedTemplate r:id="rId1"/>
  <w:doNotTrackMoves/>
  <w:defaultTabStop w:val="0"/>
  <w:consecutiveHyphenLimit w:val="3"/>
  <w:hyphenationZone w:val="28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4"/>
    <w:rsid w:val="00000A5C"/>
    <w:rsid w:val="000041D3"/>
    <w:rsid w:val="000063E8"/>
    <w:rsid w:val="00006EDB"/>
    <w:rsid w:val="000123C1"/>
    <w:rsid w:val="00013089"/>
    <w:rsid w:val="00014B0F"/>
    <w:rsid w:val="00015651"/>
    <w:rsid w:val="0001644E"/>
    <w:rsid w:val="000224A3"/>
    <w:rsid w:val="000234BF"/>
    <w:rsid w:val="00024194"/>
    <w:rsid w:val="00027413"/>
    <w:rsid w:val="00027CEA"/>
    <w:rsid w:val="00031505"/>
    <w:rsid w:val="00032372"/>
    <w:rsid w:val="000353DB"/>
    <w:rsid w:val="0003542F"/>
    <w:rsid w:val="00043D6E"/>
    <w:rsid w:val="00044C2A"/>
    <w:rsid w:val="00051101"/>
    <w:rsid w:val="000521EC"/>
    <w:rsid w:val="00053BD5"/>
    <w:rsid w:val="00053D98"/>
    <w:rsid w:val="00053D99"/>
    <w:rsid w:val="00055438"/>
    <w:rsid w:val="0006236E"/>
    <w:rsid w:val="00062E4E"/>
    <w:rsid w:val="00063EBC"/>
    <w:rsid w:val="00064B7B"/>
    <w:rsid w:val="00067A2C"/>
    <w:rsid w:val="00071BF1"/>
    <w:rsid w:val="00071CD7"/>
    <w:rsid w:val="0008128B"/>
    <w:rsid w:val="0008134F"/>
    <w:rsid w:val="0008368D"/>
    <w:rsid w:val="00083E1D"/>
    <w:rsid w:val="00084E7F"/>
    <w:rsid w:val="00087C97"/>
    <w:rsid w:val="00090228"/>
    <w:rsid w:val="00092532"/>
    <w:rsid w:val="000958DA"/>
    <w:rsid w:val="00095EC4"/>
    <w:rsid w:val="00096577"/>
    <w:rsid w:val="00096A0C"/>
    <w:rsid w:val="000A0C2B"/>
    <w:rsid w:val="000A2E64"/>
    <w:rsid w:val="000A31FA"/>
    <w:rsid w:val="000A403D"/>
    <w:rsid w:val="000A61C8"/>
    <w:rsid w:val="000A7709"/>
    <w:rsid w:val="000A7A19"/>
    <w:rsid w:val="000B09F3"/>
    <w:rsid w:val="000B599F"/>
    <w:rsid w:val="000B793F"/>
    <w:rsid w:val="000C0127"/>
    <w:rsid w:val="000C1008"/>
    <w:rsid w:val="000C1746"/>
    <w:rsid w:val="000C1D29"/>
    <w:rsid w:val="000C1D81"/>
    <w:rsid w:val="000C38A1"/>
    <w:rsid w:val="000D037F"/>
    <w:rsid w:val="000D1468"/>
    <w:rsid w:val="000D1C0E"/>
    <w:rsid w:val="000D2041"/>
    <w:rsid w:val="000D6876"/>
    <w:rsid w:val="000D771C"/>
    <w:rsid w:val="000D77E6"/>
    <w:rsid w:val="000D7961"/>
    <w:rsid w:val="000E4F26"/>
    <w:rsid w:val="000F00CC"/>
    <w:rsid w:val="000F01ED"/>
    <w:rsid w:val="000F0580"/>
    <w:rsid w:val="000F280B"/>
    <w:rsid w:val="000F753B"/>
    <w:rsid w:val="000F7A80"/>
    <w:rsid w:val="001003C1"/>
    <w:rsid w:val="001005B0"/>
    <w:rsid w:val="00100A3C"/>
    <w:rsid w:val="00100AB3"/>
    <w:rsid w:val="00102BD1"/>
    <w:rsid w:val="00103C49"/>
    <w:rsid w:val="0010703C"/>
    <w:rsid w:val="001118DD"/>
    <w:rsid w:val="00115DF0"/>
    <w:rsid w:val="00116F55"/>
    <w:rsid w:val="001205CE"/>
    <w:rsid w:val="001236AC"/>
    <w:rsid w:val="001252C0"/>
    <w:rsid w:val="0013034A"/>
    <w:rsid w:val="00132588"/>
    <w:rsid w:val="00132905"/>
    <w:rsid w:val="0013409C"/>
    <w:rsid w:val="00134E7F"/>
    <w:rsid w:val="001361C7"/>
    <w:rsid w:val="0013641E"/>
    <w:rsid w:val="0013656F"/>
    <w:rsid w:val="00137DC5"/>
    <w:rsid w:val="00144D26"/>
    <w:rsid w:val="001471B3"/>
    <w:rsid w:val="00147B27"/>
    <w:rsid w:val="001521F9"/>
    <w:rsid w:val="001535D2"/>
    <w:rsid w:val="001571FF"/>
    <w:rsid w:val="00160722"/>
    <w:rsid w:val="00160E60"/>
    <w:rsid w:val="001647F1"/>
    <w:rsid w:val="00164E7E"/>
    <w:rsid w:val="00171083"/>
    <w:rsid w:val="00171C27"/>
    <w:rsid w:val="00173BC3"/>
    <w:rsid w:val="00173CC2"/>
    <w:rsid w:val="00173D6B"/>
    <w:rsid w:val="0017421C"/>
    <w:rsid w:val="00176D03"/>
    <w:rsid w:val="00182C29"/>
    <w:rsid w:val="00186A7D"/>
    <w:rsid w:val="00186E0C"/>
    <w:rsid w:val="00186F9E"/>
    <w:rsid w:val="00194D51"/>
    <w:rsid w:val="00194FC1"/>
    <w:rsid w:val="00196CAA"/>
    <w:rsid w:val="001A0A31"/>
    <w:rsid w:val="001A0B68"/>
    <w:rsid w:val="001A2FFC"/>
    <w:rsid w:val="001A39B8"/>
    <w:rsid w:val="001A4C60"/>
    <w:rsid w:val="001A4FEF"/>
    <w:rsid w:val="001B18AA"/>
    <w:rsid w:val="001B7550"/>
    <w:rsid w:val="001C172F"/>
    <w:rsid w:val="001C2837"/>
    <w:rsid w:val="001C3D17"/>
    <w:rsid w:val="001C61D8"/>
    <w:rsid w:val="001C7185"/>
    <w:rsid w:val="001C7E28"/>
    <w:rsid w:val="001D08A0"/>
    <w:rsid w:val="001D7FF8"/>
    <w:rsid w:val="001E3578"/>
    <w:rsid w:val="001E36FD"/>
    <w:rsid w:val="001F498F"/>
    <w:rsid w:val="001F4C82"/>
    <w:rsid w:val="002006E8"/>
    <w:rsid w:val="002009DF"/>
    <w:rsid w:val="00200C81"/>
    <w:rsid w:val="00201A0E"/>
    <w:rsid w:val="00201BF8"/>
    <w:rsid w:val="0020207B"/>
    <w:rsid w:val="00203962"/>
    <w:rsid w:val="00207283"/>
    <w:rsid w:val="00220044"/>
    <w:rsid w:val="00220D16"/>
    <w:rsid w:val="00220E52"/>
    <w:rsid w:val="002226BF"/>
    <w:rsid w:val="002227D8"/>
    <w:rsid w:val="00222DCD"/>
    <w:rsid w:val="00230095"/>
    <w:rsid w:val="002306B2"/>
    <w:rsid w:val="00233999"/>
    <w:rsid w:val="00235690"/>
    <w:rsid w:val="0023654F"/>
    <w:rsid w:val="00240795"/>
    <w:rsid w:val="002412CA"/>
    <w:rsid w:val="00245C30"/>
    <w:rsid w:val="00247E24"/>
    <w:rsid w:val="0025015E"/>
    <w:rsid w:val="00250F65"/>
    <w:rsid w:val="00252441"/>
    <w:rsid w:val="0025283E"/>
    <w:rsid w:val="0025369E"/>
    <w:rsid w:val="00254CAA"/>
    <w:rsid w:val="0025656F"/>
    <w:rsid w:val="00257D5A"/>
    <w:rsid w:val="00260238"/>
    <w:rsid w:val="00263000"/>
    <w:rsid w:val="00266718"/>
    <w:rsid w:val="00270376"/>
    <w:rsid w:val="00272515"/>
    <w:rsid w:val="002727A7"/>
    <w:rsid w:val="00272CDC"/>
    <w:rsid w:val="002730E7"/>
    <w:rsid w:val="00273616"/>
    <w:rsid w:val="0028014A"/>
    <w:rsid w:val="00282F0A"/>
    <w:rsid w:val="00283F8C"/>
    <w:rsid w:val="00284A62"/>
    <w:rsid w:val="00287F7B"/>
    <w:rsid w:val="00291806"/>
    <w:rsid w:val="00292C20"/>
    <w:rsid w:val="002948D8"/>
    <w:rsid w:val="00294E57"/>
    <w:rsid w:val="00296859"/>
    <w:rsid w:val="002968E1"/>
    <w:rsid w:val="002A1303"/>
    <w:rsid w:val="002A1D10"/>
    <w:rsid w:val="002A269C"/>
    <w:rsid w:val="002A72E6"/>
    <w:rsid w:val="002A754B"/>
    <w:rsid w:val="002B0A08"/>
    <w:rsid w:val="002B4C51"/>
    <w:rsid w:val="002B6308"/>
    <w:rsid w:val="002B7817"/>
    <w:rsid w:val="002C31E8"/>
    <w:rsid w:val="002C4CE0"/>
    <w:rsid w:val="002C52C8"/>
    <w:rsid w:val="002C5B3D"/>
    <w:rsid w:val="002D34D9"/>
    <w:rsid w:val="002D40C3"/>
    <w:rsid w:val="002E43C6"/>
    <w:rsid w:val="002E58E5"/>
    <w:rsid w:val="002F1124"/>
    <w:rsid w:val="002F1DDC"/>
    <w:rsid w:val="002F20A3"/>
    <w:rsid w:val="002F49F3"/>
    <w:rsid w:val="002F5FA5"/>
    <w:rsid w:val="00304975"/>
    <w:rsid w:val="00306486"/>
    <w:rsid w:val="0030738E"/>
    <w:rsid w:val="0030791A"/>
    <w:rsid w:val="00307F02"/>
    <w:rsid w:val="003115C6"/>
    <w:rsid w:val="00313936"/>
    <w:rsid w:val="0031550E"/>
    <w:rsid w:val="00316AAC"/>
    <w:rsid w:val="00317853"/>
    <w:rsid w:val="00322829"/>
    <w:rsid w:val="00324ED5"/>
    <w:rsid w:val="003274F1"/>
    <w:rsid w:val="00330C32"/>
    <w:rsid w:val="0033188B"/>
    <w:rsid w:val="003335DE"/>
    <w:rsid w:val="00333BEB"/>
    <w:rsid w:val="00335330"/>
    <w:rsid w:val="00336B01"/>
    <w:rsid w:val="003448A9"/>
    <w:rsid w:val="0035067F"/>
    <w:rsid w:val="00352DE5"/>
    <w:rsid w:val="00356669"/>
    <w:rsid w:val="00360F60"/>
    <w:rsid w:val="003650F2"/>
    <w:rsid w:val="003663CD"/>
    <w:rsid w:val="00366884"/>
    <w:rsid w:val="00367F4D"/>
    <w:rsid w:val="00370948"/>
    <w:rsid w:val="00373B64"/>
    <w:rsid w:val="003756DD"/>
    <w:rsid w:val="003811B2"/>
    <w:rsid w:val="0038208A"/>
    <w:rsid w:val="0038210C"/>
    <w:rsid w:val="0038297C"/>
    <w:rsid w:val="00393E44"/>
    <w:rsid w:val="0039415D"/>
    <w:rsid w:val="00394163"/>
    <w:rsid w:val="003946F2"/>
    <w:rsid w:val="00394FDB"/>
    <w:rsid w:val="00396BD0"/>
    <w:rsid w:val="003A0DD0"/>
    <w:rsid w:val="003A312A"/>
    <w:rsid w:val="003A470E"/>
    <w:rsid w:val="003A4BA2"/>
    <w:rsid w:val="003A5ACC"/>
    <w:rsid w:val="003B19AA"/>
    <w:rsid w:val="003B3FF4"/>
    <w:rsid w:val="003B453E"/>
    <w:rsid w:val="003B4751"/>
    <w:rsid w:val="003B54BE"/>
    <w:rsid w:val="003B5D3A"/>
    <w:rsid w:val="003B6857"/>
    <w:rsid w:val="003B6ACE"/>
    <w:rsid w:val="003B770F"/>
    <w:rsid w:val="003C07A6"/>
    <w:rsid w:val="003C0E09"/>
    <w:rsid w:val="003C1D21"/>
    <w:rsid w:val="003C3A5A"/>
    <w:rsid w:val="003C4112"/>
    <w:rsid w:val="003C65AD"/>
    <w:rsid w:val="003C732C"/>
    <w:rsid w:val="003C7547"/>
    <w:rsid w:val="003C7724"/>
    <w:rsid w:val="003C7991"/>
    <w:rsid w:val="003D00BE"/>
    <w:rsid w:val="003D1F3E"/>
    <w:rsid w:val="003E079C"/>
    <w:rsid w:val="003E3A22"/>
    <w:rsid w:val="003E487B"/>
    <w:rsid w:val="003E73AE"/>
    <w:rsid w:val="003F2301"/>
    <w:rsid w:val="003F5BFF"/>
    <w:rsid w:val="003F71A3"/>
    <w:rsid w:val="004010A9"/>
    <w:rsid w:val="00407413"/>
    <w:rsid w:val="00407B07"/>
    <w:rsid w:val="00410FE5"/>
    <w:rsid w:val="00412084"/>
    <w:rsid w:val="0041212E"/>
    <w:rsid w:val="00412B3B"/>
    <w:rsid w:val="0041666D"/>
    <w:rsid w:val="004174E0"/>
    <w:rsid w:val="004179D4"/>
    <w:rsid w:val="00420A30"/>
    <w:rsid w:val="00421274"/>
    <w:rsid w:val="00422CE3"/>
    <w:rsid w:val="0042300A"/>
    <w:rsid w:val="0042438F"/>
    <w:rsid w:val="00424F9C"/>
    <w:rsid w:val="00426E41"/>
    <w:rsid w:val="004273E9"/>
    <w:rsid w:val="00427695"/>
    <w:rsid w:val="00433FC8"/>
    <w:rsid w:val="00434C19"/>
    <w:rsid w:val="00434EFD"/>
    <w:rsid w:val="00435AB5"/>
    <w:rsid w:val="00435FB8"/>
    <w:rsid w:val="004360D2"/>
    <w:rsid w:val="004363CB"/>
    <w:rsid w:val="00436E30"/>
    <w:rsid w:val="004377F9"/>
    <w:rsid w:val="00441E24"/>
    <w:rsid w:val="00443913"/>
    <w:rsid w:val="004454A4"/>
    <w:rsid w:val="00447042"/>
    <w:rsid w:val="00452EF0"/>
    <w:rsid w:val="0045323C"/>
    <w:rsid w:val="00453923"/>
    <w:rsid w:val="0045401D"/>
    <w:rsid w:val="004553A8"/>
    <w:rsid w:val="00455D7A"/>
    <w:rsid w:val="00460A49"/>
    <w:rsid w:val="0046183E"/>
    <w:rsid w:val="00461D5C"/>
    <w:rsid w:val="004624D5"/>
    <w:rsid w:val="0046441A"/>
    <w:rsid w:val="00464F40"/>
    <w:rsid w:val="00466B53"/>
    <w:rsid w:val="00466B78"/>
    <w:rsid w:val="0046771F"/>
    <w:rsid w:val="00471E2B"/>
    <w:rsid w:val="0047282B"/>
    <w:rsid w:val="0047494F"/>
    <w:rsid w:val="004777E2"/>
    <w:rsid w:val="00477885"/>
    <w:rsid w:val="004819B6"/>
    <w:rsid w:val="004839CF"/>
    <w:rsid w:val="0048489F"/>
    <w:rsid w:val="00485515"/>
    <w:rsid w:val="0048559F"/>
    <w:rsid w:val="00485675"/>
    <w:rsid w:val="004869CC"/>
    <w:rsid w:val="00487A84"/>
    <w:rsid w:val="00487AE2"/>
    <w:rsid w:val="00490C36"/>
    <w:rsid w:val="0049496F"/>
    <w:rsid w:val="00497B5A"/>
    <w:rsid w:val="00497D26"/>
    <w:rsid w:val="004A0EA8"/>
    <w:rsid w:val="004A106B"/>
    <w:rsid w:val="004A1700"/>
    <w:rsid w:val="004A317A"/>
    <w:rsid w:val="004A3D3E"/>
    <w:rsid w:val="004A44E3"/>
    <w:rsid w:val="004B23CE"/>
    <w:rsid w:val="004B6B44"/>
    <w:rsid w:val="004C0CB7"/>
    <w:rsid w:val="004C4AE8"/>
    <w:rsid w:val="004C6BE0"/>
    <w:rsid w:val="004C7240"/>
    <w:rsid w:val="004D22F1"/>
    <w:rsid w:val="004D594B"/>
    <w:rsid w:val="004D7E69"/>
    <w:rsid w:val="004E2145"/>
    <w:rsid w:val="004E3CF5"/>
    <w:rsid w:val="004E3F2D"/>
    <w:rsid w:val="004E434E"/>
    <w:rsid w:val="004E45E7"/>
    <w:rsid w:val="004E4DB9"/>
    <w:rsid w:val="004E5950"/>
    <w:rsid w:val="004E7BD0"/>
    <w:rsid w:val="004F4EEE"/>
    <w:rsid w:val="004F57EF"/>
    <w:rsid w:val="004F58A8"/>
    <w:rsid w:val="004F7F86"/>
    <w:rsid w:val="00500258"/>
    <w:rsid w:val="00504273"/>
    <w:rsid w:val="00504710"/>
    <w:rsid w:val="00506576"/>
    <w:rsid w:val="00510D70"/>
    <w:rsid w:val="0051354A"/>
    <w:rsid w:val="00513DD1"/>
    <w:rsid w:val="00515054"/>
    <w:rsid w:val="00515104"/>
    <w:rsid w:val="0051635A"/>
    <w:rsid w:val="005163AA"/>
    <w:rsid w:val="005204A3"/>
    <w:rsid w:val="005210FD"/>
    <w:rsid w:val="00521457"/>
    <w:rsid w:val="00523B27"/>
    <w:rsid w:val="005250D3"/>
    <w:rsid w:val="00527834"/>
    <w:rsid w:val="00531C06"/>
    <w:rsid w:val="00532D61"/>
    <w:rsid w:val="00533058"/>
    <w:rsid w:val="00533E82"/>
    <w:rsid w:val="00535B86"/>
    <w:rsid w:val="00536F7B"/>
    <w:rsid w:val="005378E9"/>
    <w:rsid w:val="00537918"/>
    <w:rsid w:val="00541547"/>
    <w:rsid w:val="005415B3"/>
    <w:rsid w:val="00541811"/>
    <w:rsid w:val="00541BE9"/>
    <w:rsid w:val="00542A9B"/>
    <w:rsid w:val="00546008"/>
    <w:rsid w:val="00546173"/>
    <w:rsid w:val="00546ED0"/>
    <w:rsid w:val="00551D15"/>
    <w:rsid w:val="005549A0"/>
    <w:rsid w:val="0055518A"/>
    <w:rsid w:val="00556462"/>
    <w:rsid w:val="0055694F"/>
    <w:rsid w:val="00556FA1"/>
    <w:rsid w:val="00557093"/>
    <w:rsid w:val="005577F4"/>
    <w:rsid w:val="00563A11"/>
    <w:rsid w:val="0056769F"/>
    <w:rsid w:val="00567DE6"/>
    <w:rsid w:val="00570FDB"/>
    <w:rsid w:val="00572E21"/>
    <w:rsid w:val="00574A34"/>
    <w:rsid w:val="00575E95"/>
    <w:rsid w:val="00577C3F"/>
    <w:rsid w:val="00583A04"/>
    <w:rsid w:val="00591491"/>
    <w:rsid w:val="00595625"/>
    <w:rsid w:val="005A16D3"/>
    <w:rsid w:val="005A22D7"/>
    <w:rsid w:val="005A2A48"/>
    <w:rsid w:val="005A3089"/>
    <w:rsid w:val="005A3A6E"/>
    <w:rsid w:val="005A3EC9"/>
    <w:rsid w:val="005A7FE9"/>
    <w:rsid w:val="005B07F4"/>
    <w:rsid w:val="005B09C8"/>
    <w:rsid w:val="005B2CEF"/>
    <w:rsid w:val="005B5450"/>
    <w:rsid w:val="005B756D"/>
    <w:rsid w:val="005C0E1C"/>
    <w:rsid w:val="005C1FB5"/>
    <w:rsid w:val="005C44B7"/>
    <w:rsid w:val="005C5EBD"/>
    <w:rsid w:val="005C7C13"/>
    <w:rsid w:val="005D1500"/>
    <w:rsid w:val="005D1DEE"/>
    <w:rsid w:val="005D2047"/>
    <w:rsid w:val="005D260F"/>
    <w:rsid w:val="005D335A"/>
    <w:rsid w:val="005D4A56"/>
    <w:rsid w:val="005D542A"/>
    <w:rsid w:val="005D5ECD"/>
    <w:rsid w:val="005E3BF4"/>
    <w:rsid w:val="005E4CA4"/>
    <w:rsid w:val="005E5BB3"/>
    <w:rsid w:val="005E6441"/>
    <w:rsid w:val="005E7791"/>
    <w:rsid w:val="005E7E20"/>
    <w:rsid w:val="005F0E3F"/>
    <w:rsid w:val="005F137F"/>
    <w:rsid w:val="00600AE8"/>
    <w:rsid w:val="00601DF2"/>
    <w:rsid w:val="00602631"/>
    <w:rsid w:val="0060434F"/>
    <w:rsid w:val="00604882"/>
    <w:rsid w:val="0061222A"/>
    <w:rsid w:val="00612BBE"/>
    <w:rsid w:val="0061365B"/>
    <w:rsid w:val="00614460"/>
    <w:rsid w:val="00614DD0"/>
    <w:rsid w:val="006154FD"/>
    <w:rsid w:val="00617761"/>
    <w:rsid w:val="00620D0E"/>
    <w:rsid w:val="00621308"/>
    <w:rsid w:val="00622770"/>
    <w:rsid w:val="00625C07"/>
    <w:rsid w:val="0062641D"/>
    <w:rsid w:val="00627462"/>
    <w:rsid w:val="00630120"/>
    <w:rsid w:val="0063324E"/>
    <w:rsid w:val="006338B0"/>
    <w:rsid w:val="00633EC0"/>
    <w:rsid w:val="006341BB"/>
    <w:rsid w:val="00641D83"/>
    <w:rsid w:val="0064475A"/>
    <w:rsid w:val="00644FB9"/>
    <w:rsid w:val="00645AAB"/>
    <w:rsid w:val="00650540"/>
    <w:rsid w:val="00653D85"/>
    <w:rsid w:val="00662970"/>
    <w:rsid w:val="00663B22"/>
    <w:rsid w:val="006655CC"/>
    <w:rsid w:val="00667038"/>
    <w:rsid w:val="00667EEA"/>
    <w:rsid w:val="00670B21"/>
    <w:rsid w:val="00671ADE"/>
    <w:rsid w:val="00672BA1"/>
    <w:rsid w:val="00672FF1"/>
    <w:rsid w:val="0067480B"/>
    <w:rsid w:val="006763EB"/>
    <w:rsid w:val="0067673A"/>
    <w:rsid w:val="00680A55"/>
    <w:rsid w:val="006824AB"/>
    <w:rsid w:val="0068528A"/>
    <w:rsid w:val="0068744A"/>
    <w:rsid w:val="00687FD3"/>
    <w:rsid w:val="006908D9"/>
    <w:rsid w:val="0069179F"/>
    <w:rsid w:val="006919F4"/>
    <w:rsid w:val="006A0022"/>
    <w:rsid w:val="006A16BB"/>
    <w:rsid w:val="006A33CF"/>
    <w:rsid w:val="006A36F7"/>
    <w:rsid w:val="006A5FE3"/>
    <w:rsid w:val="006B00FB"/>
    <w:rsid w:val="006B0475"/>
    <w:rsid w:val="006B3D56"/>
    <w:rsid w:val="006B598A"/>
    <w:rsid w:val="006B698F"/>
    <w:rsid w:val="006C0491"/>
    <w:rsid w:val="006C1572"/>
    <w:rsid w:val="006C33A1"/>
    <w:rsid w:val="006C3BC3"/>
    <w:rsid w:val="006C433A"/>
    <w:rsid w:val="006C626E"/>
    <w:rsid w:val="006D07E0"/>
    <w:rsid w:val="006D17A6"/>
    <w:rsid w:val="006D2720"/>
    <w:rsid w:val="006D2E05"/>
    <w:rsid w:val="006D6C1A"/>
    <w:rsid w:val="006D7248"/>
    <w:rsid w:val="006E08B1"/>
    <w:rsid w:val="006E3DFF"/>
    <w:rsid w:val="006E5C2E"/>
    <w:rsid w:val="006E7022"/>
    <w:rsid w:val="006F37B1"/>
    <w:rsid w:val="006F3984"/>
    <w:rsid w:val="006F57A0"/>
    <w:rsid w:val="006F6911"/>
    <w:rsid w:val="006F7386"/>
    <w:rsid w:val="007004AF"/>
    <w:rsid w:val="00704195"/>
    <w:rsid w:val="00706DAB"/>
    <w:rsid w:val="007077B0"/>
    <w:rsid w:val="007109B9"/>
    <w:rsid w:val="007113D7"/>
    <w:rsid w:val="0071415B"/>
    <w:rsid w:val="00717A97"/>
    <w:rsid w:val="00717F5B"/>
    <w:rsid w:val="00726760"/>
    <w:rsid w:val="007303BF"/>
    <w:rsid w:val="00731962"/>
    <w:rsid w:val="00733BE1"/>
    <w:rsid w:val="00734D59"/>
    <w:rsid w:val="00742FE5"/>
    <w:rsid w:val="0074359D"/>
    <w:rsid w:val="00746771"/>
    <w:rsid w:val="00746890"/>
    <w:rsid w:val="007473DE"/>
    <w:rsid w:val="00747ACF"/>
    <w:rsid w:val="00753785"/>
    <w:rsid w:val="00757CE5"/>
    <w:rsid w:val="00761AFF"/>
    <w:rsid w:val="007665EF"/>
    <w:rsid w:val="007678EE"/>
    <w:rsid w:val="00767CDE"/>
    <w:rsid w:val="00770325"/>
    <w:rsid w:val="00771A94"/>
    <w:rsid w:val="00772AED"/>
    <w:rsid w:val="00777D96"/>
    <w:rsid w:val="00781059"/>
    <w:rsid w:val="0078114F"/>
    <w:rsid w:val="007814F5"/>
    <w:rsid w:val="007867B7"/>
    <w:rsid w:val="007876D9"/>
    <w:rsid w:val="00787AF1"/>
    <w:rsid w:val="00790A7A"/>
    <w:rsid w:val="007911C7"/>
    <w:rsid w:val="00792127"/>
    <w:rsid w:val="007923DE"/>
    <w:rsid w:val="007938D3"/>
    <w:rsid w:val="00793EFE"/>
    <w:rsid w:val="007956D0"/>
    <w:rsid w:val="00796E7E"/>
    <w:rsid w:val="007A28A0"/>
    <w:rsid w:val="007A56E6"/>
    <w:rsid w:val="007A5CAC"/>
    <w:rsid w:val="007A6391"/>
    <w:rsid w:val="007A68A4"/>
    <w:rsid w:val="007A6CCE"/>
    <w:rsid w:val="007A7C5D"/>
    <w:rsid w:val="007A7E8B"/>
    <w:rsid w:val="007B3D2A"/>
    <w:rsid w:val="007B4716"/>
    <w:rsid w:val="007B6D57"/>
    <w:rsid w:val="007B75F9"/>
    <w:rsid w:val="007B7A30"/>
    <w:rsid w:val="007C0C7E"/>
    <w:rsid w:val="007C14DF"/>
    <w:rsid w:val="007C18FE"/>
    <w:rsid w:val="007C1BE8"/>
    <w:rsid w:val="007C32B0"/>
    <w:rsid w:val="007C4104"/>
    <w:rsid w:val="007D0183"/>
    <w:rsid w:val="007D04BC"/>
    <w:rsid w:val="007D2E9F"/>
    <w:rsid w:val="007D4098"/>
    <w:rsid w:val="007D4EE2"/>
    <w:rsid w:val="007E34A8"/>
    <w:rsid w:val="007E3B02"/>
    <w:rsid w:val="007E6772"/>
    <w:rsid w:val="007E7BC5"/>
    <w:rsid w:val="007F02E6"/>
    <w:rsid w:val="007F0437"/>
    <w:rsid w:val="007F279F"/>
    <w:rsid w:val="007F2BAD"/>
    <w:rsid w:val="007F2F8B"/>
    <w:rsid w:val="007F58D6"/>
    <w:rsid w:val="007F6241"/>
    <w:rsid w:val="007F6FD9"/>
    <w:rsid w:val="007F7EE4"/>
    <w:rsid w:val="00800EE5"/>
    <w:rsid w:val="00801231"/>
    <w:rsid w:val="008017DD"/>
    <w:rsid w:val="00813394"/>
    <w:rsid w:val="0081556A"/>
    <w:rsid w:val="00815865"/>
    <w:rsid w:val="0082065D"/>
    <w:rsid w:val="00821BCE"/>
    <w:rsid w:val="008225E2"/>
    <w:rsid w:val="00827219"/>
    <w:rsid w:val="0082767C"/>
    <w:rsid w:val="00827BEC"/>
    <w:rsid w:val="00827D49"/>
    <w:rsid w:val="00832DA1"/>
    <w:rsid w:val="00834583"/>
    <w:rsid w:val="0083571A"/>
    <w:rsid w:val="00835DD4"/>
    <w:rsid w:val="00835E07"/>
    <w:rsid w:val="008370BF"/>
    <w:rsid w:val="008374EB"/>
    <w:rsid w:val="0084295B"/>
    <w:rsid w:val="00845426"/>
    <w:rsid w:val="0084597B"/>
    <w:rsid w:val="00845B24"/>
    <w:rsid w:val="00845F50"/>
    <w:rsid w:val="00846C79"/>
    <w:rsid w:val="0085138B"/>
    <w:rsid w:val="008516CB"/>
    <w:rsid w:val="008536FA"/>
    <w:rsid w:val="008541C7"/>
    <w:rsid w:val="00854788"/>
    <w:rsid w:val="00855A5E"/>
    <w:rsid w:val="008623AF"/>
    <w:rsid w:val="008632B3"/>
    <w:rsid w:val="00863B43"/>
    <w:rsid w:val="00864512"/>
    <w:rsid w:val="008647EE"/>
    <w:rsid w:val="008665AA"/>
    <w:rsid w:val="00874AD6"/>
    <w:rsid w:val="0087623A"/>
    <w:rsid w:val="00882363"/>
    <w:rsid w:val="00882597"/>
    <w:rsid w:val="0088548E"/>
    <w:rsid w:val="0088583D"/>
    <w:rsid w:val="0088604F"/>
    <w:rsid w:val="00886BCD"/>
    <w:rsid w:val="00890AF9"/>
    <w:rsid w:val="00891A9E"/>
    <w:rsid w:val="008A0A1D"/>
    <w:rsid w:val="008A255B"/>
    <w:rsid w:val="008A3A6B"/>
    <w:rsid w:val="008A4C0D"/>
    <w:rsid w:val="008A608F"/>
    <w:rsid w:val="008A785A"/>
    <w:rsid w:val="008B0427"/>
    <w:rsid w:val="008B2A37"/>
    <w:rsid w:val="008B3CE5"/>
    <w:rsid w:val="008B4BDC"/>
    <w:rsid w:val="008B508C"/>
    <w:rsid w:val="008B5B0B"/>
    <w:rsid w:val="008B74A6"/>
    <w:rsid w:val="008B7728"/>
    <w:rsid w:val="008B7E2A"/>
    <w:rsid w:val="008C3447"/>
    <w:rsid w:val="008C65E4"/>
    <w:rsid w:val="008C764B"/>
    <w:rsid w:val="008C77BD"/>
    <w:rsid w:val="008C7EF0"/>
    <w:rsid w:val="008D0952"/>
    <w:rsid w:val="008D24C6"/>
    <w:rsid w:val="008D29F5"/>
    <w:rsid w:val="008D46F6"/>
    <w:rsid w:val="008D4E2C"/>
    <w:rsid w:val="008D5626"/>
    <w:rsid w:val="008E5F30"/>
    <w:rsid w:val="008E66C0"/>
    <w:rsid w:val="008F198F"/>
    <w:rsid w:val="008F4EF0"/>
    <w:rsid w:val="00900C20"/>
    <w:rsid w:val="00901E4F"/>
    <w:rsid w:val="00904361"/>
    <w:rsid w:val="00904538"/>
    <w:rsid w:val="00904D3C"/>
    <w:rsid w:val="00905F8A"/>
    <w:rsid w:val="00911223"/>
    <w:rsid w:val="00911BBE"/>
    <w:rsid w:val="00912F02"/>
    <w:rsid w:val="009146C9"/>
    <w:rsid w:val="009162B3"/>
    <w:rsid w:val="009163A0"/>
    <w:rsid w:val="00916AC6"/>
    <w:rsid w:val="00921277"/>
    <w:rsid w:val="009248DA"/>
    <w:rsid w:val="0092540E"/>
    <w:rsid w:val="00925583"/>
    <w:rsid w:val="00926081"/>
    <w:rsid w:val="00926D5B"/>
    <w:rsid w:val="009300E6"/>
    <w:rsid w:val="00932B48"/>
    <w:rsid w:val="0093446F"/>
    <w:rsid w:val="00935A86"/>
    <w:rsid w:val="00936775"/>
    <w:rsid w:val="009367DF"/>
    <w:rsid w:val="00937A41"/>
    <w:rsid w:val="0094247C"/>
    <w:rsid w:val="0094594A"/>
    <w:rsid w:val="00946A71"/>
    <w:rsid w:val="00950A99"/>
    <w:rsid w:val="00952348"/>
    <w:rsid w:val="00953B4E"/>
    <w:rsid w:val="0095419D"/>
    <w:rsid w:val="009610F5"/>
    <w:rsid w:val="00962438"/>
    <w:rsid w:val="00963BCF"/>
    <w:rsid w:val="00964794"/>
    <w:rsid w:val="00967544"/>
    <w:rsid w:val="0097172F"/>
    <w:rsid w:val="00971FDD"/>
    <w:rsid w:val="0097231B"/>
    <w:rsid w:val="00973A8A"/>
    <w:rsid w:val="00982FD0"/>
    <w:rsid w:val="00983879"/>
    <w:rsid w:val="009838AD"/>
    <w:rsid w:val="009901D6"/>
    <w:rsid w:val="00991008"/>
    <w:rsid w:val="0099704F"/>
    <w:rsid w:val="00997757"/>
    <w:rsid w:val="009A5888"/>
    <w:rsid w:val="009B0B60"/>
    <w:rsid w:val="009B3968"/>
    <w:rsid w:val="009B75EB"/>
    <w:rsid w:val="009C0CE9"/>
    <w:rsid w:val="009C0E21"/>
    <w:rsid w:val="009C478C"/>
    <w:rsid w:val="009D0E3A"/>
    <w:rsid w:val="009D186F"/>
    <w:rsid w:val="009D2F63"/>
    <w:rsid w:val="009D3D04"/>
    <w:rsid w:val="009D42FD"/>
    <w:rsid w:val="009D7059"/>
    <w:rsid w:val="009D7998"/>
    <w:rsid w:val="009E2F98"/>
    <w:rsid w:val="009E354F"/>
    <w:rsid w:val="009E3D79"/>
    <w:rsid w:val="009E4905"/>
    <w:rsid w:val="009E4FE1"/>
    <w:rsid w:val="009F2D3A"/>
    <w:rsid w:val="009F7C7D"/>
    <w:rsid w:val="00A01125"/>
    <w:rsid w:val="00A04D54"/>
    <w:rsid w:val="00A0707C"/>
    <w:rsid w:val="00A1021E"/>
    <w:rsid w:val="00A1404F"/>
    <w:rsid w:val="00A1500A"/>
    <w:rsid w:val="00A15718"/>
    <w:rsid w:val="00A16E98"/>
    <w:rsid w:val="00A177BA"/>
    <w:rsid w:val="00A17E07"/>
    <w:rsid w:val="00A233CC"/>
    <w:rsid w:val="00A2402A"/>
    <w:rsid w:val="00A270CE"/>
    <w:rsid w:val="00A3267E"/>
    <w:rsid w:val="00A35B83"/>
    <w:rsid w:val="00A36360"/>
    <w:rsid w:val="00A37A45"/>
    <w:rsid w:val="00A37B95"/>
    <w:rsid w:val="00A429B3"/>
    <w:rsid w:val="00A4423D"/>
    <w:rsid w:val="00A45BD8"/>
    <w:rsid w:val="00A45F02"/>
    <w:rsid w:val="00A46104"/>
    <w:rsid w:val="00A474C0"/>
    <w:rsid w:val="00A5002A"/>
    <w:rsid w:val="00A52537"/>
    <w:rsid w:val="00A5308C"/>
    <w:rsid w:val="00A5349E"/>
    <w:rsid w:val="00A543F7"/>
    <w:rsid w:val="00A55F1A"/>
    <w:rsid w:val="00A568F9"/>
    <w:rsid w:val="00A56A08"/>
    <w:rsid w:val="00A56F85"/>
    <w:rsid w:val="00A578FB"/>
    <w:rsid w:val="00A610E8"/>
    <w:rsid w:val="00A62D18"/>
    <w:rsid w:val="00A65E78"/>
    <w:rsid w:val="00A70224"/>
    <w:rsid w:val="00A71C6B"/>
    <w:rsid w:val="00A72456"/>
    <w:rsid w:val="00A72A9C"/>
    <w:rsid w:val="00A72E13"/>
    <w:rsid w:val="00A739E8"/>
    <w:rsid w:val="00A77AD9"/>
    <w:rsid w:val="00A80D31"/>
    <w:rsid w:val="00A8226B"/>
    <w:rsid w:val="00A838E9"/>
    <w:rsid w:val="00A85A52"/>
    <w:rsid w:val="00A922F2"/>
    <w:rsid w:val="00A938BE"/>
    <w:rsid w:val="00A9525A"/>
    <w:rsid w:val="00AA6199"/>
    <w:rsid w:val="00AA74D3"/>
    <w:rsid w:val="00AA7699"/>
    <w:rsid w:val="00AB0AB5"/>
    <w:rsid w:val="00AB1257"/>
    <w:rsid w:val="00AB2678"/>
    <w:rsid w:val="00AB2D5D"/>
    <w:rsid w:val="00AB55E3"/>
    <w:rsid w:val="00AB7BDD"/>
    <w:rsid w:val="00AC2096"/>
    <w:rsid w:val="00AC558A"/>
    <w:rsid w:val="00AD3554"/>
    <w:rsid w:val="00AD6210"/>
    <w:rsid w:val="00AD677A"/>
    <w:rsid w:val="00AD6FA1"/>
    <w:rsid w:val="00AE1158"/>
    <w:rsid w:val="00AE17A6"/>
    <w:rsid w:val="00AE24A1"/>
    <w:rsid w:val="00AE2654"/>
    <w:rsid w:val="00AE299B"/>
    <w:rsid w:val="00AE355C"/>
    <w:rsid w:val="00AE45F1"/>
    <w:rsid w:val="00AE7E20"/>
    <w:rsid w:val="00AF171D"/>
    <w:rsid w:val="00AF3CDB"/>
    <w:rsid w:val="00AF6DB7"/>
    <w:rsid w:val="00AF71D4"/>
    <w:rsid w:val="00AF76BA"/>
    <w:rsid w:val="00B019A1"/>
    <w:rsid w:val="00B0300E"/>
    <w:rsid w:val="00B049F9"/>
    <w:rsid w:val="00B05534"/>
    <w:rsid w:val="00B10731"/>
    <w:rsid w:val="00B10F36"/>
    <w:rsid w:val="00B12032"/>
    <w:rsid w:val="00B12D29"/>
    <w:rsid w:val="00B14555"/>
    <w:rsid w:val="00B1648D"/>
    <w:rsid w:val="00B16B59"/>
    <w:rsid w:val="00B20E08"/>
    <w:rsid w:val="00B2201E"/>
    <w:rsid w:val="00B23155"/>
    <w:rsid w:val="00B257E3"/>
    <w:rsid w:val="00B26DCB"/>
    <w:rsid w:val="00B2716F"/>
    <w:rsid w:val="00B30F13"/>
    <w:rsid w:val="00B32D64"/>
    <w:rsid w:val="00B40BFE"/>
    <w:rsid w:val="00B40CA8"/>
    <w:rsid w:val="00B40F2A"/>
    <w:rsid w:val="00B410C5"/>
    <w:rsid w:val="00B423B4"/>
    <w:rsid w:val="00B425B3"/>
    <w:rsid w:val="00B44DFD"/>
    <w:rsid w:val="00B44F0F"/>
    <w:rsid w:val="00B453EB"/>
    <w:rsid w:val="00B45AB3"/>
    <w:rsid w:val="00B47477"/>
    <w:rsid w:val="00B50642"/>
    <w:rsid w:val="00B5115D"/>
    <w:rsid w:val="00B51A5F"/>
    <w:rsid w:val="00B529C3"/>
    <w:rsid w:val="00B52BCC"/>
    <w:rsid w:val="00B564F6"/>
    <w:rsid w:val="00B609FE"/>
    <w:rsid w:val="00B62172"/>
    <w:rsid w:val="00B62889"/>
    <w:rsid w:val="00B64F72"/>
    <w:rsid w:val="00B709C6"/>
    <w:rsid w:val="00B715D5"/>
    <w:rsid w:val="00B73EEA"/>
    <w:rsid w:val="00B75219"/>
    <w:rsid w:val="00B76AFE"/>
    <w:rsid w:val="00B77928"/>
    <w:rsid w:val="00B8004E"/>
    <w:rsid w:val="00B80E89"/>
    <w:rsid w:val="00B81301"/>
    <w:rsid w:val="00B84C3A"/>
    <w:rsid w:val="00B852E1"/>
    <w:rsid w:val="00B90BBB"/>
    <w:rsid w:val="00B90F6E"/>
    <w:rsid w:val="00B91729"/>
    <w:rsid w:val="00B95E85"/>
    <w:rsid w:val="00B9710A"/>
    <w:rsid w:val="00BA10EB"/>
    <w:rsid w:val="00BA1A9E"/>
    <w:rsid w:val="00BA1ADE"/>
    <w:rsid w:val="00BA59F8"/>
    <w:rsid w:val="00BA64B6"/>
    <w:rsid w:val="00BA66EA"/>
    <w:rsid w:val="00BC1B26"/>
    <w:rsid w:val="00BC26EA"/>
    <w:rsid w:val="00BC45FA"/>
    <w:rsid w:val="00BC7B38"/>
    <w:rsid w:val="00BD15F7"/>
    <w:rsid w:val="00BE1805"/>
    <w:rsid w:val="00BE2192"/>
    <w:rsid w:val="00BE3200"/>
    <w:rsid w:val="00BE50F9"/>
    <w:rsid w:val="00BE588B"/>
    <w:rsid w:val="00BE682B"/>
    <w:rsid w:val="00BE6B4B"/>
    <w:rsid w:val="00BE7054"/>
    <w:rsid w:val="00C012B1"/>
    <w:rsid w:val="00C0482C"/>
    <w:rsid w:val="00C0569A"/>
    <w:rsid w:val="00C06A07"/>
    <w:rsid w:val="00C076B3"/>
    <w:rsid w:val="00C1387B"/>
    <w:rsid w:val="00C15560"/>
    <w:rsid w:val="00C24FC1"/>
    <w:rsid w:val="00C259F1"/>
    <w:rsid w:val="00C3030C"/>
    <w:rsid w:val="00C30CB4"/>
    <w:rsid w:val="00C32EA1"/>
    <w:rsid w:val="00C34A12"/>
    <w:rsid w:val="00C35D2E"/>
    <w:rsid w:val="00C36677"/>
    <w:rsid w:val="00C44377"/>
    <w:rsid w:val="00C52E73"/>
    <w:rsid w:val="00C5681D"/>
    <w:rsid w:val="00C56C1A"/>
    <w:rsid w:val="00C602E2"/>
    <w:rsid w:val="00C610CD"/>
    <w:rsid w:val="00C64D42"/>
    <w:rsid w:val="00C7160A"/>
    <w:rsid w:val="00C72EAA"/>
    <w:rsid w:val="00C72EBC"/>
    <w:rsid w:val="00C72EDA"/>
    <w:rsid w:val="00C75298"/>
    <w:rsid w:val="00C76A81"/>
    <w:rsid w:val="00C76C1B"/>
    <w:rsid w:val="00C81812"/>
    <w:rsid w:val="00C83055"/>
    <w:rsid w:val="00C84585"/>
    <w:rsid w:val="00C8460D"/>
    <w:rsid w:val="00C85E95"/>
    <w:rsid w:val="00C86A63"/>
    <w:rsid w:val="00C87519"/>
    <w:rsid w:val="00C87713"/>
    <w:rsid w:val="00C919E7"/>
    <w:rsid w:val="00C96814"/>
    <w:rsid w:val="00CA34CF"/>
    <w:rsid w:val="00CA5C46"/>
    <w:rsid w:val="00CA6646"/>
    <w:rsid w:val="00CA69BF"/>
    <w:rsid w:val="00CA700F"/>
    <w:rsid w:val="00CA7B9D"/>
    <w:rsid w:val="00CB0882"/>
    <w:rsid w:val="00CB1C92"/>
    <w:rsid w:val="00CB421D"/>
    <w:rsid w:val="00CB4824"/>
    <w:rsid w:val="00CB6D3E"/>
    <w:rsid w:val="00CB6FC5"/>
    <w:rsid w:val="00CB7EA9"/>
    <w:rsid w:val="00CC0867"/>
    <w:rsid w:val="00CC2C76"/>
    <w:rsid w:val="00CC34DA"/>
    <w:rsid w:val="00CC3F08"/>
    <w:rsid w:val="00CC4876"/>
    <w:rsid w:val="00CC7465"/>
    <w:rsid w:val="00CD67E5"/>
    <w:rsid w:val="00CE17D5"/>
    <w:rsid w:val="00CE345C"/>
    <w:rsid w:val="00CE639E"/>
    <w:rsid w:val="00CE6A4D"/>
    <w:rsid w:val="00CF1C8F"/>
    <w:rsid w:val="00CF2024"/>
    <w:rsid w:val="00CF4A00"/>
    <w:rsid w:val="00CF5317"/>
    <w:rsid w:val="00CF5750"/>
    <w:rsid w:val="00CF5888"/>
    <w:rsid w:val="00CF5EEE"/>
    <w:rsid w:val="00D004D4"/>
    <w:rsid w:val="00D04B23"/>
    <w:rsid w:val="00D05407"/>
    <w:rsid w:val="00D0633A"/>
    <w:rsid w:val="00D07A22"/>
    <w:rsid w:val="00D131DA"/>
    <w:rsid w:val="00D13AF8"/>
    <w:rsid w:val="00D16072"/>
    <w:rsid w:val="00D205D4"/>
    <w:rsid w:val="00D20709"/>
    <w:rsid w:val="00D26F8F"/>
    <w:rsid w:val="00D308D1"/>
    <w:rsid w:val="00D334F2"/>
    <w:rsid w:val="00D35E81"/>
    <w:rsid w:val="00D369A9"/>
    <w:rsid w:val="00D43BFC"/>
    <w:rsid w:val="00D44E4F"/>
    <w:rsid w:val="00D45776"/>
    <w:rsid w:val="00D5267A"/>
    <w:rsid w:val="00D5280A"/>
    <w:rsid w:val="00D5292D"/>
    <w:rsid w:val="00D52E56"/>
    <w:rsid w:val="00D55418"/>
    <w:rsid w:val="00D5542C"/>
    <w:rsid w:val="00D57B7A"/>
    <w:rsid w:val="00D60B16"/>
    <w:rsid w:val="00D60BDB"/>
    <w:rsid w:val="00D64333"/>
    <w:rsid w:val="00D66AC4"/>
    <w:rsid w:val="00D672CF"/>
    <w:rsid w:val="00D70849"/>
    <w:rsid w:val="00D70C78"/>
    <w:rsid w:val="00D7399A"/>
    <w:rsid w:val="00D77538"/>
    <w:rsid w:val="00D77917"/>
    <w:rsid w:val="00D77E03"/>
    <w:rsid w:val="00D80EA4"/>
    <w:rsid w:val="00D822D6"/>
    <w:rsid w:val="00D86585"/>
    <w:rsid w:val="00D903BD"/>
    <w:rsid w:val="00D90B3F"/>
    <w:rsid w:val="00D91796"/>
    <w:rsid w:val="00D93734"/>
    <w:rsid w:val="00DA306F"/>
    <w:rsid w:val="00DA3E3E"/>
    <w:rsid w:val="00DA4221"/>
    <w:rsid w:val="00DA4D92"/>
    <w:rsid w:val="00DA6D48"/>
    <w:rsid w:val="00DA7441"/>
    <w:rsid w:val="00DA7C18"/>
    <w:rsid w:val="00DB109D"/>
    <w:rsid w:val="00DB1136"/>
    <w:rsid w:val="00DB30B7"/>
    <w:rsid w:val="00DB4305"/>
    <w:rsid w:val="00DB575F"/>
    <w:rsid w:val="00DB6CC7"/>
    <w:rsid w:val="00DB7883"/>
    <w:rsid w:val="00DC0BFA"/>
    <w:rsid w:val="00DC1141"/>
    <w:rsid w:val="00DD0F22"/>
    <w:rsid w:val="00DD426C"/>
    <w:rsid w:val="00DD4314"/>
    <w:rsid w:val="00DD7DEE"/>
    <w:rsid w:val="00DD7E41"/>
    <w:rsid w:val="00DE02AE"/>
    <w:rsid w:val="00DE1CB2"/>
    <w:rsid w:val="00DE31F1"/>
    <w:rsid w:val="00DE3D1E"/>
    <w:rsid w:val="00DE3D9B"/>
    <w:rsid w:val="00DE599A"/>
    <w:rsid w:val="00DE5F74"/>
    <w:rsid w:val="00DF05A4"/>
    <w:rsid w:val="00E023E8"/>
    <w:rsid w:val="00E032E9"/>
    <w:rsid w:val="00E05569"/>
    <w:rsid w:val="00E05E24"/>
    <w:rsid w:val="00E07639"/>
    <w:rsid w:val="00E13C8B"/>
    <w:rsid w:val="00E140F4"/>
    <w:rsid w:val="00E14657"/>
    <w:rsid w:val="00E155BA"/>
    <w:rsid w:val="00E168A0"/>
    <w:rsid w:val="00E20591"/>
    <w:rsid w:val="00E214ED"/>
    <w:rsid w:val="00E21855"/>
    <w:rsid w:val="00E21A9D"/>
    <w:rsid w:val="00E227DD"/>
    <w:rsid w:val="00E22F8E"/>
    <w:rsid w:val="00E27024"/>
    <w:rsid w:val="00E277E4"/>
    <w:rsid w:val="00E31FD4"/>
    <w:rsid w:val="00E3239C"/>
    <w:rsid w:val="00E33132"/>
    <w:rsid w:val="00E340A6"/>
    <w:rsid w:val="00E350F9"/>
    <w:rsid w:val="00E358C6"/>
    <w:rsid w:val="00E402F6"/>
    <w:rsid w:val="00E45654"/>
    <w:rsid w:val="00E4571B"/>
    <w:rsid w:val="00E51D80"/>
    <w:rsid w:val="00E52C4D"/>
    <w:rsid w:val="00E530F8"/>
    <w:rsid w:val="00E60EDD"/>
    <w:rsid w:val="00E62C13"/>
    <w:rsid w:val="00E6575E"/>
    <w:rsid w:val="00E6638F"/>
    <w:rsid w:val="00E71560"/>
    <w:rsid w:val="00E80208"/>
    <w:rsid w:val="00E832FD"/>
    <w:rsid w:val="00E83CCF"/>
    <w:rsid w:val="00E858AF"/>
    <w:rsid w:val="00E86984"/>
    <w:rsid w:val="00E91CC4"/>
    <w:rsid w:val="00E923E9"/>
    <w:rsid w:val="00E948FA"/>
    <w:rsid w:val="00E94A88"/>
    <w:rsid w:val="00E95910"/>
    <w:rsid w:val="00E9735C"/>
    <w:rsid w:val="00EA0178"/>
    <w:rsid w:val="00EA02D7"/>
    <w:rsid w:val="00EA132A"/>
    <w:rsid w:val="00EA3914"/>
    <w:rsid w:val="00EA5A40"/>
    <w:rsid w:val="00EA739D"/>
    <w:rsid w:val="00EA7547"/>
    <w:rsid w:val="00EB0CE7"/>
    <w:rsid w:val="00EB2C46"/>
    <w:rsid w:val="00EB355D"/>
    <w:rsid w:val="00EB6373"/>
    <w:rsid w:val="00EB6A2E"/>
    <w:rsid w:val="00EB6E13"/>
    <w:rsid w:val="00EC0589"/>
    <w:rsid w:val="00EC0814"/>
    <w:rsid w:val="00EC2E8E"/>
    <w:rsid w:val="00EC43FF"/>
    <w:rsid w:val="00EC53E4"/>
    <w:rsid w:val="00ED1568"/>
    <w:rsid w:val="00ED1D98"/>
    <w:rsid w:val="00ED2ADC"/>
    <w:rsid w:val="00ED3573"/>
    <w:rsid w:val="00ED5310"/>
    <w:rsid w:val="00EE1EE8"/>
    <w:rsid w:val="00EE3403"/>
    <w:rsid w:val="00EE688E"/>
    <w:rsid w:val="00EF160F"/>
    <w:rsid w:val="00EF19A6"/>
    <w:rsid w:val="00EF3FA2"/>
    <w:rsid w:val="00EF3FEA"/>
    <w:rsid w:val="00EF535D"/>
    <w:rsid w:val="00EF7AC1"/>
    <w:rsid w:val="00F001AF"/>
    <w:rsid w:val="00F002B9"/>
    <w:rsid w:val="00F037B9"/>
    <w:rsid w:val="00F041A2"/>
    <w:rsid w:val="00F05B3B"/>
    <w:rsid w:val="00F11D42"/>
    <w:rsid w:val="00F14A86"/>
    <w:rsid w:val="00F14B2D"/>
    <w:rsid w:val="00F23FEF"/>
    <w:rsid w:val="00F2755A"/>
    <w:rsid w:val="00F31E14"/>
    <w:rsid w:val="00F330B7"/>
    <w:rsid w:val="00F345E0"/>
    <w:rsid w:val="00F350F5"/>
    <w:rsid w:val="00F41EBC"/>
    <w:rsid w:val="00F4228F"/>
    <w:rsid w:val="00F445AC"/>
    <w:rsid w:val="00F46306"/>
    <w:rsid w:val="00F5244D"/>
    <w:rsid w:val="00F52B20"/>
    <w:rsid w:val="00F55F87"/>
    <w:rsid w:val="00F56715"/>
    <w:rsid w:val="00F57646"/>
    <w:rsid w:val="00F603E8"/>
    <w:rsid w:val="00F613AC"/>
    <w:rsid w:val="00F63646"/>
    <w:rsid w:val="00F65CDE"/>
    <w:rsid w:val="00F66223"/>
    <w:rsid w:val="00F66349"/>
    <w:rsid w:val="00F67056"/>
    <w:rsid w:val="00F71D12"/>
    <w:rsid w:val="00F71EF1"/>
    <w:rsid w:val="00F71FDB"/>
    <w:rsid w:val="00F74A4D"/>
    <w:rsid w:val="00F76B07"/>
    <w:rsid w:val="00F77FAA"/>
    <w:rsid w:val="00F821A9"/>
    <w:rsid w:val="00F84072"/>
    <w:rsid w:val="00F84C4A"/>
    <w:rsid w:val="00F8613B"/>
    <w:rsid w:val="00F877BF"/>
    <w:rsid w:val="00F92096"/>
    <w:rsid w:val="00F92E43"/>
    <w:rsid w:val="00F94207"/>
    <w:rsid w:val="00F948D5"/>
    <w:rsid w:val="00F95125"/>
    <w:rsid w:val="00F95C1F"/>
    <w:rsid w:val="00F9690C"/>
    <w:rsid w:val="00F97324"/>
    <w:rsid w:val="00FB3EA5"/>
    <w:rsid w:val="00FB70CC"/>
    <w:rsid w:val="00FC5659"/>
    <w:rsid w:val="00FC696D"/>
    <w:rsid w:val="00FC6C7D"/>
    <w:rsid w:val="00FC736F"/>
    <w:rsid w:val="00FC7DC2"/>
    <w:rsid w:val="00FD433F"/>
    <w:rsid w:val="00FD534F"/>
    <w:rsid w:val="00FD62BB"/>
    <w:rsid w:val="00FE0AA9"/>
    <w:rsid w:val="00FE0F97"/>
    <w:rsid w:val="00FE1EE2"/>
    <w:rsid w:val="00FE3CF8"/>
    <w:rsid w:val="00FE67BC"/>
    <w:rsid w:val="00FF07DF"/>
    <w:rsid w:val="00FF25B6"/>
    <w:rsid w:val="00FF39D1"/>
    <w:rsid w:val="00FF5662"/>
    <w:rsid w:val="00FF6E09"/>
    <w:rsid w:val="00FF72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D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4EE2"/>
  </w:style>
  <w:style w:type="paragraph" w:styleId="Heading1">
    <w:name w:val="heading 1"/>
    <w:aliases w:val="Heading 1 Char1,Heading 1 Char Char"/>
    <w:basedOn w:val="Normal"/>
    <w:link w:val="Heading1Char"/>
    <w:qFormat/>
    <w:rsid w:val="006919F4"/>
    <w:pPr>
      <w:spacing w:before="100" w:beforeAutospacing="1" w:after="100" w:afterAutospacing="1"/>
      <w:outlineLvl w:val="0"/>
    </w:pPr>
    <w:rPr>
      <w:b/>
      <w:bCs/>
      <w:kern w:val="36"/>
      <w:szCs w:val="48"/>
    </w:rPr>
  </w:style>
  <w:style w:type="paragraph" w:styleId="Heading2">
    <w:name w:val="heading 2"/>
    <w:basedOn w:val="Normal"/>
    <w:next w:val="Normal"/>
    <w:link w:val="Heading2Char"/>
    <w:qFormat/>
    <w:rsid w:val="006919F4"/>
    <w:pPr>
      <w:keepNext/>
      <w:spacing w:before="240" w:after="60"/>
      <w:outlineLvl w:val="1"/>
    </w:pPr>
    <w:rPr>
      <w:rFonts w:cs="Arial"/>
      <w:bCs/>
      <w:iCs/>
      <w:szCs w:val="28"/>
      <w:u w:val="single"/>
    </w:rPr>
  </w:style>
  <w:style w:type="paragraph" w:styleId="Heading3">
    <w:name w:val="heading 3"/>
    <w:basedOn w:val="Normal"/>
    <w:next w:val="Normal"/>
    <w:link w:val="Heading3Char"/>
    <w:qFormat/>
    <w:rsid w:val="006919F4"/>
    <w:pPr>
      <w:keepNext/>
      <w:spacing w:before="120" w:after="240"/>
      <w:outlineLvl w:val="2"/>
    </w:pPr>
    <w:rPr>
      <w:rFonts w:cs="Arial"/>
      <w:bCs/>
      <w:i/>
      <w:szCs w:val="26"/>
    </w:rPr>
  </w:style>
  <w:style w:type="paragraph" w:styleId="Heading4">
    <w:name w:val="heading 4"/>
    <w:basedOn w:val="Normal"/>
    <w:next w:val="Normal"/>
    <w:link w:val="Heading4Char"/>
    <w:qFormat/>
    <w:rsid w:val="006919F4"/>
    <w:pPr>
      <w:keepNext/>
      <w:jc w:val="center"/>
      <w:outlineLvl w:val="3"/>
    </w:pPr>
  </w:style>
  <w:style w:type="paragraph" w:styleId="Heading5">
    <w:name w:val="heading 5"/>
    <w:basedOn w:val="Normal"/>
    <w:link w:val="Heading5Char"/>
    <w:qFormat/>
    <w:rsid w:val="006919F4"/>
    <w:pPr>
      <w:outlineLvl w:val="4"/>
    </w:pPr>
    <w:rPr>
      <w:bCs/>
      <w:iCs/>
      <w:szCs w:val="26"/>
    </w:rPr>
  </w:style>
  <w:style w:type="paragraph" w:styleId="Heading6">
    <w:name w:val="heading 6"/>
    <w:aliases w:val="Heading 6 Char1,Heading 6 Char Char,Heading 61,Heading 61 Char"/>
    <w:basedOn w:val="Normal"/>
    <w:next w:val="Normal"/>
    <w:link w:val="Heading6Char"/>
    <w:qFormat/>
    <w:rsid w:val="006919F4"/>
    <w:pPr>
      <w:outlineLvl w:val="5"/>
    </w:pPr>
    <w:rPr>
      <w:bCs/>
      <w:szCs w:val="22"/>
    </w:rPr>
  </w:style>
  <w:style w:type="paragraph" w:styleId="Heading7">
    <w:name w:val="heading 7"/>
    <w:basedOn w:val="Normal"/>
    <w:next w:val="Normal"/>
    <w:link w:val="Heading7Char"/>
    <w:qFormat/>
    <w:rsid w:val="006919F4"/>
    <w:pPr>
      <w:outlineLvl w:val="6"/>
    </w:pPr>
  </w:style>
  <w:style w:type="paragraph" w:styleId="Heading8">
    <w:name w:val="heading 8"/>
    <w:basedOn w:val="Normal"/>
    <w:next w:val="Normal"/>
    <w:link w:val="Heading8Char"/>
    <w:qFormat/>
    <w:rsid w:val="006919F4"/>
    <w:pPr>
      <w:outlineLvl w:val="7"/>
    </w:pPr>
    <w:rPr>
      <w:iCs/>
    </w:rPr>
  </w:style>
  <w:style w:type="paragraph" w:styleId="Heading9">
    <w:name w:val="heading 9"/>
    <w:basedOn w:val="Normal"/>
    <w:next w:val="Normal"/>
    <w:link w:val="Heading9Char"/>
    <w:qFormat/>
    <w:rsid w:val="006919F4"/>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6919F4"/>
    <w:rPr>
      <w:b/>
      <w:bCs/>
      <w:kern w:val="36"/>
      <w:sz w:val="24"/>
      <w:szCs w:val="48"/>
    </w:rPr>
  </w:style>
  <w:style w:type="character" w:customStyle="1" w:styleId="Heading2Char">
    <w:name w:val="Heading 2 Char"/>
    <w:basedOn w:val="DefaultParagraphFont"/>
    <w:link w:val="Heading2"/>
    <w:rsid w:val="006919F4"/>
    <w:rPr>
      <w:rFonts w:cs="Arial"/>
      <w:bCs/>
      <w:iCs/>
      <w:sz w:val="24"/>
      <w:szCs w:val="28"/>
      <w:u w:val="single"/>
    </w:rPr>
  </w:style>
  <w:style w:type="character" w:customStyle="1" w:styleId="Heading3Char">
    <w:name w:val="Heading 3 Char"/>
    <w:basedOn w:val="DefaultParagraphFont"/>
    <w:link w:val="Heading3"/>
    <w:rsid w:val="006919F4"/>
    <w:rPr>
      <w:rFonts w:cs="Arial"/>
      <w:bCs/>
      <w:i/>
      <w:sz w:val="24"/>
      <w:szCs w:val="26"/>
    </w:rPr>
  </w:style>
  <w:style w:type="character" w:customStyle="1" w:styleId="Heading4Char">
    <w:name w:val="Heading 4 Char"/>
    <w:basedOn w:val="DefaultParagraphFont"/>
    <w:link w:val="Heading4"/>
    <w:rsid w:val="006919F4"/>
    <w:rPr>
      <w:sz w:val="24"/>
      <w:szCs w:val="24"/>
    </w:rPr>
  </w:style>
  <w:style w:type="character" w:customStyle="1" w:styleId="Heading5Char">
    <w:name w:val="Heading 5 Char"/>
    <w:basedOn w:val="DefaultParagraphFont"/>
    <w:link w:val="Heading5"/>
    <w:rsid w:val="006919F4"/>
    <w:rPr>
      <w:bCs/>
      <w:iCs/>
      <w:sz w:val="24"/>
      <w:szCs w:val="26"/>
    </w:rPr>
  </w:style>
  <w:style w:type="character" w:customStyle="1" w:styleId="Heading6Char">
    <w:name w:val="Heading 6 Char"/>
    <w:aliases w:val="Heading 6 Char1 Char,Heading 6 Char Char Char,Heading 61 Char1,Heading 61 Char Char"/>
    <w:basedOn w:val="DefaultParagraphFont"/>
    <w:link w:val="Heading6"/>
    <w:rsid w:val="006919F4"/>
    <w:rPr>
      <w:bCs/>
      <w:sz w:val="24"/>
      <w:szCs w:val="22"/>
    </w:rPr>
  </w:style>
  <w:style w:type="character" w:customStyle="1" w:styleId="Heading7Char">
    <w:name w:val="Heading 7 Char"/>
    <w:basedOn w:val="DefaultParagraphFont"/>
    <w:link w:val="Heading7"/>
    <w:rsid w:val="006919F4"/>
    <w:rPr>
      <w:sz w:val="24"/>
      <w:szCs w:val="24"/>
    </w:rPr>
  </w:style>
  <w:style w:type="character" w:customStyle="1" w:styleId="Heading8Char">
    <w:name w:val="Heading 8 Char"/>
    <w:basedOn w:val="DefaultParagraphFont"/>
    <w:link w:val="Heading8"/>
    <w:rsid w:val="006919F4"/>
    <w:rPr>
      <w:iCs/>
      <w:sz w:val="24"/>
      <w:szCs w:val="24"/>
    </w:rPr>
  </w:style>
  <w:style w:type="character" w:customStyle="1" w:styleId="Heading9Char">
    <w:name w:val="Heading 9 Char"/>
    <w:basedOn w:val="DefaultParagraphFont"/>
    <w:link w:val="Heading9"/>
    <w:rsid w:val="006919F4"/>
    <w:rPr>
      <w:rFonts w:cs="Arial"/>
      <w:sz w:val="24"/>
      <w:szCs w:val="22"/>
    </w:rPr>
  </w:style>
  <w:style w:type="paragraph" w:customStyle="1" w:styleId="Journalfont">
    <w:name w:val="_Journal font"/>
    <w:qFormat/>
    <w:rsid w:val="007D4EE2"/>
    <w:pPr>
      <w:widowControl w:val="0"/>
      <w:spacing w:line="260" w:lineRule="exact"/>
      <w:jc w:val="both"/>
    </w:pPr>
    <w:rPr>
      <w:rFonts w:ascii="TimesTen" w:hAnsi="TimesTen"/>
      <w:noProof/>
      <w:sz w:val="22"/>
    </w:rPr>
  </w:style>
  <w:style w:type="paragraph" w:customStyle="1" w:styleId="FootNote">
    <w:name w:val="_FootNote"/>
    <w:basedOn w:val="Journalfont"/>
    <w:qFormat/>
    <w:rsid w:val="007D4EE2"/>
    <w:pPr>
      <w:suppressLineNumbers/>
      <w:tabs>
        <w:tab w:val="right" w:pos="320"/>
        <w:tab w:val="left" w:pos="440"/>
      </w:tabs>
      <w:spacing w:line="200" w:lineRule="exact"/>
    </w:pPr>
    <w:rPr>
      <w:sz w:val="17"/>
    </w:rPr>
  </w:style>
  <w:style w:type="paragraph" w:customStyle="1" w:styleId="1stQuoteFN">
    <w:name w:val="_1stQuoteFN"/>
    <w:basedOn w:val="FootNote"/>
    <w:qFormat/>
    <w:rsid w:val="007D4EE2"/>
    <w:pPr>
      <w:tabs>
        <w:tab w:val="left" w:pos="320"/>
      </w:tabs>
      <w:ind w:left="340" w:right="340"/>
    </w:pPr>
  </w:style>
  <w:style w:type="paragraph" w:customStyle="1" w:styleId="1StLineQuoteFn-1Num">
    <w:name w:val="_1StLineQuoteFn-1Num"/>
    <w:basedOn w:val="1stQuoteFN"/>
    <w:next w:val="FootNote"/>
    <w:qFormat/>
    <w:rsid w:val="007D4EE2"/>
    <w:pPr>
      <w:tabs>
        <w:tab w:val="clear" w:pos="320"/>
        <w:tab w:val="clear" w:pos="440"/>
        <w:tab w:val="right" w:pos="317"/>
        <w:tab w:val="left" w:pos="446"/>
      </w:tabs>
      <w:ind w:left="446" w:right="346" w:hanging="446"/>
    </w:pPr>
  </w:style>
  <w:style w:type="paragraph" w:customStyle="1" w:styleId="1StLineQuoteFn-2Num">
    <w:name w:val="_1StLineQuoteFn-2Num"/>
    <w:basedOn w:val="1StLineQuoteFn-1Num"/>
    <w:qFormat/>
    <w:rsid w:val="007D4EE2"/>
    <w:pPr>
      <w:tabs>
        <w:tab w:val="clear" w:pos="317"/>
        <w:tab w:val="clear" w:pos="446"/>
        <w:tab w:val="right" w:pos="320"/>
        <w:tab w:val="left" w:pos="440"/>
      </w:tabs>
      <w:ind w:left="440" w:right="440" w:hanging="440"/>
    </w:pPr>
  </w:style>
  <w:style w:type="paragraph" w:customStyle="1" w:styleId="1StLineQuoteFn-3Num">
    <w:name w:val="_1StLineQuoteFn-3Num"/>
    <w:basedOn w:val="1StLineQuoteFn-2Num"/>
    <w:qFormat/>
    <w:rsid w:val="007D4EE2"/>
  </w:style>
  <w:style w:type="paragraph" w:customStyle="1" w:styleId="1StQuoteTXT">
    <w:name w:val="_1StQuoteTXT"/>
    <w:basedOn w:val="Journalfont"/>
    <w:next w:val="Normal"/>
    <w:qFormat/>
    <w:rsid w:val="007D4EE2"/>
    <w:pPr>
      <w:spacing w:before="40" w:after="40" w:line="240" w:lineRule="exact"/>
      <w:ind w:left="420" w:right="420"/>
    </w:pPr>
    <w:rPr>
      <w:sz w:val="20"/>
    </w:rPr>
  </w:style>
  <w:style w:type="paragraph" w:customStyle="1" w:styleId="2NdQuoteFN">
    <w:name w:val="_2NdQuoteFN"/>
    <w:basedOn w:val="FootNote"/>
    <w:next w:val="Normal"/>
    <w:qFormat/>
    <w:rsid w:val="007D4EE2"/>
    <w:pPr>
      <w:tabs>
        <w:tab w:val="left" w:pos="320"/>
      </w:tabs>
      <w:ind w:left="680" w:right="340"/>
    </w:pPr>
  </w:style>
  <w:style w:type="paragraph" w:customStyle="1" w:styleId="2NdQuoteTXT">
    <w:name w:val="_2NdQuoteTXT"/>
    <w:basedOn w:val="Journalfont"/>
    <w:next w:val="Journalfont"/>
    <w:qFormat/>
    <w:rsid w:val="007D4EE2"/>
    <w:pPr>
      <w:spacing w:before="40" w:after="40" w:line="240" w:lineRule="exact"/>
      <w:ind w:left="880" w:right="440"/>
    </w:pPr>
    <w:rPr>
      <w:sz w:val="20"/>
    </w:rPr>
  </w:style>
  <w:style w:type="paragraph" w:customStyle="1" w:styleId="3RdQuoteFN">
    <w:name w:val="_3RdQuoteFN"/>
    <w:basedOn w:val="FootNote"/>
    <w:next w:val="Normal"/>
    <w:qFormat/>
    <w:rsid w:val="007D4EE2"/>
    <w:pPr>
      <w:tabs>
        <w:tab w:val="left" w:pos="320"/>
      </w:tabs>
      <w:ind w:left="1020" w:right="340"/>
    </w:pPr>
  </w:style>
  <w:style w:type="paragraph" w:customStyle="1" w:styleId="3RdQuoteTXT">
    <w:name w:val="_3RdQuoteTXT"/>
    <w:basedOn w:val="Journalfont"/>
    <w:next w:val="Normal"/>
    <w:qFormat/>
    <w:rsid w:val="007D4EE2"/>
    <w:pPr>
      <w:spacing w:before="40" w:after="40" w:line="240" w:lineRule="exact"/>
      <w:ind w:left="1320" w:right="440"/>
    </w:pPr>
    <w:rPr>
      <w:sz w:val="20"/>
    </w:rPr>
  </w:style>
  <w:style w:type="paragraph" w:customStyle="1" w:styleId="4ThQuoteFN">
    <w:name w:val="_4ThQuoteFN"/>
    <w:basedOn w:val="FootNote"/>
    <w:next w:val="Normal"/>
    <w:qFormat/>
    <w:rsid w:val="007D4EE2"/>
    <w:pPr>
      <w:tabs>
        <w:tab w:val="left" w:pos="320"/>
      </w:tabs>
      <w:ind w:left="1360" w:right="340"/>
    </w:pPr>
  </w:style>
  <w:style w:type="paragraph" w:customStyle="1" w:styleId="4ThQuoteTXT">
    <w:name w:val="_4ThQuoteTXT"/>
    <w:basedOn w:val="Journalfont"/>
    <w:next w:val="Normal"/>
    <w:qFormat/>
    <w:rsid w:val="007D4EE2"/>
    <w:pPr>
      <w:spacing w:before="40" w:after="40" w:line="240" w:lineRule="exact"/>
      <w:ind w:left="1760" w:right="440"/>
    </w:pPr>
    <w:rPr>
      <w:sz w:val="20"/>
    </w:rPr>
  </w:style>
  <w:style w:type="paragraph" w:customStyle="1" w:styleId="Abstract">
    <w:name w:val="_Abstract"/>
    <w:basedOn w:val="Journalfont"/>
    <w:next w:val="1StQuoteTXT"/>
    <w:qFormat/>
    <w:rsid w:val="007D4EE2"/>
    <w:pPr>
      <w:keepNext/>
      <w:tabs>
        <w:tab w:val="left" w:pos="2800"/>
        <w:tab w:val="left" w:pos="5440"/>
      </w:tabs>
      <w:suppressAutoHyphens/>
      <w:spacing w:before="40" w:after="240" w:line="200" w:lineRule="exact"/>
      <w:ind w:left="340" w:right="340"/>
    </w:pPr>
    <w:rPr>
      <w:i/>
      <w:sz w:val="17"/>
    </w:rPr>
  </w:style>
  <w:style w:type="paragraph" w:customStyle="1" w:styleId="AuthorName1-Articles">
    <w:name w:val="_AuthorName1-Articles"/>
    <w:basedOn w:val="Journalfont"/>
    <w:next w:val="Normal"/>
    <w:qFormat/>
    <w:rsid w:val="007D4EE2"/>
    <w:pPr>
      <w:keepNext/>
      <w:suppressAutoHyphens/>
      <w:spacing w:after="220"/>
      <w:jc w:val="center"/>
    </w:pPr>
    <w:rPr>
      <w:smallCaps/>
    </w:rPr>
  </w:style>
  <w:style w:type="paragraph" w:customStyle="1" w:styleId="AuthorName2-BookReviews">
    <w:name w:val="_AuthorName2-BookReviews"/>
    <w:basedOn w:val="Journalfont"/>
    <w:next w:val="Normal"/>
    <w:qFormat/>
    <w:rsid w:val="007D4EE2"/>
    <w:pPr>
      <w:keepNext/>
      <w:tabs>
        <w:tab w:val="left" w:pos="440"/>
      </w:tabs>
      <w:suppressAutoHyphens/>
      <w:spacing w:before="220" w:after="260"/>
      <w:jc w:val="center"/>
    </w:pPr>
    <w:rPr>
      <w:smallCaps/>
    </w:rPr>
  </w:style>
  <w:style w:type="paragraph" w:customStyle="1" w:styleId="AuthorName3a-Dedication">
    <w:name w:val="_AuthorName3a-Dedication"/>
    <w:basedOn w:val="Journalfont"/>
    <w:next w:val="Normal"/>
    <w:qFormat/>
    <w:rsid w:val="007D4EE2"/>
    <w:pPr>
      <w:suppressLineNumbers/>
      <w:suppressAutoHyphens/>
      <w:spacing w:before="400" w:after="120" w:line="320" w:lineRule="exact"/>
      <w:jc w:val="left"/>
    </w:pPr>
    <w:rPr>
      <w:spacing w:val="-3"/>
      <w:sz w:val="28"/>
    </w:rPr>
  </w:style>
  <w:style w:type="paragraph" w:customStyle="1" w:styleId="AuthorName3b-Dedication">
    <w:name w:val="_AuthorName3b-Dedication"/>
    <w:basedOn w:val="Journalfont"/>
    <w:next w:val="Normal"/>
    <w:qFormat/>
    <w:rsid w:val="007D4EE2"/>
    <w:pPr>
      <w:suppressLineNumbers/>
      <w:suppressAutoHyphens/>
      <w:spacing w:after="200"/>
    </w:pPr>
    <w:rPr>
      <w:i/>
      <w:spacing w:val="-3"/>
    </w:rPr>
  </w:style>
  <w:style w:type="paragraph" w:customStyle="1" w:styleId="Document">
    <w:name w:val="_Document"/>
    <w:basedOn w:val="Journalfont"/>
    <w:qFormat/>
    <w:rsid w:val="007D4EE2"/>
    <w:pPr>
      <w:suppressLineNumbers/>
      <w:tabs>
        <w:tab w:val="left" w:pos="0"/>
        <w:tab w:val="left" w:pos="400"/>
        <w:tab w:val="left" w:pos="620"/>
      </w:tabs>
      <w:ind w:firstLine="440"/>
    </w:pPr>
  </w:style>
  <w:style w:type="paragraph" w:customStyle="1" w:styleId="FootNotePara">
    <w:name w:val="_FootNotePara"/>
    <w:basedOn w:val="FootNote"/>
    <w:qFormat/>
    <w:rsid w:val="007D4EE2"/>
    <w:pPr>
      <w:ind w:firstLine="340"/>
    </w:pPr>
  </w:style>
  <w:style w:type="paragraph" w:customStyle="1" w:styleId="Head1-Articles">
    <w:name w:val="_Head1-Articles"/>
    <w:basedOn w:val="Journalfont"/>
    <w:next w:val="Document"/>
    <w:qFormat/>
    <w:rsid w:val="007D4EE2"/>
    <w:pPr>
      <w:keepNext/>
      <w:suppressAutoHyphens/>
      <w:spacing w:after="220" w:line="320" w:lineRule="exact"/>
      <w:jc w:val="center"/>
    </w:pPr>
    <w:rPr>
      <w:caps/>
      <w:sz w:val="30"/>
    </w:rPr>
  </w:style>
  <w:style w:type="paragraph" w:customStyle="1" w:styleId="Head2-BookReviews">
    <w:name w:val="_Head2-BookReviews"/>
    <w:basedOn w:val="Journalfont"/>
    <w:next w:val="Document"/>
    <w:qFormat/>
    <w:rsid w:val="007D4EE2"/>
    <w:pPr>
      <w:keepNext/>
      <w:tabs>
        <w:tab w:val="left" w:pos="440"/>
      </w:tabs>
      <w:suppressAutoHyphens/>
      <w:spacing w:after="220"/>
    </w:pPr>
    <w:rPr>
      <w:smallCaps/>
    </w:rPr>
  </w:style>
  <w:style w:type="paragraph" w:customStyle="1" w:styleId="Head3-Appendix">
    <w:name w:val="_Head3-Appendix"/>
    <w:basedOn w:val="Journalfont"/>
    <w:next w:val="Document"/>
    <w:qFormat/>
    <w:rsid w:val="007D4EE2"/>
    <w:pPr>
      <w:spacing w:before="320" w:after="200"/>
      <w:jc w:val="center"/>
    </w:pPr>
  </w:style>
  <w:style w:type="paragraph" w:customStyle="1" w:styleId="Head4-DocketNum">
    <w:name w:val="_Head4-DocketNum"/>
    <w:basedOn w:val="Journalfont"/>
    <w:next w:val="Document"/>
    <w:qFormat/>
    <w:rsid w:val="007D4EE2"/>
    <w:pPr>
      <w:spacing w:before="200" w:after="80" w:line="200" w:lineRule="exact"/>
      <w:jc w:val="center"/>
    </w:pPr>
    <w:rPr>
      <w:b/>
      <w:sz w:val="16"/>
    </w:rPr>
  </w:style>
  <w:style w:type="paragraph" w:customStyle="1" w:styleId="Head5-CaseName">
    <w:name w:val="_Head5-CaseName"/>
    <w:basedOn w:val="Journalfont"/>
    <w:next w:val="Document"/>
    <w:qFormat/>
    <w:rsid w:val="007D4EE2"/>
    <w:pPr>
      <w:spacing w:line="200" w:lineRule="exact"/>
      <w:jc w:val="center"/>
    </w:pPr>
    <w:rPr>
      <w:b/>
      <w:sz w:val="16"/>
    </w:rPr>
  </w:style>
  <w:style w:type="paragraph" w:customStyle="1" w:styleId="Head6-CiteBelowCase">
    <w:name w:val="_Head6-CiteBelowCase"/>
    <w:basedOn w:val="Journalfont"/>
    <w:next w:val="Document"/>
    <w:qFormat/>
    <w:rsid w:val="007D4EE2"/>
    <w:pPr>
      <w:spacing w:line="200" w:lineRule="exact"/>
      <w:jc w:val="center"/>
    </w:pPr>
    <w:rPr>
      <w:sz w:val="16"/>
    </w:rPr>
  </w:style>
  <w:style w:type="paragraph" w:customStyle="1" w:styleId="Head7-DedicationMain">
    <w:name w:val="_Head7-DedicationMain"/>
    <w:basedOn w:val="Journalfont"/>
    <w:next w:val="Document"/>
    <w:qFormat/>
    <w:rsid w:val="007D4EE2"/>
    <w:pPr>
      <w:suppressLineNumbers/>
      <w:suppressAutoHyphens/>
      <w:spacing w:before="80" w:after="40" w:line="200" w:lineRule="exact"/>
      <w:jc w:val="center"/>
    </w:pPr>
    <w:rPr>
      <w:sz w:val="16"/>
    </w:rPr>
  </w:style>
  <w:style w:type="paragraph" w:customStyle="1" w:styleId="Head8-DedicationBig">
    <w:name w:val="_Head8-DedicationBig"/>
    <w:basedOn w:val="Journalfont"/>
    <w:next w:val="Document"/>
    <w:qFormat/>
    <w:rsid w:val="007D4EE2"/>
    <w:pPr>
      <w:suppressLineNumbers/>
      <w:suppressAutoHyphens/>
      <w:spacing w:after="160" w:line="360" w:lineRule="exact"/>
      <w:jc w:val="left"/>
    </w:pPr>
    <w:rPr>
      <w:sz w:val="36"/>
    </w:rPr>
  </w:style>
  <w:style w:type="character" w:customStyle="1" w:styleId="NoterefInNote">
    <w:name w:val="_NoterefInNote"/>
    <w:basedOn w:val="DefaultParagraphFont"/>
    <w:qFormat/>
    <w:rsid w:val="007D4EE2"/>
    <w:rPr>
      <w:rFonts w:ascii="TimesTen" w:hAnsi="TimesTen"/>
      <w:position w:val="4"/>
      <w:sz w:val="13"/>
      <w:vertAlign w:val="baseline"/>
    </w:rPr>
  </w:style>
  <w:style w:type="character" w:customStyle="1" w:styleId="NoterefInText">
    <w:name w:val="_NoterefInText"/>
    <w:basedOn w:val="DefaultParagraphFont"/>
    <w:autoRedefine/>
    <w:qFormat/>
    <w:rsid w:val="000123C1"/>
    <w:rPr>
      <w:rFonts w:ascii="Times New Roman" w:eastAsia="Calibri" w:hAnsi="Times New Roman"/>
      <w:position w:val="6"/>
      <w:szCs w:val="22"/>
    </w:rPr>
  </w:style>
  <w:style w:type="paragraph" w:customStyle="1" w:styleId="NYULogo-Pt1">
    <w:name w:val="_NYULogo-Pt1"/>
    <w:basedOn w:val="Journalfont"/>
    <w:next w:val="Document"/>
    <w:qFormat/>
    <w:rsid w:val="007D4EE2"/>
    <w:pPr>
      <w:keepNext/>
      <w:suppressLineNumbers/>
      <w:suppressAutoHyphens/>
      <w:spacing w:after="60" w:line="360" w:lineRule="exact"/>
      <w:jc w:val="center"/>
    </w:pPr>
    <w:rPr>
      <w:caps/>
      <w:sz w:val="36"/>
    </w:rPr>
  </w:style>
  <w:style w:type="paragraph" w:customStyle="1" w:styleId="NYULogo-Pt2">
    <w:name w:val="_NYULogo-Pt2"/>
    <w:basedOn w:val="Journalfont"/>
    <w:next w:val="Document"/>
    <w:qFormat/>
    <w:rsid w:val="007D4EE2"/>
    <w:pPr>
      <w:keepNext/>
      <w:suppressLineNumbers/>
      <w:suppressAutoHyphens/>
      <w:spacing w:after="330" w:line="600" w:lineRule="exact"/>
      <w:jc w:val="center"/>
    </w:pPr>
    <w:rPr>
      <w:caps/>
      <w:sz w:val="48"/>
    </w:rPr>
  </w:style>
  <w:style w:type="paragraph" w:styleId="TOC2">
    <w:name w:val="toc 2"/>
    <w:basedOn w:val="Toc20"/>
    <w:next w:val="Journalfont"/>
    <w:autoRedefine/>
    <w:uiPriority w:val="39"/>
    <w:rsid w:val="007D4EE2"/>
  </w:style>
  <w:style w:type="paragraph" w:customStyle="1" w:styleId="Toc20">
    <w:name w:val="_Toc2"/>
    <w:basedOn w:val="Document"/>
    <w:next w:val="Document"/>
    <w:qFormat/>
    <w:rsid w:val="007D4EE2"/>
    <w:pPr>
      <w:tabs>
        <w:tab w:val="clear" w:pos="0"/>
        <w:tab w:val="clear" w:pos="620"/>
        <w:tab w:val="right" w:leader="dot" w:pos="6720"/>
      </w:tabs>
      <w:ind w:left="1000" w:right="440" w:hanging="400"/>
      <w:jc w:val="left"/>
    </w:pPr>
  </w:style>
  <w:style w:type="paragraph" w:styleId="TOC3">
    <w:name w:val="toc 3"/>
    <w:basedOn w:val="Toc30"/>
    <w:next w:val="Journalfont"/>
    <w:autoRedefine/>
    <w:uiPriority w:val="39"/>
    <w:rsid w:val="007D4EE2"/>
  </w:style>
  <w:style w:type="paragraph" w:customStyle="1" w:styleId="Toc30">
    <w:name w:val="_Toc3"/>
    <w:basedOn w:val="Document"/>
    <w:next w:val="Document"/>
    <w:qFormat/>
    <w:rsid w:val="007D4EE2"/>
    <w:pPr>
      <w:tabs>
        <w:tab w:val="clear" w:pos="0"/>
        <w:tab w:val="clear" w:pos="400"/>
        <w:tab w:val="clear" w:pos="620"/>
        <w:tab w:val="left" w:pos="320"/>
        <w:tab w:val="right" w:leader="dot" w:pos="6720"/>
      </w:tabs>
      <w:ind w:left="1320" w:right="440" w:hanging="320"/>
      <w:jc w:val="left"/>
    </w:pPr>
  </w:style>
  <w:style w:type="paragraph" w:styleId="TOC4">
    <w:name w:val="toc 4"/>
    <w:basedOn w:val="Toc40"/>
    <w:next w:val="Journalfont"/>
    <w:autoRedefine/>
    <w:uiPriority w:val="39"/>
    <w:rsid w:val="007D4EE2"/>
    <w:pPr>
      <w:tabs>
        <w:tab w:val="left" w:pos="800"/>
      </w:tabs>
    </w:pPr>
  </w:style>
  <w:style w:type="paragraph" w:customStyle="1" w:styleId="Toc40">
    <w:name w:val="_Toc4"/>
    <w:basedOn w:val="Document"/>
    <w:next w:val="Document"/>
    <w:link w:val="Toc4Char"/>
    <w:qFormat/>
    <w:rsid w:val="007D4EE2"/>
    <w:pPr>
      <w:tabs>
        <w:tab w:val="clear" w:pos="0"/>
        <w:tab w:val="clear" w:pos="400"/>
        <w:tab w:val="clear" w:pos="620"/>
        <w:tab w:val="left" w:pos="360"/>
        <w:tab w:val="right" w:leader="dot" w:pos="6720"/>
      </w:tabs>
      <w:ind w:left="1680" w:right="440" w:hanging="360"/>
      <w:jc w:val="left"/>
    </w:pPr>
  </w:style>
  <w:style w:type="character" w:customStyle="1" w:styleId="Toc4Char">
    <w:name w:val="_Toc4 Char"/>
    <w:link w:val="Toc40"/>
    <w:rsid w:val="006919F4"/>
    <w:rPr>
      <w:rFonts w:ascii="TimesTen" w:hAnsi="TimesTen"/>
      <w:noProof/>
      <w:sz w:val="22"/>
    </w:rPr>
  </w:style>
  <w:style w:type="paragraph" w:customStyle="1" w:styleId="SectionHead">
    <w:name w:val="_SectionHead"/>
    <w:basedOn w:val="Journalfont"/>
    <w:next w:val="Document"/>
    <w:qFormat/>
    <w:rsid w:val="007D4EE2"/>
    <w:pPr>
      <w:keepNext/>
      <w:suppressLineNumbers/>
      <w:suppressAutoHyphens/>
      <w:spacing w:after="220" w:line="400" w:lineRule="exact"/>
      <w:jc w:val="center"/>
    </w:pPr>
    <w:rPr>
      <w:i/>
      <w:caps/>
      <w:sz w:val="36"/>
    </w:rPr>
  </w:style>
  <w:style w:type="paragraph" w:customStyle="1" w:styleId="Subhead1">
    <w:name w:val="_Subhead1"/>
    <w:basedOn w:val="Journalfont"/>
    <w:next w:val="Document"/>
    <w:qFormat/>
    <w:rsid w:val="00CF2024"/>
    <w:pPr>
      <w:keepNext/>
      <w:tabs>
        <w:tab w:val="left" w:pos="440"/>
      </w:tabs>
      <w:suppressAutoHyphens/>
      <w:spacing w:before="240" w:after="80"/>
      <w:jc w:val="center"/>
    </w:pPr>
    <w:rPr>
      <w:smallCaps/>
      <w:sz w:val="21"/>
    </w:rPr>
  </w:style>
  <w:style w:type="paragraph" w:customStyle="1" w:styleId="SubHead2">
    <w:name w:val="_SubHead2"/>
    <w:basedOn w:val="Journalfont"/>
    <w:next w:val="Document"/>
    <w:qFormat/>
    <w:rsid w:val="00051101"/>
    <w:pPr>
      <w:keepNext/>
      <w:tabs>
        <w:tab w:val="left" w:pos="440"/>
      </w:tabs>
      <w:suppressAutoHyphens/>
      <w:spacing w:before="240" w:after="120"/>
      <w:jc w:val="center"/>
    </w:pPr>
    <w:rPr>
      <w:i/>
    </w:rPr>
  </w:style>
  <w:style w:type="paragraph" w:customStyle="1" w:styleId="SubHead3">
    <w:name w:val="_SubHead3"/>
    <w:basedOn w:val="Journalfont"/>
    <w:next w:val="Document"/>
    <w:link w:val="SubHead3Char1"/>
    <w:qFormat/>
    <w:rsid w:val="00051101"/>
    <w:pPr>
      <w:keepNext/>
      <w:tabs>
        <w:tab w:val="left" w:pos="440"/>
      </w:tabs>
      <w:suppressAutoHyphens/>
      <w:spacing w:before="240" w:after="120"/>
      <w:ind w:left="440" w:hanging="440"/>
      <w:jc w:val="left"/>
    </w:pPr>
    <w:rPr>
      <w:i/>
    </w:rPr>
  </w:style>
  <w:style w:type="character" w:customStyle="1" w:styleId="SubHead3Char1">
    <w:name w:val="_SubHead3 Char1"/>
    <w:link w:val="SubHead3"/>
    <w:rsid w:val="006919F4"/>
    <w:rPr>
      <w:rFonts w:ascii="TimesTen" w:hAnsi="TimesTen"/>
      <w:i/>
      <w:noProof/>
      <w:sz w:val="22"/>
    </w:rPr>
  </w:style>
  <w:style w:type="paragraph" w:customStyle="1" w:styleId="SubHead4">
    <w:name w:val="_SubHead4"/>
    <w:basedOn w:val="Journalfont"/>
    <w:next w:val="Document"/>
    <w:link w:val="SubHead4Char"/>
    <w:qFormat/>
    <w:rsid w:val="007D4EE2"/>
    <w:pPr>
      <w:keepNext/>
      <w:tabs>
        <w:tab w:val="left" w:pos="880"/>
      </w:tabs>
      <w:spacing w:before="200" w:after="80"/>
      <w:ind w:firstLine="446"/>
      <w:jc w:val="left"/>
    </w:pPr>
  </w:style>
  <w:style w:type="character" w:customStyle="1" w:styleId="SubHead4Char">
    <w:name w:val="_SubHead4 Char"/>
    <w:link w:val="SubHead4"/>
    <w:rsid w:val="006919F4"/>
    <w:rPr>
      <w:rFonts w:ascii="TimesTen" w:hAnsi="TimesTen"/>
      <w:noProof/>
      <w:sz w:val="22"/>
    </w:rPr>
  </w:style>
  <w:style w:type="paragraph" w:customStyle="1" w:styleId="SubHead5">
    <w:name w:val="_SubHead5"/>
    <w:basedOn w:val="Journalfont"/>
    <w:next w:val="Document"/>
    <w:qFormat/>
    <w:rsid w:val="007D4EE2"/>
    <w:pPr>
      <w:keepNext/>
      <w:tabs>
        <w:tab w:val="left" w:pos="1320"/>
      </w:tabs>
      <w:spacing w:before="200" w:after="80"/>
      <w:ind w:left="440" w:hanging="440"/>
      <w:jc w:val="left"/>
    </w:pPr>
  </w:style>
  <w:style w:type="paragraph" w:customStyle="1" w:styleId="Toc0">
    <w:name w:val="_Toc0"/>
    <w:basedOn w:val="Document"/>
    <w:next w:val="Document"/>
    <w:qFormat/>
    <w:rsid w:val="007D4EE2"/>
    <w:pPr>
      <w:tabs>
        <w:tab w:val="clear" w:pos="0"/>
        <w:tab w:val="clear" w:pos="400"/>
        <w:tab w:val="clear" w:pos="620"/>
        <w:tab w:val="right" w:leader="dot" w:pos="6720"/>
      </w:tabs>
      <w:ind w:right="440" w:firstLine="0"/>
      <w:jc w:val="left"/>
    </w:pPr>
    <w:rPr>
      <w:smallCaps/>
    </w:rPr>
  </w:style>
  <w:style w:type="paragraph" w:customStyle="1" w:styleId="Toc1">
    <w:name w:val="_Toc1"/>
    <w:basedOn w:val="Document"/>
    <w:next w:val="Document"/>
    <w:qFormat/>
    <w:rsid w:val="007D4EE2"/>
    <w:pPr>
      <w:tabs>
        <w:tab w:val="clear" w:pos="0"/>
        <w:tab w:val="clear" w:pos="400"/>
        <w:tab w:val="clear" w:pos="620"/>
        <w:tab w:val="right" w:pos="440"/>
        <w:tab w:val="left" w:pos="600"/>
        <w:tab w:val="right" w:leader="dot" w:pos="6720"/>
      </w:tabs>
      <w:ind w:left="600" w:right="440" w:hanging="600"/>
      <w:jc w:val="left"/>
    </w:pPr>
    <w:rPr>
      <w:smallCaps/>
    </w:rPr>
  </w:style>
  <w:style w:type="paragraph" w:customStyle="1" w:styleId="Toc5">
    <w:name w:val="_Toc5"/>
    <w:basedOn w:val="Document"/>
    <w:next w:val="Document"/>
    <w:link w:val="Toc5Char"/>
    <w:qFormat/>
    <w:rsid w:val="007D4EE2"/>
    <w:pPr>
      <w:tabs>
        <w:tab w:val="clear" w:pos="0"/>
        <w:tab w:val="clear" w:pos="400"/>
        <w:tab w:val="clear" w:pos="620"/>
        <w:tab w:val="right" w:pos="360"/>
        <w:tab w:val="right" w:leader="dot" w:pos="6720"/>
      </w:tabs>
      <w:ind w:left="2040" w:right="440" w:hanging="360"/>
      <w:jc w:val="left"/>
    </w:pPr>
  </w:style>
  <w:style w:type="character" w:customStyle="1" w:styleId="Toc5Char">
    <w:name w:val="_Toc5 Char"/>
    <w:link w:val="Toc5"/>
    <w:rsid w:val="006919F4"/>
    <w:rPr>
      <w:rFonts w:ascii="TimesTen" w:hAnsi="TimesTen"/>
      <w:noProof/>
      <w:sz w:val="22"/>
    </w:rPr>
  </w:style>
  <w:style w:type="paragraph" w:styleId="Footer">
    <w:name w:val="footer"/>
    <w:basedOn w:val="Normal"/>
    <w:rsid w:val="007D4EE2"/>
    <w:pPr>
      <w:tabs>
        <w:tab w:val="center" w:pos="4320"/>
        <w:tab w:val="right" w:pos="8640"/>
      </w:tabs>
    </w:pPr>
  </w:style>
  <w:style w:type="paragraph" w:styleId="Header">
    <w:name w:val="header"/>
    <w:basedOn w:val="Normal"/>
    <w:rsid w:val="007D4EE2"/>
    <w:pPr>
      <w:tabs>
        <w:tab w:val="center" w:pos="4320"/>
        <w:tab w:val="right" w:pos="8640"/>
      </w:tabs>
    </w:pPr>
  </w:style>
  <w:style w:type="character" w:styleId="PageNumber">
    <w:name w:val="page number"/>
    <w:basedOn w:val="DefaultParagraphFont"/>
    <w:rsid w:val="007D4EE2"/>
  </w:style>
  <w:style w:type="paragraph" w:customStyle="1" w:styleId="Subhead1-Pt1">
    <w:name w:val="_Subhead1-Pt1"/>
    <w:basedOn w:val="Journalfont"/>
    <w:next w:val="Document"/>
    <w:qFormat/>
    <w:rsid w:val="008E66C0"/>
    <w:pPr>
      <w:keepNext/>
      <w:suppressAutoHyphens/>
      <w:spacing w:before="240"/>
      <w:jc w:val="center"/>
    </w:pPr>
    <w:rPr>
      <w:smallCaps/>
    </w:rPr>
  </w:style>
  <w:style w:type="paragraph" w:customStyle="1" w:styleId="Subhead1-Pt2">
    <w:name w:val="_Subhead1-Pt2"/>
    <w:basedOn w:val="Subhead1-Pt1"/>
    <w:qFormat/>
    <w:rsid w:val="008E66C0"/>
    <w:pPr>
      <w:spacing w:before="0" w:after="120"/>
    </w:pPr>
  </w:style>
  <w:style w:type="paragraph" w:styleId="TOC50">
    <w:name w:val="toc 5"/>
    <w:basedOn w:val="Toc5"/>
    <w:next w:val="Journalfont"/>
    <w:autoRedefine/>
    <w:uiPriority w:val="39"/>
    <w:rsid w:val="007D4EE2"/>
    <w:pPr>
      <w:tabs>
        <w:tab w:val="left" w:pos="800"/>
      </w:tabs>
    </w:pPr>
  </w:style>
  <w:style w:type="paragraph" w:styleId="TOC10">
    <w:name w:val="toc 1"/>
    <w:basedOn w:val="Toc1"/>
    <w:next w:val="Journalfont"/>
    <w:autoRedefine/>
    <w:uiPriority w:val="39"/>
    <w:rsid w:val="007D4EE2"/>
  </w:style>
  <w:style w:type="character" w:styleId="Strong">
    <w:name w:val="Strong"/>
    <w:basedOn w:val="DefaultParagraphFont"/>
    <w:rsid w:val="00874AD6"/>
    <w:rPr>
      <w:b/>
      <w:bCs/>
    </w:rPr>
  </w:style>
  <w:style w:type="paragraph" w:customStyle="1" w:styleId="NYULineRules">
    <w:name w:val="_NYULineRules"/>
    <w:basedOn w:val="Document"/>
    <w:qFormat/>
    <w:rsid w:val="007E7BC5"/>
    <w:pPr>
      <w:pBdr>
        <w:top w:val="double" w:sz="6" w:space="7" w:color="auto"/>
        <w:bottom w:val="double" w:sz="6" w:space="7" w:color="auto"/>
      </w:pBdr>
      <w:tabs>
        <w:tab w:val="clear" w:pos="400"/>
        <w:tab w:val="clear" w:pos="620"/>
        <w:tab w:val="center" w:pos="3360"/>
        <w:tab w:val="right" w:pos="6720"/>
      </w:tabs>
      <w:spacing w:after="400"/>
      <w:ind w:firstLine="0"/>
    </w:pPr>
    <w:rPr>
      <w:smallCaps/>
    </w:rPr>
  </w:style>
  <w:style w:type="paragraph" w:styleId="BalloonText">
    <w:name w:val="Balloon Text"/>
    <w:basedOn w:val="Normal"/>
    <w:link w:val="BalloonTextChar"/>
    <w:rsid w:val="006919F4"/>
    <w:rPr>
      <w:rFonts w:ascii="Tahoma" w:hAnsi="Tahoma" w:cs="Tahoma"/>
      <w:sz w:val="16"/>
      <w:szCs w:val="16"/>
    </w:rPr>
  </w:style>
  <w:style w:type="character" w:customStyle="1" w:styleId="BalloonTextChar">
    <w:name w:val="Balloon Text Char"/>
    <w:basedOn w:val="DefaultParagraphFont"/>
    <w:link w:val="BalloonText"/>
    <w:rsid w:val="006919F4"/>
    <w:rPr>
      <w:rFonts w:ascii="Tahoma" w:hAnsi="Tahoma" w:cs="Tahoma"/>
      <w:sz w:val="16"/>
      <w:szCs w:val="16"/>
    </w:rPr>
  </w:style>
  <w:style w:type="paragraph" w:customStyle="1" w:styleId="1StQuoteFN0">
    <w:name w:val="_1StQuoteFN"/>
    <w:basedOn w:val="Normal"/>
    <w:rsid w:val="006919F4"/>
    <w:pPr>
      <w:widowControl w:val="0"/>
      <w:suppressLineNumbers/>
      <w:tabs>
        <w:tab w:val="left" w:pos="360"/>
        <w:tab w:val="left" w:pos="580"/>
      </w:tabs>
      <w:spacing w:before="20" w:line="180" w:lineRule="exact"/>
      <w:ind w:left="360" w:right="360"/>
      <w:contextualSpacing/>
      <w:jc w:val="both"/>
    </w:pPr>
    <w:rPr>
      <w:rFonts w:ascii="Times" w:hAnsi="Times"/>
      <w:noProof/>
      <w:sz w:val="16"/>
    </w:rPr>
  </w:style>
  <w:style w:type="paragraph" w:customStyle="1" w:styleId="AuthorName2-Students">
    <w:name w:val="_AuthorName2-Students"/>
    <w:basedOn w:val="Normal"/>
    <w:next w:val="Normal"/>
    <w:rsid w:val="006919F4"/>
    <w:pPr>
      <w:keepNext/>
      <w:widowControl w:val="0"/>
      <w:suppressLineNumbers/>
      <w:suppressAutoHyphens/>
      <w:spacing w:before="360" w:line="0" w:lineRule="atLeast"/>
      <w:jc w:val="right"/>
    </w:pPr>
    <w:rPr>
      <w:rFonts w:ascii="Times" w:hAnsi="Times"/>
      <w:i/>
      <w:noProof/>
      <w:sz w:val="21"/>
    </w:rPr>
  </w:style>
  <w:style w:type="paragraph" w:customStyle="1" w:styleId="SubHead10">
    <w:name w:val="_SubHead1"/>
    <w:basedOn w:val="Normal"/>
    <w:next w:val="Normal"/>
    <w:rsid w:val="006919F4"/>
    <w:pPr>
      <w:keepNext/>
      <w:widowControl w:val="0"/>
      <w:suppressLineNumbers/>
      <w:tabs>
        <w:tab w:val="left" w:pos="240"/>
      </w:tabs>
      <w:suppressAutoHyphens/>
      <w:spacing w:before="320" w:after="200" w:line="240" w:lineRule="exact"/>
      <w:contextualSpacing/>
      <w:jc w:val="center"/>
    </w:pPr>
    <w:rPr>
      <w:smallCaps/>
      <w:noProof/>
      <w:sz w:val="22"/>
      <w:szCs w:val="21"/>
    </w:rPr>
  </w:style>
  <w:style w:type="paragraph" w:customStyle="1" w:styleId="Head2-Comments">
    <w:name w:val="_Head2-Comments"/>
    <w:aliases w:val="Notes"/>
    <w:basedOn w:val="Normal"/>
    <w:rsid w:val="006919F4"/>
    <w:pPr>
      <w:keepNext/>
      <w:widowControl w:val="0"/>
      <w:suppressLineNumbers/>
      <w:suppressAutoHyphens/>
      <w:spacing w:after="280" w:line="400" w:lineRule="exact"/>
      <w:jc w:val="center"/>
    </w:pPr>
    <w:rPr>
      <w:rFonts w:ascii="Times" w:hAnsi="Times"/>
      <w:noProof/>
      <w:sz w:val="36"/>
    </w:rPr>
  </w:style>
  <w:style w:type="paragraph" w:customStyle="1" w:styleId="1StLineQuoteFn">
    <w:name w:val="_1StLineQuoteFn"/>
    <w:basedOn w:val="Normal"/>
    <w:rsid w:val="006919F4"/>
    <w:pPr>
      <w:keepNext/>
      <w:widowControl w:val="0"/>
      <w:suppressLineNumbers/>
      <w:suppressAutoHyphens/>
      <w:spacing w:before="20" w:line="180" w:lineRule="exact"/>
      <w:ind w:left="360" w:right="360" w:hanging="360"/>
      <w:jc w:val="both"/>
    </w:pPr>
    <w:rPr>
      <w:rFonts w:ascii="Times" w:hAnsi="Times"/>
      <w:noProof/>
      <w:sz w:val="16"/>
    </w:rPr>
  </w:style>
  <w:style w:type="character" w:customStyle="1" w:styleId="FootnoteTextChar1">
    <w:name w:val="Footnote Text Char1"/>
    <w:aliases w:val="Footnote Text Char2 Char,Footnote Text Char Char1 Char,Footnote Text Char1 Char Char Char,Footnote Text Char Char Char Char Char,Footnote Text Char1 Char Char Char Char Char,Footnote Text Char Char Char Char Char Char Char"/>
    <w:rsid w:val="006919F4"/>
    <w:rPr>
      <w:rFonts w:ascii="Courier" w:eastAsia="Times New Roman" w:hAnsi="Courier" w:cs="Times New Roman"/>
      <w:szCs w:val="20"/>
    </w:rPr>
  </w:style>
  <w:style w:type="paragraph" w:customStyle="1" w:styleId="ColorfulShading-Accent11">
    <w:name w:val="Colorful Shading - Accent 11"/>
    <w:hidden/>
    <w:uiPriority w:val="99"/>
    <w:semiHidden/>
    <w:rsid w:val="006919F4"/>
  </w:style>
  <w:style w:type="character" w:styleId="Hyperlink">
    <w:name w:val="Hyperlink"/>
    <w:basedOn w:val="DefaultParagraphFont"/>
    <w:rsid w:val="00C84585"/>
    <w:rPr>
      <w:color w:val="0000FF" w:themeColor="hyperlink"/>
      <w:u w:val="single"/>
    </w:rPr>
  </w:style>
  <w:style w:type="character" w:styleId="HTMLCite">
    <w:name w:val="HTML Cite"/>
    <w:basedOn w:val="DefaultParagraphFont"/>
    <w:uiPriority w:val="99"/>
    <w:rsid w:val="00173BC3"/>
    <w:rPr>
      <w:i/>
    </w:rPr>
  </w:style>
  <w:style w:type="paragraph" w:styleId="FootnoteText">
    <w:name w:val="footnote text"/>
    <w:basedOn w:val="Normal"/>
    <w:link w:val="FootnoteTextChar"/>
    <w:rsid w:val="003C3A5A"/>
  </w:style>
  <w:style w:type="character" w:customStyle="1" w:styleId="FootnoteTextChar">
    <w:name w:val="Footnote Text Char"/>
    <w:basedOn w:val="DefaultParagraphFont"/>
    <w:link w:val="FootnoteText"/>
    <w:rsid w:val="003C3A5A"/>
  </w:style>
  <w:style w:type="character" w:styleId="FootnoteReference">
    <w:name w:val="footnote reference"/>
    <w:basedOn w:val="DefaultParagraphFont"/>
    <w:rsid w:val="003C3A5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4EE2"/>
  </w:style>
  <w:style w:type="paragraph" w:styleId="Heading1">
    <w:name w:val="heading 1"/>
    <w:aliases w:val="Heading 1 Char1,Heading 1 Char Char"/>
    <w:basedOn w:val="Normal"/>
    <w:link w:val="Heading1Char"/>
    <w:qFormat/>
    <w:rsid w:val="006919F4"/>
    <w:pPr>
      <w:spacing w:before="100" w:beforeAutospacing="1" w:after="100" w:afterAutospacing="1"/>
      <w:outlineLvl w:val="0"/>
    </w:pPr>
    <w:rPr>
      <w:b/>
      <w:bCs/>
      <w:kern w:val="36"/>
      <w:szCs w:val="48"/>
    </w:rPr>
  </w:style>
  <w:style w:type="paragraph" w:styleId="Heading2">
    <w:name w:val="heading 2"/>
    <w:basedOn w:val="Normal"/>
    <w:next w:val="Normal"/>
    <w:link w:val="Heading2Char"/>
    <w:qFormat/>
    <w:rsid w:val="006919F4"/>
    <w:pPr>
      <w:keepNext/>
      <w:spacing w:before="240" w:after="60"/>
      <w:outlineLvl w:val="1"/>
    </w:pPr>
    <w:rPr>
      <w:rFonts w:cs="Arial"/>
      <w:bCs/>
      <w:iCs/>
      <w:szCs w:val="28"/>
      <w:u w:val="single"/>
    </w:rPr>
  </w:style>
  <w:style w:type="paragraph" w:styleId="Heading3">
    <w:name w:val="heading 3"/>
    <w:basedOn w:val="Normal"/>
    <w:next w:val="Normal"/>
    <w:link w:val="Heading3Char"/>
    <w:qFormat/>
    <w:rsid w:val="006919F4"/>
    <w:pPr>
      <w:keepNext/>
      <w:spacing w:before="120" w:after="240"/>
      <w:outlineLvl w:val="2"/>
    </w:pPr>
    <w:rPr>
      <w:rFonts w:cs="Arial"/>
      <w:bCs/>
      <w:i/>
      <w:szCs w:val="26"/>
    </w:rPr>
  </w:style>
  <w:style w:type="paragraph" w:styleId="Heading4">
    <w:name w:val="heading 4"/>
    <w:basedOn w:val="Normal"/>
    <w:next w:val="Normal"/>
    <w:link w:val="Heading4Char"/>
    <w:qFormat/>
    <w:rsid w:val="006919F4"/>
    <w:pPr>
      <w:keepNext/>
      <w:jc w:val="center"/>
      <w:outlineLvl w:val="3"/>
    </w:pPr>
  </w:style>
  <w:style w:type="paragraph" w:styleId="Heading5">
    <w:name w:val="heading 5"/>
    <w:basedOn w:val="Normal"/>
    <w:link w:val="Heading5Char"/>
    <w:qFormat/>
    <w:rsid w:val="006919F4"/>
    <w:pPr>
      <w:outlineLvl w:val="4"/>
    </w:pPr>
    <w:rPr>
      <w:bCs/>
      <w:iCs/>
      <w:szCs w:val="26"/>
    </w:rPr>
  </w:style>
  <w:style w:type="paragraph" w:styleId="Heading6">
    <w:name w:val="heading 6"/>
    <w:aliases w:val="Heading 6 Char1,Heading 6 Char Char,Heading 61,Heading 61 Char"/>
    <w:basedOn w:val="Normal"/>
    <w:next w:val="Normal"/>
    <w:link w:val="Heading6Char"/>
    <w:qFormat/>
    <w:rsid w:val="006919F4"/>
    <w:pPr>
      <w:outlineLvl w:val="5"/>
    </w:pPr>
    <w:rPr>
      <w:bCs/>
      <w:szCs w:val="22"/>
    </w:rPr>
  </w:style>
  <w:style w:type="paragraph" w:styleId="Heading7">
    <w:name w:val="heading 7"/>
    <w:basedOn w:val="Normal"/>
    <w:next w:val="Normal"/>
    <w:link w:val="Heading7Char"/>
    <w:qFormat/>
    <w:rsid w:val="006919F4"/>
    <w:pPr>
      <w:outlineLvl w:val="6"/>
    </w:pPr>
  </w:style>
  <w:style w:type="paragraph" w:styleId="Heading8">
    <w:name w:val="heading 8"/>
    <w:basedOn w:val="Normal"/>
    <w:next w:val="Normal"/>
    <w:link w:val="Heading8Char"/>
    <w:qFormat/>
    <w:rsid w:val="006919F4"/>
    <w:pPr>
      <w:outlineLvl w:val="7"/>
    </w:pPr>
    <w:rPr>
      <w:iCs/>
    </w:rPr>
  </w:style>
  <w:style w:type="paragraph" w:styleId="Heading9">
    <w:name w:val="heading 9"/>
    <w:basedOn w:val="Normal"/>
    <w:next w:val="Normal"/>
    <w:link w:val="Heading9Char"/>
    <w:qFormat/>
    <w:rsid w:val="006919F4"/>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6919F4"/>
    <w:rPr>
      <w:b/>
      <w:bCs/>
      <w:kern w:val="36"/>
      <w:sz w:val="24"/>
      <w:szCs w:val="48"/>
    </w:rPr>
  </w:style>
  <w:style w:type="character" w:customStyle="1" w:styleId="Heading2Char">
    <w:name w:val="Heading 2 Char"/>
    <w:basedOn w:val="DefaultParagraphFont"/>
    <w:link w:val="Heading2"/>
    <w:rsid w:val="006919F4"/>
    <w:rPr>
      <w:rFonts w:cs="Arial"/>
      <w:bCs/>
      <w:iCs/>
      <w:sz w:val="24"/>
      <w:szCs w:val="28"/>
      <w:u w:val="single"/>
    </w:rPr>
  </w:style>
  <w:style w:type="character" w:customStyle="1" w:styleId="Heading3Char">
    <w:name w:val="Heading 3 Char"/>
    <w:basedOn w:val="DefaultParagraphFont"/>
    <w:link w:val="Heading3"/>
    <w:rsid w:val="006919F4"/>
    <w:rPr>
      <w:rFonts w:cs="Arial"/>
      <w:bCs/>
      <w:i/>
      <w:sz w:val="24"/>
      <w:szCs w:val="26"/>
    </w:rPr>
  </w:style>
  <w:style w:type="character" w:customStyle="1" w:styleId="Heading4Char">
    <w:name w:val="Heading 4 Char"/>
    <w:basedOn w:val="DefaultParagraphFont"/>
    <w:link w:val="Heading4"/>
    <w:rsid w:val="006919F4"/>
    <w:rPr>
      <w:sz w:val="24"/>
      <w:szCs w:val="24"/>
    </w:rPr>
  </w:style>
  <w:style w:type="character" w:customStyle="1" w:styleId="Heading5Char">
    <w:name w:val="Heading 5 Char"/>
    <w:basedOn w:val="DefaultParagraphFont"/>
    <w:link w:val="Heading5"/>
    <w:rsid w:val="006919F4"/>
    <w:rPr>
      <w:bCs/>
      <w:iCs/>
      <w:sz w:val="24"/>
      <w:szCs w:val="26"/>
    </w:rPr>
  </w:style>
  <w:style w:type="character" w:customStyle="1" w:styleId="Heading6Char">
    <w:name w:val="Heading 6 Char"/>
    <w:aliases w:val="Heading 6 Char1 Char,Heading 6 Char Char Char,Heading 61 Char1,Heading 61 Char Char"/>
    <w:basedOn w:val="DefaultParagraphFont"/>
    <w:link w:val="Heading6"/>
    <w:rsid w:val="006919F4"/>
    <w:rPr>
      <w:bCs/>
      <w:sz w:val="24"/>
      <w:szCs w:val="22"/>
    </w:rPr>
  </w:style>
  <w:style w:type="character" w:customStyle="1" w:styleId="Heading7Char">
    <w:name w:val="Heading 7 Char"/>
    <w:basedOn w:val="DefaultParagraphFont"/>
    <w:link w:val="Heading7"/>
    <w:rsid w:val="006919F4"/>
    <w:rPr>
      <w:sz w:val="24"/>
      <w:szCs w:val="24"/>
    </w:rPr>
  </w:style>
  <w:style w:type="character" w:customStyle="1" w:styleId="Heading8Char">
    <w:name w:val="Heading 8 Char"/>
    <w:basedOn w:val="DefaultParagraphFont"/>
    <w:link w:val="Heading8"/>
    <w:rsid w:val="006919F4"/>
    <w:rPr>
      <w:iCs/>
      <w:sz w:val="24"/>
      <w:szCs w:val="24"/>
    </w:rPr>
  </w:style>
  <w:style w:type="character" w:customStyle="1" w:styleId="Heading9Char">
    <w:name w:val="Heading 9 Char"/>
    <w:basedOn w:val="DefaultParagraphFont"/>
    <w:link w:val="Heading9"/>
    <w:rsid w:val="006919F4"/>
    <w:rPr>
      <w:rFonts w:cs="Arial"/>
      <w:sz w:val="24"/>
      <w:szCs w:val="22"/>
    </w:rPr>
  </w:style>
  <w:style w:type="paragraph" w:customStyle="1" w:styleId="Journalfont">
    <w:name w:val="_Journal font"/>
    <w:qFormat/>
    <w:rsid w:val="007D4EE2"/>
    <w:pPr>
      <w:widowControl w:val="0"/>
      <w:spacing w:line="260" w:lineRule="exact"/>
      <w:jc w:val="both"/>
    </w:pPr>
    <w:rPr>
      <w:rFonts w:ascii="TimesTen" w:hAnsi="TimesTen"/>
      <w:noProof/>
      <w:sz w:val="22"/>
    </w:rPr>
  </w:style>
  <w:style w:type="paragraph" w:customStyle="1" w:styleId="FootNote">
    <w:name w:val="_FootNote"/>
    <w:basedOn w:val="Journalfont"/>
    <w:qFormat/>
    <w:rsid w:val="007D4EE2"/>
    <w:pPr>
      <w:suppressLineNumbers/>
      <w:tabs>
        <w:tab w:val="right" w:pos="320"/>
        <w:tab w:val="left" w:pos="440"/>
      </w:tabs>
      <w:spacing w:line="200" w:lineRule="exact"/>
    </w:pPr>
    <w:rPr>
      <w:sz w:val="17"/>
    </w:rPr>
  </w:style>
  <w:style w:type="paragraph" w:customStyle="1" w:styleId="1stQuoteFN">
    <w:name w:val="_1stQuoteFN"/>
    <w:basedOn w:val="FootNote"/>
    <w:qFormat/>
    <w:rsid w:val="007D4EE2"/>
    <w:pPr>
      <w:tabs>
        <w:tab w:val="left" w:pos="320"/>
      </w:tabs>
      <w:ind w:left="340" w:right="340"/>
    </w:pPr>
  </w:style>
  <w:style w:type="paragraph" w:customStyle="1" w:styleId="1StLineQuoteFn-1Num">
    <w:name w:val="_1StLineQuoteFn-1Num"/>
    <w:basedOn w:val="1stQuoteFN"/>
    <w:next w:val="FootNote"/>
    <w:qFormat/>
    <w:rsid w:val="007D4EE2"/>
    <w:pPr>
      <w:tabs>
        <w:tab w:val="clear" w:pos="320"/>
        <w:tab w:val="clear" w:pos="440"/>
        <w:tab w:val="right" w:pos="317"/>
        <w:tab w:val="left" w:pos="446"/>
      </w:tabs>
      <w:ind w:left="446" w:right="346" w:hanging="446"/>
    </w:pPr>
  </w:style>
  <w:style w:type="paragraph" w:customStyle="1" w:styleId="1StLineQuoteFn-2Num">
    <w:name w:val="_1StLineQuoteFn-2Num"/>
    <w:basedOn w:val="1StLineQuoteFn-1Num"/>
    <w:qFormat/>
    <w:rsid w:val="007D4EE2"/>
    <w:pPr>
      <w:tabs>
        <w:tab w:val="clear" w:pos="317"/>
        <w:tab w:val="clear" w:pos="446"/>
        <w:tab w:val="right" w:pos="320"/>
        <w:tab w:val="left" w:pos="440"/>
      </w:tabs>
      <w:ind w:left="440" w:right="440" w:hanging="440"/>
    </w:pPr>
  </w:style>
  <w:style w:type="paragraph" w:customStyle="1" w:styleId="1StLineQuoteFn-3Num">
    <w:name w:val="_1StLineQuoteFn-3Num"/>
    <w:basedOn w:val="1StLineQuoteFn-2Num"/>
    <w:qFormat/>
    <w:rsid w:val="007D4EE2"/>
  </w:style>
  <w:style w:type="paragraph" w:customStyle="1" w:styleId="1StQuoteTXT">
    <w:name w:val="_1StQuoteTXT"/>
    <w:basedOn w:val="Journalfont"/>
    <w:next w:val="Normal"/>
    <w:qFormat/>
    <w:rsid w:val="007D4EE2"/>
    <w:pPr>
      <w:spacing w:before="40" w:after="40" w:line="240" w:lineRule="exact"/>
      <w:ind w:left="420" w:right="420"/>
    </w:pPr>
    <w:rPr>
      <w:sz w:val="20"/>
    </w:rPr>
  </w:style>
  <w:style w:type="paragraph" w:customStyle="1" w:styleId="2NdQuoteFN">
    <w:name w:val="_2NdQuoteFN"/>
    <w:basedOn w:val="FootNote"/>
    <w:next w:val="Normal"/>
    <w:qFormat/>
    <w:rsid w:val="007D4EE2"/>
    <w:pPr>
      <w:tabs>
        <w:tab w:val="left" w:pos="320"/>
      </w:tabs>
      <w:ind w:left="680" w:right="340"/>
    </w:pPr>
  </w:style>
  <w:style w:type="paragraph" w:customStyle="1" w:styleId="2NdQuoteTXT">
    <w:name w:val="_2NdQuoteTXT"/>
    <w:basedOn w:val="Journalfont"/>
    <w:next w:val="Journalfont"/>
    <w:qFormat/>
    <w:rsid w:val="007D4EE2"/>
    <w:pPr>
      <w:spacing w:before="40" w:after="40" w:line="240" w:lineRule="exact"/>
      <w:ind w:left="880" w:right="440"/>
    </w:pPr>
    <w:rPr>
      <w:sz w:val="20"/>
    </w:rPr>
  </w:style>
  <w:style w:type="paragraph" w:customStyle="1" w:styleId="3RdQuoteFN">
    <w:name w:val="_3RdQuoteFN"/>
    <w:basedOn w:val="FootNote"/>
    <w:next w:val="Normal"/>
    <w:qFormat/>
    <w:rsid w:val="007D4EE2"/>
    <w:pPr>
      <w:tabs>
        <w:tab w:val="left" w:pos="320"/>
      </w:tabs>
      <w:ind w:left="1020" w:right="340"/>
    </w:pPr>
  </w:style>
  <w:style w:type="paragraph" w:customStyle="1" w:styleId="3RdQuoteTXT">
    <w:name w:val="_3RdQuoteTXT"/>
    <w:basedOn w:val="Journalfont"/>
    <w:next w:val="Normal"/>
    <w:qFormat/>
    <w:rsid w:val="007D4EE2"/>
    <w:pPr>
      <w:spacing w:before="40" w:after="40" w:line="240" w:lineRule="exact"/>
      <w:ind w:left="1320" w:right="440"/>
    </w:pPr>
    <w:rPr>
      <w:sz w:val="20"/>
    </w:rPr>
  </w:style>
  <w:style w:type="paragraph" w:customStyle="1" w:styleId="4ThQuoteFN">
    <w:name w:val="_4ThQuoteFN"/>
    <w:basedOn w:val="FootNote"/>
    <w:next w:val="Normal"/>
    <w:qFormat/>
    <w:rsid w:val="007D4EE2"/>
    <w:pPr>
      <w:tabs>
        <w:tab w:val="left" w:pos="320"/>
      </w:tabs>
      <w:ind w:left="1360" w:right="340"/>
    </w:pPr>
  </w:style>
  <w:style w:type="paragraph" w:customStyle="1" w:styleId="4ThQuoteTXT">
    <w:name w:val="_4ThQuoteTXT"/>
    <w:basedOn w:val="Journalfont"/>
    <w:next w:val="Normal"/>
    <w:qFormat/>
    <w:rsid w:val="007D4EE2"/>
    <w:pPr>
      <w:spacing w:before="40" w:after="40" w:line="240" w:lineRule="exact"/>
      <w:ind w:left="1760" w:right="440"/>
    </w:pPr>
    <w:rPr>
      <w:sz w:val="20"/>
    </w:rPr>
  </w:style>
  <w:style w:type="paragraph" w:customStyle="1" w:styleId="Abstract">
    <w:name w:val="_Abstract"/>
    <w:basedOn w:val="Journalfont"/>
    <w:next w:val="1StQuoteTXT"/>
    <w:qFormat/>
    <w:rsid w:val="007D4EE2"/>
    <w:pPr>
      <w:keepNext/>
      <w:tabs>
        <w:tab w:val="left" w:pos="2800"/>
        <w:tab w:val="left" w:pos="5440"/>
      </w:tabs>
      <w:suppressAutoHyphens/>
      <w:spacing w:before="40" w:after="240" w:line="200" w:lineRule="exact"/>
      <w:ind w:left="340" w:right="340"/>
    </w:pPr>
    <w:rPr>
      <w:i/>
      <w:sz w:val="17"/>
    </w:rPr>
  </w:style>
  <w:style w:type="paragraph" w:customStyle="1" w:styleId="AuthorName1-Articles">
    <w:name w:val="_AuthorName1-Articles"/>
    <w:basedOn w:val="Journalfont"/>
    <w:next w:val="Normal"/>
    <w:qFormat/>
    <w:rsid w:val="007D4EE2"/>
    <w:pPr>
      <w:keepNext/>
      <w:suppressAutoHyphens/>
      <w:spacing w:after="220"/>
      <w:jc w:val="center"/>
    </w:pPr>
    <w:rPr>
      <w:smallCaps/>
    </w:rPr>
  </w:style>
  <w:style w:type="paragraph" w:customStyle="1" w:styleId="AuthorName2-BookReviews">
    <w:name w:val="_AuthorName2-BookReviews"/>
    <w:basedOn w:val="Journalfont"/>
    <w:next w:val="Normal"/>
    <w:qFormat/>
    <w:rsid w:val="007D4EE2"/>
    <w:pPr>
      <w:keepNext/>
      <w:tabs>
        <w:tab w:val="left" w:pos="440"/>
      </w:tabs>
      <w:suppressAutoHyphens/>
      <w:spacing w:before="220" w:after="260"/>
      <w:jc w:val="center"/>
    </w:pPr>
    <w:rPr>
      <w:smallCaps/>
    </w:rPr>
  </w:style>
  <w:style w:type="paragraph" w:customStyle="1" w:styleId="AuthorName3a-Dedication">
    <w:name w:val="_AuthorName3a-Dedication"/>
    <w:basedOn w:val="Journalfont"/>
    <w:next w:val="Normal"/>
    <w:qFormat/>
    <w:rsid w:val="007D4EE2"/>
    <w:pPr>
      <w:suppressLineNumbers/>
      <w:suppressAutoHyphens/>
      <w:spacing w:before="400" w:after="120" w:line="320" w:lineRule="exact"/>
      <w:jc w:val="left"/>
    </w:pPr>
    <w:rPr>
      <w:spacing w:val="-3"/>
      <w:sz w:val="28"/>
    </w:rPr>
  </w:style>
  <w:style w:type="paragraph" w:customStyle="1" w:styleId="AuthorName3b-Dedication">
    <w:name w:val="_AuthorName3b-Dedication"/>
    <w:basedOn w:val="Journalfont"/>
    <w:next w:val="Normal"/>
    <w:qFormat/>
    <w:rsid w:val="007D4EE2"/>
    <w:pPr>
      <w:suppressLineNumbers/>
      <w:suppressAutoHyphens/>
      <w:spacing w:after="200"/>
    </w:pPr>
    <w:rPr>
      <w:i/>
      <w:spacing w:val="-3"/>
    </w:rPr>
  </w:style>
  <w:style w:type="paragraph" w:customStyle="1" w:styleId="Document">
    <w:name w:val="_Document"/>
    <w:basedOn w:val="Journalfont"/>
    <w:qFormat/>
    <w:rsid w:val="007D4EE2"/>
    <w:pPr>
      <w:suppressLineNumbers/>
      <w:tabs>
        <w:tab w:val="left" w:pos="0"/>
        <w:tab w:val="left" w:pos="400"/>
        <w:tab w:val="left" w:pos="620"/>
      </w:tabs>
      <w:ind w:firstLine="440"/>
    </w:pPr>
  </w:style>
  <w:style w:type="paragraph" w:customStyle="1" w:styleId="FootNotePara">
    <w:name w:val="_FootNotePara"/>
    <w:basedOn w:val="FootNote"/>
    <w:qFormat/>
    <w:rsid w:val="007D4EE2"/>
    <w:pPr>
      <w:ind w:firstLine="340"/>
    </w:pPr>
  </w:style>
  <w:style w:type="paragraph" w:customStyle="1" w:styleId="Head1-Articles">
    <w:name w:val="_Head1-Articles"/>
    <w:basedOn w:val="Journalfont"/>
    <w:next w:val="Document"/>
    <w:qFormat/>
    <w:rsid w:val="007D4EE2"/>
    <w:pPr>
      <w:keepNext/>
      <w:suppressAutoHyphens/>
      <w:spacing w:after="220" w:line="320" w:lineRule="exact"/>
      <w:jc w:val="center"/>
    </w:pPr>
    <w:rPr>
      <w:caps/>
      <w:sz w:val="30"/>
    </w:rPr>
  </w:style>
  <w:style w:type="paragraph" w:customStyle="1" w:styleId="Head2-BookReviews">
    <w:name w:val="_Head2-BookReviews"/>
    <w:basedOn w:val="Journalfont"/>
    <w:next w:val="Document"/>
    <w:qFormat/>
    <w:rsid w:val="007D4EE2"/>
    <w:pPr>
      <w:keepNext/>
      <w:tabs>
        <w:tab w:val="left" w:pos="440"/>
      </w:tabs>
      <w:suppressAutoHyphens/>
      <w:spacing w:after="220"/>
    </w:pPr>
    <w:rPr>
      <w:smallCaps/>
    </w:rPr>
  </w:style>
  <w:style w:type="paragraph" w:customStyle="1" w:styleId="Head3-Appendix">
    <w:name w:val="_Head3-Appendix"/>
    <w:basedOn w:val="Journalfont"/>
    <w:next w:val="Document"/>
    <w:qFormat/>
    <w:rsid w:val="007D4EE2"/>
    <w:pPr>
      <w:spacing w:before="320" w:after="200"/>
      <w:jc w:val="center"/>
    </w:pPr>
  </w:style>
  <w:style w:type="paragraph" w:customStyle="1" w:styleId="Head4-DocketNum">
    <w:name w:val="_Head4-DocketNum"/>
    <w:basedOn w:val="Journalfont"/>
    <w:next w:val="Document"/>
    <w:qFormat/>
    <w:rsid w:val="007D4EE2"/>
    <w:pPr>
      <w:spacing w:before="200" w:after="80" w:line="200" w:lineRule="exact"/>
      <w:jc w:val="center"/>
    </w:pPr>
    <w:rPr>
      <w:b/>
      <w:sz w:val="16"/>
    </w:rPr>
  </w:style>
  <w:style w:type="paragraph" w:customStyle="1" w:styleId="Head5-CaseName">
    <w:name w:val="_Head5-CaseName"/>
    <w:basedOn w:val="Journalfont"/>
    <w:next w:val="Document"/>
    <w:qFormat/>
    <w:rsid w:val="007D4EE2"/>
    <w:pPr>
      <w:spacing w:line="200" w:lineRule="exact"/>
      <w:jc w:val="center"/>
    </w:pPr>
    <w:rPr>
      <w:b/>
      <w:sz w:val="16"/>
    </w:rPr>
  </w:style>
  <w:style w:type="paragraph" w:customStyle="1" w:styleId="Head6-CiteBelowCase">
    <w:name w:val="_Head6-CiteBelowCase"/>
    <w:basedOn w:val="Journalfont"/>
    <w:next w:val="Document"/>
    <w:qFormat/>
    <w:rsid w:val="007D4EE2"/>
    <w:pPr>
      <w:spacing w:line="200" w:lineRule="exact"/>
      <w:jc w:val="center"/>
    </w:pPr>
    <w:rPr>
      <w:sz w:val="16"/>
    </w:rPr>
  </w:style>
  <w:style w:type="paragraph" w:customStyle="1" w:styleId="Head7-DedicationMain">
    <w:name w:val="_Head7-DedicationMain"/>
    <w:basedOn w:val="Journalfont"/>
    <w:next w:val="Document"/>
    <w:qFormat/>
    <w:rsid w:val="007D4EE2"/>
    <w:pPr>
      <w:suppressLineNumbers/>
      <w:suppressAutoHyphens/>
      <w:spacing w:before="80" w:after="40" w:line="200" w:lineRule="exact"/>
      <w:jc w:val="center"/>
    </w:pPr>
    <w:rPr>
      <w:sz w:val="16"/>
    </w:rPr>
  </w:style>
  <w:style w:type="paragraph" w:customStyle="1" w:styleId="Head8-DedicationBig">
    <w:name w:val="_Head8-DedicationBig"/>
    <w:basedOn w:val="Journalfont"/>
    <w:next w:val="Document"/>
    <w:qFormat/>
    <w:rsid w:val="007D4EE2"/>
    <w:pPr>
      <w:suppressLineNumbers/>
      <w:suppressAutoHyphens/>
      <w:spacing w:after="160" w:line="360" w:lineRule="exact"/>
      <w:jc w:val="left"/>
    </w:pPr>
    <w:rPr>
      <w:sz w:val="36"/>
    </w:rPr>
  </w:style>
  <w:style w:type="character" w:customStyle="1" w:styleId="NoterefInNote">
    <w:name w:val="_NoterefInNote"/>
    <w:basedOn w:val="DefaultParagraphFont"/>
    <w:qFormat/>
    <w:rsid w:val="007D4EE2"/>
    <w:rPr>
      <w:rFonts w:ascii="TimesTen" w:hAnsi="TimesTen"/>
      <w:position w:val="4"/>
      <w:sz w:val="13"/>
      <w:vertAlign w:val="baseline"/>
    </w:rPr>
  </w:style>
  <w:style w:type="character" w:customStyle="1" w:styleId="NoterefInText">
    <w:name w:val="_NoterefInText"/>
    <w:basedOn w:val="DefaultParagraphFont"/>
    <w:autoRedefine/>
    <w:qFormat/>
    <w:rsid w:val="000123C1"/>
    <w:rPr>
      <w:rFonts w:ascii="Times New Roman" w:eastAsia="Calibri" w:hAnsi="Times New Roman"/>
      <w:position w:val="6"/>
      <w:szCs w:val="22"/>
    </w:rPr>
  </w:style>
  <w:style w:type="paragraph" w:customStyle="1" w:styleId="NYULogo-Pt1">
    <w:name w:val="_NYULogo-Pt1"/>
    <w:basedOn w:val="Journalfont"/>
    <w:next w:val="Document"/>
    <w:qFormat/>
    <w:rsid w:val="007D4EE2"/>
    <w:pPr>
      <w:keepNext/>
      <w:suppressLineNumbers/>
      <w:suppressAutoHyphens/>
      <w:spacing w:after="60" w:line="360" w:lineRule="exact"/>
      <w:jc w:val="center"/>
    </w:pPr>
    <w:rPr>
      <w:caps/>
      <w:sz w:val="36"/>
    </w:rPr>
  </w:style>
  <w:style w:type="paragraph" w:customStyle="1" w:styleId="NYULogo-Pt2">
    <w:name w:val="_NYULogo-Pt2"/>
    <w:basedOn w:val="Journalfont"/>
    <w:next w:val="Document"/>
    <w:qFormat/>
    <w:rsid w:val="007D4EE2"/>
    <w:pPr>
      <w:keepNext/>
      <w:suppressLineNumbers/>
      <w:suppressAutoHyphens/>
      <w:spacing w:after="330" w:line="600" w:lineRule="exact"/>
      <w:jc w:val="center"/>
    </w:pPr>
    <w:rPr>
      <w:caps/>
      <w:sz w:val="48"/>
    </w:rPr>
  </w:style>
  <w:style w:type="paragraph" w:styleId="TOC2">
    <w:name w:val="toc 2"/>
    <w:basedOn w:val="Toc20"/>
    <w:next w:val="Journalfont"/>
    <w:autoRedefine/>
    <w:uiPriority w:val="39"/>
    <w:rsid w:val="007D4EE2"/>
  </w:style>
  <w:style w:type="paragraph" w:customStyle="1" w:styleId="Toc20">
    <w:name w:val="_Toc2"/>
    <w:basedOn w:val="Document"/>
    <w:next w:val="Document"/>
    <w:qFormat/>
    <w:rsid w:val="007D4EE2"/>
    <w:pPr>
      <w:tabs>
        <w:tab w:val="clear" w:pos="0"/>
        <w:tab w:val="clear" w:pos="620"/>
        <w:tab w:val="right" w:leader="dot" w:pos="6720"/>
      </w:tabs>
      <w:ind w:left="1000" w:right="440" w:hanging="400"/>
      <w:jc w:val="left"/>
    </w:pPr>
  </w:style>
  <w:style w:type="paragraph" w:styleId="TOC3">
    <w:name w:val="toc 3"/>
    <w:basedOn w:val="Toc30"/>
    <w:next w:val="Journalfont"/>
    <w:autoRedefine/>
    <w:uiPriority w:val="39"/>
    <w:rsid w:val="007D4EE2"/>
  </w:style>
  <w:style w:type="paragraph" w:customStyle="1" w:styleId="Toc30">
    <w:name w:val="_Toc3"/>
    <w:basedOn w:val="Document"/>
    <w:next w:val="Document"/>
    <w:qFormat/>
    <w:rsid w:val="007D4EE2"/>
    <w:pPr>
      <w:tabs>
        <w:tab w:val="clear" w:pos="0"/>
        <w:tab w:val="clear" w:pos="400"/>
        <w:tab w:val="clear" w:pos="620"/>
        <w:tab w:val="left" w:pos="320"/>
        <w:tab w:val="right" w:leader="dot" w:pos="6720"/>
      </w:tabs>
      <w:ind w:left="1320" w:right="440" w:hanging="320"/>
      <w:jc w:val="left"/>
    </w:pPr>
  </w:style>
  <w:style w:type="paragraph" w:styleId="TOC4">
    <w:name w:val="toc 4"/>
    <w:basedOn w:val="Toc40"/>
    <w:next w:val="Journalfont"/>
    <w:autoRedefine/>
    <w:uiPriority w:val="39"/>
    <w:rsid w:val="007D4EE2"/>
    <w:pPr>
      <w:tabs>
        <w:tab w:val="left" w:pos="800"/>
      </w:tabs>
    </w:pPr>
  </w:style>
  <w:style w:type="paragraph" w:customStyle="1" w:styleId="Toc40">
    <w:name w:val="_Toc4"/>
    <w:basedOn w:val="Document"/>
    <w:next w:val="Document"/>
    <w:link w:val="Toc4Char"/>
    <w:qFormat/>
    <w:rsid w:val="007D4EE2"/>
    <w:pPr>
      <w:tabs>
        <w:tab w:val="clear" w:pos="0"/>
        <w:tab w:val="clear" w:pos="400"/>
        <w:tab w:val="clear" w:pos="620"/>
        <w:tab w:val="left" w:pos="360"/>
        <w:tab w:val="right" w:leader="dot" w:pos="6720"/>
      </w:tabs>
      <w:ind w:left="1680" w:right="440" w:hanging="360"/>
      <w:jc w:val="left"/>
    </w:pPr>
  </w:style>
  <w:style w:type="character" w:customStyle="1" w:styleId="Toc4Char">
    <w:name w:val="_Toc4 Char"/>
    <w:link w:val="Toc40"/>
    <w:rsid w:val="006919F4"/>
    <w:rPr>
      <w:rFonts w:ascii="TimesTen" w:hAnsi="TimesTen"/>
      <w:noProof/>
      <w:sz w:val="22"/>
    </w:rPr>
  </w:style>
  <w:style w:type="paragraph" w:customStyle="1" w:styleId="SectionHead">
    <w:name w:val="_SectionHead"/>
    <w:basedOn w:val="Journalfont"/>
    <w:next w:val="Document"/>
    <w:qFormat/>
    <w:rsid w:val="007D4EE2"/>
    <w:pPr>
      <w:keepNext/>
      <w:suppressLineNumbers/>
      <w:suppressAutoHyphens/>
      <w:spacing w:after="220" w:line="400" w:lineRule="exact"/>
      <w:jc w:val="center"/>
    </w:pPr>
    <w:rPr>
      <w:i/>
      <w:caps/>
      <w:sz w:val="36"/>
    </w:rPr>
  </w:style>
  <w:style w:type="paragraph" w:customStyle="1" w:styleId="Subhead1">
    <w:name w:val="_Subhead1"/>
    <w:basedOn w:val="Journalfont"/>
    <w:next w:val="Document"/>
    <w:qFormat/>
    <w:rsid w:val="00CF2024"/>
    <w:pPr>
      <w:keepNext/>
      <w:tabs>
        <w:tab w:val="left" w:pos="440"/>
      </w:tabs>
      <w:suppressAutoHyphens/>
      <w:spacing w:before="240" w:after="80"/>
      <w:jc w:val="center"/>
    </w:pPr>
    <w:rPr>
      <w:smallCaps/>
      <w:sz w:val="21"/>
    </w:rPr>
  </w:style>
  <w:style w:type="paragraph" w:customStyle="1" w:styleId="SubHead2">
    <w:name w:val="_SubHead2"/>
    <w:basedOn w:val="Journalfont"/>
    <w:next w:val="Document"/>
    <w:qFormat/>
    <w:rsid w:val="00051101"/>
    <w:pPr>
      <w:keepNext/>
      <w:tabs>
        <w:tab w:val="left" w:pos="440"/>
      </w:tabs>
      <w:suppressAutoHyphens/>
      <w:spacing w:before="240" w:after="120"/>
      <w:jc w:val="center"/>
    </w:pPr>
    <w:rPr>
      <w:i/>
    </w:rPr>
  </w:style>
  <w:style w:type="paragraph" w:customStyle="1" w:styleId="SubHead3">
    <w:name w:val="_SubHead3"/>
    <w:basedOn w:val="Journalfont"/>
    <w:next w:val="Document"/>
    <w:link w:val="SubHead3Char1"/>
    <w:qFormat/>
    <w:rsid w:val="00051101"/>
    <w:pPr>
      <w:keepNext/>
      <w:tabs>
        <w:tab w:val="left" w:pos="440"/>
      </w:tabs>
      <w:suppressAutoHyphens/>
      <w:spacing w:before="240" w:after="120"/>
      <w:ind w:left="440" w:hanging="440"/>
      <w:jc w:val="left"/>
    </w:pPr>
    <w:rPr>
      <w:i/>
    </w:rPr>
  </w:style>
  <w:style w:type="character" w:customStyle="1" w:styleId="SubHead3Char1">
    <w:name w:val="_SubHead3 Char1"/>
    <w:link w:val="SubHead3"/>
    <w:rsid w:val="006919F4"/>
    <w:rPr>
      <w:rFonts w:ascii="TimesTen" w:hAnsi="TimesTen"/>
      <w:i/>
      <w:noProof/>
      <w:sz w:val="22"/>
    </w:rPr>
  </w:style>
  <w:style w:type="paragraph" w:customStyle="1" w:styleId="SubHead4">
    <w:name w:val="_SubHead4"/>
    <w:basedOn w:val="Journalfont"/>
    <w:next w:val="Document"/>
    <w:link w:val="SubHead4Char"/>
    <w:qFormat/>
    <w:rsid w:val="007D4EE2"/>
    <w:pPr>
      <w:keepNext/>
      <w:tabs>
        <w:tab w:val="left" w:pos="880"/>
      </w:tabs>
      <w:spacing w:before="200" w:after="80"/>
      <w:ind w:firstLine="446"/>
      <w:jc w:val="left"/>
    </w:pPr>
  </w:style>
  <w:style w:type="character" w:customStyle="1" w:styleId="SubHead4Char">
    <w:name w:val="_SubHead4 Char"/>
    <w:link w:val="SubHead4"/>
    <w:rsid w:val="006919F4"/>
    <w:rPr>
      <w:rFonts w:ascii="TimesTen" w:hAnsi="TimesTen"/>
      <w:noProof/>
      <w:sz w:val="22"/>
    </w:rPr>
  </w:style>
  <w:style w:type="paragraph" w:customStyle="1" w:styleId="SubHead5">
    <w:name w:val="_SubHead5"/>
    <w:basedOn w:val="Journalfont"/>
    <w:next w:val="Document"/>
    <w:qFormat/>
    <w:rsid w:val="007D4EE2"/>
    <w:pPr>
      <w:keepNext/>
      <w:tabs>
        <w:tab w:val="left" w:pos="1320"/>
      </w:tabs>
      <w:spacing w:before="200" w:after="80"/>
      <w:ind w:left="440" w:hanging="440"/>
      <w:jc w:val="left"/>
    </w:pPr>
  </w:style>
  <w:style w:type="paragraph" w:customStyle="1" w:styleId="Toc0">
    <w:name w:val="_Toc0"/>
    <w:basedOn w:val="Document"/>
    <w:next w:val="Document"/>
    <w:qFormat/>
    <w:rsid w:val="007D4EE2"/>
    <w:pPr>
      <w:tabs>
        <w:tab w:val="clear" w:pos="0"/>
        <w:tab w:val="clear" w:pos="400"/>
        <w:tab w:val="clear" w:pos="620"/>
        <w:tab w:val="right" w:leader="dot" w:pos="6720"/>
      </w:tabs>
      <w:ind w:right="440" w:firstLine="0"/>
      <w:jc w:val="left"/>
    </w:pPr>
    <w:rPr>
      <w:smallCaps/>
    </w:rPr>
  </w:style>
  <w:style w:type="paragraph" w:customStyle="1" w:styleId="Toc1">
    <w:name w:val="_Toc1"/>
    <w:basedOn w:val="Document"/>
    <w:next w:val="Document"/>
    <w:qFormat/>
    <w:rsid w:val="007D4EE2"/>
    <w:pPr>
      <w:tabs>
        <w:tab w:val="clear" w:pos="0"/>
        <w:tab w:val="clear" w:pos="400"/>
        <w:tab w:val="clear" w:pos="620"/>
        <w:tab w:val="right" w:pos="440"/>
        <w:tab w:val="left" w:pos="600"/>
        <w:tab w:val="right" w:leader="dot" w:pos="6720"/>
      </w:tabs>
      <w:ind w:left="600" w:right="440" w:hanging="600"/>
      <w:jc w:val="left"/>
    </w:pPr>
    <w:rPr>
      <w:smallCaps/>
    </w:rPr>
  </w:style>
  <w:style w:type="paragraph" w:customStyle="1" w:styleId="Toc5">
    <w:name w:val="_Toc5"/>
    <w:basedOn w:val="Document"/>
    <w:next w:val="Document"/>
    <w:link w:val="Toc5Char"/>
    <w:qFormat/>
    <w:rsid w:val="007D4EE2"/>
    <w:pPr>
      <w:tabs>
        <w:tab w:val="clear" w:pos="0"/>
        <w:tab w:val="clear" w:pos="400"/>
        <w:tab w:val="clear" w:pos="620"/>
        <w:tab w:val="right" w:pos="360"/>
        <w:tab w:val="right" w:leader="dot" w:pos="6720"/>
      </w:tabs>
      <w:ind w:left="2040" w:right="440" w:hanging="360"/>
      <w:jc w:val="left"/>
    </w:pPr>
  </w:style>
  <w:style w:type="character" w:customStyle="1" w:styleId="Toc5Char">
    <w:name w:val="_Toc5 Char"/>
    <w:link w:val="Toc5"/>
    <w:rsid w:val="006919F4"/>
    <w:rPr>
      <w:rFonts w:ascii="TimesTen" w:hAnsi="TimesTen"/>
      <w:noProof/>
      <w:sz w:val="22"/>
    </w:rPr>
  </w:style>
  <w:style w:type="paragraph" w:styleId="Footer">
    <w:name w:val="footer"/>
    <w:basedOn w:val="Normal"/>
    <w:rsid w:val="007D4EE2"/>
    <w:pPr>
      <w:tabs>
        <w:tab w:val="center" w:pos="4320"/>
        <w:tab w:val="right" w:pos="8640"/>
      </w:tabs>
    </w:pPr>
  </w:style>
  <w:style w:type="paragraph" w:styleId="Header">
    <w:name w:val="header"/>
    <w:basedOn w:val="Normal"/>
    <w:rsid w:val="007D4EE2"/>
    <w:pPr>
      <w:tabs>
        <w:tab w:val="center" w:pos="4320"/>
        <w:tab w:val="right" w:pos="8640"/>
      </w:tabs>
    </w:pPr>
  </w:style>
  <w:style w:type="character" w:styleId="PageNumber">
    <w:name w:val="page number"/>
    <w:basedOn w:val="DefaultParagraphFont"/>
    <w:rsid w:val="007D4EE2"/>
  </w:style>
  <w:style w:type="paragraph" w:customStyle="1" w:styleId="Subhead1-Pt1">
    <w:name w:val="_Subhead1-Pt1"/>
    <w:basedOn w:val="Journalfont"/>
    <w:next w:val="Document"/>
    <w:qFormat/>
    <w:rsid w:val="008E66C0"/>
    <w:pPr>
      <w:keepNext/>
      <w:suppressAutoHyphens/>
      <w:spacing w:before="240"/>
      <w:jc w:val="center"/>
    </w:pPr>
    <w:rPr>
      <w:smallCaps/>
    </w:rPr>
  </w:style>
  <w:style w:type="paragraph" w:customStyle="1" w:styleId="Subhead1-Pt2">
    <w:name w:val="_Subhead1-Pt2"/>
    <w:basedOn w:val="Subhead1-Pt1"/>
    <w:qFormat/>
    <w:rsid w:val="008E66C0"/>
    <w:pPr>
      <w:spacing w:before="0" w:after="120"/>
    </w:pPr>
  </w:style>
  <w:style w:type="paragraph" w:styleId="TOC50">
    <w:name w:val="toc 5"/>
    <w:basedOn w:val="Toc5"/>
    <w:next w:val="Journalfont"/>
    <w:autoRedefine/>
    <w:uiPriority w:val="39"/>
    <w:rsid w:val="007D4EE2"/>
    <w:pPr>
      <w:tabs>
        <w:tab w:val="left" w:pos="800"/>
      </w:tabs>
    </w:pPr>
  </w:style>
  <w:style w:type="paragraph" w:styleId="TOC10">
    <w:name w:val="toc 1"/>
    <w:basedOn w:val="Toc1"/>
    <w:next w:val="Journalfont"/>
    <w:autoRedefine/>
    <w:uiPriority w:val="39"/>
    <w:rsid w:val="007D4EE2"/>
  </w:style>
  <w:style w:type="character" w:styleId="Strong">
    <w:name w:val="Strong"/>
    <w:basedOn w:val="DefaultParagraphFont"/>
    <w:rsid w:val="00874AD6"/>
    <w:rPr>
      <w:b/>
      <w:bCs/>
    </w:rPr>
  </w:style>
  <w:style w:type="paragraph" w:customStyle="1" w:styleId="NYULineRules">
    <w:name w:val="_NYULineRules"/>
    <w:basedOn w:val="Document"/>
    <w:qFormat/>
    <w:rsid w:val="007E7BC5"/>
    <w:pPr>
      <w:pBdr>
        <w:top w:val="double" w:sz="6" w:space="7" w:color="auto"/>
        <w:bottom w:val="double" w:sz="6" w:space="7" w:color="auto"/>
      </w:pBdr>
      <w:tabs>
        <w:tab w:val="clear" w:pos="400"/>
        <w:tab w:val="clear" w:pos="620"/>
        <w:tab w:val="center" w:pos="3360"/>
        <w:tab w:val="right" w:pos="6720"/>
      </w:tabs>
      <w:spacing w:after="400"/>
      <w:ind w:firstLine="0"/>
    </w:pPr>
    <w:rPr>
      <w:smallCaps/>
    </w:rPr>
  </w:style>
  <w:style w:type="paragraph" w:styleId="BalloonText">
    <w:name w:val="Balloon Text"/>
    <w:basedOn w:val="Normal"/>
    <w:link w:val="BalloonTextChar"/>
    <w:rsid w:val="006919F4"/>
    <w:rPr>
      <w:rFonts w:ascii="Tahoma" w:hAnsi="Tahoma" w:cs="Tahoma"/>
      <w:sz w:val="16"/>
      <w:szCs w:val="16"/>
    </w:rPr>
  </w:style>
  <w:style w:type="character" w:customStyle="1" w:styleId="BalloonTextChar">
    <w:name w:val="Balloon Text Char"/>
    <w:basedOn w:val="DefaultParagraphFont"/>
    <w:link w:val="BalloonText"/>
    <w:rsid w:val="006919F4"/>
    <w:rPr>
      <w:rFonts w:ascii="Tahoma" w:hAnsi="Tahoma" w:cs="Tahoma"/>
      <w:sz w:val="16"/>
      <w:szCs w:val="16"/>
    </w:rPr>
  </w:style>
  <w:style w:type="paragraph" w:customStyle="1" w:styleId="1StQuoteFN0">
    <w:name w:val="_1StQuoteFN"/>
    <w:basedOn w:val="Normal"/>
    <w:rsid w:val="006919F4"/>
    <w:pPr>
      <w:widowControl w:val="0"/>
      <w:suppressLineNumbers/>
      <w:tabs>
        <w:tab w:val="left" w:pos="360"/>
        <w:tab w:val="left" w:pos="580"/>
      </w:tabs>
      <w:spacing w:before="20" w:line="180" w:lineRule="exact"/>
      <w:ind w:left="360" w:right="360"/>
      <w:contextualSpacing/>
      <w:jc w:val="both"/>
    </w:pPr>
    <w:rPr>
      <w:rFonts w:ascii="Times" w:hAnsi="Times"/>
      <w:noProof/>
      <w:sz w:val="16"/>
    </w:rPr>
  </w:style>
  <w:style w:type="paragraph" w:customStyle="1" w:styleId="AuthorName2-Students">
    <w:name w:val="_AuthorName2-Students"/>
    <w:basedOn w:val="Normal"/>
    <w:next w:val="Normal"/>
    <w:rsid w:val="006919F4"/>
    <w:pPr>
      <w:keepNext/>
      <w:widowControl w:val="0"/>
      <w:suppressLineNumbers/>
      <w:suppressAutoHyphens/>
      <w:spacing w:before="360" w:line="0" w:lineRule="atLeast"/>
      <w:jc w:val="right"/>
    </w:pPr>
    <w:rPr>
      <w:rFonts w:ascii="Times" w:hAnsi="Times"/>
      <w:i/>
      <w:noProof/>
      <w:sz w:val="21"/>
    </w:rPr>
  </w:style>
  <w:style w:type="paragraph" w:customStyle="1" w:styleId="SubHead10">
    <w:name w:val="_SubHead1"/>
    <w:basedOn w:val="Normal"/>
    <w:next w:val="Normal"/>
    <w:rsid w:val="006919F4"/>
    <w:pPr>
      <w:keepNext/>
      <w:widowControl w:val="0"/>
      <w:suppressLineNumbers/>
      <w:tabs>
        <w:tab w:val="left" w:pos="240"/>
      </w:tabs>
      <w:suppressAutoHyphens/>
      <w:spacing w:before="320" w:after="200" w:line="240" w:lineRule="exact"/>
      <w:contextualSpacing/>
      <w:jc w:val="center"/>
    </w:pPr>
    <w:rPr>
      <w:smallCaps/>
      <w:noProof/>
      <w:sz w:val="22"/>
      <w:szCs w:val="21"/>
    </w:rPr>
  </w:style>
  <w:style w:type="paragraph" w:customStyle="1" w:styleId="Head2-Comments">
    <w:name w:val="_Head2-Comments"/>
    <w:aliases w:val="Notes"/>
    <w:basedOn w:val="Normal"/>
    <w:rsid w:val="006919F4"/>
    <w:pPr>
      <w:keepNext/>
      <w:widowControl w:val="0"/>
      <w:suppressLineNumbers/>
      <w:suppressAutoHyphens/>
      <w:spacing w:after="280" w:line="400" w:lineRule="exact"/>
      <w:jc w:val="center"/>
    </w:pPr>
    <w:rPr>
      <w:rFonts w:ascii="Times" w:hAnsi="Times"/>
      <w:noProof/>
      <w:sz w:val="36"/>
    </w:rPr>
  </w:style>
  <w:style w:type="paragraph" w:customStyle="1" w:styleId="1StLineQuoteFn">
    <w:name w:val="_1StLineQuoteFn"/>
    <w:basedOn w:val="Normal"/>
    <w:rsid w:val="006919F4"/>
    <w:pPr>
      <w:keepNext/>
      <w:widowControl w:val="0"/>
      <w:suppressLineNumbers/>
      <w:suppressAutoHyphens/>
      <w:spacing w:before="20" w:line="180" w:lineRule="exact"/>
      <w:ind w:left="360" w:right="360" w:hanging="360"/>
      <w:jc w:val="both"/>
    </w:pPr>
    <w:rPr>
      <w:rFonts w:ascii="Times" w:hAnsi="Times"/>
      <w:noProof/>
      <w:sz w:val="16"/>
    </w:rPr>
  </w:style>
  <w:style w:type="character" w:customStyle="1" w:styleId="FootnoteTextChar1">
    <w:name w:val="Footnote Text Char1"/>
    <w:aliases w:val="Footnote Text Char2 Char,Footnote Text Char Char1 Char,Footnote Text Char1 Char Char Char,Footnote Text Char Char Char Char Char,Footnote Text Char1 Char Char Char Char Char,Footnote Text Char Char Char Char Char Char Char"/>
    <w:rsid w:val="006919F4"/>
    <w:rPr>
      <w:rFonts w:ascii="Courier" w:eastAsia="Times New Roman" w:hAnsi="Courier" w:cs="Times New Roman"/>
      <w:szCs w:val="20"/>
    </w:rPr>
  </w:style>
  <w:style w:type="paragraph" w:customStyle="1" w:styleId="ColorfulShading-Accent11">
    <w:name w:val="Colorful Shading - Accent 11"/>
    <w:hidden/>
    <w:uiPriority w:val="99"/>
    <w:semiHidden/>
    <w:rsid w:val="006919F4"/>
  </w:style>
  <w:style w:type="character" w:styleId="Hyperlink">
    <w:name w:val="Hyperlink"/>
    <w:basedOn w:val="DefaultParagraphFont"/>
    <w:rsid w:val="00C84585"/>
    <w:rPr>
      <w:color w:val="0000FF" w:themeColor="hyperlink"/>
      <w:u w:val="single"/>
    </w:rPr>
  </w:style>
  <w:style w:type="character" w:styleId="HTMLCite">
    <w:name w:val="HTML Cite"/>
    <w:basedOn w:val="DefaultParagraphFont"/>
    <w:uiPriority w:val="99"/>
    <w:rsid w:val="00173BC3"/>
    <w:rPr>
      <w:i/>
    </w:rPr>
  </w:style>
  <w:style w:type="paragraph" w:styleId="FootnoteText">
    <w:name w:val="footnote text"/>
    <w:basedOn w:val="Normal"/>
    <w:link w:val="FootnoteTextChar"/>
    <w:rsid w:val="003C3A5A"/>
  </w:style>
  <w:style w:type="character" w:customStyle="1" w:styleId="FootnoteTextChar">
    <w:name w:val="Footnote Text Char"/>
    <w:basedOn w:val="DefaultParagraphFont"/>
    <w:link w:val="FootnoteText"/>
    <w:rsid w:val="003C3A5A"/>
  </w:style>
  <w:style w:type="character" w:styleId="FootnoteReference">
    <w:name w:val="footnote reference"/>
    <w:basedOn w:val="DefaultParagraphFont"/>
    <w:rsid w:val="003C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v\AppData\Roaming\Microsoft\Templates\_SetNYU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B40C-5ABA-5142-8FE8-FD3E01F3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\Users\lawrev\AppData\Roaming\Microsoft\Templates\_SetNYU12.dotm</Template>
  <TotalTime>1</TotalTime>
  <Pages>23</Pages>
  <Words>8050</Words>
  <Characters>45887</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53830</CharactersWithSpaces>
  <SharedDoc>false</SharedDoc>
  <HLinks>
    <vt:vector size="6" baseType="variant">
      <vt:variant>
        <vt:i4>7143432</vt:i4>
      </vt:variant>
      <vt:variant>
        <vt:i4>0</vt:i4>
      </vt:variant>
      <vt:variant>
        <vt:i4>0</vt:i4>
      </vt:variant>
      <vt:variant>
        <vt:i4>5</vt:i4>
      </vt:variant>
      <vt:variant>
        <vt:lpwstr>http://www.irs.gov/publications/p946/index.html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Review</dc:creator>
  <cp:lastModifiedBy>Nancy Staudt</cp:lastModifiedBy>
  <cp:revision>3</cp:revision>
  <cp:lastPrinted>2012-10-22T22:23:00Z</cp:lastPrinted>
  <dcterms:created xsi:type="dcterms:W3CDTF">2013-05-30T18:58:00Z</dcterms:created>
  <dcterms:modified xsi:type="dcterms:W3CDTF">2013-05-30T18:59:00Z</dcterms:modified>
</cp:coreProperties>
</file>