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07" w:rsidRPr="00917EE7" w:rsidRDefault="00ED1407" w:rsidP="008B79E2">
      <w:pPr>
        <w:spacing w:line="480" w:lineRule="auto"/>
        <w:jc w:val="center"/>
        <w:rPr>
          <w:sz w:val="36"/>
        </w:rPr>
      </w:pPr>
      <w:r>
        <w:rPr>
          <w:sz w:val="36"/>
        </w:rPr>
        <w:t>How o</w:t>
      </w:r>
      <w:r w:rsidRPr="00917EE7">
        <w:rPr>
          <w:sz w:val="36"/>
        </w:rPr>
        <w:t xml:space="preserve">verlap </w:t>
      </w:r>
      <w:r>
        <w:rPr>
          <w:sz w:val="36"/>
        </w:rPr>
        <w:t>in informal institutions affects international economic relations</w:t>
      </w:r>
    </w:p>
    <w:p w:rsidR="00ED1407" w:rsidRDefault="00ED1407" w:rsidP="008B79E2">
      <w:pPr>
        <w:spacing w:line="480" w:lineRule="auto"/>
      </w:pPr>
    </w:p>
    <w:p w:rsidR="00ED1407" w:rsidRDefault="00ED1407" w:rsidP="008B79E2">
      <w:pPr>
        <w:spacing w:line="480" w:lineRule="auto"/>
      </w:pPr>
    </w:p>
    <w:p w:rsidR="00ED1407" w:rsidRDefault="00ED1407" w:rsidP="008B79E2">
      <w:pPr>
        <w:spacing w:line="480" w:lineRule="auto"/>
      </w:pPr>
      <w:r>
        <w:t xml:space="preserve">Abstract: </w:t>
      </w:r>
    </w:p>
    <w:p w:rsidR="00ED1407" w:rsidRDefault="00ED1407" w:rsidP="008B79E2">
      <w:pPr>
        <w:spacing w:line="480" w:lineRule="auto"/>
      </w:pPr>
      <w:r>
        <w:t xml:space="preserve">This paper investigates the effect of differences in informal institutions on economic relations between countries. Starting point is the argument by North (1990) and Williamson (2000) that firms evolve in a symbiotic relationship with their institutional environment. This argument implies that firms are less effective when moving to different institutional contexts that do no fit firms’ knowledge, objectives, and organizational structure. The paper argues that this effect causes firms to opt for FDI in countries with a large degree of overlap in informal institutions. More specifically, the larger the segment of the population in a country that has the same values as people in the firm’s home environment, the more effective firms will be able to operate in that country. To test this proposition, we construct a ‘cultural overlap’ measure on basis of a set of values from the World Values Survey. We show that it has significant effects on MNE location decisions. We conclude that cultural overlap is a theoretically and empirically relevant determinant of international economic relations. </w:t>
      </w:r>
    </w:p>
    <w:p w:rsidR="00ED1407" w:rsidRDefault="00ED1407" w:rsidP="008B79E2">
      <w:pPr>
        <w:spacing w:line="480" w:lineRule="auto"/>
      </w:pPr>
    </w:p>
    <w:p w:rsidR="00ED1407" w:rsidRDefault="00ED1407" w:rsidP="008B79E2">
      <w:pPr>
        <w:spacing w:line="480" w:lineRule="auto"/>
      </w:pPr>
      <w:r>
        <w:t xml:space="preserve">. </w:t>
      </w:r>
    </w:p>
    <w:p w:rsidR="00ED1407" w:rsidRDefault="00ED1407" w:rsidP="008B79E2">
      <w:pPr>
        <w:spacing w:line="480" w:lineRule="auto"/>
      </w:pPr>
      <w:r>
        <w:br w:type="page"/>
      </w:r>
    </w:p>
    <w:p w:rsidR="00ED1407" w:rsidRPr="0056464B" w:rsidRDefault="00ED1407" w:rsidP="008B79E2">
      <w:pPr>
        <w:spacing w:line="480" w:lineRule="auto"/>
        <w:rPr>
          <w:b/>
        </w:rPr>
      </w:pPr>
      <w:r w:rsidRPr="0056464B">
        <w:rPr>
          <w:b/>
        </w:rPr>
        <w:t>Introduction</w:t>
      </w:r>
    </w:p>
    <w:p w:rsidR="00ED1407" w:rsidRDefault="00ED1407" w:rsidP="008B79E2">
      <w:pPr>
        <w:spacing w:line="480" w:lineRule="auto"/>
      </w:pPr>
      <w:r>
        <w:t xml:space="preserve">What is the effect of institutional differences on the economic relations between countries? Most of the literature in new institutional economics is comparative in nature, viewing the evolution of countries’ institutional setting in isolation. Classic contributions by Acemoglu, Johnson, and Robinson (2001), Greif (1994; 2006; Greif and Tabellini 2010), North (1990; 2005), or Rodrik et al (2004) all have in common that they trace outcomes of countries to their different institutions. Whereas this approach resulted in important insights, this literature generally neglects the potential impact of institutional differences on economic outcomes through their effect on the economic interrelations between countries (Maseland 2011). Lack of economic development in a particular country may have not so much to do with the quality of its institutions itself, as with the fact that its institutions are very different from those in rich countries, cutting a country off from trade and investment flows from rich countries.  </w:t>
      </w:r>
    </w:p>
    <w:p w:rsidR="00ED1407" w:rsidRDefault="00ED1407" w:rsidP="003D5DBE">
      <w:pPr>
        <w:spacing w:line="480" w:lineRule="auto"/>
        <w:ind w:firstLine="720"/>
      </w:pPr>
      <w:r>
        <w:t xml:space="preserve">New institutional literature offers plenty of reasons to suspect that institutional differences matter for economic relations between countries. Institutions are thought to evolve in symbiosis with firms (North 1990), leading to embeddedness of firm behavior, knowledge and organizational structures in a country’s (informal) institutional setting (Williamson 2000). Informal constraints, such as shared standards of communication and shared norms, values, and codes of conduct help shape firms organizational structure and behavior (North 1990; Very, Lubatkin, Calori, and Veiga 1997). For this reason, organizational behavior that does not match underlying informal institutions will be less effective. By going abroad, however, this is precisely the situation economic agents find themselves in: they enter institutional contexts that do not match their organizational structures and behavioral patterns. This foreignness causes a liability for firms, reducing their performance or discouraging them to enter an institutionally alien market in the first place (Mezias et al 2002). </w:t>
      </w:r>
    </w:p>
    <w:p w:rsidR="00ED1407" w:rsidRDefault="00ED1407" w:rsidP="003D5DBE">
      <w:pPr>
        <w:spacing w:line="480" w:lineRule="auto"/>
        <w:ind w:firstLine="720"/>
      </w:pPr>
      <w:r>
        <w:t xml:space="preserve">This paper analyzes the effects of institutional differences on foreign direct investment (FDI) flows between countries, arguing that FDI flows are related to the degree of informal institutional similarity. More specifically, it claims that a larger overlap in informal institutions, measured by the proportion of the population that has values similar to those in the home country of a firm, facilitates entry in a market. We substantiate this claim by an analysis of the location of the </w:t>
      </w:r>
      <w:r w:rsidRPr="00744895">
        <w:t>1029</w:t>
      </w:r>
      <w:r>
        <w:t xml:space="preserve"> largest affiliates of 37 FDI originating countries. By relating these location choices to data from the World Values Survey about the overlap in qualities respondents mention to be important to teach children, we show that such ‘cultural overlap’ is a significant determinant of FDI flows.  </w:t>
      </w:r>
    </w:p>
    <w:p w:rsidR="00ED1407" w:rsidRDefault="00ED1407" w:rsidP="00743815">
      <w:pPr>
        <w:spacing w:line="480" w:lineRule="auto"/>
        <w:ind w:firstLine="720"/>
      </w:pPr>
      <w:r>
        <w:t xml:space="preserve">The paper fits within an extensive literature in international business studies arguing that so-called ‘cultural distance’ between multinational enterprise (MNE) home country and candidate host countries negatively affects both the magnitude and level of control of cross-border entry (e.g. Kogut and Singh 1988). It adds to this literature by showing that it is overlap—the proportion of the population sharing values—rather than cultural distance that matters for FDI location choice. Focusing on overlap rather than distance, the paper extends the debate about cultural differences from the exclusive realm of transaction cost theory to the realm of institutionally induced firm-specific advantages (FSA’s). Firms have a certain cultural background, which gives them a competitive edge over other firms when targeting likeminded consumers. </w:t>
      </w:r>
    </w:p>
    <w:p w:rsidR="00ED1407" w:rsidRDefault="00ED1407" w:rsidP="005E36DB">
      <w:pPr>
        <w:spacing w:line="480" w:lineRule="auto"/>
        <w:ind w:firstLine="720"/>
      </w:pPr>
      <w:r>
        <w:t xml:space="preserve">Methodologically, the paper addresses the common criticism that studies of national cultural distance assume away intra-cultural variation (Au 1999; 2000; Au and Cheung 2004; Kogut and Singh 1988, p. 427; Mezias et al 2002; Tung 2008; Tung and Baumann 2009; Tung and Verbeke 2010), while providing an equally attractive alternative. Although the importance of intra-country variation is increasingly appreciated, researchers by and large have balked at the complexity considered to be involved in including such variation (Tung and Verbeke 2010, 1266). By contrast, the concept and measure introduced in this paper is easy to use and readily available. </w:t>
      </w:r>
    </w:p>
    <w:p w:rsidR="00ED1407" w:rsidRDefault="00ED1407" w:rsidP="008B79E2">
      <w:pPr>
        <w:spacing w:line="480" w:lineRule="auto"/>
      </w:pPr>
      <w:r>
        <w:tab/>
        <w:t xml:space="preserve">In the following, we will first review the theory on the role of cultural differences in MNE decision making, focusing on the choice of subsidiary location. We will then introduce cultural overlap as a theoretically plausible concept in dealing with cultural differences against the backdrop of the cultural distance literature. Thirdly, we will provide empirical support for the relevance of cultural overlap for MNE location choice. Finally, several directions for further research on cultural overlap and implications for International Business are discussed.  </w:t>
      </w:r>
    </w:p>
    <w:p w:rsidR="00ED1407" w:rsidRDefault="00ED1407" w:rsidP="008B79E2">
      <w:pPr>
        <w:spacing w:line="480" w:lineRule="auto"/>
      </w:pPr>
    </w:p>
    <w:p w:rsidR="00ED1407" w:rsidRPr="0047483D" w:rsidRDefault="00ED1407" w:rsidP="008B79E2">
      <w:pPr>
        <w:spacing w:line="480" w:lineRule="auto"/>
        <w:rPr>
          <w:b/>
          <w:i/>
        </w:rPr>
      </w:pPr>
      <w:r w:rsidRPr="0047483D">
        <w:rPr>
          <w:b/>
        </w:rPr>
        <w:t xml:space="preserve">2. </w:t>
      </w:r>
      <w:r>
        <w:rPr>
          <w:b/>
        </w:rPr>
        <w:t>Background</w:t>
      </w:r>
    </w:p>
    <w:p w:rsidR="00ED1407" w:rsidRDefault="00ED1407" w:rsidP="00B514B1">
      <w:pPr>
        <w:autoSpaceDE w:val="0"/>
        <w:autoSpaceDN w:val="0"/>
        <w:adjustRightInd w:val="0"/>
        <w:spacing w:line="480" w:lineRule="auto"/>
        <w:rPr>
          <w:rStyle w:val="Strong"/>
          <w:b w:val="0"/>
        </w:rPr>
      </w:pPr>
      <w:r>
        <w:t xml:space="preserve">A large literature in IB discusses the effects of cultural differences on MNE behavior. Point of departure in this literature is the idea </w:t>
      </w:r>
      <w:r w:rsidRPr="00F05DB0">
        <w:t xml:space="preserve">that </w:t>
      </w:r>
      <w:r>
        <w:t>c</w:t>
      </w:r>
      <w:r w:rsidRPr="00F05DB0">
        <w:rPr>
          <w:rStyle w:val="Strong"/>
          <w:b w:val="0"/>
        </w:rPr>
        <w:t xml:space="preserve">ultural differences </w:t>
      </w:r>
      <w:r>
        <w:rPr>
          <w:rStyle w:val="Strong"/>
          <w:b w:val="0"/>
        </w:rPr>
        <w:t>create all kinds of tensions and misunderstandings in intercultural encounters (Hofstede 2001</w:t>
      </w:r>
      <w:r w:rsidRPr="00F05DB0">
        <w:rPr>
          <w:rStyle w:val="Strong"/>
          <w:b w:val="0"/>
        </w:rPr>
        <w:t>)</w:t>
      </w:r>
      <w:r>
        <w:rPr>
          <w:rStyle w:val="Strong"/>
          <w:b w:val="0"/>
        </w:rPr>
        <w:t>. Such nuisances make that foreign firms are at a disadvantage vis-à-vis locals when operating in culturally distant contexts. Only when the ownership advantages of firms are strong enough to offset this ‘liability of foreignness’ (Hymer 1976; Zaheer 1995), firms may successfully enter a culturally distant market. F</w:t>
      </w:r>
      <w:r>
        <w:t xml:space="preserve">irms therefore tend to select culturally proximate countries for </w:t>
      </w:r>
      <w:r w:rsidRPr="008B03C4">
        <w:t>investment, at least in earlier phases of their expansion (</w:t>
      </w:r>
      <w:r w:rsidRPr="008B03C4">
        <w:rPr>
          <w:iCs/>
        </w:rPr>
        <w:t>Barkema</w:t>
      </w:r>
      <w:r>
        <w:rPr>
          <w:iCs/>
        </w:rPr>
        <w:t>, Bell</w:t>
      </w:r>
      <w:r w:rsidRPr="008B03C4">
        <w:rPr>
          <w:iCs/>
        </w:rPr>
        <w:t xml:space="preserve"> and Pennings 1996;</w:t>
      </w:r>
      <w:r w:rsidRPr="008B03C4">
        <w:rPr>
          <w:i/>
          <w:iCs/>
        </w:rPr>
        <w:t xml:space="preserve"> </w:t>
      </w:r>
      <w:r w:rsidRPr="008B03C4">
        <w:t xml:space="preserve">Flores and Aguilera 2007; </w:t>
      </w:r>
      <w:r w:rsidRPr="008B03C4">
        <w:rPr>
          <w:color w:val="000000"/>
        </w:rPr>
        <w:t xml:space="preserve">Galan et al 2007; </w:t>
      </w:r>
      <w:r w:rsidRPr="008B03C4">
        <w:t>Lee, Shenkar and Li 2008; Li and Guisinger, 1991; Shenkar, 2001).</w:t>
      </w:r>
      <w:r w:rsidRPr="008B03C4">
        <w:rPr>
          <w:rStyle w:val="Strong"/>
          <w:b w:val="0"/>
        </w:rPr>
        <w:t xml:space="preserve"> </w:t>
      </w:r>
      <w:r>
        <w:rPr>
          <w:rStyle w:val="Strong"/>
          <w:b w:val="0"/>
        </w:rPr>
        <w:t xml:space="preserve">The experience gained by expansion in culturally proximate environments may subsequently be used to venture further </w:t>
      </w:r>
      <w:r w:rsidRPr="008B03C4">
        <w:t>(</w:t>
      </w:r>
      <w:r w:rsidRPr="008B03C4">
        <w:rPr>
          <w:iCs/>
        </w:rPr>
        <w:t>Barkema</w:t>
      </w:r>
      <w:r>
        <w:rPr>
          <w:iCs/>
        </w:rPr>
        <w:t>, Bell</w:t>
      </w:r>
      <w:r w:rsidRPr="008B03C4">
        <w:rPr>
          <w:iCs/>
        </w:rPr>
        <w:t xml:space="preserve"> and Pennings 1996</w:t>
      </w:r>
      <w:r>
        <w:rPr>
          <w:iCs/>
        </w:rPr>
        <w:t>)</w:t>
      </w:r>
      <w:r>
        <w:rPr>
          <w:rStyle w:val="Strong"/>
          <w:b w:val="0"/>
        </w:rPr>
        <w:t xml:space="preserve">. </w:t>
      </w:r>
    </w:p>
    <w:p w:rsidR="00ED1407" w:rsidRPr="00B514B1" w:rsidRDefault="00ED1407" w:rsidP="0010494C">
      <w:pPr>
        <w:autoSpaceDE w:val="0"/>
        <w:autoSpaceDN w:val="0"/>
        <w:adjustRightInd w:val="0"/>
        <w:spacing w:line="480" w:lineRule="auto"/>
        <w:ind w:firstLine="720"/>
        <w:rPr>
          <w:bCs/>
        </w:rPr>
      </w:pPr>
      <w:r w:rsidRPr="008B03C4">
        <w:t>Problems of overcoming cultural differences are also argued to affect the entry modes chosen. To reduce the</w:t>
      </w:r>
      <w:r>
        <w:t>ir</w:t>
      </w:r>
      <w:r w:rsidRPr="008B03C4">
        <w:t xml:space="preserve"> </w:t>
      </w:r>
      <w:r>
        <w:t xml:space="preserve">exposure to </w:t>
      </w:r>
      <w:r w:rsidRPr="008B03C4">
        <w:t>risks generated by cultural differences, firms generally lower the level of long term commitment when operating in culturally distinct countries. Larger cultural differences are therefore associated with lower levels of ownership (Gatignon and Anderson 1988; Lee, Shenkar and Li 2008; Li and Guisinger, 1991</w:t>
      </w:r>
      <w:r>
        <w:t xml:space="preserve">; </w:t>
      </w:r>
      <w:r w:rsidRPr="008B03C4">
        <w:t>Pla-Barber</w:t>
      </w:r>
      <w:r>
        <w:t>,</w:t>
      </w:r>
      <w:r w:rsidRPr="008B03C4">
        <w:t xml:space="preserve"> Sanchez-Peinado, and Madhok 2010). </w:t>
      </w:r>
      <w:r>
        <w:t>In addition</w:t>
      </w:r>
      <w:r w:rsidRPr="008B03C4">
        <w:t xml:space="preserve">, </w:t>
      </w:r>
      <w:r>
        <w:t>firms try to reduce the necessity of cultural adaptation by opting for</w:t>
      </w:r>
      <w:r w:rsidRPr="008B03C4">
        <w:t xml:space="preserve"> </w:t>
      </w:r>
      <w:smartTag w:uri="urn:schemas-microsoft-com:office:smarttags" w:element="City">
        <w:smartTag w:uri="urn:schemas-microsoft-com:office:smarttags" w:element="place">
          <w:r w:rsidRPr="008B03C4">
            <w:t>greenfield</w:t>
          </w:r>
        </w:smartTag>
      </w:smartTag>
      <w:r>
        <w:t xml:space="preserve"> investments rather than mergers and ac</w:t>
      </w:r>
      <w:r w:rsidRPr="008B03C4">
        <w:t>q</w:t>
      </w:r>
      <w:r>
        <w:t>uis</w:t>
      </w:r>
      <w:r w:rsidRPr="008B03C4">
        <w:t xml:space="preserve">itions </w:t>
      </w:r>
      <w:r>
        <w:t xml:space="preserve">when entering culturally alien contexts </w:t>
      </w:r>
      <w:r w:rsidRPr="008B03C4">
        <w:t>(Chang and Rosenzweig, 2001; Kogut and Singh, 1988; Weitzel and Berns, 2006)</w:t>
      </w:r>
      <w:r>
        <w:t xml:space="preserve">. </w:t>
      </w:r>
    </w:p>
    <w:p w:rsidR="00ED1407" w:rsidRDefault="00ED1407" w:rsidP="00855880">
      <w:pPr>
        <w:autoSpaceDE w:val="0"/>
        <w:autoSpaceDN w:val="0"/>
        <w:adjustRightInd w:val="0"/>
        <w:spacing w:line="480" w:lineRule="auto"/>
        <w:ind w:firstLine="720"/>
      </w:pPr>
      <w:r>
        <w:t>A</w:t>
      </w:r>
      <w:r w:rsidRPr="008B03C4">
        <w:t>lthough the idea that cultural differences affect location and entry modes is widely shared, empirical support for these arguments</w:t>
      </w:r>
      <w:r>
        <w:t xml:space="preserve"> is not unambiguous. A significant number of studies find no or opposite effects of cultural differences (</w:t>
      </w:r>
      <w:r w:rsidRPr="008B03C4">
        <w:rPr>
          <w:bCs/>
        </w:rPr>
        <w:t xml:space="preserve">Benito and Gripsrud 1992; </w:t>
      </w:r>
      <w:r w:rsidRPr="008B03C4">
        <w:t>Brouthers and Brouthers 2001; Ellis 2007; Mitra and Golder,</w:t>
      </w:r>
      <w:r>
        <w:t xml:space="preserve"> 2002;</w:t>
      </w:r>
      <w:r w:rsidRPr="008B03C4">
        <w:t xml:space="preserve"> Robertson and Wood, 2001; Terpstra and Yu, 1988).</w:t>
      </w:r>
      <w:r>
        <w:t xml:space="preserve"> In spite of this, culture is generally considered to be an important determinant of the location and form of FDI. </w:t>
      </w:r>
    </w:p>
    <w:p w:rsidR="00ED1407" w:rsidRDefault="00ED1407" w:rsidP="008B79E2">
      <w:pPr>
        <w:spacing w:line="480" w:lineRule="auto"/>
        <w:rPr>
          <w:i/>
        </w:rPr>
      </w:pPr>
    </w:p>
    <w:p w:rsidR="00ED1407" w:rsidRDefault="00ED1407" w:rsidP="00C46620">
      <w:pPr>
        <w:spacing w:line="480" w:lineRule="auto"/>
        <w:rPr>
          <w:i/>
        </w:rPr>
      </w:pPr>
      <w:r>
        <w:rPr>
          <w:i/>
        </w:rPr>
        <w:t>Theory: From transaction costs to Firm-Specific Advantages</w:t>
      </w:r>
    </w:p>
    <w:p w:rsidR="00ED1407" w:rsidRDefault="00ED1407" w:rsidP="00C46620">
      <w:pPr>
        <w:spacing w:line="480" w:lineRule="auto"/>
      </w:pPr>
      <w:r>
        <w:t xml:space="preserve">What all these arguments have in common is that they see culture mainly as a source of problems and costs. This interpretation of cultural differences as an investment deterrent is by and large inspired by transaction costs theory. The general argument is that cultural differences generate principal-agent problems, uncertainty and lack knowledge about markets, resulting in transaction costs. In response, firms tend to shun culturally distinct environments, or limit their vulnerability by opting for arms-length entry modes.  </w:t>
      </w:r>
    </w:p>
    <w:p w:rsidR="00ED1407" w:rsidRDefault="00ED1407" w:rsidP="00B805A9">
      <w:pPr>
        <w:spacing w:line="480" w:lineRule="auto"/>
        <w:ind w:firstLine="720"/>
      </w:pPr>
      <w:r>
        <w:t>Cultural differences may not only be interpreted as a source of costs, but also as a source of opportunities (</w:t>
      </w:r>
      <w:r w:rsidRPr="00D00105">
        <w:t>Sarala and Vaara 2010</w:t>
      </w:r>
      <w:r>
        <w:rPr>
          <w:rFonts w:ascii="AdvSTSerif-R" w:hAnsi="AdvSTSerif-R" w:cs="AdvSTSerif-R"/>
          <w:sz w:val="20"/>
          <w:szCs w:val="20"/>
        </w:rPr>
        <w:t>)</w:t>
      </w:r>
      <w:r>
        <w:t xml:space="preserve">. By generating transaction costs, culturally induced uncertainty and principal-agent issues also tend to shield off a specific environment from competitors from different cultural contexts. The logic of transaction costs implies that firms with a specific cultural background have a special ability to connect to likeminded consumers that other firms lack. A cultural background may thus not only be seen as a liability, but also as an ownership advantage: a set of culture-generated resources and capabilities that competitors (or potential competitors) do not have. Put differently, firms have culturally induced FSA’s in targeting culturally similar segments of the market </w:t>
      </w:r>
      <w:r w:rsidRPr="00B10965">
        <w:t>(cf. location-bound and home-region bound FSA’s (Rugman and Verbeke 2004, 2007</w:t>
      </w:r>
      <w:r>
        <w:t>)</w:t>
      </w:r>
      <w:r w:rsidRPr="00B10965">
        <w:t>.</w:t>
      </w:r>
      <w:r>
        <w:t xml:space="preserve"> </w:t>
      </w:r>
    </w:p>
    <w:p w:rsidR="00ED1407" w:rsidRDefault="00ED1407" w:rsidP="00B805A9">
      <w:pPr>
        <w:spacing w:line="480" w:lineRule="auto"/>
        <w:ind w:firstLine="720"/>
      </w:pPr>
      <w:r>
        <w:t xml:space="preserve">If </w:t>
      </w:r>
      <w:r w:rsidRPr="0005331A">
        <w:t xml:space="preserve">firms go abroad in order to exploit their </w:t>
      </w:r>
      <w:r>
        <w:t xml:space="preserve">ownership </w:t>
      </w:r>
      <w:r w:rsidRPr="0005331A">
        <w:t xml:space="preserve">advantages </w:t>
      </w:r>
      <w:r>
        <w:t>(Hymer 1</w:t>
      </w:r>
      <w:r w:rsidRPr="0005331A">
        <w:t>960, 1976)</w:t>
      </w:r>
      <w:r>
        <w:t xml:space="preserve">, in the case of culturally induced FSA’s they do so by focusing on those consumers whose values fit those of the firm. They may do so by targeting sizable minorities of likeminded consumers living in otherwise culturally distinct countries. This mechanism is similar to the effect of linguistic ties. A reason why Spanish firms are targeting the U.S., for example, is not that the ‘linguistic distance’ (i.e. the average time it takes a Spanish-speaker to learn English (Chiswick and Miller 2005)) between Spanish and English is small; it is because of the U.S.’s substantial Hispanic market that Spanish-language firms are well-equipped to serve </w:t>
      </w:r>
      <w:r w:rsidRPr="007A7685">
        <w:t>(Davila, 2001: Sunderland et al., 2004).</w:t>
      </w:r>
      <w:r>
        <w:t xml:space="preserve"> Likewise, foreign firms may actually enjoy an advantage over local firms in targeting segments of the local environment to which their cultural distance is limited </w:t>
      </w:r>
      <w:r w:rsidRPr="00753014">
        <w:t>relative to that of locals (Javorcik et al 2006; Miller, Thomas, Eden, &amp; Hitt, 2008; Nachum 2010).</w:t>
      </w:r>
    </w:p>
    <w:p w:rsidR="00ED1407" w:rsidRDefault="00ED1407" w:rsidP="00FC082D">
      <w:pPr>
        <w:spacing w:line="480" w:lineRule="auto"/>
        <w:ind w:firstLine="720"/>
      </w:pPr>
      <w:r>
        <w:t xml:space="preserve">Culturally induced FSA’s are likely to be especially relevant in the context of downstream, market seeking FDI (cf. Rugman and Verbeke </w:t>
      </w:r>
      <w:r w:rsidRPr="00B93FAE">
        <w:t>2007</w:t>
      </w:r>
      <w:r>
        <w:t xml:space="preserve">). Since the success of FDI focused on the upstream side of the value chain largely depends on low costs of production, standard transaction costs arguments are likely to be relatively more important there. When it comes to market seeking investment, though, firms are not so much interested in reducing the degree of cultural differences as in identifying those markets in which the firm has a distinct competitive advantage because it shares consumers’ value orientations. The question is where to find these consumers and the associated opportunities for market expansion. The answer to this question drives the choice of location. </w:t>
      </w:r>
    </w:p>
    <w:p w:rsidR="00ED1407" w:rsidRDefault="00ED1407" w:rsidP="008B79E2">
      <w:pPr>
        <w:spacing w:line="480" w:lineRule="auto"/>
        <w:rPr>
          <w:i/>
        </w:rPr>
      </w:pPr>
    </w:p>
    <w:p w:rsidR="00ED1407" w:rsidRPr="00D8453B" w:rsidRDefault="00ED1407" w:rsidP="008B79E2">
      <w:pPr>
        <w:spacing w:line="480" w:lineRule="auto"/>
        <w:rPr>
          <w:i/>
        </w:rPr>
      </w:pPr>
      <w:r w:rsidRPr="00D8453B">
        <w:rPr>
          <w:i/>
        </w:rPr>
        <w:t>Methodology: Overlap vs. distance</w:t>
      </w:r>
    </w:p>
    <w:p w:rsidR="00ED1407" w:rsidRDefault="00ED1407" w:rsidP="00A51044">
      <w:pPr>
        <w:spacing w:line="480" w:lineRule="auto"/>
      </w:pPr>
      <w:r>
        <w:t xml:space="preserve">Traditionally, researchers in international business investigating cultural differences have focused on </w:t>
      </w:r>
      <w:r w:rsidRPr="00E24B44">
        <w:t>cultural distance</w:t>
      </w:r>
      <w:r>
        <w:t xml:space="preserve">. The most popular measure is the one developed by Kogut and Singh (1988). It is based on the sum of the absolute differences of national scores on the four cultural dimensions identified by Hofstede (1980, 2001).  The K-S measure is computed on basis of the following formula: </w:t>
      </w:r>
    </w:p>
    <w:p w:rsidR="00ED1407" w:rsidRPr="00E24B44" w:rsidRDefault="00ED1407" w:rsidP="008B79E2">
      <w:pPr>
        <w:spacing w:line="480" w:lineRule="auto"/>
        <w:ind w:firstLine="720"/>
      </w:pPr>
      <w:r w:rsidRPr="00E24B44">
        <w:rPr>
          <w:position w:val="-28"/>
        </w:rPr>
        <w:object w:dxaOrig="2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3.75pt" o:ole="">
            <v:imagedata r:id="rId7" o:title=""/>
          </v:shape>
          <o:OLEObject Type="Embed" ProgID="Equation.3" ShapeID="_x0000_i1025" DrawAspect="Content" ObjectID="_1368859989" r:id="rId8"/>
        </w:object>
      </w:r>
      <w:r>
        <w:t xml:space="preserve"> </w:t>
      </w:r>
      <w:r>
        <w:tab/>
      </w:r>
      <w:r>
        <w:tab/>
      </w:r>
      <w:r>
        <w:tab/>
      </w:r>
      <w:r>
        <w:tab/>
      </w:r>
      <w:r>
        <w:tab/>
      </w:r>
      <w:r>
        <w:tab/>
      </w:r>
      <w:r>
        <w:tab/>
        <w:t>(1)</w:t>
      </w:r>
    </w:p>
    <w:p w:rsidR="00ED1407" w:rsidRDefault="00ED1407" w:rsidP="006C7A25">
      <w:pPr>
        <w:spacing w:line="480" w:lineRule="auto"/>
        <w:ind w:firstLine="720"/>
      </w:pPr>
      <w:r>
        <w:t xml:space="preserve">which gives the cultural distance (CD) of the </w:t>
      </w:r>
      <w:r>
        <w:rPr>
          <w:i/>
        </w:rPr>
        <w:t>j</w:t>
      </w:r>
      <w:r>
        <w:t xml:space="preserve">th country from a base country (denoted by subscript </w:t>
      </w:r>
      <w:r w:rsidRPr="005353CE">
        <w:rPr>
          <w:i/>
        </w:rPr>
        <w:t>a</w:t>
      </w:r>
      <w:r>
        <w:t xml:space="preserve">). </w:t>
      </w:r>
      <w:r>
        <w:rPr>
          <w:i/>
        </w:rPr>
        <w:t>I</w:t>
      </w:r>
      <w:r>
        <w:rPr>
          <w:i/>
          <w:vertAlign w:val="subscript"/>
        </w:rPr>
        <w:t>ij</w:t>
      </w:r>
      <w:r>
        <w:rPr>
          <w:i/>
          <w:vertAlign w:val="subscript"/>
        </w:rPr>
        <w:softHyphen/>
      </w:r>
      <w:r>
        <w:rPr>
          <w:i/>
          <w:vertAlign w:val="subscript"/>
        </w:rPr>
        <w:softHyphen/>
      </w:r>
      <w:r>
        <w:t xml:space="preserve"> indicates the national scores of country </w:t>
      </w:r>
      <w:r w:rsidRPr="005353CE">
        <w:rPr>
          <w:i/>
        </w:rPr>
        <w:t>j</w:t>
      </w:r>
      <w:r>
        <w:t xml:space="preserve"> on the </w:t>
      </w:r>
      <w:r w:rsidRPr="005353CE">
        <w:rPr>
          <w:i/>
        </w:rPr>
        <w:t>i</w:t>
      </w:r>
      <w:r>
        <w:t xml:space="preserve">th </w:t>
      </w:r>
      <w:r w:rsidRPr="005353CE">
        <w:t>dimension</w:t>
      </w:r>
      <w:r>
        <w:t xml:space="preserve"> </w:t>
      </w:r>
      <w:r w:rsidRPr="005353CE">
        <w:t>of Hofstede</w:t>
      </w:r>
      <w:r>
        <w:t xml:space="preserve">. The term </w:t>
      </w:r>
      <w:r>
        <w:rPr>
          <w:i/>
        </w:rPr>
        <w:t>V</w:t>
      </w:r>
      <w:r>
        <w:rPr>
          <w:i/>
          <w:vertAlign w:val="subscript"/>
        </w:rPr>
        <w:t>i</w:t>
      </w:r>
      <w:r>
        <w:t xml:space="preserve"> in the denominator represents the variance of cultural dimension </w:t>
      </w:r>
      <w:r>
        <w:rPr>
          <w:i/>
        </w:rPr>
        <w:t>i</w:t>
      </w:r>
      <w:r>
        <w:t xml:space="preserve">. </w:t>
      </w:r>
    </w:p>
    <w:p w:rsidR="00ED1407" w:rsidRDefault="00ED1407" w:rsidP="002E58A6">
      <w:pPr>
        <w:spacing w:line="480" w:lineRule="auto"/>
        <w:ind w:firstLine="720"/>
      </w:pPr>
      <w:r w:rsidRPr="004A7C8F">
        <w:rPr>
          <w:color w:val="000000"/>
        </w:rPr>
        <w:t xml:space="preserve">Its popularity notwithstanding, the K-S measure has attracted </w:t>
      </w:r>
      <w:r>
        <w:rPr>
          <w:color w:val="000000"/>
        </w:rPr>
        <w:t xml:space="preserve">significant </w:t>
      </w:r>
      <w:r w:rsidRPr="004A7C8F">
        <w:rPr>
          <w:color w:val="000000"/>
        </w:rPr>
        <w:t>criticism (</w:t>
      </w:r>
      <w:r>
        <w:rPr>
          <w:color w:val="000000"/>
        </w:rPr>
        <w:t xml:space="preserve">see </w:t>
      </w:r>
      <w:r w:rsidRPr="000830B6">
        <w:t>Shenkar, 2001 or Tung and Verbeke, 2010 for overviews).</w:t>
      </w:r>
      <w:r w:rsidRPr="004A7C8F">
        <w:rPr>
          <w:rFonts w:ascii="AdvTimes" w:hAnsi="AdvTimes" w:cs="AdvTimes"/>
          <w:color w:val="000000"/>
        </w:rPr>
        <w:t xml:space="preserve"> </w:t>
      </w:r>
      <w:r w:rsidRPr="004A7C8F">
        <w:t>In</w:t>
      </w:r>
      <w:r>
        <w:t xml:space="preserve"> recent years a number of alternatives have been proposed.</w:t>
      </w:r>
      <w:r w:rsidRPr="006C7A25">
        <w:t xml:space="preserve"> </w:t>
      </w:r>
      <w:r>
        <w:t xml:space="preserve">Some contributions focus on broadening the distance concept by </w:t>
      </w:r>
      <w:r w:rsidRPr="006C7A25">
        <w:t>including additional dimensions</w:t>
      </w:r>
      <w:r>
        <w:t>, such as institutional, economic, or demographic distance</w:t>
      </w:r>
      <w:r w:rsidRPr="006C7A25">
        <w:t xml:space="preserve">  (</w:t>
      </w:r>
      <w:r>
        <w:t xml:space="preserve">Berry, Guillen and Zhou 2010; </w:t>
      </w:r>
      <w:r w:rsidRPr="006C7A25">
        <w:t xml:space="preserve">Dow and Karunaratna 2006; </w:t>
      </w:r>
      <w:r>
        <w:t xml:space="preserve">Ghemawat 2001; </w:t>
      </w:r>
      <w:r w:rsidRPr="006C7A25">
        <w:t>Kang and Kim 2010; Kim and Gray 2009)</w:t>
      </w:r>
      <w:r>
        <w:t>.</w:t>
      </w:r>
      <w:r w:rsidRPr="006C7A25">
        <w:t xml:space="preserve"> </w:t>
      </w:r>
      <w:r>
        <w:t xml:space="preserve">Others introduce </w:t>
      </w:r>
      <w:r w:rsidRPr="006C7A25">
        <w:t xml:space="preserve">sources of values </w:t>
      </w:r>
      <w:r>
        <w:t xml:space="preserve">information other than Hofstede’s (2001) survey </w:t>
      </w:r>
      <w:r w:rsidRPr="006C7A25">
        <w:t>(Ng, Lee and Soutar 2006; Sarala and Vaala 2010; Shao, Kwok and Guedhami 2010). The main logic remains</w:t>
      </w:r>
      <w:r>
        <w:t xml:space="preserve"> the same in all these variants</w:t>
      </w:r>
      <w:r w:rsidRPr="006C7A25">
        <w:t xml:space="preserve">; distance is conceived in one way or the other as the difference between scores </w:t>
      </w:r>
      <w:r>
        <w:t xml:space="preserve">at the </w:t>
      </w:r>
      <w:r w:rsidRPr="006C7A25">
        <w:t>country level.</w:t>
      </w:r>
      <w:r>
        <w:t xml:space="preserve">  </w:t>
      </w:r>
    </w:p>
    <w:p w:rsidR="00ED1407" w:rsidRPr="00CE3DAC" w:rsidRDefault="00ED1407" w:rsidP="00CE3DAC">
      <w:pPr>
        <w:spacing w:line="480" w:lineRule="auto"/>
        <w:ind w:firstLine="720"/>
      </w:pPr>
      <w:r>
        <w:t xml:space="preserve">Kogut and Singh (1988, p. 427) already recognized that using a national measure of cultural distance to investigate firm behavior is potentially problematic, arguing that information on the firm level was preferable. In the past years, critique about the neglect of intra-country variation in cultural distance measures has grown more vocal (Au 1999; </w:t>
      </w:r>
      <w:r w:rsidRPr="00DD0988">
        <w:t>2000; 2004</w:t>
      </w:r>
      <w:r>
        <w:t>;</w:t>
      </w:r>
      <w:r w:rsidRPr="00DD0988">
        <w:t xml:space="preserve"> Berry et al 2010; Mezias</w:t>
      </w:r>
      <w:r>
        <w:t>,</w:t>
      </w:r>
      <w:r w:rsidRPr="00DD0988">
        <w:t xml:space="preserve"> </w:t>
      </w:r>
      <w:r>
        <w:t xml:space="preserve">Chen, Murphy, Biaggio, Chuawanlee, Hui, Okumara, and Starr, </w:t>
      </w:r>
      <w:r w:rsidRPr="00DD0988">
        <w:t>2002; Tung 2008; Tung</w:t>
      </w:r>
      <w:r>
        <w:t xml:space="preserve"> and Baumann 2009). Mezias et al (2002) show that national level indices are not appropriate measures at the organizational level. Tung and Baumann (2009) argue that distances between ethnic Chinese spread over various countries are often smaller than between ethnic Chinese and their non-Chinese countrymen. These results suggest that firms may target specific ethnic sub-markets when making investment decisions, bypassing national culture (Javorcik et al 2006). All this questions the relevance of national cultural distance measures. However, in spite of the increased re</w:t>
      </w:r>
      <w:r w:rsidRPr="002E58A6">
        <w:t xml:space="preserve">cognition of </w:t>
      </w:r>
      <w:r>
        <w:t xml:space="preserve">the relevance of </w:t>
      </w:r>
      <w:r w:rsidRPr="002E58A6">
        <w:t xml:space="preserve">intra-country variation, </w:t>
      </w:r>
      <w:r>
        <w:t xml:space="preserve">research has generally backed way from taking intra-country variation into account because of the perceived complexity of doing so </w:t>
      </w:r>
      <w:r w:rsidRPr="002E58A6">
        <w:t>(Tung and Verbeke 2010, 1265)</w:t>
      </w:r>
      <w:r>
        <w:t>.</w:t>
      </w:r>
    </w:p>
    <w:p w:rsidR="00ED1407" w:rsidRDefault="00ED1407" w:rsidP="008B79E2">
      <w:pPr>
        <w:spacing w:line="480" w:lineRule="auto"/>
        <w:ind w:firstLine="720"/>
      </w:pPr>
      <w:r>
        <w:t xml:space="preserve">The concept of cultural overlap offers a simple way to effectively address intra-country variation. To see the practical difference between the distance and overlap concepts, consider the following numerical example (Table 1). Assume three countries, each containing 100 respondents, who may score 0-4 on a particular cultural dimension. The distribution of scores differs between countries. </w:t>
      </w:r>
    </w:p>
    <w:p w:rsidR="00ED1407" w:rsidRDefault="00ED1407" w:rsidP="008B79E2">
      <w:pPr>
        <w:spacing w:line="480" w:lineRule="auto"/>
        <w:ind w:firstLine="720"/>
      </w:pPr>
    </w:p>
    <w:p w:rsidR="00ED1407" w:rsidRPr="00D94552" w:rsidRDefault="00ED1407" w:rsidP="008B79E2">
      <w:pPr>
        <w:spacing w:line="480" w:lineRule="auto"/>
        <w:rPr>
          <w:i/>
        </w:rPr>
      </w:pPr>
      <w:r>
        <w:rPr>
          <w:i/>
        </w:rPr>
        <w:t>Table 1. Example of inter- and intra-country distribution of cultural values scores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1293"/>
        <w:gridCol w:w="1293"/>
        <w:gridCol w:w="1294"/>
        <w:gridCol w:w="1293"/>
        <w:gridCol w:w="1293"/>
        <w:gridCol w:w="1654"/>
      </w:tblGrid>
      <w:tr w:rsidR="00ED1407" w:rsidTr="00BD5A0B">
        <w:tc>
          <w:tcPr>
            <w:tcW w:w="1348" w:type="dxa"/>
          </w:tcPr>
          <w:p w:rsidR="00ED1407" w:rsidRDefault="00ED1407" w:rsidP="00BD5A0B">
            <w:pPr>
              <w:spacing w:line="480" w:lineRule="auto"/>
              <w:jc w:val="center"/>
            </w:pPr>
          </w:p>
        </w:tc>
        <w:tc>
          <w:tcPr>
            <w:tcW w:w="1293" w:type="dxa"/>
          </w:tcPr>
          <w:p w:rsidR="00ED1407" w:rsidRDefault="00ED1407" w:rsidP="00BD5A0B">
            <w:pPr>
              <w:spacing w:line="480" w:lineRule="auto"/>
              <w:jc w:val="center"/>
            </w:pPr>
            <w:r>
              <w:t>0</w:t>
            </w:r>
          </w:p>
        </w:tc>
        <w:tc>
          <w:tcPr>
            <w:tcW w:w="1293" w:type="dxa"/>
          </w:tcPr>
          <w:p w:rsidR="00ED1407" w:rsidRDefault="00ED1407" w:rsidP="00BD5A0B">
            <w:pPr>
              <w:spacing w:line="480" w:lineRule="auto"/>
              <w:jc w:val="center"/>
            </w:pPr>
            <w:r>
              <w:t>1</w:t>
            </w:r>
          </w:p>
        </w:tc>
        <w:tc>
          <w:tcPr>
            <w:tcW w:w="1294" w:type="dxa"/>
          </w:tcPr>
          <w:p w:rsidR="00ED1407" w:rsidRDefault="00ED1407" w:rsidP="00BD5A0B">
            <w:pPr>
              <w:spacing w:line="480" w:lineRule="auto"/>
              <w:jc w:val="center"/>
            </w:pPr>
            <w:r>
              <w:t>2</w:t>
            </w:r>
          </w:p>
        </w:tc>
        <w:tc>
          <w:tcPr>
            <w:tcW w:w="1293" w:type="dxa"/>
          </w:tcPr>
          <w:p w:rsidR="00ED1407" w:rsidRDefault="00ED1407" w:rsidP="00BD5A0B">
            <w:pPr>
              <w:spacing w:line="480" w:lineRule="auto"/>
              <w:jc w:val="center"/>
            </w:pPr>
            <w:r>
              <w:t>3</w:t>
            </w:r>
          </w:p>
        </w:tc>
        <w:tc>
          <w:tcPr>
            <w:tcW w:w="1293" w:type="dxa"/>
            <w:tcBorders>
              <w:right w:val="single" w:sz="12" w:space="0" w:color="auto"/>
            </w:tcBorders>
          </w:tcPr>
          <w:p w:rsidR="00ED1407" w:rsidRDefault="00ED1407" w:rsidP="00BD5A0B">
            <w:pPr>
              <w:spacing w:line="480" w:lineRule="auto"/>
              <w:jc w:val="center"/>
            </w:pPr>
            <w:r>
              <w:t>4</w:t>
            </w:r>
          </w:p>
        </w:tc>
        <w:tc>
          <w:tcPr>
            <w:tcW w:w="1654" w:type="dxa"/>
            <w:tcBorders>
              <w:left w:val="single" w:sz="12" w:space="0" w:color="auto"/>
            </w:tcBorders>
          </w:tcPr>
          <w:p w:rsidR="00ED1407" w:rsidRPr="00BD5A0B" w:rsidRDefault="00ED1407" w:rsidP="00BD5A0B">
            <w:pPr>
              <w:spacing w:line="480" w:lineRule="auto"/>
              <w:jc w:val="center"/>
              <w:rPr>
                <w:i/>
              </w:rPr>
            </w:pPr>
            <w:r w:rsidRPr="00BD5A0B">
              <w:rPr>
                <w:i/>
              </w:rPr>
              <w:t>Average score</w:t>
            </w:r>
          </w:p>
        </w:tc>
      </w:tr>
      <w:tr w:rsidR="00ED1407" w:rsidTr="00BD5A0B">
        <w:tc>
          <w:tcPr>
            <w:tcW w:w="1348" w:type="dxa"/>
          </w:tcPr>
          <w:p w:rsidR="00ED1407" w:rsidRDefault="00ED1407" w:rsidP="00BD5A0B">
            <w:pPr>
              <w:spacing w:line="480" w:lineRule="auto"/>
              <w:jc w:val="center"/>
            </w:pPr>
            <w:r>
              <w:t>Country A</w:t>
            </w:r>
          </w:p>
        </w:tc>
        <w:tc>
          <w:tcPr>
            <w:tcW w:w="1293" w:type="dxa"/>
          </w:tcPr>
          <w:p w:rsidR="00ED1407" w:rsidRDefault="00ED1407" w:rsidP="00BD5A0B">
            <w:pPr>
              <w:spacing w:line="480" w:lineRule="auto"/>
              <w:jc w:val="center"/>
            </w:pPr>
            <w:r>
              <w:t>25</w:t>
            </w:r>
          </w:p>
        </w:tc>
        <w:tc>
          <w:tcPr>
            <w:tcW w:w="1293" w:type="dxa"/>
          </w:tcPr>
          <w:p w:rsidR="00ED1407" w:rsidRDefault="00ED1407" w:rsidP="00BD5A0B">
            <w:pPr>
              <w:spacing w:line="480" w:lineRule="auto"/>
              <w:jc w:val="center"/>
            </w:pPr>
            <w:r>
              <w:t>25</w:t>
            </w:r>
          </w:p>
        </w:tc>
        <w:tc>
          <w:tcPr>
            <w:tcW w:w="1294" w:type="dxa"/>
          </w:tcPr>
          <w:p w:rsidR="00ED1407" w:rsidRDefault="00ED1407" w:rsidP="00BD5A0B">
            <w:pPr>
              <w:spacing w:line="480" w:lineRule="auto"/>
              <w:jc w:val="center"/>
            </w:pPr>
          </w:p>
        </w:tc>
        <w:tc>
          <w:tcPr>
            <w:tcW w:w="1293" w:type="dxa"/>
          </w:tcPr>
          <w:p w:rsidR="00ED1407" w:rsidRDefault="00ED1407" w:rsidP="00BD5A0B">
            <w:pPr>
              <w:spacing w:line="480" w:lineRule="auto"/>
              <w:jc w:val="center"/>
            </w:pPr>
            <w:r>
              <w:t>25</w:t>
            </w:r>
          </w:p>
        </w:tc>
        <w:tc>
          <w:tcPr>
            <w:tcW w:w="1293" w:type="dxa"/>
            <w:tcBorders>
              <w:right w:val="single" w:sz="12" w:space="0" w:color="auto"/>
            </w:tcBorders>
          </w:tcPr>
          <w:p w:rsidR="00ED1407" w:rsidRDefault="00ED1407" w:rsidP="00BD5A0B">
            <w:pPr>
              <w:spacing w:line="480" w:lineRule="auto"/>
              <w:jc w:val="center"/>
            </w:pPr>
            <w:r>
              <w:t>25</w:t>
            </w:r>
          </w:p>
        </w:tc>
        <w:tc>
          <w:tcPr>
            <w:tcW w:w="1654" w:type="dxa"/>
            <w:tcBorders>
              <w:left w:val="single" w:sz="12" w:space="0" w:color="auto"/>
            </w:tcBorders>
          </w:tcPr>
          <w:p w:rsidR="00ED1407" w:rsidRPr="00BD5A0B" w:rsidRDefault="00ED1407" w:rsidP="00BD5A0B">
            <w:pPr>
              <w:spacing w:line="480" w:lineRule="auto"/>
              <w:jc w:val="center"/>
              <w:rPr>
                <w:i/>
              </w:rPr>
            </w:pPr>
            <w:r w:rsidRPr="00BD5A0B">
              <w:rPr>
                <w:i/>
              </w:rPr>
              <w:t>2</w:t>
            </w:r>
          </w:p>
        </w:tc>
      </w:tr>
      <w:tr w:rsidR="00ED1407" w:rsidTr="00BD5A0B">
        <w:tc>
          <w:tcPr>
            <w:tcW w:w="1348" w:type="dxa"/>
          </w:tcPr>
          <w:p w:rsidR="00ED1407" w:rsidRDefault="00ED1407" w:rsidP="00BD5A0B">
            <w:pPr>
              <w:spacing w:line="480" w:lineRule="auto"/>
              <w:jc w:val="center"/>
            </w:pPr>
            <w:r>
              <w:t>Country B</w:t>
            </w:r>
          </w:p>
        </w:tc>
        <w:tc>
          <w:tcPr>
            <w:tcW w:w="1293" w:type="dxa"/>
          </w:tcPr>
          <w:p w:rsidR="00ED1407" w:rsidRDefault="00ED1407" w:rsidP="00BD5A0B">
            <w:pPr>
              <w:spacing w:line="480" w:lineRule="auto"/>
              <w:jc w:val="center"/>
            </w:pPr>
          </w:p>
        </w:tc>
        <w:tc>
          <w:tcPr>
            <w:tcW w:w="1293" w:type="dxa"/>
          </w:tcPr>
          <w:p w:rsidR="00ED1407" w:rsidRDefault="00ED1407" w:rsidP="00BD5A0B">
            <w:pPr>
              <w:spacing w:line="480" w:lineRule="auto"/>
              <w:jc w:val="center"/>
            </w:pPr>
          </w:p>
        </w:tc>
        <w:tc>
          <w:tcPr>
            <w:tcW w:w="1294" w:type="dxa"/>
          </w:tcPr>
          <w:p w:rsidR="00ED1407" w:rsidRDefault="00ED1407" w:rsidP="00BD5A0B">
            <w:pPr>
              <w:spacing w:line="480" w:lineRule="auto"/>
              <w:jc w:val="center"/>
            </w:pPr>
            <w:r>
              <w:t>100</w:t>
            </w:r>
          </w:p>
        </w:tc>
        <w:tc>
          <w:tcPr>
            <w:tcW w:w="1293" w:type="dxa"/>
          </w:tcPr>
          <w:p w:rsidR="00ED1407" w:rsidRDefault="00ED1407" w:rsidP="00BD5A0B">
            <w:pPr>
              <w:spacing w:line="480" w:lineRule="auto"/>
              <w:jc w:val="center"/>
            </w:pPr>
          </w:p>
        </w:tc>
        <w:tc>
          <w:tcPr>
            <w:tcW w:w="1293" w:type="dxa"/>
            <w:tcBorders>
              <w:right w:val="single" w:sz="12" w:space="0" w:color="auto"/>
            </w:tcBorders>
          </w:tcPr>
          <w:p w:rsidR="00ED1407" w:rsidRDefault="00ED1407" w:rsidP="00BD5A0B">
            <w:pPr>
              <w:spacing w:line="480" w:lineRule="auto"/>
              <w:jc w:val="center"/>
            </w:pPr>
          </w:p>
        </w:tc>
        <w:tc>
          <w:tcPr>
            <w:tcW w:w="1654" w:type="dxa"/>
            <w:tcBorders>
              <w:left w:val="single" w:sz="12" w:space="0" w:color="auto"/>
            </w:tcBorders>
          </w:tcPr>
          <w:p w:rsidR="00ED1407" w:rsidRPr="00BD5A0B" w:rsidRDefault="00ED1407" w:rsidP="00BD5A0B">
            <w:pPr>
              <w:spacing w:line="480" w:lineRule="auto"/>
              <w:jc w:val="center"/>
              <w:rPr>
                <w:i/>
              </w:rPr>
            </w:pPr>
            <w:r w:rsidRPr="00BD5A0B">
              <w:rPr>
                <w:i/>
              </w:rPr>
              <w:t>2</w:t>
            </w:r>
          </w:p>
        </w:tc>
      </w:tr>
      <w:tr w:rsidR="00ED1407" w:rsidTr="00BD5A0B">
        <w:tc>
          <w:tcPr>
            <w:tcW w:w="1348" w:type="dxa"/>
          </w:tcPr>
          <w:p w:rsidR="00ED1407" w:rsidRDefault="00ED1407" w:rsidP="00BD5A0B">
            <w:pPr>
              <w:spacing w:line="480" w:lineRule="auto"/>
              <w:jc w:val="center"/>
            </w:pPr>
            <w:r>
              <w:t>Country C</w:t>
            </w:r>
          </w:p>
        </w:tc>
        <w:tc>
          <w:tcPr>
            <w:tcW w:w="1293" w:type="dxa"/>
          </w:tcPr>
          <w:p w:rsidR="00ED1407" w:rsidRDefault="00ED1407" w:rsidP="00BD5A0B">
            <w:pPr>
              <w:spacing w:line="480" w:lineRule="auto"/>
              <w:jc w:val="center"/>
            </w:pPr>
            <w:r>
              <w:t>50</w:t>
            </w:r>
          </w:p>
        </w:tc>
        <w:tc>
          <w:tcPr>
            <w:tcW w:w="1293" w:type="dxa"/>
          </w:tcPr>
          <w:p w:rsidR="00ED1407" w:rsidRDefault="00ED1407" w:rsidP="00BD5A0B">
            <w:pPr>
              <w:spacing w:line="480" w:lineRule="auto"/>
              <w:jc w:val="center"/>
            </w:pPr>
            <w:r>
              <w:t>25</w:t>
            </w:r>
          </w:p>
        </w:tc>
        <w:tc>
          <w:tcPr>
            <w:tcW w:w="1294" w:type="dxa"/>
          </w:tcPr>
          <w:p w:rsidR="00ED1407" w:rsidRDefault="00ED1407" w:rsidP="00BD5A0B">
            <w:pPr>
              <w:spacing w:line="480" w:lineRule="auto"/>
              <w:jc w:val="center"/>
            </w:pPr>
          </w:p>
        </w:tc>
        <w:tc>
          <w:tcPr>
            <w:tcW w:w="1293" w:type="dxa"/>
          </w:tcPr>
          <w:p w:rsidR="00ED1407" w:rsidRDefault="00ED1407" w:rsidP="00BD5A0B">
            <w:pPr>
              <w:spacing w:line="480" w:lineRule="auto"/>
              <w:jc w:val="center"/>
            </w:pPr>
            <w:r>
              <w:t>25</w:t>
            </w:r>
          </w:p>
        </w:tc>
        <w:tc>
          <w:tcPr>
            <w:tcW w:w="1293" w:type="dxa"/>
            <w:tcBorders>
              <w:right w:val="single" w:sz="12" w:space="0" w:color="auto"/>
            </w:tcBorders>
          </w:tcPr>
          <w:p w:rsidR="00ED1407" w:rsidRDefault="00ED1407" w:rsidP="00BD5A0B">
            <w:pPr>
              <w:spacing w:line="480" w:lineRule="auto"/>
              <w:jc w:val="center"/>
            </w:pPr>
          </w:p>
        </w:tc>
        <w:tc>
          <w:tcPr>
            <w:tcW w:w="1654" w:type="dxa"/>
            <w:tcBorders>
              <w:left w:val="single" w:sz="12" w:space="0" w:color="auto"/>
            </w:tcBorders>
          </w:tcPr>
          <w:p w:rsidR="00ED1407" w:rsidRPr="00BD5A0B" w:rsidRDefault="00ED1407" w:rsidP="00BD5A0B">
            <w:pPr>
              <w:spacing w:line="480" w:lineRule="auto"/>
              <w:jc w:val="center"/>
              <w:rPr>
                <w:i/>
              </w:rPr>
            </w:pPr>
            <w:r w:rsidRPr="00BD5A0B">
              <w:rPr>
                <w:i/>
              </w:rPr>
              <w:t>1</w:t>
            </w:r>
          </w:p>
        </w:tc>
      </w:tr>
    </w:tbl>
    <w:p w:rsidR="00ED1407" w:rsidRDefault="00ED1407" w:rsidP="008B79E2">
      <w:pPr>
        <w:spacing w:line="480" w:lineRule="auto"/>
      </w:pPr>
    </w:p>
    <w:p w:rsidR="00ED1407" w:rsidRDefault="00ED1407" w:rsidP="008B79E2">
      <w:pPr>
        <w:spacing w:line="480" w:lineRule="auto"/>
      </w:pPr>
      <w:r>
        <w:t xml:space="preserve">Between which country pairs would we expect more interactions? Cultural distance concepts (looking at the difference between average culture scores) lead us to expect MNE’s from Country A to prefer doing business in Country B above doing business in Country C. After all, the difference between average scores is 0 between countries A and B, and 1 between A and C. </w:t>
      </w:r>
    </w:p>
    <w:p w:rsidR="00ED1407" w:rsidRDefault="00ED1407" w:rsidP="008B79E2">
      <w:pPr>
        <w:spacing w:line="480" w:lineRule="auto"/>
        <w:ind w:firstLine="720"/>
      </w:pPr>
      <w:r>
        <w:t>However, exclusively looking at distance between averages obscures the fact 75% of firms in country A are able to match with a Country C-resident with identical values. By contrast, there are no such matches at all between inhabitants of Country A and B. Looking at cultural overlap—</w:t>
      </w:r>
      <w:r w:rsidRPr="00C9506D">
        <w:t>the</w:t>
      </w:r>
      <w:r>
        <w:t xml:space="preserve"> share</w:t>
      </w:r>
      <w:r w:rsidRPr="00C9506D">
        <w:t xml:space="preserve"> of likeminded </w:t>
      </w:r>
      <w:r>
        <w:t>people in a country— we would therefore expect firms from Country A to select Country C rather than Country B. By focusing on segments of Country C to which they are culturally similar, firms are able to exploit their cultural FSA’s. F</w:t>
      </w:r>
      <w:r w:rsidRPr="0039512E">
        <w:t>irms</w:t>
      </w:r>
      <w:r>
        <w:t>, after all, do not select</w:t>
      </w:r>
      <w:r w:rsidRPr="0039512E">
        <w:t xml:space="preserve"> countries, they select </w:t>
      </w:r>
      <w:r>
        <w:t>consumers to serve</w:t>
      </w:r>
      <w:r w:rsidRPr="0039512E">
        <w:t xml:space="preserve">. </w:t>
      </w:r>
      <w:r>
        <w:t xml:space="preserve">If cultural differences matter in this process, that makes </w:t>
      </w:r>
      <w:r w:rsidRPr="00C9506D">
        <w:t xml:space="preserve">that firms minimizing cultural differences select </w:t>
      </w:r>
      <w:r>
        <w:t xml:space="preserve">culturally similar </w:t>
      </w:r>
      <w:r w:rsidRPr="00C9506D">
        <w:t xml:space="preserve">partners from </w:t>
      </w:r>
      <w:r>
        <w:t>within a variety of settings</w:t>
      </w:r>
      <w:r w:rsidRPr="00C9506D">
        <w:t xml:space="preserve">, not </w:t>
      </w:r>
      <w:r>
        <w:t xml:space="preserve">select culturally similar </w:t>
      </w:r>
      <w:r w:rsidRPr="00C9506D">
        <w:t>setting</w:t>
      </w:r>
      <w:r>
        <w:t>s</w:t>
      </w:r>
      <w:r w:rsidRPr="00C9506D">
        <w:t xml:space="preserve"> </w:t>
      </w:r>
      <w:r>
        <w:t>harboring a variety of partners</w:t>
      </w:r>
      <w:r w:rsidRPr="00C9506D">
        <w:t xml:space="preserve">. </w:t>
      </w:r>
      <w:r>
        <w:t xml:space="preserve">For this reason, the share of a population in Country A whose values correspond to those of people in Country B is more relevant to MNE’s than national cultural distance. </w:t>
      </w:r>
    </w:p>
    <w:p w:rsidR="00ED1407" w:rsidRDefault="00ED1407" w:rsidP="008B79E2">
      <w:pPr>
        <w:spacing w:line="480" w:lineRule="auto"/>
        <w:ind w:firstLine="720"/>
      </w:pPr>
      <w:r>
        <w:t xml:space="preserve">Obviously, cultural overlap and cultural distance are related empirically. If cultural overlap is large, this also tends to reduce the difference between average culture scores. Even if cultural overlap is what matters most, this does not contradict the vast empirical literature lending support to the idea that cultural distance affects MNE behavior. If our reasoning is correct, however, the observed effects of cultural distance actually reflect the correlated effects of cultural overlap on cross-cultural firm behavior.  </w:t>
      </w:r>
    </w:p>
    <w:p w:rsidR="00ED1407" w:rsidRDefault="00ED1407" w:rsidP="008B79E2">
      <w:pPr>
        <w:spacing w:line="480" w:lineRule="auto"/>
        <w:rPr>
          <w:i/>
        </w:rPr>
      </w:pPr>
    </w:p>
    <w:p w:rsidR="00ED1407" w:rsidRPr="0005331A" w:rsidRDefault="00ED1407" w:rsidP="008B79E2">
      <w:pPr>
        <w:spacing w:line="480" w:lineRule="auto"/>
        <w:rPr>
          <w:b/>
        </w:rPr>
      </w:pPr>
      <w:r>
        <w:rPr>
          <w:b/>
        </w:rPr>
        <w:t>3</w:t>
      </w:r>
      <w:r w:rsidRPr="0005331A">
        <w:rPr>
          <w:b/>
        </w:rPr>
        <w:t>. Hypotheses</w:t>
      </w:r>
      <w:r>
        <w:rPr>
          <w:b/>
        </w:rPr>
        <w:t xml:space="preserve"> and Method</w:t>
      </w:r>
      <w:r w:rsidRPr="0005331A">
        <w:rPr>
          <w:b/>
        </w:rPr>
        <w:t xml:space="preserve"> </w:t>
      </w:r>
    </w:p>
    <w:p w:rsidR="00ED1407" w:rsidRDefault="00ED1407" w:rsidP="008B79E2">
      <w:pPr>
        <w:spacing w:line="480" w:lineRule="auto"/>
      </w:pPr>
      <w:r>
        <w:t>On basis of the discussion so far, we maintain that cultural overlap is a relevant variable for subsidiary location decisions by MNE’s. What is more, it is the variable that actually underlies much of the apparent effects of national cultural distance. This leads us to the following hypotheses:</w:t>
      </w:r>
    </w:p>
    <w:p w:rsidR="00ED1407" w:rsidRDefault="00ED1407" w:rsidP="008B79E2">
      <w:pPr>
        <w:spacing w:line="480" w:lineRule="auto"/>
        <w:rPr>
          <w:i/>
        </w:rPr>
      </w:pPr>
    </w:p>
    <w:p w:rsidR="00ED1407" w:rsidRPr="00A86788" w:rsidRDefault="00ED1407" w:rsidP="008B79E2">
      <w:pPr>
        <w:spacing w:line="480" w:lineRule="auto"/>
        <w:rPr>
          <w:i/>
        </w:rPr>
      </w:pPr>
      <w:r w:rsidRPr="00A86788">
        <w:rPr>
          <w:i/>
        </w:rPr>
        <w:t xml:space="preserve">Hypothesis 1. Cultural overlap is positively related to </w:t>
      </w:r>
      <w:r>
        <w:rPr>
          <w:i/>
        </w:rPr>
        <w:t>the number of cross-border activities by MNE’s, even when controlled for cultural distance</w:t>
      </w:r>
      <w:r w:rsidRPr="00A86788">
        <w:rPr>
          <w:i/>
        </w:rPr>
        <w:t xml:space="preserve">. </w:t>
      </w:r>
    </w:p>
    <w:p w:rsidR="00ED1407" w:rsidRPr="00A86788" w:rsidRDefault="00ED1407" w:rsidP="008B79E2">
      <w:pPr>
        <w:spacing w:line="480" w:lineRule="auto"/>
        <w:rPr>
          <w:i/>
        </w:rPr>
      </w:pPr>
    </w:p>
    <w:p w:rsidR="00ED1407" w:rsidRPr="00A86788" w:rsidRDefault="00ED1407" w:rsidP="008B79E2">
      <w:pPr>
        <w:spacing w:line="480" w:lineRule="auto"/>
        <w:rPr>
          <w:i/>
        </w:rPr>
      </w:pPr>
      <w:r w:rsidRPr="00A86788">
        <w:rPr>
          <w:i/>
        </w:rPr>
        <w:t xml:space="preserve">Hypothesis </w:t>
      </w:r>
      <w:r>
        <w:rPr>
          <w:i/>
        </w:rPr>
        <w:t>2a</w:t>
      </w:r>
      <w:r w:rsidRPr="00A86788">
        <w:rPr>
          <w:i/>
        </w:rPr>
        <w:t xml:space="preserve">. </w:t>
      </w:r>
      <w:r>
        <w:rPr>
          <w:i/>
        </w:rPr>
        <w:t>Any effect of c</w:t>
      </w:r>
      <w:r w:rsidRPr="00A86788">
        <w:rPr>
          <w:i/>
        </w:rPr>
        <w:t xml:space="preserve">ultural </w:t>
      </w:r>
      <w:r>
        <w:rPr>
          <w:i/>
        </w:rPr>
        <w:t xml:space="preserve">distance on </w:t>
      </w:r>
      <w:r w:rsidRPr="00A86788">
        <w:rPr>
          <w:i/>
        </w:rPr>
        <w:t xml:space="preserve">MNE cross-border </w:t>
      </w:r>
      <w:r>
        <w:rPr>
          <w:i/>
        </w:rPr>
        <w:t xml:space="preserve">activities is reduced when including </w:t>
      </w:r>
      <w:r w:rsidRPr="00A86788">
        <w:rPr>
          <w:i/>
        </w:rPr>
        <w:t xml:space="preserve">cultural </w:t>
      </w:r>
      <w:r>
        <w:rPr>
          <w:i/>
        </w:rPr>
        <w:t>overlap in the explanation</w:t>
      </w:r>
      <w:r w:rsidRPr="00A86788">
        <w:rPr>
          <w:i/>
        </w:rPr>
        <w:t xml:space="preserve">. </w:t>
      </w:r>
    </w:p>
    <w:p w:rsidR="00ED1407" w:rsidRDefault="00ED1407" w:rsidP="008B79E2">
      <w:pPr>
        <w:spacing w:line="480" w:lineRule="auto"/>
      </w:pPr>
    </w:p>
    <w:p w:rsidR="00ED1407" w:rsidRDefault="00ED1407" w:rsidP="008B79E2">
      <w:pPr>
        <w:spacing w:line="480" w:lineRule="auto"/>
      </w:pPr>
      <w:r>
        <w:t xml:space="preserve">A stronger version of this hypothesis is that cultural overlap is the </w:t>
      </w:r>
      <w:r w:rsidRPr="00EF0D0A">
        <w:rPr>
          <w:i/>
        </w:rPr>
        <w:t>only</w:t>
      </w:r>
      <w:r>
        <w:t xml:space="preserve"> aspect of cultural differences that matters for MNE location decisions, so that national cultural distance does not affect such decisions at all. </w:t>
      </w:r>
    </w:p>
    <w:p w:rsidR="00ED1407" w:rsidRDefault="00ED1407" w:rsidP="008B79E2">
      <w:pPr>
        <w:spacing w:line="480" w:lineRule="auto"/>
      </w:pPr>
    </w:p>
    <w:p w:rsidR="00ED1407" w:rsidRDefault="00ED1407" w:rsidP="008B79E2">
      <w:pPr>
        <w:spacing w:line="480" w:lineRule="auto"/>
        <w:rPr>
          <w:i/>
        </w:rPr>
      </w:pPr>
      <w:r w:rsidRPr="00A86788">
        <w:rPr>
          <w:i/>
        </w:rPr>
        <w:t xml:space="preserve">Hypothesis </w:t>
      </w:r>
      <w:r>
        <w:rPr>
          <w:i/>
        </w:rPr>
        <w:t>2b</w:t>
      </w:r>
      <w:r w:rsidRPr="00A86788">
        <w:rPr>
          <w:i/>
        </w:rPr>
        <w:t xml:space="preserve">. </w:t>
      </w:r>
      <w:r>
        <w:rPr>
          <w:i/>
        </w:rPr>
        <w:t>Any effect of c</w:t>
      </w:r>
      <w:r w:rsidRPr="00A86788">
        <w:rPr>
          <w:i/>
        </w:rPr>
        <w:t xml:space="preserve">ultural </w:t>
      </w:r>
      <w:r>
        <w:rPr>
          <w:i/>
        </w:rPr>
        <w:t xml:space="preserve">distance on </w:t>
      </w:r>
      <w:r w:rsidRPr="00A86788">
        <w:rPr>
          <w:i/>
        </w:rPr>
        <w:t xml:space="preserve">MNE cross-border </w:t>
      </w:r>
      <w:r>
        <w:rPr>
          <w:i/>
        </w:rPr>
        <w:t xml:space="preserve">activities disappears when including </w:t>
      </w:r>
      <w:r w:rsidRPr="00A86788">
        <w:rPr>
          <w:i/>
        </w:rPr>
        <w:t xml:space="preserve">cultural </w:t>
      </w:r>
      <w:r>
        <w:rPr>
          <w:i/>
        </w:rPr>
        <w:t>overlap in the explanation</w:t>
      </w:r>
      <w:r w:rsidRPr="00A86788">
        <w:rPr>
          <w:i/>
        </w:rPr>
        <w:t xml:space="preserve">. </w:t>
      </w:r>
    </w:p>
    <w:p w:rsidR="00ED1407" w:rsidRDefault="00ED1407" w:rsidP="008B79E2">
      <w:pPr>
        <w:spacing w:line="480" w:lineRule="auto"/>
      </w:pPr>
    </w:p>
    <w:p w:rsidR="00ED1407" w:rsidRDefault="00ED1407" w:rsidP="008B79E2">
      <w:pPr>
        <w:spacing w:line="480" w:lineRule="auto"/>
      </w:pPr>
      <w:r>
        <w:t>In the discussion of the theoretical link between cultural differences and location choice, we argued that transactions costs resulting from cultural differences are likely to matter more in cases where MNE’s go abroad for efficiency seeking reasons. When the motivation is market-seeking, however, cultural FSA’s are likely to be of more importance. Our data do not contain direct information about the motivation for FDI. However, they do allow us to distinguish between industrial affiliates and affiliates in the services (financial and otherwise) sector. Since the provision of services is generally more associated with face-to-face contact than production of industrial goods, FDI in the services sector is on average likely to be more market-seeking than in the industrial sector. This brings us to our final hypothesis:</w:t>
      </w:r>
    </w:p>
    <w:p w:rsidR="00ED1407" w:rsidRPr="00EF0D0A" w:rsidRDefault="00ED1407" w:rsidP="008B79E2">
      <w:pPr>
        <w:spacing w:line="480" w:lineRule="auto"/>
      </w:pPr>
    </w:p>
    <w:p w:rsidR="00ED1407" w:rsidRPr="004C46A2" w:rsidRDefault="00ED1407" w:rsidP="008B79E2">
      <w:pPr>
        <w:spacing w:line="480" w:lineRule="auto"/>
        <w:rPr>
          <w:i/>
        </w:rPr>
      </w:pPr>
      <w:r w:rsidRPr="004C46A2">
        <w:rPr>
          <w:i/>
        </w:rPr>
        <w:t xml:space="preserve">Hypothesis </w:t>
      </w:r>
      <w:r>
        <w:rPr>
          <w:i/>
        </w:rPr>
        <w:t>3</w:t>
      </w:r>
      <w:r w:rsidRPr="004C46A2">
        <w:rPr>
          <w:i/>
        </w:rPr>
        <w:t>:</w:t>
      </w:r>
      <w:r>
        <w:rPr>
          <w:i/>
        </w:rPr>
        <w:t xml:space="preserve"> the effect of cultural overlap relative to that of cultural distance on subsidiary location-selection is stronger in the services sector than in the industrial sector. </w:t>
      </w:r>
    </w:p>
    <w:p w:rsidR="00ED1407" w:rsidRDefault="00ED1407" w:rsidP="008B79E2">
      <w:pPr>
        <w:spacing w:line="480" w:lineRule="auto"/>
      </w:pPr>
    </w:p>
    <w:p w:rsidR="00ED1407" w:rsidRPr="00F9758E" w:rsidRDefault="00ED1407" w:rsidP="008B79E2">
      <w:pPr>
        <w:spacing w:line="480" w:lineRule="auto"/>
        <w:rPr>
          <w:i/>
        </w:rPr>
      </w:pPr>
      <w:r w:rsidRPr="00F9758E">
        <w:rPr>
          <w:i/>
        </w:rPr>
        <w:t>Data</w:t>
      </w:r>
      <w:r>
        <w:rPr>
          <w:i/>
        </w:rPr>
        <w:t xml:space="preserve"> &amp; Method</w:t>
      </w:r>
    </w:p>
    <w:p w:rsidR="00ED1407" w:rsidRDefault="00ED1407" w:rsidP="008B79E2">
      <w:pPr>
        <w:autoSpaceDE w:val="0"/>
        <w:autoSpaceDN w:val="0"/>
        <w:adjustRightInd w:val="0"/>
        <w:spacing w:line="480" w:lineRule="auto"/>
      </w:pPr>
      <w:r>
        <w:t xml:space="preserve">In order to test our hypotheses, we estimate the following regression equation: </w:t>
      </w:r>
    </w:p>
    <w:p w:rsidR="00ED1407" w:rsidRDefault="00ED1407" w:rsidP="00744895">
      <w:pPr>
        <w:autoSpaceDE w:val="0"/>
        <w:autoSpaceDN w:val="0"/>
        <w:adjustRightInd w:val="0"/>
        <w:spacing w:line="480" w:lineRule="auto"/>
        <w:ind w:firstLine="720"/>
      </w:pPr>
    </w:p>
    <w:p w:rsidR="00ED1407" w:rsidRDefault="00ED1407" w:rsidP="00744895">
      <w:pPr>
        <w:autoSpaceDE w:val="0"/>
        <w:autoSpaceDN w:val="0"/>
        <w:adjustRightInd w:val="0"/>
        <w:spacing w:line="480" w:lineRule="auto"/>
        <w:ind w:firstLine="720"/>
      </w:pPr>
      <w:r w:rsidRPr="00744895">
        <w:rPr>
          <w:position w:val="-14"/>
        </w:rPr>
        <w:object w:dxaOrig="4780" w:dyaOrig="380">
          <v:shape id="_x0000_i1026" type="#_x0000_t75" style="width:239.25pt;height:18.75pt" o:ole="">
            <v:imagedata r:id="rId9" o:title=""/>
          </v:shape>
          <o:OLEObject Type="Embed" ProgID="Equation.3" ShapeID="_x0000_i1026" DrawAspect="Content" ObjectID="_1368859990" r:id="rId10"/>
        </w:object>
      </w:r>
      <w:r>
        <w:tab/>
      </w:r>
      <w:r>
        <w:tab/>
      </w:r>
      <w:r>
        <w:tab/>
      </w:r>
      <w:r>
        <w:tab/>
        <w:t>(2)</w:t>
      </w:r>
    </w:p>
    <w:p w:rsidR="00ED1407" w:rsidRDefault="00ED1407" w:rsidP="008B79E2">
      <w:pPr>
        <w:autoSpaceDE w:val="0"/>
        <w:autoSpaceDN w:val="0"/>
        <w:adjustRightInd w:val="0"/>
        <w:spacing w:line="480" w:lineRule="auto"/>
      </w:pPr>
    </w:p>
    <w:p w:rsidR="00ED1407" w:rsidRDefault="00ED1407" w:rsidP="008B79E2">
      <w:pPr>
        <w:autoSpaceDE w:val="0"/>
        <w:autoSpaceDN w:val="0"/>
        <w:adjustRightInd w:val="0"/>
        <w:spacing w:line="480" w:lineRule="auto"/>
      </w:pPr>
      <w:r>
        <w:t xml:space="preserve">in which </w:t>
      </w:r>
      <w:r w:rsidRPr="005236C7">
        <w:rPr>
          <w:position w:val="-14"/>
        </w:rPr>
        <w:object w:dxaOrig="380" w:dyaOrig="380">
          <v:shape id="_x0000_i1027" type="#_x0000_t75" style="width:18.75pt;height:18.75pt" o:ole="">
            <v:imagedata r:id="rId11" o:title=""/>
          </v:shape>
          <o:OLEObject Type="Embed" ProgID="Equation.3" ShapeID="_x0000_i1027" DrawAspect="Content" ObjectID="_1368859991" r:id="rId12"/>
        </w:object>
      </w:r>
      <w:r>
        <w:t xml:space="preserve"> is the number of affiliates in country </w:t>
      </w:r>
      <w:r w:rsidRPr="00234ED2">
        <w:rPr>
          <w:i/>
        </w:rPr>
        <w:t>j</w:t>
      </w:r>
      <w:r>
        <w:t xml:space="preserve"> of firms from country </w:t>
      </w:r>
      <w:r>
        <w:rPr>
          <w:i/>
        </w:rPr>
        <w:t xml:space="preserve">I, </w:t>
      </w:r>
      <w:r w:rsidRPr="00234ED2">
        <w:rPr>
          <w:position w:val="-10"/>
          <w:sz w:val="20"/>
          <w:szCs w:val="20"/>
        </w:rPr>
        <w:object w:dxaOrig="260" w:dyaOrig="340">
          <v:shape id="_x0000_i1028" type="#_x0000_t75" style="width:12.75pt;height:17.25pt" o:ole="">
            <v:imagedata r:id="rId13" o:title=""/>
          </v:shape>
          <o:OLEObject Type="Embed" ProgID="Equation.3" ShapeID="_x0000_i1028" DrawAspect="Content" ObjectID="_1368859992" r:id="rId14"/>
        </w:object>
      </w:r>
      <w:r>
        <w:t xml:space="preserve"> is the coefficient showing the effect of cultural overlap, </w:t>
      </w:r>
      <w:r w:rsidRPr="00234ED2">
        <w:rPr>
          <w:position w:val="-10"/>
          <w:sz w:val="20"/>
          <w:szCs w:val="20"/>
        </w:rPr>
        <w:object w:dxaOrig="279" w:dyaOrig="340">
          <v:shape id="_x0000_i1029" type="#_x0000_t75" style="width:14.25pt;height:17.25pt" o:ole="">
            <v:imagedata r:id="rId15" o:title=""/>
          </v:shape>
          <o:OLEObject Type="Embed" ProgID="Equation.3" ShapeID="_x0000_i1029" DrawAspect="Content" ObjectID="_1368859993" r:id="rId16"/>
        </w:object>
      </w:r>
      <w:r>
        <w:t xml:space="preserve"> represents the effect of cultural distance, and </w:t>
      </w:r>
      <w:r w:rsidRPr="00234ED2">
        <w:rPr>
          <w:position w:val="-12"/>
          <w:sz w:val="20"/>
          <w:szCs w:val="20"/>
        </w:rPr>
        <w:object w:dxaOrig="279" w:dyaOrig="360">
          <v:shape id="_x0000_i1030" type="#_x0000_t75" style="width:14.25pt;height:18pt" o:ole="">
            <v:imagedata r:id="rId17" o:title=""/>
          </v:shape>
          <o:OLEObject Type="Embed" ProgID="Equation.3" ShapeID="_x0000_i1030" DrawAspect="Content" ObjectID="_1368859994" r:id="rId18"/>
        </w:object>
      </w:r>
      <w:r>
        <w:rPr>
          <w:position w:val="-14"/>
          <w:sz w:val="20"/>
          <w:szCs w:val="20"/>
        </w:rPr>
        <w:t xml:space="preserve"> </w:t>
      </w:r>
      <w:r>
        <w:t xml:space="preserve">and </w:t>
      </w:r>
      <w:r w:rsidRPr="00234ED2">
        <w:rPr>
          <w:position w:val="-10"/>
          <w:sz w:val="20"/>
          <w:szCs w:val="20"/>
        </w:rPr>
        <w:object w:dxaOrig="279" w:dyaOrig="340">
          <v:shape id="_x0000_i1031" type="#_x0000_t75" style="width:14.25pt;height:17.25pt" o:ole="">
            <v:imagedata r:id="rId19" o:title=""/>
          </v:shape>
          <o:OLEObject Type="Embed" ProgID="Equation.3" ShapeID="_x0000_i1031" DrawAspect="Content" ObjectID="_1368859995" r:id="rId20"/>
        </w:object>
      </w:r>
      <w:r>
        <w:t xml:space="preserve">denote the effects of a set of bilateral and host country-specific control variables. </w:t>
      </w:r>
    </w:p>
    <w:p w:rsidR="00ED1407" w:rsidRPr="00234ED2" w:rsidRDefault="00ED1407" w:rsidP="00234ED2">
      <w:pPr>
        <w:autoSpaceDE w:val="0"/>
        <w:autoSpaceDN w:val="0"/>
        <w:adjustRightInd w:val="0"/>
        <w:spacing w:line="480" w:lineRule="auto"/>
        <w:ind w:firstLine="720"/>
        <w:rPr>
          <w:vertAlign w:val="superscript"/>
        </w:rPr>
      </w:pPr>
      <w:r>
        <w:t>Our main variable of interest is cultural overlap, which is derived from a set of items from the World Values Survey</w:t>
      </w:r>
      <w:r>
        <w:rPr>
          <w:rStyle w:val="FootnoteReference"/>
        </w:rPr>
        <w:footnoteReference w:id="1"/>
      </w:r>
      <w:r>
        <w:t xml:space="preserve"> based on the question: </w:t>
      </w:r>
    </w:p>
    <w:p w:rsidR="00ED1407" w:rsidRDefault="00ED1407" w:rsidP="008B79E2">
      <w:pPr>
        <w:autoSpaceDE w:val="0"/>
        <w:autoSpaceDN w:val="0"/>
        <w:adjustRightInd w:val="0"/>
        <w:spacing w:line="480" w:lineRule="auto"/>
      </w:pPr>
    </w:p>
    <w:p w:rsidR="00ED1407" w:rsidRPr="00110E1A" w:rsidRDefault="00ED1407" w:rsidP="008B79E2">
      <w:pPr>
        <w:autoSpaceDE w:val="0"/>
        <w:autoSpaceDN w:val="0"/>
        <w:adjustRightInd w:val="0"/>
        <w:spacing w:line="480" w:lineRule="auto"/>
        <w:rPr>
          <w:i/>
        </w:rPr>
      </w:pPr>
      <w:r w:rsidRPr="00110E1A">
        <w:rPr>
          <w:i/>
        </w:rPr>
        <w:t xml:space="preserve">Here is a list of qualities that children can be encouraged to learn at home. Which, if any, do you consider to be especially important? Please choose up to five! (Code five mentions at the maximum): </w:t>
      </w:r>
    </w:p>
    <w:p w:rsidR="00ED1407" w:rsidRDefault="00ED1407" w:rsidP="008B79E2">
      <w:pPr>
        <w:autoSpaceDE w:val="0"/>
        <w:autoSpaceDN w:val="0"/>
        <w:adjustRightInd w:val="0"/>
        <w:spacing w:line="480" w:lineRule="auto"/>
        <w:rPr>
          <w:i/>
        </w:rPr>
      </w:pPr>
      <w:r>
        <w:rPr>
          <w:i/>
        </w:rPr>
        <w:t xml:space="preserve">V12. </w:t>
      </w:r>
      <w:r w:rsidRPr="00110E1A">
        <w:rPr>
          <w:i/>
        </w:rPr>
        <w:t>Independence</w:t>
      </w:r>
    </w:p>
    <w:p w:rsidR="00ED1407" w:rsidRPr="00110E1A" w:rsidRDefault="00ED1407" w:rsidP="008B79E2">
      <w:pPr>
        <w:autoSpaceDE w:val="0"/>
        <w:autoSpaceDN w:val="0"/>
        <w:adjustRightInd w:val="0"/>
        <w:spacing w:line="480" w:lineRule="auto"/>
        <w:rPr>
          <w:i/>
        </w:rPr>
      </w:pPr>
      <w:r>
        <w:rPr>
          <w:i/>
        </w:rPr>
        <w:t>V13. Hard work</w:t>
      </w:r>
    </w:p>
    <w:p w:rsidR="00ED1407" w:rsidRDefault="00ED1407" w:rsidP="008B79E2">
      <w:pPr>
        <w:spacing w:line="480" w:lineRule="auto"/>
        <w:rPr>
          <w:i/>
        </w:rPr>
      </w:pPr>
      <w:r>
        <w:rPr>
          <w:i/>
        </w:rPr>
        <w:t>V14. Feeling of responsibility</w:t>
      </w:r>
    </w:p>
    <w:p w:rsidR="00ED1407" w:rsidRDefault="00ED1407" w:rsidP="008B79E2">
      <w:pPr>
        <w:spacing w:line="480" w:lineRule="auto"/>
        <w:rPr>
          <w:i/>
        </w:rPr>
      </w:pPr>
      <w:r>
        <w:rPr>
          <w:i/>
        </w:rPr>
        <w:t>V15. Imagination</w:t>
      </w:r>
    </w:p>
    <w:p w:rsidR="00ED1407" w:rsidRDefault="00ED1407" w:rsidP="008B79E2">
      <w:pPr>
        <w:spacing w:line="480" w:lineRule="auto"/>
        <w:rPr>
          <w:i/>
        </w:rPr>
      </w:pPr>
      <w:r>
        <w:rPr>
          <w:i/>
        </w:rPr>
        <w:t>V16. Tolerance and respect for other people</w:t>
      </w:r>
    </w:p>
    <w:p w:rsidR="00ED1407" w:rsidRDefault="00ED1407" w:rsidP="008B79E2">
      <w:pPr>
        <w:spacing w:line="480" w:lineRule="auto"/>
        <w:rPr>
          <w:i/>
        </w:rPr>
      </w:pPr>
      <w:r>
        <w:rPr>
          <w:i/>
        </w:rPr>
        <w:t>V17. Thrift, saving money and things</w:t>
      </w:r>
    </w:p>
    <w:p w:rsidR="00ED1407" w:rsidRDefault="00ED1407" w:rsidP="008B79E2">
      <w:pPr>
        <w:spacing w:line="480" w:lineRule="auto"/>
        <w:rPr>
          <w:i/>
        </w:rPr>
      </w:pPr>
      <w:r>
        <w:rPr>
          <w:i/>
        </w:rPr>
        <w:t>V18. Determination, perseverance</w:t>
      </w:r>
    </w:p>
    <w:p w:rsidR="00ED1407" w:rsidRDefault="00ED1407" w:rsidP="008B79E2">
      <w:pPr>
        <w:spacing w:line="480" w:lineRule="auto"/>
        <w:rPr>
          <w:i/>
        </w:rPr>
      </w:pPr>
      <w:r>
        <w:rPr>
          <w:i/>
        </w:rPr>
        <w:t>V19. Religious faith</w:t>
      </w:r>
    </w:p>
    <w:p w:rsidR="00ED1407" w:rsidRDefault="00ED1407" w:rsidP="008B79E2">
      <w:pPr>
        <w:spacing w:line="480" w:lineRule="auto"/>
        <w:rPr>
          <w:i/>
        </w:rPr>
      </w:pPr>
      <w:r>
        <w:rPr>
          <w:i/>
        </w:rPr>
        <w:t>V20. Unselfishness</w:t>
      </w:r>
    </w:p>
    <w:p w:rsidR="00ED1407" w:rsidRDefault="00ED1407" w:rsidP="008B79E2">
      <w:pPr>
        <w:spacing w:line="480" w:lineRule="auto"/>
      </w:pPr>
      <w:r>
        <w:rPr>
          <w:i/>
        </w:rPr>
        <w:t>V21. Obedience</w:t>
      </w:r>
    </w:p>
    <w:p w:rsidR="00ED1407" w:rsidRDefault="00ED1407" w:rsidP="008B79E2">
      <w:pPr>
        <w:spacing w:line="480" w:lineRule="auto"/>
      </w:pPr>
    </w:p>
    <w:p w:rsidR="00ED1407" w:rsidRDefault="00ED1407" w:rsidP="008B79E2">
      <w:pPr>
        <w:spacing w:line="480" w:lineRule="auto"/>
      </w:pPr>
      <w:r>
        <w:t>We believe the child qualities-items tap basic differences in culturally transmitted ethical beliefs and values. This set of items has been included in the WVS for 87 countries, resulting in 7396 bilateral relations. Our main cultural overlap measure is based on this, and focuses on the number of people in country A mentioning the same qualities as respondents in country B. Cultural overlap between countries is calculated on basis of the following formula:</w:t>
      </w:r>
    </w:p>
    <w:p w:rsidR="00ED1407" w:rsidRDefault="00ED1407" w:rsidP="008B79E2">
      <w:pPr>
        <w:spacing w:line="480" w:lineRule="auto"/>
      </w:pPr>
    </w:p>
    <w:p w:rsidR="00ED1407" w:rsidRDefault="00ED1407" w:rsidP="008B79E2">
      <w:pPr>
        <w:spacing w:line="480" w:lineRule="auto"/>
        <w:ind w:firstLine="720"/>
      </w:pPr>
      <w:r w:rsidRPr="001C57E1">
        <w:rPr>
          <w:position w:val="-30"/>
        </w:rPr>
        <w:object w:dxaOrig="2920" w:dyaOrig="700">
          <v:shape id="_x0000_i1032" type="#_x0000_t75" style="width:143.25pt;height:35.25pt" o:ole="">
            <v:imagedata r:id="rId21" o:title=""/>
          </v:shape>
          <o:OLEObject Type="Embed" ProgID="Equation.3" ShapeID="_x0000_i1032" DrawAspect="Content" ObjectID="_1368859996" r:id="rId22"/>
        </w:object>
      </w:r>
      <w:r>
        <w:tab/>
      </w:r>
      <w:r>
        <w:tab/>
      </w:r>
      <w:r>
        <w:tab/>
      </w:r>
      <w:r>
        <w:tab/>
      </w:r>
      <w:r>
        <w:tab/>
      </w:r>
      <w:r>
        <w:tab/>
      </w:r>
      <w:r>
        <w:tab/>
        <w:t>(3)</w:t>
      </w:r>
    </w:p>
    <w:p w:rsidR="00ED1407" w:rsidRDefault="00ED1407" w:rsidP="008B79E2">
      <w:pPr>
        <w:spacing w:line="480" w:lineRule="auto"/>
      </w:pPr>
    </w:p>
    <w:p w:rsidR="00ED1407" w:rsidRDefault="00ED1407" w:rsidP="008B79E2">
      <w:pPr>
        <w:spacing w:line="480" w:lineRule="auto"/>
      </w:pPr>
      <w:r>
        <w:t>which gives the cultural overlap (</w:t>
      </w:r>
      <w:r w:rsidRPr="00F9758E">
        <w:rPr>
          <w:i/>
        </w:rPr>
        <w:t>CO</w:t>
      </w:r>
      <w:r>
        <w:rPr>
          <w:i/>
          <w:vertAlign w:val="subscript"/>
        </w:rPr>
        <w:t>j</w:t>
      </w:r>
      <w:r>
        <w:t xml:space="preserve">) from country </w:t>
      </w:r>
      <w:r>
        <w:rPr>
          <w:i/>
        </w:rPr>
        <w:t>j</w:t>
      </w:r>
      <w:r>
        <w:t xml:space="preserve"> to country </w:t>
      </w:r>
      <w:r w:rsidRPr="00234ED2">
        <w:rPr>
          <w:i/>
        </w:rPr>
        <w:t>i</w:t>
      </w:r>
      <w:r>
        <w:t xml:space="preserve">. </w:t>
      </w:r>
      <w:r w:rsidRPr="0059255A">
        <w:rPr>
          <w:position w:val="-14"/>
        </w:rPr>
        <w:object w:dxaOrig="360" w:dyaOrig="380">
          <v:shape id="_x0000_i1033" type="#_x0000_t75" style="width:18pt;height:18.75pt" o:ole="">
            <v:imagedata r:id="rId23" o:title=""/>
          </v:shape>
          <o:OLEObject Type="Embed" ProgID="Equation.3" ShapeID="_x0000_i1033" DrawAspect="Content" ObjectID="_1368859997" r:id="rId24"/>
        </w:object>
      </w:r>
      <w:r>
        <w:t xml:space="preserve"> indicates the proportion of mentioned qualities in country </w:t>
      </w:r>
      <w:r>
        <w:rPr>
          <w:i/>
        </w:rPr>
        <w:t>j</w:t>
      </w:r>
      <w:r>
        <w:t xml:space="preserve"> that is quality </w:t>
      </w:r>
      <w:r w:rsidRPr="00F9758E">
        <w:rPr>
          <w:i/>
        </w:rPr>
        <w:t>q</w:t>
      </w:r>
      <w:r>
        <w:t xml:space="preserve">. </w:t>
      </w:r>
      <w:r w:rsidRPr="0059255A">
        <w:rPr>
          <w:position w:val="-14"/>
        </w:rPr>
        <w:object w:dxaOrig="260" w:dyaOrig="380">
          <v:shape id="_x0000_i1034" type="#_x0000_t75" style="width:12.75pt;height:18.75pt" o:ole="">
            <v:imagedata r:id="rId25" o:title=""/>
          </v:shape>
          <o:OLEObject Type="Embed" ProgID="Equation.3" ShapeID="_x0000_i1034" DrawAspect="Content" ObjectID="_1368859998" r:id="rId26"/>
        </w:object>
      </w:r>
      <w:r>
        <w:t xml:space="preserve"> is a weight factor representing the proportion of the world population mentioning quality </w:t>
      </w:r>
      <w:r>
        <w:rPr>
          <w:i/>
        </w:rPr>
        <w:t>q</w:t>
      </w:r>
      <w:r>
        <w:t xml:space="preserve">. This cultural overlap measure represents the chances that one agrees with someone from country B on a quality (cultural distance, by contrast, reflects the expected degree of disagreement with someone from country B). In addition, we use an alternative, more restricted measure of cultural overlap focusing on the chances of meeting someone with the same </w:t>
      </w:r>
      <w:r w:rsidRPr="004111B0">
        <w:t>combination</w:t>
      </w:r>
      <w:r>
        <w:t xml:space="preserve"> of mentioned qualities: </w:t>
      </w:r>
    </w:p>
    <w:p w:rsidR="00ED1407" w:rsidRDefault="00ED1407" w:rsidP="008B79E2">
      <w:pPr>
        <w:spacing w:line="480" w:lineRule="auto"/>
      </w:pPr>
    </w:p>
    <w:p w:rsidR="00ED1407" w:rsidRDefault="00ED1407" w:rsidP="008B79E2">
      <w:pPr>
        <w:spacing w:line="480" w:lineRule="auto"/>
        <w:ind w:firstLine="720"/>
      </w:pPr>
      <w:r w:rsidRPr="00E127DF">
        <w:rPr>
          <w:position w:val="-28"/>
        </w:rPr>
        <w:object w:dxaOrig="3000" w:dyaOrig="680">
          <v:shape id="_x0000_i1035" type="#_x0000_t75" style="width:150pt;height:33.75pt" o:ole="">
            <v:imagedata r:id="rId27" o:title=""/>
          </v:shape>
          <o:OLEObject Type="Embed" ProgID="Equation.3" ShapeID="_x0000_i1035" DrawAspect="Content" ObjectID="_1368859999" r:id="rId28"/>
        </w:object>
      </w:r>
      <w:r>
        <w:tab/>
      </w:r>
      <w:r>
        <w:tab/>
      </w:r>
      <w:r>
        <w:tab/>
      </w:r>
      <w:r>
        <w:tab/>
      </w:r>
      <w:r>
        <w:tab/>
      </w:r>
      <w:r>
        <w:tab/>
        <w:t>(4)</w:t>
      </w:r>
    </w:p>
    <w:p w:rsidR="00ED1407" w:rsidRDefault="00ED1407" w:rsidP="008B79E2">
      <w:pPr>
        <w:spacing w:line="480" w:lineRule="auto"/>
      </w:pPr>
    </w:p>
    <w:p w:rsidR="00ED1407" w:rsidRPr="004111B0" w:rsidRDefault="00ED1407" w:rsidP="008B79E2">
      <w:pPr>
        <w:spacing w:line="480" w:lineRule="auto"/>
      </w:pPr>
      <w:r>
        <w:t xml:space="preserve">In this formula, </w:t>
      </w:r>
      <w:r w:rsidRPr="004111B0">
        <w:rPr>
          <w:i/>
        </w:rPr>
        <w:t>CCO</w:t>
      </w:r>
      <w:r>
        <w:rPr>
          <w:vertAlign w:val="subscript"/>
        </w:rPr>
        <w:t>ji</w:t>
      </w:r>
      <w:r>
        <w:t xml:space="preserve"> represents the restricted cultural overlap from country </w:t>
      </w:r>
      <w:r>
        <w:rPr>
          <w:i/>
        </w:rPr>
        <w:t xml:space="preserve">j </w:t>
      </w:r>
      <w:r>
        <w:t xml:space="preserve">to country </w:t>
      </w:r>
      <w:r>
        <w:rPr>
          <w:i/>
        </w:rPr>
        <w:t>i</w:t>
      </w:r>
      <w:r>
        <w:t xml:space="preserve">, </w:t>
      </w:r>
      <w:r w:rsidRPr="004111B0">
        <w:rPr>
          <w:i/>
        </w:rPr>
        <w:t>C</w:t>
      </w:r>
      <w:r w:rsidRPr="004111B0">
        <w:rPr>
          <w:i/>
          <w:vertAlign w:val="subscript"/>
        </w:rPr>
        <w:t>cj</w:t>
      </w:r>
      <w:r>
        <w:rPr>
          <w:vertAlign w:val="subscript"/>
        </w:rPr>
        <w:t xml:space="preserve"> </w:t>
      </w:r>
      <w:r>
        <w:t xml:space="preserve">denotes the proportion of combinations of three mentioned qualities in country </w:t>
      </w:r>
      <w:r>
        <w:rPr>
          <w:i/>
        </w:rPr>
        <w:t xml:space="preserve">j </w:t>
      </w:r>
      <w:r>
        <w:t xml:space="preserve">that is combination </w:t>
      </w:r>
      <w:r>
        <w:rPr>
          <w:i/>
        </w:rPr>
        <w:t>c</w:t>
      </w:r>
      <w:r>
        <w:t xml:space="preserve">, and </w:t>
      </w:r>
      <w:r w:rsidRPr="004111B0">
        <w:rPr>
          <w:i/>
        </w:rPr>
        <w:t>T</w:t>
      </w:r>
      <w:r w:rsidRPr="004111B0">
        <w:rPr>
          <w:i/>
          <w:vertAlign w:val="subscript"/>
        </w:rPr>
        <w:t>c</w:t>
      </w:r>
      <w:r>
        <w:rPr>
          <w:vertAlign w:val="subscript"/>
        </w:rPr>
        <w:t xml:space="preserve"> </w:t>
      </w:r>
      <w:r>
        <w:t xml:space="preserve">is again a weight factor, this time representing the proportion of the world population with combination </w:t>
      </w:r>
      <w:r>
        <w:rPr>
          <w:i/>
        </w:rPr>
        <w:t>c</w:t>
      </w:r>
      <w:r>
        <w:t xml:space="preserve">. Both measures of cultural overlap are compared to the standard Kogut-Singh (1988) cultural distance measure, calculated following Equation 1. </w:t>
      </w:r>
    </w:p>
    <w:p w:rsidR="00ED1407" w:rsidRDefault="00ED1407" w:rsidP="008B79E2">
      <w:pPr>
        <w:spacing w:line="480" w:lineRule="auto"/>
      </w:pPr>
      <w:r>
        <w:tab/>
        <w:t>We are interested in the impact of cultural overlap on the location of main MNE affiliates. We investigate this using data about the location of the largest affiliates of MNE’s originating in 37 countries. This data is collected from UNCTAD’s ‘FDI country profiles’ for individual countries, which are freely available from the UNCTAD website. The choice of countries is informed by data availability, as the sample contains all countries for which both the WVS item and information about largest affiliates was available</w:t>
      </w:r>
      <w:r>
        <w:rPr>
          <w:rStyle w:val="FootnoteReference"/>
        </w:rPr>
        <w:footnoteReference w:id="2"/>
      </w:r>
      <w:r>
        <w:t xml:space="preserve">. To check whether our results depend on the sample containing both rich and poor countries, we also run the analysis focusing on rich economies only. </w:t>
      </w:r>
    </w:p>
    <w:p w:rsidR="00ED1407" w:rsidRDefault="00ED1407" w:rsidP="00096DC6">
      <w:pPr>
        <w:autoSpaceDE w:val="0"/>
        <w:autoSpaceDN w:val="0"/>
        <w:adjustRightInd w:val="0"/>
        <w:spacing w:line="480" w:lineRule="auto"/>
        <w:ind w:firstLine="720"/>
      </w:pPr>
      <w:r w:rsidRPr="008577A4">
        <w:t xml:space="preserve">In order to isolate the effect of cultural </w:t>
      </w:r>
      <w:r>
        <w:t>differences</w:t>
      </w:r>
      <w:r w:rsidRPr="008577A4">
        <w:t xml:space="preserve">, we control for a number of other factors </w:t>
      </w:r>
      <w:r>
        <w:t xml:space="preserve">potentially </w:t>
      </w:r>
      <w:r w:rsidRPr="008577A4">
        <w:t xml:space="preserve">influencing location decisions. </w:t>
      </w:r>
      <w:r>
        <w:t xml:space="preserve">Since we are interested in bilateral factors only, we control for country specific effects by including the total number of affiliates in a host country as a measure of its general attractiveness for FDI. Because the size of the potential market for a firm is a function of both the total size of a market and the share of this market with similar values, we include host country GNI (source: </w:t>
      </w:r>
      <w:hyperlink r:id="rId29" w:history="1">
        <w:r w:rsidRPr="00B6261F">
          <w:rPr>
            <w:rStyle w:val="Hyperlink"/>
          </w:rPr>
          <w:t>www.worldbank.org</w:t>
        </w:r>
      </w:hyperlink>
      <w:r>
        <w:t xml:space="preserve">) as well. Also, we include a number of bilateral controls, including </w:t>
      </w:r>
      <w:r w:rsidRPr="008577A4">
        <w:t>geographical distance and dummy variables to identify particular links between countries such as a shared colonial past and common languages</w:t>
      </w:r>
      <w:r>
        <w:rPr>
          <w:rStyle w:val="FootnoteReference"/>
        </w:rPr>
        <w:t xml:space="preserve"> </w:t>
      </w:r>
      <w:r>
        <w:t xml:space="preserve">(taken from </w:t>
      </w:r>
      <w:hyperlink r:id="rId30" w:history="1">
        <w:r w:rsidRPr="00E24BBD">
          <w:rPr>
            <w:rStyle w:val="Hyperlink"/>
          </w:rPr>
          <w:t>www.cepii.fr</w:t>
        </w:r>
      </w:hyperlink>
      <w:r>
        <w:t>)</w:t>
      </w:r>
      <w:r>
        <w:rPr>
          <w:rStyle w:val="FootnoteReference"/>
        </w:rPr>
        <w:footnoteReference w:id="3"/>
      </w:r>
      <w:r w:rsidRPr="008577A4">
        <w:t>.</w:t>
      </w:r>
      <w:r>
        <w:t xml:space="preserve"> Table A1 in the appendix presents descriptive statistics for the included variables. </w:t>
      </w:r>
    </w:p>
    <w:p w:rsidR="00ED1407" w:rsidRDefault="00ED1407" w:rsidP="008B79E2">
      <w:pPr>
        <w:spacing w:line="480" w:lineRule="auto"/>
      </w:pPr>
    </w:p>
    <w:p w:rsidR="00ED1407" w:rsidRPr="003A2C63" w:rsidRDefault="00ED1407" w:rsidP="008B79E2">
      <w:pPr>
        <w:spacing w:line="480" w:lineRule="auto"/>
        <w:rPr>
          <w:b/>
        </w:rPr>
      </w:pPr>
      <w:r>
        <w:rPr>
          <w:b/>
        </w:rPr>
        <w:t>4</w:t>
      </w:r>
      <w:r w:rsidRPr="003A2C63">
        <w:rPr>
          <w:b/>
        </w:rPr>
        <w:t>. Results</w:t>
      </w:r>
    </w:p>
    <w:p w:rsidR="00ED1407" w:rsidRDefault="00ED1407" w:rsidP="008B79E2">
      <w:pPr>
        <w:spacing w:line="480" w:lineRule="auto"/>
      </w:pPr>
      <w:r>
        <w:t xml:space="preserve">First, we compare our cultural overlap measures to the standard cultural distance measure developed by Kogut and Singh (1988). Table 2 provides correlations between the alternative concepts of cultural differences. </w:t>
      </w:r>
    </w:p>
    <w:p w:rsidR="00ED1407" w:rsidRDefault="00ED1407" w:rsidP="008B79E2">
      <w:pPr>
        <w:spacing w:line="480" w:lineRule="auto"/>
      </w:pPr>
    </w:p>
    <w:p w:rsidR="00ED1407" w:rsidRPr="00522978" w:rsidRDefault="00ED1407" w:rsidP="008B79E2">
      <w:pPr>
        <w:spacing w:line="480" w:lineRule="auto"/>
        <w:rPr>
          <w:i/>
        </w:rPr>
      </w:pPr>
      <w:r w:rsidRPr="00522978">
        <w:rPr>
          <w:i/>
        </w:rPr>
        <w:t>Table</w:t>
      </w:r>
      <w:r>
        <w:rPr>
          <w:i/>
        </w:rPr>
        <w:t xml:space="preserve"> 2</w:t>
      </w:r>
      <w:r w:rsidRPr="00522978">
        <w:rPr>
          <w:i/>
        </w:rPr>
        <w:t>. Correlations between alternative concepts of cultural difference</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080"/>
        <w:gridCol w:w="2080"/>
        <w:gridCol w:w="2080"/>
      </w:tblGrid>
      <w:tr w:rsidR="00ED1407" w:rsidRPr="004A110E" w:rsidTr="00BD5A0B">
        <w:tc>
          <w:tcPr>
            <w:tcW w:w="2160" w:type="dxa"/>
          </w:tcPr>
          <w:p w:rsidR="00ED1407" w:rsidRPr="00522978" w:rsidRDefault="00ED1407" w:rsidP="00BD5A0B">
            <w:pPr>
              <w:autoSpaceDE w:val="0"/>
              <w:autoSpaceDN w:val="0"/>
              <w:adjustRightInd w:val="0"/>
              <w:spacing w:line="480" w:lineRule="auto"/>
            </w:pPr>
          </w:p>
        </w:tc>
        <w:tc>
          <w:tcPr>
            <w:tcW w:w="208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overlap</w:t>
            </w:r>
          </w:p>
          <w:p w:rsidR="00ED1407" w:rsidRPr="00BD5A0B" w:rsidRDefault="00ED1407" w:rsidP="00BD5A0B">
            <w:pPr>
              <w:autoSpaceDE w:val="0"/>
              <w:autoSpaceDN w:val="0"/>
              <w:adjustRightInd w:val="0"/>
              <w:spacing w:line="480" w:lineRule="auto"/>
              <w:jc w:val="center"/>
              <w:rPr>
                <w:b/>
                <w:color w:val="000000"/>
                <w:sz w:val="18"/>
                <w:szCs w:val="18"/>
              </w:rPr>
            </w:pPr>
          </w:p>
        </w:tc>
        <w:tc>
          <w:tcPr>
            <w:tcW w:w="208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Overlap</w:t>
            </w:r>
          </w:p>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(combinations measure)</w:t>
            </w:r>
          </w:p>
        </w:tc>
        <w:tc>
          <w:tcPr>
            <w:tcW w:w="208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Distance</w:t>
            </w:r>
          </w:p>
        </w:tc>
      </w:tr>
      <w:tr w:rsidR="00ED1407" w:rsidRPr="004A110E" w:rsidTr="00BD5A0B">
        <w:trPr>
          <w:trHeight w:val="645"/>
        </w:trPr>
        <w:tc>
          <w:tcPr>
            <w:tcW w:w="216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Overlap</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1.000</w:t>
            </w:r>
          </w:p>
          <w:p w:rsidR="00ED1407" w:rsidRPr="00BD5A0B" w:rsidRDefault="00ED1407" w:rsidP="00BD5A0B">
            <w:pPr>
              <w:autoSpaceDE w:val="0"/>
              <w:autoSpaceDN w:val="0"/>
              <w:adjustRightInd w:val="0"/>
              <w:spacing w:line="480" w:lineRule="auto"/>
              <w:jc w:val="center"/>
              <w:rPr>
                <w:color w:val="000000"/>
                <w:sz w:val="18"/>
                <w:szCs w:val="18"/>
              </w:rPr>
            </w:pP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.888**</w:t>
            </w:r>
          </w:p>
          <w:p w:rsidR="00ED1407" w:rsidRPr="00BD5A0B" w:rsidRDefault="00ED1407" w:rsidP="00BD5A0B">
            <w:pPr>
              <w:autoSpaceDE w:val="0"/>
              <w:autoSpaceDN w:val="0"/>
              <w:adjustRightInd w:val="0"/>
              <w:spacing w:line="480" w:lineRule="auto"/>
              <w:jc w:val="center"/>
              <w:rPr>
                <w:color w:val="000000"/>
                <w:sz w:val="18"/>
                <w:szCs w:val="18"/>
              </w:rPr>
            </w:pPr>
          </w:p>
        </w:tc>
        <w:tc>
          <w:tcPr>
            <w:tcW w:w="2080" w:type="dxa"/>
          </w:tcPr>
          <w:p w:rsidR="00ED1407" w:rsidRPr="00BD5A0B" w:rsidRDefault="00ED1407" w:rsidP="00BD5A0B">
            <w:pPr>
              <w:autoSpaceDE w:val="0"/>
              <w:autoSpaceDN w:val="0"/>
              <w:adjustRightInd w:val="0"/>
              <w:spacing w:line="480" w:lineRule="auto"/>
              <w:jc w:val="center"/>
              <w:rPr>
                <w:color w:val="000000"/>
                <w:sz w:val="18"/>
                <w:szCs w:val="18"/>
                <w:vertAlign w:val="superscript"/>
              </w:rPr>
            </w:pPr>
            <w:r w:rsidRPr="00BD5A0B">
              <w:rPr>
                <w:color w:val="000000"/>
                <w:sz w:val="18"/>
                <w:szCs w:val="18"/>
              </w:rPr>
              <w:t>-.151</w:t>
            </w:r>
            <w:r w:rsidRPr="00BD5A0B">
              <w:rPr>
                <w:color w:val="000000"/>
                <w:sz w:val="18"/>
                <w:szCs w:val="18"/>
                <w:vertAlign w:val="superscript"/>
              </w:rPr>
              <w:t>**</w:t>
            </w:r>
          </w:p>
          <w:p w:rsidR="00ED1407" w:rsidRPr="00BD5A0B" w:rsidRDefault="00ED1407" w:rsidP="00BD5A0B">
            <w:pPr>
              <w:autoSpaceDE w:val="0"/>
              <w:autoSpaceDN w:val="0"/>
              <w:adjustRightInd w:val="0"/>
              <w:spacing w:line="480" w:lineRule="auto"/>
              <w:jc w:val="center"/>
              <w:rPr>
                <w:color w:val="000000"/>
                <w:sz w:val="18"/>
                <w:szCs w:val="18"/>
                <w:vertAlign w:val="superscript"/>
              </w:rPr>
            </w:pPr>
          </w:p>
        </w:tc>
      </w:tr>
      <w:tr w:rsidR="00ED1407" w:rsidRPr="004A110E" w:rsidTr="00BD5A0B">
        <w:trPr>
          <w:trHeight w:val="645"/>
        </w:trPr>
        <w:tc>
          <w:tcPr>
            <w:tcW w:w="216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Overlap</w:t>
            </w:r>
          </w:p>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(combinations measure)</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.888**</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1.000</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-.117**</w:t>
            </w:r>
          </w:p>
        </w:tc>
      </w:tr>
      <w:tr w:rsidR="00ED1407" w:rsidRPr="004A110E" w:rsidTr="00BD5A0B">
        <w:trPr>
          <w:trHeight w:val="645"/>
        </w:trPr>
        <w:tc>
          <w:tcPr>
            <w:tcW w:w="2160" w:type="dxa"/>
          </w:tcPr>
          <w:p w:rsidR="00ED1407" w:rsidRPr="00BD5A0B" w:rsidRDefault="00ED1407" w:rsidP="00BD5A0B">
            <w:pPr>
              <w:autoSpaceDE w:val="0"/>
              <w:autoSpaceDN w:val="0"/>
              <w:adjustRightInd w:val="0"/>
              <w:spacing w:line="480" w:lineRule="auto"/>
              <w:jc w:val="center"/>
              <w:rPr>
                <w:b/>
                <w:color w:val="000000"/>
                <w:sz w:val="18"/>
                <w:szCs w:val="18"/>
              </w:rPr>
            </w:pPr>
            <w:r w:rsidRPr="00BD5A0B">
              <w:rPr>
                <w:b/>
                <w:color w:val="000000"/>
                <w:sz w:val="18"/>
                <w:szCs w:val="18"/>
              </w:rPr>
              <w:t>Cultural Distance</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-.151</w:t>
            </w:r>
            <w:r w:rsidRPr="00BD5A0B">
              <w:rPr>
                <w:color w:val="000000"/>
                <w:sz w:val="18"/>
                <w:szCs w:val="18"/>
                <w:vertAlign w:val="superscript"/>
              </w:rPr>
              <w:t>**</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-.117**</w:t>
            </w:r>
          </w:p>
        </w:tc>
        <w:tc>
          <w:tcPr>
            <w:tcW w:w="2080" w:type="dxa"/>
          </w:tcPr>
          <w:p w:rsidR="00ED1407" w:rsidRPr="00BD5A0B" w:rsidRDefault="00ED1407" w:rsidP="00BD5A0B">
            <w:pPr>
              <w:autoSpaceDE w:val="0"/>
              <w:autoSpaceDN w:val="0"/>
              <w:adjustRightInd w:val="0"/>
              <w:spacing w:line="480" w:lineRule="auto"/>
              <w:jc w:val="center"/>
              <w:rPr>
                <w:color w:val="000000"/>
                <w:sz w:val="18"/>
                <w:szCs w:val="18"/>
              </w:rPr>
            </w:pPr>
            <w:r w:rsidRPr="00BD5A0B">
              <w:rPr>
                <w:color w:val="000000"/>
                <w:sz w:val="18"/>
                <w:szCs w:val="18"/>
              </w:rPr>
              <w:t>1.000</w:t>
            </w:r>
          </w:p>
        </w:tc>
      </w:tr>
    </w:tbl>
    <w:p w:rsidR="00ED1407" w:rsidRPr="00D17AD2" w:rsidRDefault="00ED1407" w:rsidP="008B79E2">
      <w:pPr>
        <w:autoSpaceDE w:val="0"/>
        <w:autoSpaceDN w:val="0"/>
        <w:adjustRightInd w:val="0"/>
        <w:spacing w:line="480" w:lineRule="auto"/>
        <w:rPr>
          <w:i/>
          <w:sz w:val="20"/>
        </w:rPr>
      </w:pPr>
      <w:r w:rsidRPr="00D17AD2">
        <w:rPr>
          <w:i/>
          <w:sz w:val="20"/>
        </w:rPr>
        <w:t xml:space="preserve">Notes: ** </w:t>
      </w:r>
      <w:r>
        <w:rPr>
          <w:i/>
          <w:sz w:val="20"/>
        </w:rPr>
        <w:t>indicates</w:t>
      </w:r>
      <w:r w:rsidRPr="00D17AD2">
        <w:rPr>
          <w:i/>
          <w:sz w:val="20"/>
        </w:rPr>
        <w:t xml:space="preserve"> correlation is significant at the 0.01 level (2-tailed).</w:t>
      </w:r>
    </w:p>
    <w:p w:rsidR="00ED1407" w:rsidRDefault="00ED1407" w:rsidP="008B79E2">
      <w:pPr>
        <w:spacing w:line="480" w:lineRule="auto"/>
      </w:pPr>
    </w:p>
    <w:p w:rsidR="00ED1407" w:rsidRDefault="00ED1407" w:rsidP="008B79E2">
      <w:pPr>
        <w:spacing w:line="480" w:lineRule="auto"/>
      </w:pPr>
      <w:r>
        <w:t>We see that although cultural</w:t>
      </w:r>
      <w:r w:rsidRPr="00067C81">
        <w:t xml:space="preserve"> distance and cultural overlap are </w:t>
      </w:r>
      <w:r>
        <w:t xml:space="preserve">significantly </w:t>
      </w:r>
      <w:r w:rsidRPr="00067C81">
        <w:t>correlated</w:t>
      </w:r>
      <w:r>
        <w:t xml:space="preserve"> (as we would expect)</w:t>
      </w:r>
      <w:r w:rsidRPr="00067C81">
        <w:t>, the correlation is not very high</w:t>
      </w:r>
      <w:r>
        <w:t xml:space="preserve"> (-.151 for our main measure of cultural overlap)</w:t>
      </w:r>
      <w:r w:rsidRPr="00067C81">
        <w:t xml:space="preserve">. </w:t>
      </w:r>
      <w:r>
        <w:t xml:space="preserve">This assures us that they capture different aspects of cultural differences between societies. </w:t>
      </w:r>
    </w:p>
    <w:p w:rsidR="00ED1407" w:rsidRDefault="00ED1407" w:rsidP="008B79E2">
      <w:pPr>
        <w:spacing w:line="480" w:lineRule="auto"/>
        <w:ind w:firstLine="720"/>
      </w:pPr>
      <w:r>
        <w:t xml:space="preserve">Next, we focus on the effect of cultural overlap and distance on the location of MNE affiliates. Table 3 presents the main results. Model 1 gives the baseline model, including all relevant bilateral and host country-specific control variables. As expected, affiliate location is by geographical distance, colonial ties and common language. GNI has no significant effect, but otherwise unspecified general attractiveness of a location (given by the total number of affiliates in a host country) does. Including cultural overlap or cultural distance measures (Models 2 and 3) also gives expected results: cultural overlap is positively related to the number of affiliates in host economies, while cultural distance is negatively related to the location of affiliates. </w:t>
      </w:r>
    </w:p>
    <w:p w:rsidR="00ED1407" w:rsidRDefault="00ED1407" w:rsidP="008B79E2">
      <w:pPr>
        <w:autoSpaceDE w:val="0"/>
        <w:autoSpaceDN w:val="0"/>
        <w:adjustRightInd w:val="0"/>
        <w:spacing w:line="480" w:lineRule="auto"/>
      </w:pPr>
    </w:p>
    <w:p w:rsidR="00ED1407" w:rsidRDefault="00ED1407" w:rsidP="008B79E2">
      <w:pPr>
        <w:autoSpaceDE w:val="0"/>
        <w:autoSpaceDN w:val="0"/>
        <w:adjustRightInd w:val="0"/>
        <w:spacing w:line="480" w:lineRule="auto"/>
      </w:pPr>
      <w:r>
        <w:br w:type="page"/>
      </w:r>
    </w:p>
    <w:tbl>
      <w:tblPr>
        <w:tblW w:w="89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797"/>
        <w:gridCol w:w="1798"/>
        <w:gridCol w:w="1797"/>
        <w:gridCol w:w="1798"/>
        <w:gridCol w:w="1798"/>
      </w:tblGrid>
      <w:tr w:rsidR="00ED1407" w:rsidRPr="005E5D67" w:rsidTr="00BD5A0B">
        <w:tc>
          <w:tcPr>
            <w:tcW w:w="8988" w:type="dxa"/>
            <w:gridSpan w:val="5"/>
            <w:tcBorders>
              <w:top w:val="nil"/>
              <w:left w:val="nil"/>
              <w:right w:val="nil"/>
            </w:tcBorders>
          </w:tcPr>
          <w:p w:rsidR="00ED1407" w:rsidRPr="00BD5A0B" w:rsidRDefault="00ED1407" w:rsidP="00BD5A0B">
            <w:pPr>
              <w:autoSpaceDE w:val="0"/>
              <w:autoSpaceDN w:val="0"/>
              <w:adjustRightInd w:val="0"/>
              <w:rPr>
                <w:b/>
                <w:bCs/>
                <w:i/>
                <w:color w:val="000000"/>
              </w:rPr>
            </w:pPr>
            <w:r w:rsidRPr="00BD5A0B">
              <w:rPr>
                <w:i/>
                <w:color w:val="000000"/>
                <w:szCs w:val="22"/>
              </w:rPr>
              <w:t xml:space="preserve">Table 3. Number of bilateral affiliates </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jc w:val="center"/>
              <w:rPr>
                <w:b/>
                <w:bCs/>
                <w:color w:val="000000"/>
              </w:rPr>
            </w:pPr>
          </w:p>
        </w:tc>
        <w:tc>
          <w:tcPr>
            <w:tcW w:w="1798" w:type="dxa"/>
          </w:tcPr>
          <w:p w:rsidR="00ED1407" w:rsidRPr="00BD5A0B" w:rsidRDefault="00ED1407" w:rsidP="00BD5A0B">
            <w:pPr>
              <w:jc w:val="center"/>
              <w:rPr>
                <w:b/>
                <w:bCs/>
              </w:rPr>
            </w:pPr>
            <w:r w:rsidRPr="00BD5A0B">
              <w:rPr>
                <w:b/>
                <w:bCs/>
                <w:sz w:val="22"/>
                <w:szCs w:val="22"/>
              </w:rPr>
              <w:t>Model 1</w:t>
            </w:r>
          </w:p>
        </w:tc>
        <w:tc>
          <w:tcPr>
            <w:tcW w:w="1797" w:type="dxa"/>
          </w:tcPr>
          <w:p w:rsidR="00ED1407" w:rsidRPr="00BD5A0B" w:rsidRDefault="00ED1407" w:rsidP="00BD5A0B">
            <w:pPr>
              <w:jc w:val="center"/>
              <w:rPr>
                <w:b/>
                <w:bCs/>
              </w:rPr>
            </w:pPr>
            <w:r w:rsidRPr="00BD5A0B">
              <w:rPr>
                <w:b/>
                <w:bCs/>
                <w:sz w:val="22"/>
                <w:szCs w:val="22"/>
              </w:rPr>
              <w:t>Model 2</w:t>
            </w:r>
          </w:p>
        </w:tc>
        <w:tc>
          <w:tcPr>
            <w:tcW w:w="1798" w:type="dxa"/>
          </w:tcPr>
          <w:p w:rsidR="00ED1407" w:rsidRPr="00BD5A0B" w:rsidRDefault="00ED1407" w:rsidP="00BD5A0B">
            <w:pPr>
              <w:jc w:val="center"/>
              <w:rPr>
                <w:b/>
                <w:bCs/>
              </w:rPr>
            </w:pPr>
            <w:r w:rsidRPr="00BD5A0B">
              <w:rPr>
                <w:b/>
                <w:bCs/>
                <w:sz w:val="22"/>
                <w:szCs w:val="22"/>
              </w:rPr>
              <w:t>Model 3</w:t>
            </w:r>
          </w:p>
        </w:tc>
        <w:tc>
          <w:tcPr>
            <w:tcW w:w="1798" w:type="dxa"/>
            <w:tcBorders>
              <w:right w:val="single" w:sz="6" w:space="0" w:color="000000"/>
            </w:tcBorders>
          </w:tcPr>
          <w:p w:rsidR="00ED1407" w:rsidRPr="00BD5A0B" w:rsidRDefault="00ED1407" w:rsidP="00BD5A0B">
            <w:pPr>
              <w:jc w:val="center"/>
              <w:rPr>
                <w:b/>
                <w:bCs/>
              </w:rPr>
            </w:pPr>
            <w:r w:rsidRPr="00BD5A0B">
              <w:rPr>
                <w:b/>
                <w:bCs/>
                <w:sz w:val="22"/>
                <w:szCs w:val="22"/>
              </w:rPr>
              <w:t>Model 4</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(Constant)</w:t>
            </w:r>
          </w:p>
        </w:tc>
        <w:tc>
          <w:tcPr>
            <w:tcW w:w="1798" w:type="dxa"/>
          </w:tcPr>
          <w:p w:rsidR="00ED1407" w:rsidRPr="00BD5A0B" w:rsidRDefault="00ED1407" w:rsidP="00BD5A0B">
            <w:pPr>
              <w:jc w:val="center"/>
              <w:rPr>
                <w:b/>
                <w:bCs/>
              </w:rPr>
            </w:pPr>
            <w:r w:rsidRPr="00BD5A0B">
              <w:rPr>
                <w:bCs/>
                <w:sz w:val="22"/>
                <w:szCs w:val="22"/>
              </w:rPr>
              <w:t>.423**</w:t>
            </w:r>
          </w:p>
          <w:p w:rsidR="00ED1407" w:rsidRPr="00BD5A0B" w:rsidRDefault="00ED1407" w:rsidP="00BD5A0B">
            <w:pPr>
              <w:jc w:val="center"/>
              <w:rPr>
                <w:b/>
                <w:bCs/>
              </w:rPr>
            </w:pPr>
            <w:r w:rsidRPr="00BD5A0B">
              <w:rPr>
                <w:bCs/>
                <w:sz w:val="22"/>
                <w:szCs w:val="22"/>
              </w:rPr>
              <w:t>(4.397)</w:t>
            </w:r>
          </w:p>
        </w:tc>
        <w:tc>
          <w:tcPr>
            <w:tcW w:w="1797" w:type="dxa"/>
          </w:tcPr>
          <w:p w:rsidR="00ED1407" w:rsidRPr="00BD5A0B" w:rsidRDefault="00ED1407" w:rsidP="00BD5A0B">
            <w:pPr>
              <w:jc w:val="center"/>
              <w:rPr>
                <w:b/>
                <w:bCs/>
              </w:rPr>
            </w:pPr>
            <w:r w:rsidRPr="00BD5A0B">
              <w:rPr>
                <w:bCs/>
                <w:sz w:val="22"/>
                <w:szCs w:val="22"/>
              </w:rPr>
              <w:t>-1.599*</w:t>
            </w:r>
          </w:p>
          <w:p w:rsidR="00ED1407" w:rsidRPr="00BD5A0B" w:rsidRDefault="00ED1407" w:rsidP="00BD5A0B">
            <w:pPr>
              <w:jc w:val="center"/>
              <w:rPr>
                <w:b/>
                <w:bCs/>
              </w:rPr>
            </w:pPr>
            <w:r w:rsidRPr="00BD5A0B">
              <w:rPr>
                <w:bCs/>
                <w:sz w:val="22"/>
                <w:szCs w:val="22"/>
              </w:rPr>
              <w:t>(-2.515)</w:t>
            </w:r>
          </w:p>
        </w:tc>
        <w:tc>
          <w:tcPr>
            <w:tcW w:w="1798" w:type="dxa"/>
          </w:tcPr>
          <w:p w:rsidR="00ED1407" w:rsidRPr="00BD5A0B" w:rsidRDefault="00ED1407" w:rsidP="00BD5A0B">
            <w:pPr>
              <w:jc w:val="center"/>
              <w:rPr>
                <w:b/>
                <w:bCs/>
              </w:rPr>
            </w:pPr>
            <w:r w:rsidRPr="00BD5A0B">
              <w:rPr>
                <w:bCs/>
                <w:sz w:val="22"/>
                <w:szCs w:val="22"/>
              </w:rPr>
              <w:t>.736**</w:t>
            </w:r>
          </w:p>
          <w:p w:rsidR="00ED1407" w:rsidRPr="00BD5A0B" w:rsidRDefault="00ED1407" w:rsidP="00BD5A0B">
            <w:pPr>
              <w:jc w:val="center"/>
              <w:rPr>
                <w:b/>
                <w:bCs/>
              </w:rPr>
            </w:pPr>
            <w:r w:rsidRPr="00BD5A0B">
              <w:rPr>
                <w:bCs/>
                <w:sz w:val="22"/>
                <w:szCs w:val="22"/>
              </w:rPr>
              <w:t>(5.131)</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-1.683</w:t>
            </w:r>
          </w:p>
          <w:p w:rsidR="00ED1407" w:rsidRPr="00BD5A0B" w:rsidRDefault="00ED1407" w:rsidP="00BD5A0B">
            <w:pPr>
              <w:jc w:val="center"/>
              <w:rPr>
                <w:b/>
                <w:bCs/>
              </w:rPr>
            </w:pPr>
            <w:r w:rsidRPr="00BD5A0B">
              <w:rPr>
                <w:bCs/>
                <w:sz w:val="22"/>
                <w:szCs w:val="22"/>
              </w:rPr>
              <w:t>(-1.418)</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Geographical distance</w:t>
            </w:r>
          </w:p>
        </w:tc>
        <w:tc>
          <w:tcPr>
            <w:tcW w:w="1798" w:type="dxa"/>
          </w:tcPr>
          <w:p w:rsidR="00ED1407" w:rsidRPr="00BD5A0B" w:rsidRDefault="00ED1407" w:rsidP="00BD5A0B">
            <w:pPr>
              <w:jc w:val="center"/>
              <w:rPr>
                <w:b/>
                <w:bCs/>
              </w:rPr>
            </w:pPr>
            <w:r w:rsidRPr="00BD5A0B">
              <w:rPr>
                <w:bCs/>
                <w:sz w:val="22"/>
                <w:szCs w:val="22"/>
              </w:rPr>
              <w:t>-6.202E-5**</w:t>
            </w:r>
          </w:p>
          <w:p w:rsidR="00ED1407" w:rsidRPr="00BD5A0B" w:rsidRDefault="00ED1407" w:rsidP="00BD5A0B">
            <w:pPr>
              <w:jc w:val="center"/>
              <w:rPr>
                <w:b/>
                <w:bCs/>
              </w:rPr>
            </w:pPr>
            <w:r w:rsidRPr="00BD5A0B">
              <w:rPr>
                <w:bCs/>
                <w:sz w:val="22"/>
                <w:szCs w:val="22"/>
              </w:rPr>
              <w:t>(-6.438)</w:t>
            </w:r>
          </w:p>
        </w:tc>
        <w:tc>
          <w:tcPr>
            <w:tcW w:w="1797" w:type="dxa"/>
          </w:tcPr>
          <w:p w:rsidR="00ED1407" w:rsidRPr="00BD5A0B" w:rsidRDefault="00ED1407" w:rsidP="00BD5A0B">
            <w:pPr>
              <w:jc w:val="center"/>
              <w:rPr>
                <w:b/>
                <w:bCs/>
              </w:rPr>
            </w:pPr>
            <w:r w:rsidRPr="00BD5A0B">
              <w:rPr>
                <w:bCs/>
                <w:sz w:val="22"/>
                <w:szCs w:val="22"/>
              </w:rPr>
              <w:t>-5.704E-5**</w:t>
            </w:r>
          </w:p>
          <w:p w:rsidR="00ED1407" w:rsidRPr="00BD5A0B" w:rsidRDefault="00ED1407" w:rsidP="00BD5A0B">
            <w:pPr>
              <w:jc w:val="center"/>
              <w:rPr>
                <w:b/>
                <w:bCs/>
              </w:rPr>
            </w:pPr>
            <w:r w:rsidRPr="00BD5A0B">
              <w:rPr>
                <w:bCs/>
                <w:sz w:val="22"/>
                <w:szCs w:val="22"/>
              </w:rPr>
              <w:t>(-5.051)</w:t>
            </w:r>
          </w:p>
        </w:tc>
        <w:tc>
          <w:tcPr>
            <w:tcW w:w="1798" w:type="dxa"/>
          </w:tcPr>
          <w:p w:rsidR="00ED1407" w:rsidRPr="00BD5A0B" w:rsidRDefault="00ED1407" w:rsidP="00BD5A0B">
            <w:pPr>
              <w:jc w:val="center"/>
              <w:rPr>
                <w:b/>
                <w:bCs/>
              </w:rPr>
            </w:pPr>
            <w:r w:rsidRPr="00BD5A0B">
              <w:rPr>
                <w:bCs/>
                <w:sz w:val="22"/>
                <w:szCs w:val="22"/>
              </w:rPr>
              <w:t>-6.605E-5**</w:t>
            </w:r>
          </w:p>
          <w:p w:rsidR="00ED1407" w:rsidRPr="00BD5A0B" w:rsidRDefault="00ED1407" w:rsidP="00BD5A0B">
            <w:pPr>
              <w:jc w:val="center"/>
              <w:rPr>
                <w:b/>
                <w:bCs/>
              </w:rPr>
            </w:pPr>
            <w:r w:rsidRPr="00BD5A0B">
              <w:rPr>
                <w:bCs/>
                <w:sz w:val="22"/>
                <w:szCs w:val="22"/>
              </w:rPr>
              <w:t>(-5.918)</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-6.186E-5**</w:t>
            </w:r>
          </w:p>
          <w:p w:rsidR="00ED1407" w:rsidRPr="00BD5A0B" w:rsidRDefault="00ED1407" w:rsidP="00BD5A0B">
            <w:pPr>
              <w:jc w:val="center"/>
              <w:rPr>
                <w:b/>
                <w:bCs/>
              </w:rPr>
            </w:pPr>
            <w:r w:rsidRPr="00BD5A0B">
              <w:rPr>
                <w:bCs/>
                <w:sz w:val="22"/>
                <w:szCs w:val="22"/>
              </w:rPr>
              <w:t>(-4.428)</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Colonial ties</w:t>
            </w:r>
          </w:p>
        </w:tc>
        <w:tc>
          <w:tcPr>
            <w:tcW w:w="1798" w:type="dxa"/>
          </w:tcPr>
          <w:p w:rsidR="00ED1407" w:rsidRPr="00BD5A0B" w:rsidRDefault="00ED1407" w:rsidP="00BD5A0B">
            <w:pPr>
              <w:jc w:val="center"/>
              <w:rPr>
                <w:b/>
                <w:bCs/>
              </w:rPr>
            </w:pPr>
            <w:r w:rsidRPr="00BD5A0B">
              <w:rPr>
                <w:bCs/>
                <w:sz w:val="22"/>
                <w:szCs w:val="22"/>
              </w:rPr>
              <w:t>1.129**</w:t>
            </w:r>
          </w:p>
          <w:p w:rsidR="00ED1407" w:rsidRPr="00BD5A0B" w:rsidRDefault="00ED1407" w:rsidP="00BD5A0B">
            <w:pPr>
              <w:jc w:val="center"/>
              <w:rPr>
                <w:b/>
                <w:bCs/>
              </w:rPr>
            </w:pPr>
            <w:r w:rsidRPr="00BD5A0B">
              <w:rPr>
                <w:bCs/>
                <w:sz w:val="22"/>
                <w:szCs w:val="22"/>
              </w:rPr>
              <w:t>(4.195)</w:t>
            </w:r>
          </w:p>
        </w:tc>
        <w:tc>
          <w:tcPr>
            <w:tcW w:w="1797" w:type="dxa"/>
          </w:tcPr>
          <w:p w:rsidR="00ED1407" w:rsidRPr="00BD5A0B" w:rsidRDefault="00ED1407" w:rsidP="00BD5A0B">
            <w:pPr>
              <w:jc w:val="center"/>
              <w:rPr>
                <w:b/>
                <w:bCs/>
              </w:rPr>
            </w:pPr>
            <w:r w:rsidRPr="00BD5A0B">
              <w:rPr>
                <w:bCs/>
                <w:sz w:val="22"/>
                <w:szCs w:val="22"/>
              </w:rPr>
              <w:t>.965**</w:t>
            </w:r>
          </w:p>
          <w:p w:rsidR="00ED1407" w:rsidRPr="00BD5A0B" w:rsidRDefault="00ED1407" w:rsidP="00BD5A0B">
            <w:pPr>
              <w:jc w:val="center"/>
              <w:rPr>
                <w:b/>
                <w:bCs/>
              </w:rPr>
            </w:pPr>
            <w:r w:rsidRPr="00BD5A0B">
              <w:rPr>
                <w:bCs/>
                <w:sz w:val="22"/>
                <w:szCs w:val="22"/>
              </w:rPr>
              <w:t>(3.240)</w:t>
            </w:r>
          </w:p>
        </w:tc>
        <w:tc>
          <w:tcPr>
            <w:tcW w:w="1798" w:type="dxa"/>
          </w:tcPr>
          <w:p w:rsidR="00ED1407" w:rsidRPr="00BD5A0B" w:rsidRDefault="00ED1407" w:rsidP="00BD5A0B">
            <w:pPr>
              <w:jc w:val="center"/>
              <w:rPr>
                <w:b/>
                <w:bCs/>
              </w:rPr>
            </w:pPr>
            <w:r w:rsidRPr="00BD5A0B">
              <w:rPr>
                <w:bCs/>
                <w:sz w:val="22"/>
                <w:szCs w:val="22"/>
              </w:rPr>
              <w:t>.599</w:t>
            </w:r>
          </w:p>
          <w:p w:rsidR="00ED1407" w:rsidRPr="00BD5A0B" w:rsidRDefault="00ED1407" w:rsidP="00BD5A0B">
            <w:pPr>
              <w:jc w:val="center"/>
              <w:rPr>
                <w:b/>
                <w:bCs/>
              </w:rPr>
            </w:pPr>
            <w:r w:rsidRPr="00BD5A0B">
              <w:rPr>
                <w:bCs/>
                <w:sz w:val="22"/>
                <w:szCs w:val="22"/>
              </w:rPr>
              <w:t>(1.819)</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.266</w:t>
            </w:r>
          </w:p>
          <w:p w:rsidR="00ED1407" w:rsidRPr="00BD5A0B" w:rsidRDefault="00ED1407" w:rsidP="00BD5A0B">
            <w:pPr>
              <w:jc w:val="center"/>
              <w:rPr>
                <w:b/>
                <w:bCs/>
              </w:rPr>
            </w:pPr>
            <w:r w:rsidRPr="00BD5A0B">
              <w:rPr>
                <w:bCs/>
                <w:sz w:val="22"/>
                <w:szCs w:val="22"/>
              </w:rPr>
              <w:t>(.688)</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Common Language</w:t>
            </w:r>
          </w:p>
        </w:tc>
        <w:tc>
          <w:tcPr>
            <w:tcW w:w="1798" w:type="dxa"/>
          </w:tcPr>
          <w:p w:rsidR="00ED1407" w:rsidRPr="00BD5A0B" w:rsidRDefault="00ED1407" w:rsidP="00BD5A0B">
            <w:pPr>
              <w:jc w:val="center"/>
              <w:rPr>
                <w:b/>
                <w:bCs/>
              </w:rPr>
            </w:pPr>
            <w:r w:rsidRPr="00BD5A0B">
              <w:rPr>
                <w:bCs/>
                <w:sz w:val="22"/>
                <w:szCs w:val="22"/>
              </w:rPr>
              <w:t>.575**</w:t>
            </w:r>
          </w:p>
          <w:p w:rsidR="00ED1407" w:rsidRPr="00BD5A0B" w:rsidRDefault="00ED1407" w:rsidP="00BD5A0B">
            <w:pPr>
              <w:jc w:val="center"/>
              <w:rPr>
                <w:b/>
                <w:bCs/>
              </w:rPr>
            </w:pPr>
            <w:r w:rsidRPr="00BD5A0B">
              <w:rPr>
                <w:bCs/>
                <w:sz w:val="22"/>
                <w:szCs w:val="22"/>
              </w:rPr>
              <w:t>(4.170)</w:t>
            </w:r>
          </w:p>
        </w:tc>
        <w:tc>
          <w:tcPr>
            <w:tcW w:w="1797" w:type="dxa"/>
          </w:tcPr>
          <w:p w:rsidR="00ED1407" w:rsidRPr="00BD5A0B" w:rsidRDefault="00ED1407" w:rsidP="00BD5A0B">
            <w:pPr>
              <w:jc w:val="center"/>
              <w:rPr>
                <w:b/>
                <w:bCs/>
              </w:rPr>
            </w:pPr>
            <w:r w:rsidRPr="00BD5A0B">
              <w:rPr>
                <w:bCs/>
                <w:sz w:val="22"/>
                <w:szCs w:val="22"/>
              </w:rPr>
              <w:t>.470**</w:t>
            </w:r>
          </w:p>
          <w:p w:rsidR="00ED1407" w:rsidRPr="00BD5A0B" w:rsidRDefault="00ED1407" w:rsidP="00BD5A0B">
            <w:pPr>
              <w:jc w:val="center"/>
              <w:rPr>
                <w:b/>
                <w:bCs/>
              </w:rPr>
            </w:pPr>
            <w:r w:rsidRPr="00BD5A0B">
              <w:rPr>
                <w:bCs/>
                <w:sz w:val="22"/>
                <w:szCs w:val="22"/>
              </w:rPr>
              <w:t>(2.922)</w:t>
            </w:r>
          </w:p>
        </w:tc>
        <w:tc>
          <w:tcPr>
            <w:tcW w:w="1798" w:type="dxa"/>
          </w:tcPr>
          <w:p w:rsidR="00ED1407" w:rsidRPr="00BD5A0B" w:rsidRDefault="00ED1407" w:rsidP="00BD5A0B">
            <w:pPr>
              <w:jc w:val="center"/>
              <w:rPr>
                <w:b/>
                <w:bCs/>
              </w:rPr>
            </w:pPr>
            <w:r w:rsidRPr="00BD5A0B">
              <w:rPr>
                <w:bCs/>
                <w:sz w:val="22"/>
                <w:szCs w:val="22"/>
              </w:rPr>
              <w:t>.644**</w:t>
            </w:r>
          </w:p>
          <w:p w:rsidR="00ED1407" w:rsidRPr="00BD5A0B" w:rsidRDefault="00ED1407" w:rsidP="00BD5A0B">
            <w:pPr>
              <w:jc w:val="center"/>
              <w:rPr>
                <w:b/>
                <w:bCs/>
              </w:rPr>
            </w:pPr>
            <w:r w:rsidRPr="00BD5A0B">
              <w:rPr>
                <w:bCs/>
                <w:sz w:val="22"/>
                <w:szCs w:val="22"/>
              </w:rPr>
              <w:t>(3.477)</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.611**</w:t>
            </w:r>
          </w:p>
          <w:p w:rsidR="00ED1407" w:rsidRPr="00BD5A0B" w:rsidRDefault="00ED1407" w:rsidP="00BD5A0B">
            <w:pPr>
              <w:jc w:val="center"/>
              <w:rPr>
                <w:b/>
                <w:bCs/>
              </w:rPr>
            </w:pPr>
            <w:r w:rsidRPr="00BD5A0B">
              <w:rPr>
                <w:bCs/>
                <w:sz w:val="22"/>
                <w:szCs w:val="22"/>
              </w:rPr>
              <w:t>(2.576)</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GNI host country</w:t>
            </w:r>
          </w:p>
        </w:tc>
        <w:tc>
          <w:tcPr>
            <w:tcW w:w="1798" w:type="dxa"/>
          </w:tcPr>
          <w:p w:rsidR="00ED1407" w:rsidRPr="00BD5A0B" w:rsidRDefault="00ED1407" w:rsidP="00BD5A0B">
            <w:pPr>
              <w:jc w:val="center"/>
              <w:rPr>
                <w:b/>
                <w:bCs/>
              </w:rPr>
            </w:pPr>
            <w:r w:rsidRPr="00BD5A0B">
              <w:rPr>
                <w:bCs/>
                <w:sz w:val="22"/>
                <w:szCs w:val="22"/>
              </w:rPr>
              <w:t>3.626E-14</w:t>
            </w:r>
          </w:p>
          <w:p w:rsidR="00ED1407" w:rsidRPr="00BD5A0B" w:rsidRDefault="00ED1407" w:rsidP="00BD5A0B">
            <w:pPr>
              <w:jc w:val="center"/>
              <w:rPr>
                <w:b/>
                <w:bCs/>
              </w:rPr>
            </w:pPr>
            <w:r w:rsidRPr="00BD5A0B">
              <w:rPr>
                <w:bCs/>
                <w:sz w:val="22"/>
                <w:szCs w:val="22"/>
              </w:rPr>
              <w:t>(1.274)</w:t>
            </w:r>
          </w:p>
        </w:tc>
        <w:tc>
          <w:tcPr>
            <w:tcW w:w="1797" w:type="dxa"/>
          </w:tcPr>
          <w:p w:rsidR="00ED1407" w:rsidRPr="00BD5A0B" w:rsidRDefault="00ED1407" w:rsidP="00BD5A0B">
            <w:pPr>
              <w:jc w:val="center"/>
              <w:rPr>
                <w:b/>
                <w:bCs/>
              </w:rPr>
            </w:pPr>
            <w:r w:rsidRPr="00BD5A0B">
              <w:rPr>
                <w:bCs/>
                <w:sz w:val="22"/>
                <w:szCs w:val="22"/>
              </w:rPr>
              <w:t>4.927E-14</w:t>
            </w:r>
          </w:p>
          <w:p w:rsidR="00ED1407" w:rsidRPr="00BD5A0B" w:rsidRDefault="00ED1407" w:rsidP="00BD5A0B">
            <w:pPr>
              <w:jc w:val="center"/>
              <w:rPr>
                <w:b/>
                <w:bCs/>
              </w:rPr>
            </w:pPr>
            <w:r w:rsidRPr="00BD5A0B">
              <w:rPr>
                <w:bCs/>
                <w:sz w:val="22"/>
                <w:szCs w:val="22"/>
              </w:rPr>
              <w:t>(1.582)</w:t>
            </w:r>
          </w:p>
        </w:tc>
        <w:tc>
          <w:tcPr>
            <w:tcW w:w="1798" w:type="dxa"/>
          </w:tcPr>
          <w:p w:rsidR="00ED1407" w:rsidRPr="00BD5A0B" w:rsidRDefault="00ED1407" w:rsidP="00BD5A0B">
            <w:pPr>
              <w:jc w:val="center"/>
              <w:rPr>
                <w:b/>
                <w:bCs/>
              </w:rPr>
            </w:pPr>
            <w:r w:rsidRPr="00BD5A0B">
              <w:rPr>
                <w:bCs/>
                <w:sz w:val="22"/>
                <w:szCs w:val="22"/>
              </w:rPr>
              <w:t>6.623E-14</w:t>
            </w:r>
          </w:p>
          <w:p w:rsidR="00ED1407" w:rsidRPr="00BD5A0B" w:rsidRDefault="00ED1407" w:rsidP="00BD5A0B">
            <w:pPr>
              <w:jc w:val="center"/>
              <w:rPr>
                <w:b/>
                <w:bCs/>
              </w:rPr>
            </w:pPr>
            <w:r w:rsidRPr="00BD5A0B">
              <w:rPr>
                <w:bCs/>
                <w:sz w:val="22"/>
                <w:szCs w:val="22"/>
              </w:rPr>
              <w:t>(1.927)</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8.763E-14*</w:t>
            </w:r>
          </w:p>
          <w:p w:rsidR="00ED1407" w:rsidRPr="00BD5A0B" w:rsidRDefault="00ED1407" w:rsidP="00BD5A0B">
            <w:pPr>
              <w:jc w:val="center"/>
              <w:rPr>
                <w:b/>
                <w:bCs/>
              </w:rPr>
            </w:pPr>
            <w:r w:rsidRPr="00BD5A0B">
              <w:rPr>
                <w:bCs/>
                <w:sz w:val="22"/>
                <w:szCs w:val="22"/>
              </w:rPr>
              <w:t>(2.185)</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Total affiliates in host</w:t>
            </w:r>
          </w:p>
        </w:tc>
        <w:tc>
          <w:tcPr>
            <w:tcW w:w="1798" w:type="dxa"/>
          </w:tcPr>
          <w:p w:rsidR="00ED1407" w:rsidRPr="00BD5A0B" w:rsidRDefault="00ED1407" w:rsidP="00BD5A0B">
            <w:pPr>
              <w:jc w:val="center"/>
              <w:rPr>
                <w:b/>
                <w:bCs/>
              </w:rPr>
            </w:pPr>
            <w:r w:rsidRPr="00BD5A0B">
              <w:rPr>
                <w:bCs/>
                <w:sz w:val="22"/>
                <w:szCs w:val="22"/>
              </w:rPr>
              <w:t>.024**</w:t>
            </w:r>
          </w:p>
          <w:p w:rsidR="00ED1407" w:rsidRPr="00BD5A0B" w:rsidRDefault="00ED1407" w:rsidP="00BD5A0B">
            <w:pPr>
              <w:jc w:val="center"/>
              <w:rPr>
                <w:b/>
                <w:bCs/>
              </w:rPr>
            </w:pPr>
            <w:r w:rsidRPr="00BD5A0B">
              <w:rPr>
                <w:bCs/>
                <w:sz w:val="22"/>
                <w:szCs w:val="22"/>
              </w:rPr>
              <w:t>(13.112)</w:t>
            </w:r>
          </w:p>
        </w:tc>
        <w:tc>
          <w:tcPr>
            <w:tcW w:w="1797" w:type="dxa"/>
          </w:tcPr>
          <w:p w:rsidR="00ED1407" w:rsidRPr="00BD5A0B" w:rsidRDefault="00ED1407" w:rsidP="00BD5A0B">
            <w:pPr>
              <w:jc w:val="center"/>
              <w:rPr>
                <w:b/>
                <w:bCs/>
              </w:rPr>
            </w:pPr>
            <w:r w:rsidRPr="00BD5A0B">
              <w:rPr>
                <w:bCs/>
                <w:sz w:val="22"/>
                <w:szCs w:val="22"/>
              </w:rPr>
              <w:t>.022**</w:t>
            </w:r>
          </w:p>
          <w:p w:rsidR="00ED1407" w:rsidRPr="00BD5A0B" w:rsidRDefault="00ED1407" w:rsidP="00BD5A0B">
            <w:pPr>
              <w:jc w:val="center"/>
              <w:rPr>
                <w:b/>
                <w:bCs/>
              </w:rPr>
            </w:pPr>
            <w:r w:rsidRPr="00BD5A0B">
              <w:rPr>
                <w:bCs/>
                <w:sz w:val="22"/>
                <w:szCs w:val="22"/>
              </w:rPr>
              <w:t>(11.260)</w:t>
            </w:r>
          </w:p>
        </w:tc>
        <w:tc>
          <w:tcPr>
            <w:tcW w:w="1798" w:type="dxa"/>
          </w:tcPr>
          <w:p w:rsidR="00ED1407" w:rsidRPr="00BD5A0B" w:rsidRDefault="00ED1407" w:rsidP="00BD5A0B">
            <w:pPr>
              <w:jc w:val="center"/>
              <w:rPr>
                <w:b/>
                <w:bCs/>
              </w:rPr>
            </w:pPr>
            <w:r w:rsidRPr="00BD5A0B">
              <w:rPr>
                <w:bCs/>
                <w:sz w:val="22"/>
                <w:szCs w:val="22"/>
              </w:rPr>
              <w:t>.026**</w:t>
            </w:r>
          </w:p>
          <w:p w:rsidR="00ED1407" w:rsidRPr="00BD5A0B" w:rsidRDefault="00ED1407" w:rsidP="00BD5A0B">
            <w:pPr>
              <w:jc w:val="center"/>
              <w:rPr>
                <w:b/>
                <w:bCs/>
              </w:rPr>
            </w:pPr>
            <w:r w:rsidRPr="00BD5A0B">
              <w:rPr>
                <w:bCs/>
                <w:sz w:val="22"/>
                <w:szCs w:val="22"/>
              </w:rPr>
              <w:t>(11.761)</w:t>
            </w: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.024**</w:t>
            </w:r>
          </w:p>
          <w:p w:rsidR="00ED1407" w:rsidRPr="00BD5A0B" w:rsidRDefault="00ED1407" w:rsidP="00BD5A0B">
            <w:pPr>
              <w:jc w:val="center"/>
              <w:rPr>
                <w:b/>
                <w:bCs/>
              </w:rPr>
            </w:pPr>
            <w:r w:rsidRPr="00BD5A0B">
              <w:rPr>
                <w:bCs/>
                <w:sz w:val="22"/>
                <w:szCs w:val="22"/>
              </w:rPr>
              <w:t>(9.545)</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Cultural Overlap</w:t>
            </w:r>
          </w:p>
        </w:tc>
        <w:tc>
          <w:tcPr>
            <w:tcW w:w="1798" w:type="dxa"/>
          </w:tcPr>
          <w:p w:rsidR="00ED1407" w:rsidRPr="00BD5A0B" w:rsidRDefault="00ED1407" w:rsidP="00BD5A0B">
            <w:pPr>
              <w:jc w:val="center"/>
              <w:rPr>
                <w:b/>
                <w:bCs/>
              </w:rPr>
            </w:pPr>
          </w:p>
        </w:tc>
        <w:tc>
          <w:tcPr>
            <w:tcW w:w="1797" w:type="dxa"/>
          </w:tcPr>
          <w:p w:rsidR="00ED1407" w:rsidRPr="00BD5A0B" w:rsidRDefault="00ED1407" w:rsidP="00BD5A0B">
            <w:pPr>
              <w:jc w:val="center"/>
              <w:rPr>
                <w:b/>
                <w:bCs/>
              </w:rPr>
            </w:pPr>
            <w:r w:rsidRPr="00BD5A0B">
              <w:rPr>
                <w:bCs/>
                <w:sz w:val="22"/>
                <w:szCs w:val="22"/>
              </w:rPr>
              <w:t>.024**</w:t>
            </w:r>
          </w:p>
          <w:p w:rsidR="00ED1407" w:rsidRPr="00BD5A0B" w:rsidRDefault="00ED1407" w:rsidP="00BD5A0B">
            <w:pPr>
              <w:jc w:val="center"/>
              <w:rPr>
                <w:b/>
                <w:bCs/>
              </w:rPr>
            </w:pPr>
            <w:r w:rsidRPr="00BD5A0B">
              <w:rPr>
                <w:bCs/>
                <w:sz w:val="22"/>
                <w:szCs w:val="22"/>
              </w:rPr>
              <w:t>(3.181)</w:t>
            </w:r>
          </w:p>
        </w:tc>
        <w:tc>
          <w:tcPr>
            <w:tcW w:w="1798" w:type="dxa"/>
          </w:tcPr>
          <w:p w:rsidR="00ED1407" w:rsidRPr="00BD5A0B" w:rsidRDefault="00ED1407" w:rsidP="00BD5A0B">
            <w:pPr>
              <w:jc w:val="center"/>
              <w:rPr>
                <w:b/>
                <w:bCs/>
              </w:rPr>
            </w:pPr>
          </w:p>
        </w:tc>
        <w:tc>
          <w:tcPr>
            <w:tcW w:w="1798" w:type="dxa"/>
            <w:tcBorders>
              <w:right w:val="single" w:sz="6" w:space="0" w:color="000000"/>
            </w:tcBorders>
          </w:tcPr>
          <w:p w:rsidR="00ED1407" w:rsidRPr="00BD5A0B" w:rsidRDefault="00ED1407" w:rsidP="00BD5A0B">
            <w:pPr>
              <w:jc w:val="center"/>
              <w:rPr>
                <w:b/>
                <w:bCs/>
              </w:rPr>
            </w:pPr>
            <w:r w:rsidRPr="00BD5A0B">
              <w:rPr>
                <w:bCs/>
                <w:sz w:val="22"/>
                <w:szCs w:val="22"/>
              </w:rPr>
              <w:t>.028*</w:t>
            </w:r>
          </w:p>
          <w:p w:rsidR="00ED1407" w:rsidRPr="00BD5A0B" w:rsidRDefault="00ED1407" w:rsidP="00BD5A0B">
            <w:pPr>
              <w:jc w:val="center"/>
              <w:rPr>
                <w:b/>
                <w:bCs/>
              </w:rPr>
            </w:pPr>
            <w:r w:rsidRPr="00BD5A0B">
              <w:rPr>
                <w:bCs/>
                <w:sz w:val="22"/>
                <w:szCs w:val="22"/>
              </w:rPr>
              <w:t>(2.052)</w:t>
            </w:r>
          </w:p>
        </w:tc>
      </w:tr>
      <w:tr w:rsidR="00ED1407" w:rsidRPr="005E5D67" w:rsidTr="00BD5A0B">
        <w:tc>
          <w:tcPr>
            <w:tcW w:w="1797" w:type="dxa"/>
            <w:tcBorders>
              <w:left w:val="single" w:sz="6" w:space="0" w:color="000000"/>
              <w:bottom w:val="single" w:sz="18" w:space="0" w:color="000000"/>
            </w:tcBorders>
          </w:tcPr>
          <w:p w:rsidR="00ED1407" w:rsidRPr="00BD5A0B" w:rsidRDefault="00ED1407" w:rsidP="00BD5A0B">
            <w:pPr>
              <w:autoSpaceDE w:val="0"/>
              <w:autoSpaceDN w:val="0"/>
              <w:adjustRightInd w:val="0"/>
              <w:rPr>
                <w:b/>
                <w:bCs/>
                <w:color w:val="000000"/>
              </w:rPr>
            </w:pPr>
            <w:r w:rsidRPr="00BD5A0B">
              <w:rPr>
                <w:b/>
                <w:bCs/>
                <w:color w:val="000000"/>
                <w:sz w:val="22"/>
                <w:szCs w:val="22"/>
              </w:rPr>
              <w:t>Cultural Distance</w:t>
            </w:r>
          </w:p>
        </w:tc>
        <w:tc>
          <w:tcPr>
            <w:tcW w:w="1798" w:type="dxa"/>
            <w:tcBorders>
              <w:bottom w:val="single" w:sz="18" w:space="0" w:color="000000"/>
            </w:tcBorders>
          </w:tcPr>
          <w:p w:rsidR="00ED1407" w:rsidRPr="00BD5A0B" w:rsidRDefault="00ED1407" w:rsidP="00BD5A0B">
            <w:pPr>
              <w:jc w:val="center"/>
              <w:rPr>
                <w:b/>
                <w:bCs/>
              </w:rPr>
            </w:pPr>
          </w:p>
        </w:tc>
        <w:tc>
          <w:tcPr>
            <w:tcW w:w="1797" w:type="dxa"/>
            <w:tcBorders>
              <w:bottom w:val="single" w:sz="18" w:space="0" w:color="000000"/>
            </w:tcBorders>
          </w:tcPr>
          <w:p w:rsidR="00ED1407" w:rsidRPr="00BD5A0B" w:rsidRDefault="00ED1407" w:rsidP="00BD5A0B">
            <w:pPr>
              <w:jc w:val="center"/>
              <w:rPr>
                <w:b/>
                <w:bCs/>
              </w:rPr>
            </w:pPr>
          </w:p>
        </w:tc>
        <w:tc>
          <w:tcPr>
            <w:tcW w:w="1798" w:type="dxa"/>
            <w:tcBorders>
              <w:bottom w:val="single" w:sz="18" w:space="0" w:color="000000"/>
            </w:tcBorders>
          </w:tcPr>
          <w:p w:rsidR="00ED1407" w:rsidRPr="00BD5A0B" w:rsidRDefault="00ED1407" w:rsidP="00BD5A0B">
            <w:pPr>
              <w:jc w:val="center"/>
              <w:rPr>
                <w:b/>
                <w:bCs/>
              </w:rPr>
            </w:pPr>
            <w:r w:rsidRPr="00BD5A0B">
              <w:rPr>
                <w:bCs/>
                <w:sz w:val="22"/>
                <w:szCs w:val="22"/>
              </w:rPr>
              <w:t>-.118**</w:t>
            </w:r>
          </w:p>
          <w:p w:rsidR="00ED1407" w:rsidRPr="00BD5A0B" w:rsidRDefault="00ED1407" w:rsidP="00BD5A0B">
            <w:pPr>
              <w:jc w:val="center"/>
              <w:rPr>
                <w:b/>
                <w:bCs/>
              </w:rPr>
            </w:pPr>
            <w:r w:rsidRPr="00BD5A0B">
              <w:rPr>
                <w:bCs/>
                <w:sz w:val="22"/>
                <w:szCs w:val="22"/>
              </w:rPr>
              <w:t>(-3.201)</w:t>
            </w:r>
          </w:p>
        </w:tc>
        <w:tc>
          <w:tcPr>
            <w:tcW w:w="1798" w:type="dxa"/>
            <w:tcBorders>
              <w:bottom w:val="single" w:sz="18" w:space="0" w:color="000000"/>
              <w:right w:val="single" w:sz="6" w:space="0" w:color="000000"/>
            </w:tcBorders>
          </w:tcPr>
          <w:p w:rsidR="00ED1407" w:rsidRPr="00BD5A0B" w:rsidRDefault="00ED1407" w:rsidP="00BD5A0B">
            <w:pPr>
              <w:jc w:val="center"/>
              <w:rPr>
                <w:b/>
                <w:bCs/>
              </w:rPr>
            </w:pPr>
            <w:r w:rsidRPr="00BD5A0B">
              <w:rPr>
                <w:bCs/>
                <w:sz w:val="22"/>
                <w:szCs w:val="22"/>
              </w:rPr>
              <w:t>-.094</w:t>
            </w:r>
          </w:p>
          <w:p w:rsidR="00ED1407" w:rsidRPr="00BD5A0B" w:rsidRDefault="00ED1407" w:rsidP="00BD5A0B">
            <w:pPr>
              <w:jc w:val="center"/>
              <w:rPr>
                <w:b/>
                <w:bCs/>
              </w:rPr>
            </w:pPr>
            <w:r w:rsidRPr="00BD5A0B">
              <w:rPr>
                <w:bCs/>
                <w:sz w:val="22"/>
                <w:szCs w:val="22"/>
              </w:rPr>
              <w:t>(-1.897)</w:t>
            </w:r>
          </w:p>
        </w:tc>
      </w:tr>
      <w:tr w:rsidR="00ED1407" w:rsidRPr="005E5D67" w:rsidTr="00BD5A0B">
        <w:tc>
          <w:tcPr>
            <w:tcW w:w="1797" w:type="dxa"/>
            <w:tcBorders>
              <w:top w:val="single" w:sz="18" w:space="0" w:color="000000"/>
              <w:left w:val="single" w:sz="6" w:space="0" w:color="000000"/>
            </w:tcBorders>
          </w:tcPr>
          <w:p w:rsidR="00ED1407" w:rsidRPr="00BD5A0B" w:rsidRDefault="00ED1407" w:rsidP="00BD5A0B">
            <w:pPr>
              <w:autoSpaceDE w:val="0"/>
              <w:autoSpaceDN w:val="0"/>
              <w:adjustRightInd w:val="0"/>
              <w:rPr>
                <w:b/>
                <w:bCs/>
                <w:i/>
                <w:color w:val="000000"/>
              </w:rPr>
            </w:pPr>
            <w:r w:rsidRPr="00BD5A0B">
              <w:rPr>
                <w:b/>
                <w:bCs/>
                <w:i/>
                <w:color w:val="000000"/>
                <w:sz w:val="22"/>
                <w:szCs w:val="22"/>
              </w:rPr>
              <w:t>N</w:t>
            </w:r>
          </w:p>
        </w:tc>
        <w:tc>
          <w:tcPr>
            <w:tcW w:w="1798" w:type="dxa"/>
            <w:tcBorders>
              <w:top w:val="single" w:sz="18" w:space="0" w:color="000000"/>
            </w:tcBorders>
          </w:tcPr>
          <w:p w:rsidR="00ED1407" w:rsidRPr="00BD5A0B" w:rsidRDefault="00ED1407" w:rsidP="00BD5A0B">
            <w:pPr>
              <w:jc w:val="center"/>
              <w:rPr>
                <w:b/>
                <w:bCs/>
                <w:i/>
              </w:rPr>
            </w:pPr>
            <w:r w:rsidRPr="00BD5A0B">
              <w:rPr>
                <w:bCs/>
                <w:i/>
                <w:sz w:val="22"/>
                <w:szCs w:val="22"/>
              </w:rPr>
              <w:t>1774</w:t>
            </w:r>
          </w:p>
        </w:tc>
        <w:tc>
          <w:tcPr>
            <w:tcW w:w="1797" w:type="dxa"/>
            <w:tcBorders>
              <w:top w:val="single" w:sz="18" w:space="0" w:color="000000"/>
            </w:tcBorders>
          </w:tcPr>
          <w:p w:rsidR="00ED1407" w:rsidRPr="00BD5A0B" w:rsidRDefault="00ED1407" w:rsidP="00BD5A0B">
            <w:pPr>
              <w:jc w:val="center"/>
              <w:rPr>
                <w:b/>
                <w:bCs/>
                <w:i/>
              </w:rPr>
            </w:pPr>
            <w:r w:rsidRPr="00BD5A0B">
              <w:rPr>
                <w:bCs/>
                <w:i/>
                <w:sz w:val="22"/>
                <w:szCs w:val="22"/>
              </w:rPr>
              <w:t>1475</w:t>
            </w:r>
          </w:p>
        </w:tc>
        <w:tc>
          <w:tcPr>
            <w:tcW w:w="1798" w:type="dxa"/>
            <w:tcBorders>
              <w:top w:val="single" w:sz="18" w:space="0" w:color="000000"/>
            </w:tcBorders>
          </w:tcPr>
          <w:p w:rsidR="00ED1407" w:rsidRPr="00BD5A0B" w:rsidRDefault="00ED1407" w:rsidP="00BD5A0B">
            <w:pPr>
              <w:jc w:val="center"/>
              <w:rPr>
                <w:b/>
                <w:bCs/>
                <w:i/>
              </w:rPr>
            </w:pPr>
            <w:r w:rsidRPr="00BD5A0B">
              <w:rPr>
                <w:bCs/>
                <w:i/>
                <w:sz w:val="22"/>
                <w:szCs w:val="22"/>
              </w:rPr>
              <w:t>1254</w:t>
            </w:r>
          </w:p>
        </w:tc>
        <w:tc>
          <w:tcPr>
            <w:tcW w:w="1798" w:type="dxa"/>
            <w:tcBorders>
              <w:top w:val="single" w:sz="18" w:space="0" w:color="000000"/>
              <w:right w:val="single" w:sz="6" w:space="0" w:color="000000"/>
            </w:tcBorders>
          </w:tcPr>
          <w:p w:rsidR="00ED1407" w:rsidRPr="00BD5A0B" w:rsidRDefault="00ED1407" w:rsidP="00BD5A0B">
            <w:pPr>
              <w:jc w:val="center"/>
              <w:rPr>
                <w:b/>
                <w:bCs/>
                <w:i/>
              </w:rPr>
            </w:pPr>
            <w:r w:rsidRPr="00BD5A0B">
              <w:rPr>
                <w:bCs/>
                <w:i/>
                <w:sz w:val="22"/>
                <w:szCs w:val="22"/>
              </w:rPr>
              <w:t>955</w:t>
            </w:r>
          </w:p>
        </w:tc>
      </w:tr>
      <w:tr w:rsidR="00ED1407" w:rsidRPr="005E5D67" w:rsidTr="00BD5A0B">
        <w:tc>
          <w:tcPr>
            <w:tcW w:w="1797" w:type="dxa"/>
            <w:tcBorders>
              <w:left w:val="single" w:sz="6" w:space="0" w:color="000000"/>
            </w:tcBorders>
          </w:tcPr>
          <w:p w:rsidR="00ED1407" w:rsidRPr="00BD5A0B" w:rsidRDefault="00ED1407" w:rsidP="00BD5A0B">
            <w:pPr>
              <w:autoSpaceDE w:val="0"/>
              <w:autoSpaceDN w:val="0"/>
              <w:adjustRightInd w:val="0"/>
              <w:rPr>
                <w:b/>
                <w:bCs/>
                <w:i/>
                <w:color w:val="000000"/>
              </w:rPr>
            </w:pPr>
            <w:r w:rsidRPr="00BD5A0B">
              <w:rPr>
                <w:b/>
                <w:bCs/>
                <w:i/>
                <w:color w:val="000000"/>
                <w:sz w:val="22"/>
                <w:szCs w:val="22"/>
              </w:rPr>
              <w:t>R</w:t>
            </w:r>
            <w:r w:rsidRPr="00BD5A0B">
              <w:rPr>
                <w:b/>
                <w:bCs/>
                <w:i/>
                <w:color w:val="000000"/>
                <w:sz w:val="22"/>
                <w:szCs w:val="22"/>
                <w:vertAlign w:val="superscript"/>
              </w:rPr>
              <w:t xml:space="preserve">2 </w:t>
            </w:r>
            <w:r w:rsidRPr="00BD5A0B">
              <w:rPr>
                <w:b/>
                <w:bCs/>
                <w:i/>
                <w:color w:val="000000"/>
                <w:sz w:val="22"/>
                <w:szCs w:val="22"/>
              </w:rPr>
              <w:t>(Adjusted)</w:t>
            </w:r>
          </w:p>
        </w:tc>
        <w:tc>
          <w:tcPr>
            <w:tcW w:w="1798" w:type="dxa"/>
          </w:tcPr>
          <w:p w:rsidR="00ED1407" w:rsidRPr="00BD5A0B" w:rsidRDefault="00ED1407" w:rsidP="00BD5A0B">
            <w:pPr>
              <w:jc w:val="center"/>
              <w:rPr>
                <w:b/>
                <w:bCs/>
                <w:i/>
              </w:rPr>
            </w:pPr>
            <w:r w:rsidRPr="00BD5A0B">
              <w:rPr>
                <w:bCs/>
                <w:i/>
                <w:sz w:val="22"/>
                <w:szCs w:val="22"/>
              </w:rPr>
              <w:t>.255</w:t>
            </w:r>
          </w:p>
        </w:tc>
        <w:tc>
          <w:tcPr>
            <w:tcW w:w="1797" w:type="dxa"/>
          </w:tcPr>
          <w:p w:rsidR="00ED1407" w:rsidRPr="00BD5A0B" w:rsidRDefault="00ED1407" w:rsidP="00BD5A0B">
            <w:pPr>
              <w:jc w:val="center"/>
              <w:rPr>
                <w:b/>
                <w:bCs/>
                <w:i/>
              </w:rPr>
            </w:pPr>
            <w:r w:rsidRPr="00BD5A0B">
              <w:rPr>
                <w:bCs/>
                <w:i/>
                <w:sz w:val="22"/>
                <w:szCs w:val="22"/>
              </w:rPr>
              <w:t>.250</w:t>
            </w:r>
          </w:p>
        </w:tc>
        <w:tc>
          <w:tcPr>
            <w:tcW w:w="1798" w:type="dxa"/>
          </w:tcPr>
          <w:p w:rsidR="00ED1407" w:rsidRPr="00BD5A0B" w:rsidRDefault="00ED1407" w:rsidP="00BD5A0B">
            <w:pPr>
              <w:jc w:val="center"/>
              <w:rPr>
                <w:b/>
                <w:bCs/>
                <w:i/>
              </w:rPr>
            </w:pPr>
            <w:r w:rsidRPr="00BD5A0B">
              <w:rPr>
                <w:bCs/>
                <w:i/>
                <w:sz w:val="22"/>
                <w:szCs w:val="22"/>
              </w:rPr>
              <w:t>.295</w:t>
            </w:r>
          </w:p>
        </w:tc>
        <w:tc>
          <w:tcPr>
            <w:tcW w:w="1798" w:type="dxa"/>
            <w:tcBorders>
              <w:right w:val="single" w:sz="6" w:space="0" w:color="000000"/>
            </w:tcBorders>
          </w:tcPr>
          <w:p w:rsidR="00ED1407" w:rsidRPr="00BD5A0B" w:rsidRDefault="00ED1407" w:rsidP="00BD5A0B">
            <w:pPr>
              <w:jc w:val="center"/>
              <w:rPr>
                <w:b/>
                <w:bCs/>
                <w:i/>
              </w:rPr>
            </w:pPr>
            <w:r w:rsidRPr="00BD5A0B">
              <w:rPr>
                <w:bCs/>
                <w:i/>
                <w:sz w:val="22"/>
                <w:szCs w:val="22"/>
              </w:rPr>
              <w:t>.288</w:t>
            </w:r>
          </w:p>
        </w:tc>
      </w:tr>
      <w:tr w:rsidR="00ED1407" w:rsidTr="00BD5A0B">
        <w:tc>
          <w:tcPr>
            <w:tcW w:w="8988" w:type="dxa"/>
            <w:gridSpan w:val="5"/>
            <w:tcBorders>
              <w:left w:val="nil"/>
              <w:bottom w:val="nil"/>
              <w:right w:val="nil"/>
            </w:tcBorders>
          </w:tcPr>
          <w:p w:rsidR="00ED1407" w:rsidRPr="00BD5A0B" w:rsidRDefault="00ED1407" w:rsidP="00BD5A0B">
            <w:pPr>
              <w:autoSpaceDE w:val="0"/>
              <w:autoSpaceDN w:val="0"/>
              <w:adjustRightInd w:val="0"/>
              <w:rPr>
                <w:b/>
                <w:bCs/>
                <w:color w:val="000000"/>
                <w:sz w:val="18"/>
                <w:szCs w:val="18"/>
              </w:rPr>
            </w:pPr>
            <w:r w:rsidRPr="00BD5A0B">
              <w:rPr>
                <w:bCs/>
                <w:color w:val="000000"/>
                <w:sz w:val="18"/>
                <w:szCs w:val="18"/>
              </w:rPr>
              <w:t xml:space="preserve">Notes: * indicates significance at .05 level; ** indicates significance at .01 level. T-values in parentheses. </w:t>
            </w:r>
          </w:p>
        </w:tc>
      </w:tr>
    </w:tbl>
    <w:p w:rsidR="00ED1407" w:rsidRDefault="00ED1407" w:rsidP="008B79E2">
      <w:pPr>
        <w:autoSpaceDE w:val="0"/>
        <w:autoSpaceDN w:val="0"/>
        <w:adjustRightInd w:val="0"/>
        <w:spacing w:line="480" w:lineRule="auto"/>
      </w:pPr>
    </w:p>
    <w:p w:rsidR="00ED1407" w:rsidRDefault="00ED1407" w:rsidP="008B79E2">
      <w:pPr>
        <w:spacing w:line="480" w:lineRule="auto"/>
        <w:ind w:firstLine="720"/>
      </w:pPr>
      <w:r>
        <w:t xml:space="preserve">In order to test to what extent the apparent effect of cultural distance in Model 3 is actually driven by the effect of cultural overlap, we include both variables in Model 4. Doing so, we find that cultural overlap remains positively related to location choice (though now only at the 5% level), while the effect of cultural distance is no longer significant. These results are in line with Hypotheses 1, 2a and 2b, indicating that cultural overlap is the variable that matters more to firms choosing affiliate locations.   </w:t>
      </w:r>
    </w:p>
    <w:p w:rsidR="00ED1407" w:rsidRDefault="00ED1407" w:rsidP="008B79E2">
      <w:pPr>
        <w:spacing w:line="480" w:lineRule="auto"/>
        <w:ind w:firstLine="720"/>
      </w:pPr>
    </w:p>
    <w:p w:rsidR="00ED1407" w:rsidRPr="001765CB" w:rsidRDefault="00ED1407" w:rsidP="008B79E2">
      <w:pPr>
        <w:spacing w:line="480" w:lineRule="auto"/>
        <w:rPr>
          <w:i/>
        </w:rPr>
      </w:pPr>
      <w:r w:rsidRPr="001765CB">
        <w:rPr>
          <w:i/>
        </w:rPr>
        <w:t>Sector-specific results</w:t>
      </w:r>
    </w:p>
    <w:p w:rsidR="00ED1407" w:rsidRDefault="00ED1407" w:rsidP="008B79E2">
      <w:pPr>
        <w:spacing w:line="480" w:lineRule="auto"/>
        <w:ind w:firstLine="720"/>
      </w:pPr>
      <w:r>
        <w:t xml:space="preserve">Is cultural overlap equally relevant for all types of FDI? Theoretically, we have argued that cultural distance is more closely linked to transaction costs, while cultural overlap fits the idea of culture-related FSA’s better. From this, we deduct that in industrial sectors, which are relatively dominated by efficiency seeking FDI, cultural distance carries more weight than in service sectors, where market-seeking motives are relatively more important. To test this, Table 4 provides the results per sector. </w:t>
      </w:r>
    </w:p>
    <w:p w:rsidR="00ED1407" w:rsidRDefault="00ED1407" w:rsidP="008B79E2">
      <w:pPr>
        <w:spacing w:line="480" w:lineRule="auto"/>
      </w:pPr>
    </w:p>
    <w:tbl>
      <w:tblPr>
        <w:tblW w:w="93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48"/>
        <w:gridCol w:w="1680"/>
        <w:gridCol w:w="1680"/>
        <w:gridCol w:w="1680"/>
        <w:gridCol w:w="1560"/>
      </w:tblGrid>
      <w:tr w:rsidR="00ED1407" w:rsidTr="00BD5A0B">
        <w:tc>
          <w:tcPr>
            <w:tcW w:w="9348" w:type="dxa"/>
            <w:gridSpan w:val="5"/>
            <w:tcBorders>
              <w:top w:val="nil"/>
              <w:left w:val="nil"/>
              <w:right w:val="nil"/>
            </w:tcBorders>
          </w:tcPr>
          <w:p w:rsidR="00ED1407" w:rsidRPr="00BD5A0B" w:rsidRDefault="00ED1407" w:rsidP="008B79E2">
            <w:r w:rsidRPr="00BD5A0B">
              <w:rPr>
                <w:bCs/>
                <w:i/>
                <w:color w:val="000000"/>
                <w:szCs w:val="22"/>
              </w:rPr>
              <w:t xml:space="preserve">Table 4. Number of bilateral affiliates per sector </w:t>
            </w:r>
          </w:p>
        </w:tc>
      </w:tr>
      <w:tr w:rsidR="00ED1407" w:rsidTr="00BD5A0B">
        <w:tc>
          <w:tcPr>
            <w:tcW w:w="2748" w:type="dxa"/>
          </w:tcPr>
          <w:p w:rsidR="00ED1407" w:rsidRPr="00BD5A0B" w:rsidRDefault="00ED1407" w:rsidP="008B79E2">
            <w:pPr>
              <w:rPr>
                <w:b/>
              </w:rPr>
            </w:pPr>
          </w:p>
        </w:tc>
        <w:tc>
          <w:tcPr>
            <w:tcW w:w="1680" w:type="dxa"/>
          </w:tcPr>
          <w:p w:rsidR="00ED1407" w:rsidRPr="00BD5A0B" w:rsidRDefault="00ED1407" w:rsidP="00BD5A0B">
            <w:pPr>
              <w:jc w:val="center"/>
              <w:rPr>
                <w:b/>
              </w:rPr>
            </w:pPr>
            <w:r w:rsidRPr="00BD5A0B">
              <w:rPr>
                <w:b/>
                <w:sz w:val="22"/>
                <w:szCs w:val="22"/>
              </w:rPr>
              <w:t>Model 5</w:t>
            </w:r>
          </w:p>
        </w:tc>
        <w:tc>
          <w:tcPr>
            <w:tcW w:w="1680" w:type="dxa"/>
          </w:tcPr>
          <w:p w:rsidR="00ED1407" w:rsidRPr="00BD5A0B" w:rsidRDefault="00ED1407" w:rsidP="00BD5A0B">
            <w:pPr>
              <w:jc w:val="center"/>
              <w:rPr>
                <w:b/>
              </w:rPr>
            </w:pPr>
            <w:r w:rsidRPr="00BD5A0B">
              <w:rPr>
                <w:b/>
                <w:sz w:val="22"/>
                <w:szCs w:val="22"/>
              </w:rPr>
              <w:t>Model 6</w:t>
            </w:r>
          </w:p>
        </w:tc>
        <w:tc>
          <w:tcPr>
            <w:tcW w:w="1680" w:type="dxa"/>
          </w:tcPr>
          <w:p w:rsidR="00ED1407" w:rsidRPr="00BD5A0B" w:rsidRDefault="00ED1407" w:rsidP="00BD5A0B">
            <w:pPr>
              <w:jc w:val="center"/>
              <w:rPr>
                <w:b/>
              </w:rPr>
            </w:pPr>
            <w:r w:rsidRPr="00BD5A0B">
              <w:rPr>
                <w:b/>
                <w:sz w:val="22"/>
                <w:szCs w:val="22"/>
              </w:rPr>
              <w:t>Model 7</w:t>
            </w:r>
          </w:p>
        </w:tc>
        <w:tc>
          <w:tcPr>
            <w:tcW w:w="1560" w:type="dxa"/>
          </w:tcPr>
          <w:p w:rsidR="00ED1407" w:rsidRPr="00BD5A0B" w:rsidRDefault="00ED1407" w:rsidP="00BD5A0B">
            <w:pPr>
              <w:jc w:val="center"/>
              <w:rPr>
                <w:b/>
              </w:rPr>
            </w:pPr>
            <w:r w:rsidRPr="00BD5A0B">
              <w:rPr>
                <w:b/>
                <w:sz w:val="22"/>
                <w:szCs w:val="22"/>
              </w:rPr>
              <w:t>Model 8</w:t>
            </w:r>
          </w:p>
        </w:tc>
      </w:tr>
      <w:tr w:rsidR="00ED1407" w:rsidTr="00BD5A0B">
        <w:tc>
          <w:tcPr>
            <w:tcW w:w="2748" w:type="dxa"/>
          </w:tcPr>
          <w:p w:rsidR="00ED1407" w:rsidRPr="00BD5A0B" w:rsidRDefault="00ED1407" w:rsidP="008B79E2">
            <w:pPr>
              <w:rPr>
                <w:b/>
              </w:rPr>
            </w:pPr>
            <w:r w:rsidRPr="00BD5A0B">
              <w:rPr>
                <w:b/>
                <w:sz w:val="22"/>
                <w:szCs w:val="22"/>
              </w:rPr>
              <w:t>Constant</w:t>
            </w:r>
          </w:p>
        </w:tc>
        <w:tc>
          <w:tcPr>
            <w:tcW w:w="1680" w:type="dxa"/>
          </w:tcPr>
          <w:p w:rsidR="00ED1407" w:rsidRPr="00BD5A0B" w:rsidRDefault="00ED1407" w:rsidP="00BD5A0B">
            <w:pPr>
              <w:jc w:val="center"/>
            </w:pPr>
            <w:r w:rsidRPr="00BD5A0B">
              <w:rPr>
                <w:sz w:val="22"/>
                <w:szCs w:val="22"/>
              </w:rPr>
              <w:t>.106</w:t>
            </w:r>
          </w:p>
          <w:p w:rsidR="00ED1407" w:rsidRPr="00BD5A0B" w:rsidRDefault="00ED1407" w:rsidP="00BD5A0B">
            <w:pPr>
              <w:jc w:val="center"/>
            </w:pPr>
            <w:r w:rsidRPr="00BD5A0B">
              <w:rPr>
                <w:sz w:val="22"/>
                <w:szCs w:val="22"/>
              </w:rPr>
              <w:t>(.203)</w:t>
            </w:r>
          </w:p>
        </w:tc>
        <w:tc>
          <w:tcPr>
            <w:tcW w:w="1680" w:type="dxa"/>
          </w:tcPr>
          <w:p w:rsidR="00ED1407" w:rsidRPr="00BD5A0B" w:rsidRDefault="00ED1407" w:rsidP="00BD5A0B">
            <w:pPr>
              <w:jc w:val="center"/>
            </w:pPr>
            <w:r w:rsidRPr="00BD5A0B">
              <w:rPr>
                <w:sz w:val="22"/>
                <w:szCs w:val="22"/>
              </w:rPr>
              <w:t>-1.016</w:t>
            </w:r>
          </w:p>
          <w:p w:rsidR="00ED1407" w:rsidRPr="00BD5A0B" w:rsidRDefault="00ED1407" w:rsidP="00BD5A0B">
            <w:pPr>
              <w:jc w:val="center"/>
            </w:pPr>
            <w:r w:rsidRPr="00BD5A0B">
              <w:rPr>
                <w:sz w:val="22"/>
                <w:szCs w:val="22"/>
              </w:rPr>
              <w:t>(-1.827)</w:t>
            </w:r>
          </w:p>
        </w:tc>
        <w:tc>
          <w:tcPr>
            <w:tcW w:w="1680" w:type="dxa"/>
          </w:tcPr>
          <w:p w:rsidR="00ED1407" w:rsidRPr="00BD5A0B" w:rsidRDefault="00ED1407" w:rsidP="00BD5A0B">
            <w:pPr>
              <w:jc w:val="center"/>
            </w:pPr>
            <w:r w:rsidRPr="00BD5A0B">
              <w:rPr>
                <w:sz w:val="22"/>
                <w:szCs w:val="22"/>
              </w:rPr>
              <w:t>-.692*</w:t>
            </w:r>
          </w:p>
          <w:p w:rsidR="00ED1407" w:rsidRPr="00BD5A0B" w:rsidRDefault="00ED1407" w:rsidP="00BD5A0B">
            <w:pPr>
              <w:jc w:val="center"/>
            </w:pPr>
            <w:r w:rsidRPr="00BD5A0B">
              <w:rPr>
                <w:sz w:val="22"/>
                <w:szCs w:val="22"/>
              </w:rPr>
              <w:t>(-2.108)</w:t>
            </w:r>
          </w:p>
        </w:tc>
        <w:tc>
          <w:tcPr>
            <w:tcW w:w="1560" w:type="dxa"/>
          </w:tcPr>
          <w:p w:rsidR="00ED1407" w:rsidRPr="00BD5A0B" w:rsidRDefault="00ED1407" w:rsidP="00BD5A0B">
            <w:pPr>
              <w:jc w:val="center"/>
            </w:pPr>
            <w:r w:rsidRPr="00BD5A0B">
              <w:rPr>
                <w:sz w:val="22"/>
                <w:szCs w:val="22"/>
              </w:rPr>
              <w:t>-1.753*</w:t>
            </w:r>
          </w:p>
          <w:p w:rsidR="00ED1407" w:rsidRPr="00BD5A0B" w:rsidRDefault="00ED1407" w:rsidP="00BD5A0B">
            <w:pPr>
              <w:jc w:val="center"/>
            </w:pPr>
            <w:r w:rsidRPr="00BD5A0B">
              <w:rPr>
                <w:sz w:val="22"/>
                <w:szCs w:val="22"/>
              </w:rPr>
              <w:t>(-2.291)</w:t>
            </w:r>
          </w:p>
        </w:tc>
      </w:tr>
      <w:tr w:rsidR="00ED1407" w:rsidTr="00BD5A0B">
        <w:tc>
          <w:tcPr>
            <w:tcW w:w="2748" w:type="dxa"/>
          </w:tcPr>
          <w:p w:rsidR="00ED1407" w:rsidRPr="00BD5A0B" w:rsidRDefault="00ED1407" w:rsidP="008B79E2">
            <w:pPr>
              <w:rPr>
                <w:b/>
              </w:rPr>
            </w:pPr>
            <w:r w:rsidRPr="00BD5A0B">
              <w:rPr>
                <w:b/>
                <w:sz w:val="22"/>
                <w:szCs w:val="22"/>
              </w:rPr>
              <w:t>Cultural Overlap</w:t>
            </w:r>
          </w:p>
        </w:tc>
        <w:tc>
          <w:tcPr>
            <w:tcW w:w="1680" w:type="dxa"/>
          </w:tcPr>
          <w:p w:rsidR="00ED1407" w:rsidRPr="00BD5A0B" w:rsidRDefault="00ED1407" w:rsidP="00BD5A0B">
            <w:pPr>
              <w:jc w:val="center"/>
            </w:pPr>
            <w:r w:rsidRPr="00BD5A0B">
              <w:rPr>
                <w:sz w:val="22"/>
                <w:szCs w:val="22"/>
              </w:rPr>
              <w:t>.003</w:t>
            </w:r>
          </w:p>
          <w:p w:rsidR="00ED1407" w:rsidRPr="00BD5A0B" w:rsidRDefault="00ED1407" w:rsidP="00BD5A0B">
            <w:pPr>
              <w:jc w:val="center"/>
            </w:pPr>
            <w:r w:rsidRPr="00BD5A0B">
              <w:rPr>
                <w:sz w:val="22"/>
                <w:szCs w:val="22"/>
              </w:rPr>
              <w:t>(.421)</w:t>
            </w:r>
          </w:p>
        </w:tc>
        <w:tc>
          <w:tcPr>
            <w:tcW w:w="1680" w:type="dxa"/>
          </w:tcPr>
          <w:p w:rsidR="00ED1407" w:rsidRPr="00BD5A0B" w:rsidRDefault="00ED1407" w:rsidP="00BD5A0B">
            <w:pPr>
              <w:jc w:val="center"/>
            </w:pPr>
            <w:r w:rsidRPr="00BD5A0B">
              <w:rPr>
                <w:sz w:val="22"/>
                <w:szCs w:val="22"/>
              </w:rPr>
              <w:t>.015*</w:t>
            </w:r>
          </w:p>
          <w:p w:rsidR="00ED1407" w:rsidRPr="00BD5A0B" w:rsidRDefault="00ED1407" w:rsidP="00BD5A0B">
            <w:pPr>
              <w:jc w:val="center"/>
            </w:pPr>
            <w:r w:rsidRPr="00BD5A0B">
              <w:rPr>
                <w:sz w:val="22"/>
                <w:szCs w:val="22"/>
              </w:rPr>
              <w:t>(2.381)</w:t>
            </w:r>
          </w:p>
        </w:tc>
        <w:tc>
          <w:tcPr>
            <w:tcW w:w="1680" w:type="dxa"/>
          </w:tcPr>
          <w:p w:rsidR="00ED1407" w:rsidRPr="00BD5A0B" w:rsidRDefault="00ED1407" w:rsidP="00BD5A0B">
            <w:pPr>
              <w:jc w:val="center"/>
            </w:pPr>
            <w:r w:rsidRPr="00BD5A0B">
              <w:rPr>
                <w:sz w:val="22"/>
                <w:szCs w:val="22"/>
              </w:rPr>
              <w:t>.009*</w:t>
            </w:r>
          </w:p>
          <w:p w:rsidR="00ED1407" w:rsidRPr="00BD5A0B" w:rsidRDefault="00ED1407" w:rsidP="00BD5A0B">
            <w:pPr>
              <w:jc w:val="center"/>
            </w:pPr>
            <w:r w:rsidRPr="00BD5A0B">
              <w:rPr>
                <w:sz w:val="22"/>
                <w:szCs w:val="22"/>
              </w:rPr>
              <w:t>(2.415)</w:t>
            </w:r>
          </w:p>
        </w:tc>
        <w:tc>
          <w:tcPr>
            <w:tcW w:w="1560" w:type="dxa"/>
          </w:tcPr>
          <w:p w:rsidR="00ED1407" w:rsidRPr="00BD5A0B" w:rsidRDefault="00ED1407" w:rsidP="00BD5A0B">
            <w:pPr>
              <w:jc w:val="center"/>
            </w:pPr>
            <w:r w:rsidRPr="00BD5A0B">
              <w:rPr>
                <w:sz w:val="22"/>
                <w:szCs w:val="22"/>
              </w:rPr>
              <w:t>.025**</w:t>
            </w:r>
          </w:p>
          <w:p w:rsidR="00ED1407" w:rsidRPr="00BD5A0B" w:rsidRDefault="00ED1407" w:rsidP="00BD5A0B">
            <w:pPr>
              <w:jc w:val="center"/>
            </w:pPr>
            <w:r w:rsidRPr="00BD5A0B">
              <w:rPr>
                <w:sz w:val="22"/>
                <w:szCs w:val="22"/>
              </w:rPr>
              <w:t>(2.835)</w:t>
            </w:r>
          </w:p>
        </w:tc>
      </w:tr>
      <w:tr w:rsidR="00ED1407" w:rsidTr="00BD5A0B">
        <w:tc>
          <w:tcPr>
            <w:tcW w:w="2748" w:type="dxa"/>
          </w:tcPr>
          <w:p w:rsidR="00ED1407" w:rsidRPr="00BD5A0B" w:rsidRDefault="00ED1407" w:rsidP="008B79E2">
            <w:pPr>
              <w:rPr>
                <w:b/>
              </w:rPr>
            </w:pPr>
            <w:r w:rsidRPr="00BD5A0B">
              <w:rPr>
                <w:b/>
                <w:sz w:val="22"/>
                <w:szCs w:val="22"/>
              </w:rPr>
              <w:t>Cultural Distance</w:t>
            </w:r>
          </w:p>
        </w:tc>
        <w:tc>
          <w:tcPr>
            <w:tcW w:w="1680" w:type="dxa"/>
          </w:tcPr>
          <w:p w:rsidR="00ED1407" w:rsidRPr="00BD5A0B" w:rsidRDefault="00ED1407" w:rsidP="00BD5A0B">
            <w:pPr>
              <w:jc w:val="center"/>
            </w:pPr>
            <w:r w:rsidRPr="00BD5A0B">
              <w:rPr>
                <w:sz w:val="22"/>
                <w:szCs w:val="22"/>
              </w:rPr>
              <w:t>-.051*</w:t>
            </w:r>
          </w:p>
          <w:p w:rsidR="00ED1407" w:rsidRPr="00BD5A0B" w:rsidRDefault="00ED1407" w:rsidP="00BD5A0B">
            <w:pPr>
              <w:jc w:val="center"/>
            </w:pPr>
            <w:r w:rsidRPr="00BD5A0B">
              <w:rPr>
                <w:sz w:val="22"/>
                <w:szCs w:val="22"/>
              </w:rPr>
              <w:t>(-2.311)</w:t>
            </w:r>
          </w:p>
        </w:tc>
        <w:tc>
          <w:tcPr>
            <w:tcW w:w="1680" w:type="dxa"/>
          </w:tcPr>
          <w:p w:rsidR="00ED1407" w:rsidRPr="00BD5A0B" w:rsidRDefault="00ED1407" w:rsidP="00BD5A0B">
            <w:pPr>
              <w:jc w:val="center"/>
            </w:pPr>
            <w:r w:rsidRPr="00BD5A0B">
              <w:rPr>
                <w:sz w:val="22"/>
                <w:szCs w:val="22"/>
              </w:rPr>
              <w:t>-.033</w:t>
            </w:r>
          </w:p>
          <w:p w:rsidR="00ED1407" w:rsidRPr="00BD5A0B" w:rsidRDefault="00ED1407" w:rsidP="00BD5A0B">
            <w:pPr>
              <w:jc w:val="center"/>
            </w:pPr>
            <w:r w:rsidRPr="00BD5A0B">
              <w:rPr>
                <w:sz w:val="22"/>
                <w:szCs w:val="22"/>
              </w:rPr>
              <w:t>(-1.413)</w:t>
            </w:r>
          </w:p>
        </w:tc>
        <w:tc>
          <w:tcPr>
            <w:tcW w:w="1680" w:type="dxa"/>
          </w:tcPr>
          <w:p w:rsidR="00ED1407" w:rsidRPr="00BD5A0B" w:rsidRDefault="00ED1407" w:rsidP="00BD5A0B">
            <w:pPr>
              <w:jc w:val="center"/>
            </w:pPr>
            <w:r w:rsidRPr="00BD5A0B">
              <w:rPr>
                <w:sz w:val="22"/>
                <w:szCs w:val="22"/>
              </w:rPr>
              <w:t>-.010</w:t>
            </w:r>
          </w:p>
          <w:p w:rsidR="00ED1407" w:rsidRPr="00BD5A0B" w:rsidRDefault="00ED1407" w:rsidP="00BD5A0B">
            <w:pPr>
              <w:jc w:val="center"/>
            </w:pPr>
            <w:r w:rsidRPr="00BD5A0B">
              <w:rPr>
                <w:sz w:val="22"/>
                <w:szCs w:val="22"/>
              </w:rPr>
              <w:t>(-.712)</w:t>
            </w:r>
          </w:p>
        </w:tc>
        <w:tc>
          <w:tcPr>
            <w:tcW w:w="1560" w:type="dxa"/>
          </w:tcPr>
          <w:p w:rsidR="00ED1407" w:rsidRPr="00BD5A0B" w:rsidRDefault="00ED1407" w:rsidP="00BD5A0B">
            <w:pPr>
              <w:jc w:val="center"/>
            </w:pPr>
            <w:r w:rsidRPr="00BD5A0B">
              <w:rPr>
                <w:sz w:val="22"/>
                <w:szCs w:val="22"/>
              </w:rPr>
              <w:t>-.043</w:t>
            </w:r>
          </w:p>
          <w:p w:rsidR="00ED1407" w:rsidRPr="00BD5A0B" w:rsidRDefault="00ED1407" w:rsidP="00BD5A0B">
            <w:pPr>
              <w:jc w:val="center"/>
            </w:pPr>
            <w:r w:rsidRPr="00BD5A0B">
              <w:rPr>
                <w:sz w:val="22"/>
                <w:szCs w:val="22"/>
              </w:rPr>
              <w:t>(-1.326)</w:t>
            </w:r>
          </w:p>
        </w:tc>
      </w:tr>
      <w:tr w:rsidR="00ED1407" w:rsidTr="00BD5A0B">
        <w:tc>
          <w:tcPr>
            <w:tcW w:w="2748" w:type="dxa"/>
          </w:tcPr>
          <w:p w:rsidR="00ED1407" w:rsidRPr="00BD5A0B" w:rsidRDefault="00ED1407" w:rsidP="008B79E2">
            <w:pPr>
              <w:rPr>
                <w:b/>
              </w:rPr>
            </w:pPr>
            <w:r w:rsidRPr="00BD5A0B">
              <w:rPr>
                <w:b/>
                <w:sz w:val="22"/>
                <w:szCs w:val="22"/>
              </w:rPr>
              <w:t>Geographical distance</w:t>
            </w:r>
          </w:p>
        </w:tc>
        <w:tc>
          <w:tcPr>
            <w:tcW w:w="1680" w:type="dxa"/>
          </w:tcPr>
          <w:p w:rsidR="00ED1407" w:rsidRPr="00BD5A0B" w:rsidRDefault="00ED1407" w:rsidP="00BD5A0B">
            <w:pPr>
              <w:jc w:val="center"/>
            </w:pPr>
            <w:r w:rsidRPr="00BD5A0B">
              <w:rPr>
                <w:sz w:val="22"/>
                <w:szCs w:val="22"/>
              </w:rPr>
              <w:t>-2.572E-5**</w:t>
            </w:r>
          </w:p>
          <w:p w:rsidR="00ED1407" w:rsidRPr="00BD5A0B" w:rsidRDefault="00ED1407" w:rsidP="00BD5A0B">
            <w:pPr>
              <w:jc w:val="center"/>
            </w:pPr>
            <w:r w:rsidRPr="00BD5A0B">
              <w:rPr>
                <w:sz w:val="22"/>
                <w:szCs w:val="22"/>
              </w:rPr>
              <w:t>(-4.172)</w:t>
            </w:r>
          </w:p>
        </w:tc>
        <w:tc>
          <w:tcPr>
            <w:tcW w:w="1680" w:type="dxa"/>
          </w:tcPr>
          <w:p w:rsidR="00ED1407" w:rsidRPr="00BD5A0B" w:rsidRDefault="00ED1407" w:rsidP="00BD5A0B">
            <w:pPr>
              <w:jc w:val="center"/>
            </w:pPr>
            <w:r w:rsidRPr="00BD5A0B">
              <w:rPr>
                <w:sz w:val="22"/>
                <w:szCs w:val="22"/>
              </w:rPr>
              <w:t>-2.600E-5**</w:t>
            </w:r>
          </w:p>
          <w:p w:rsidR="00ED1407" w:rsidRPr="00BD5A0B" w:rsidRDefault="00ED1407" w:rsidP="00BD5A0B">
            <w:pPr>
              <w:jc w:val="center"/>
            </w:pPr>
            <w:r w:rsidRPr="00BD5A0B">
              <w:rPr>
                <w:sz w:val="22"/>
                <w:szCs w:val="22"/>
              </w:rPr>
              <w:t>(-3.958)</w:t>
            </w:r>
          </w:p>
        </w:tc>
        <w:tc>
          <w:tcPr>
            <w:tcW w:w="1680" w:type="dxa"/>
          </w:tcPr>
          <w:p w:rsidR="00ED1407" w:rsidRPr="00BD5A0B" w:rsidRDefault="00ED1407" w:rsidP="00BD5A0B">
            <w:pPr>
              <w:jc w:val="center"/>
            </w:pPr>
            <w:r w:rsidRPr="00BD5A0B">
              <w:rPr>
                <w:sz w:val="22"/>
                <w:szCs w:val="22"/>
              </w:rPr>
              <w:t>-9.645E-6*</w:t>
            </w:r>
          </w:p>
          <w:p w:rsidR="00ED1407" w:rsidRPr="00BD5A0B" w:rsidRDefault="00ED1407" w:rsidP="00BD5A0B">
            <w:pPr>
              <w:jc w:val="center"/>
            </w:pPr>
            <w:r w:rsidRPr="00BD5A0B">
              <w:rPr>
                <w:sz w:val="22"/>
                <w:szCs w:val="22"/>
              </w:rPr>
              <w:t>(-2.508)</w:t>
            </w:r>
          </w:p>
        </w:tc>
        <w:tc>
          <w:tcPr>
            <w:tcW w:w="1560" w:type="dxa"/>
          </w:tcPr>
          <w:p w:rsidR="00ED1407" w:rsidRPr="00BD5A0B" w:rsidRDefault="00ED1407" w:rsidP="00BD5A0B">
            <w:pPr>
              <w:jc w:val="center"/>
            </w:pPr>
            <w:r w:rsidRPr="00BD5A0B">
              <w:rPr>
                <w:sz w:val="22"/>
                <w:szCs w:val="22"/>
              </w:rPr>
              <w:t>-3.596E-5**</w:t>
            </w:r>
          </w:p>
          <w:p w:rsidR="00ED1407" w:rsidRPr="00BD5A0B" w:rsidRDefault="00ED1407" w:rsidP="00BD5A0B">
            <w:pPr>
              <w:jc w:val="center"/>
            </w:pPr>
            <w:r w:rsidRPr="00BD5A0B">
              <w:rPr>
                <w:sz w:val="22"/>
                <w:szCs w:val="22"/>
              </w:rPr>
              <w:t>(-3.989)</w:t>
            </w:r>
          </w:p>
        </w:tc>
      </w:tr>
      <w:tr w:rsidR="00ED1407" w:rsidTr="00BD5A0B">
        <w:tc>
          <w:tcPr>
            <w:tcW w:w="2748" w:type="dxa"/>
          </w:tcPr>
          <w:p w:rsidR="00ED1407" w:rsidRPr="00BD5A0B" w:rsidRDefault="00ED1407" w:rsidP="008B79E2">
            <w:pPr>
              <w:rPr>
                <w:b/>
              </w:rPr>
            </w:pPr>
            <w:r w:rsidRPr="00BD5A0B">
              <w:rPr>
                <w:b/>
                <w:sz w:val="22"/>
                <w:szCs w:val="22"/>
              </w:rPr>
              <w:t>Colonial ties</w:t>
            </w:r>
          </w:p>
        </w:tc>
        <w:tc>
          <w:tcPr>
            <w:tcW w:w="1680" w:type="dxa"/>
          </w:tcPr>
          <w:p w:rsidR="00ED1407" w:rsidRPr="00BD5A0B" w:rsidRDefault="00ED1407" w:rsidP="00BD5A0B">
            <w:pPr>
              <w:jc w:val="center"/>
            </w:pPr>
            <w:r w:rsidRPr="00BD5A0B">
              <w:rPr>
                <w:sz w:val="22"/>
                <w:szCs w:val="22"/>
              </w:rPr>
              <w:t>-.169</w:t>
            </w:r>
          </w:p>
          <w:p w:rsidR="00ED1407" w:rsidRPr="00BD5A0B" w:rsidRDefault="00ED1407" w:rsidP="00BD5A0B">
            <w:pPr>
              <w:jc w:val="center"/>
            </w:pPr>
            <w:r w:rsidRPr="00BD5A0B">
              <w:rPr>
                <w:sz w:val="22"/>
                <w:szCs w:val="22"/>
              </w:rPr>
              <w:t>(-.991)</w:t>
            </w:r>
          </w:p>
        </w:tc>
        <w:tc>
          <w:tcPr>
            <w:tcW w:w="1680" w:type="dxa"/>
          </w:tcPr>
          <w:p w:rsidR="00ED1407" w:rsidRPr="00BD5A0B" w:rsidRDefault="00ED1407" w:rsidP="00BD5A0B">
            <w:pPr>
              <w:jc w:val="center"/>
            </w:pPr>
            <w:r w:rsidRPr="00BD5A0B">
              <w:rPr>
                <w:sz w:val="22"/>
                <w:szCs w:val="22"/>
              </w:rPr>
              <w:t>-.017</w:t>
            </w:r>
          </w:p>
          <w:p w:rsidR="00ED1407" w:rsidRPr="00BD5A0B" w:rsidRDefault="00ED1407" w:rsidP="00BD5A0B">
            <w:pPr>
              <w:jc w:val="center"/>
            </w:pPr>
            <w:r w:rsidRPr="00BD5A0B">
              <w:rPr>
                <w:sz w:val="22"/>
                <w:szCs w:val="22"/>
              </w:rPr>
              <w:t>(-.092)</w:t>
            </w:r>
          </w:p>
        </w:tc>
        <w:tc>
          <w:tcPr>
            <w:tcW w:w="1680" w:type="dxa"/>
          </w:tcPr>
          <w:p w:rsidR="00ED1407" w:rsidRPr="00BD5A0B" w:rsidRDefault="00ED1407" w:rsidP="00BD5A0B">
            <w:pPr>
              <w:jc w:val="center"/>
            </w:pPr>
            <w:r w:rsidRPr="00BD5A0B">
              <w:rPr>
                <w:sz w:val="22"/>
                <w:szCs w:val="22"/>
              </w:rPr>
              <w:t>.449**</w:t>
            </w:r>
          </w:p>
          <w:p w:rsidR="00ED1407" w:rsidRPr="00BD5A0B" w:rsidRDefault="00ED1407" w:rsidP="00BD5A0B">
            <w:pPr>
              <w:jc w:val="center"/>
            </w:pPr>
            <w:r w:rsidRPr="00BD5A0B">
              <w:rPr>
                <w:sz w:val="22"/>
                <w:szCs w:val="22"/>
              </w:rPr>
              <w:t>(4.201)</w:t>
            </w:r>
          </w:p>
        </w:tc>
        <w:tc>
          <w:tcPr>
            <w:tcW w:w="1560" w:type="dxa"/>
          </w:tcPr>
          <w:p w:rsidR="00ED1407" w:rsidRPr="00BD5A0B" w:rsidRDefault="00ED1407" w:rsidP="00BD5A0B">
            <w:pPr>
              <w:jc w:val="center"/>
            </w:pPr>
            <w:r w:rsidRPr="00BD5A0B">
              <w:rPr>
                <w:sz w:val="22"/>
                <w:szCs w:val="22"/>
              </w:rPr>
              <w:t>.435</w:t>
            </w:r>
          </w:p>
          <w:p w:rsidR="00ED1407" w:rsidRPr="00BD5A0B" w:rsidRDefault="00ED1407" w:rsidP="00BD5A0B">
            <w:pPr>
              <w:jc w:val="center"/>
            </w:pPr>
            <w:r w:rsidRPr="00BD5A0B">
              <w:rPr>
                <w:sz w:val="22"/>
                <w:szCs w:val="22"/>
              </w:rPr>
              <w:t>(1.740)</w:t>
            </w:r>
          </w:p>
        </w:tc>
      </w:tr>
      <w:tr w:rsidR="00ED1407" w:rsidTr="00BD5A0B">
        <w:tc>
          <w:tcPr>
            <w:tcW w:w="2748" w:type="dxa"/>
          </w:tcPr>
          <w:p w:rsidR="00ED1407" w:rsidRPr="00BD5A0B" w:rsidRDefault="00ED1407" w:rsidP="008B79E2">
            <w:pPr>
              <w:rPr>
                <w:b/>
              </w:rPr>
            </w:pPr>
            <w:r w:rsidRPr="00BD5A0B">
              <w:rPr>
                <w:b/>
                <w:sz w:val="22"/>
                <w:szCs w:val="22"/>
              </w:rPr>
              <w:t>Common language</w:t>
            </w:r>
          </w:p>
        </w:tc>
        <w:tc>
          <w:tcPr>
            <w:tcW w:w="1680" w:type="dxa"/>
          </w:tcPr>
          <w:p w:rsidR="00ED1407" w:rsidRPr="00BD5A0B" w:rsidRDefault="00ED1407" w:rsidP="00BD5A0B">
            <w:pPr>
              <w:jc w:val="center"/>
            </w:pPr>
            <w:r w:rsidRPr="00BD5A0B">
              <w:rPr>
                <w:sz w:val="22"/>
                <w:szCs w:val="22"/>
              </w:rPr>
              <w:t>.198</w:t>
            </w:r>
          </w:p>
          <w:p w:rsidR="00ED1407" w:rsidRPr="00BD5A0B" w:rsidRDefault="00ED1407" w:rsidP="00BD5A0B">
            <w:pPr>
              <w:jc w:val="center"/>
            </w:pPr>
            <w:r w:rsidRPr="00BD5A0B">
              <w:rPr>
                <w:sz w:val="22"/>
                <w:szCs w:val="22"/>
              </w:rPr>
              <w:t>(1.888)</w:t>
            </w:r>
          </w:p>
        </w:tc>
        <w:tc>
          <w:tcPr>
            <w:tcW w:w="1680" w:type="dxa"/>
          </w:tcPr>
          <w:p w:rsidR="00ED1407" w:rsidRPr="00BD5A0B" w:rsidRDefault="00ED1407" w:rsidP="00BD5A0B">
            <w:pPr>
              <w:jc w:val="center"/>
            </w:pPr>
            <w:r w:rsidRPr="00BD5A0B">
              <w:rPr>
                <w:sz w:val="22"/>
                <w:szCs w:val="22"/>
              </w:rPr>
              <w:t>.252*</w:t>
            </w:r>
          </w:p>
          <w:p w:rsidR="00ED1407" w:rsidRPr="00BD5A0B" w:rsidRDefault="00ED1407" w:rsidP="00BD5A0B">
            <w:pPr>
              <w:jc w:val="center"/>
            </w:pPr>
            <w:r w:rsidRPr="00BD5A0B">
              <w:rPr>
                <w:sz w:val="22"/>
                <w:szCs w:val="22"/>
              </w:rPr>
              <w:t>(2.268)</w:t>
            </w:r>
          </w:p>
        </w:tc>
        <w:tc>
          <w:tcPr>
            <w:tcW w:w="1680" w:type="dxa"/>
          </w:tcPr>
          <w:p w:rsidR="00ED1407" w:rsidRPr="00BD5A0B" w:rsidRDefault="00ED1407" w:rsidP="00BD5A0B">
            <w:pPr>
              <w:jc w:val="center"/>
            </w:pPr>
            <w:r w:rsidRPr="00BD5A0B">
              <w:rPr>
                <w:sz w:val="22"/>
                <w:szCs w:val="22"/>
              </w:rPr>
              <w:t>.152*</w:t>
            </w:r>
          </w:p>
          <w:p w:rsidR="00ED1407" w:rsidRPr="00BD5A0B" w:rsidRDefault="00ED1407" w:rsidP="00BD5A0B">
            <w:pPr>
              <w:jc w:val="center"/>
            </w:pPr>
            <w:r w:rsidRPr="00BD5A0B">
              <w:rPr>
                <w:sz w:val="22"/>
                <w:szCs w:val="22"/>
              </w:rPr>
              <w:t>(2.326)</w:t>
            </w:r>
          </w:p>
        </w:tc>
        <w:tc>
          <w:tcPr>
            <w:tcW w:w="1560" w:type="dxa"/>
          </w:tcPr>
          <w:p w:rsidR="00ED1407" w:rsidRPr="00BD5A0B" w:rsidRDefault="00ED1407" w:rsidP="00BD5A0B">
            <w:pPr>
              <w:jc w:val="center"/>
            </w:pPr>
            <w:r w:rsidRPr="00BD5A0B">
              <w:rPr>
                <w:sz w:val="22"/>
                <w:szCs w:val="22"/>
              </w:rPr>
              <w:t>(.407)**</w:t>
            </w:r>
          </w:p>
          <w:p w:rsidR="00ED1407" w:rsidRPr="00BD5A0B" w:rsidRDefault="00ED1407" w:rsidP="00BD5A0B">
            <w:pPr>
              <w:jc w:val="center"/>
            </w:pPr>
            <w:r w:rsidRPr="00BD5A0B">
              <w:rPr>
                <w:sz w:val="22"/>
                <w:szCs w:val="22"/>
              </w:rPr>
              <w:t>2.662</w:t>
            </w:r>
          </w:p>
        </w:tc>
      </w:tr>
      <w:tr w:rsidR="00ED1407" w:rsidTr="00BD5A0B">
        <w:tc>
          <w:tcPr>
            <w:tcW w:w="2748" w:type="dxa"/>
          </w:tcPr>
          <w:p w:rsidR="00ED1407" w:rsidRPr="00BD5A0B" w:rsidRDefault="00ED1407" w:rsidP="008B79E2">
            <w:pPr>
              <w:rPr>
                <w:b/>
              </w:rPr>
            </w:pPr>
            <w:r w:rsidRPr="00BD5A0B">
              <w:rPr>
                <w:b/>
                <w:sz w:val="22"/>
                <w:szCs w:val="22"/>
              </w:rPr>
              <w:t>GNI host country</w:t>
            </w:r>
          </w:p>
        </w:tc>
        <w:tc>
          <w:tcPr>
            <w:tcW w:w="1680" w:type="dxa"/>
          </w:tcPr>
          <w:p w:rsidR="00ED1407" w:rsidRPr="00BD5A0B" w:rsidRDefault="00ED1407" w:rsidP="00BD5A0B">
            <w:pPr>
              <w:jc w:val="center"/>
            </w:pPr>
            <w:r w:rsidRPr="00BD5A0B">
              <w:rPr>
                <w:sz w:val="22"/>
                <w:szCs w:val="22"/>
              </w:rPr>
              <w:t>8.380E-15</w:t>
            </w:r>
          </w:p>
          <w:p w:rsidR="00ED1407" w:rsidRPr="00BD5A0B" w:rsidRDefault="00ED1407" w:rsidP="00BD5A0B">
            <w:pPr>
              <w:jc w:val="center"/>
            </w:pPr>
            <w:r w:rsidRPr="00BD5A0B">
              <w:rPr>
                <w:sz w:val="22"/>
                <w:szCs w:val="22"/>
              </w:rPr>
              <w:t>(.484)</w:t>
            </w:r>
          </w:p>
        </w:tc>
        <w:tc>
          <w:tcPr>
            <w:tcW w:w="1680" w:type="dxa"/>
          </w:tcPr>
          <w:p w:rsidR="00ED1407" w:rsidRPr="00BD5A0B" w:rsidRDefault="00ED1407" w:rsidP="00BD5A0B">
            <w:pPr>
              <w:jc w:val="center"/>
            </w:pPr>
            <w:r w:rsidRPr="00BD5A0B">
              <w:rPr>
                <w:sz w:val="22"/>
                <w:szCs w:val="22"/>
              </w:rPr>
              <w:t>4.749E-14*</w:t>
            </w:r>
          </w:p>
          <w:p w:rsidR="00ED1407" w:rsidRPr="00BD5A0B" w:rsidRDefault="00ED1407" w:rsidP="00BD5A0B">
            <w:pPr>
              <w:jc w:val="center"/>
            </w:pPr>
            <w:r w:rsidRPr="00BD5A0B">
              <w:rPr>
                <w:sz w:val="22"/>
                <w:szCs w:val="22"/>
              </w:rPr>
              <w:t>(2.508)</w:t>
            </w:r>
          </w:p>
        </w:tc>
        <w:tc>
          <w:tcPr>
            <w:tcW w:w="1680" w:type="dxa"/>
          </w:tcPr>
          <w:p w:rsidR="00ED1407" w:rsidRPr="00BD5A0B" w:rsidRDefault="00ED1407" w:rsidP="00BD5A0B">
            <w:pPr>
              <w:jc w:val="center"/>
            </w:pPr>
            <w:r w:rsidRPr="00BD5A0B">
              <w:rPr>
                <w:sz w:val="22"/>
                <w:szCs w:val="22"/>
              </w:rPr>
              <w:t>2.140E-14*</w:t>
            </w:r>
          </w:p>
          <w:p w:rsidR="00ED1407" w:rsidRPr="00BD5A0B" w:rsidRDefault="00ED1407" w:rsidP="00BD5A0B">
            <w:pPr>
              <w:jc w:val="center"/>
            </w:pPr>
            <w:r w:rsidRPr="00BD5A0B">
              <w:rPr>
                <w:sz w:val="22"/>
                <w:szCs w:val="22"/>
              </w:rPr>
              <w:t>(2.042)</w:t>
            </w:r>
          </w:p>
        </w:tc>
        <w:tc>
          <w:tcPr>
            <w:tcW w:w="1560" w:type="dxa"/>
          </w:tcPr>
          <w:p w:rsidR="00ED1407" w:rsidRPr="00BD5A0B" w:rsidRDefault="00ED1407" w:rsidP="00BD5A0B">
            <w:pPr>
              <w:jc w:val="center"/>
            </w:pPr>
            <w:r w:rsidRPr="00BD5A0B">
              <w:rPr>
                <w:sz w:val="22"/>
                <w:szCs w:val="22"/>
              </w:rPr>
              <w:t>7.544E-14**</w:t>
            </w:r>
          </w:p>
          <w:p w:rsidR="00ED1407" w:rsidRPr="00BD5A0B" w:rsidRDefault="00ED1407" w:rsidP="00BD5A0B">
            <w:pPr>
              <w:jc w:val="center"/>
            </w:pPr>
            <w:r w:rsidRPr="00BD5A0B">
              <w:rPr>
                <w:sz w:val="22"/>
                <w:szCs w:val="22"/>
              </w:rPr>
              <w:t>(2.917)</w:t>
            </w:r>
          </w:p>
        </w:tc>
      </w:tr>
      <w:tr w:rsidR="00ED1407" w:rsidTr="00BD5A0B">
        <w:tc>
          <w:tcPr>
            <w:tcW w:w="2748" w:type="dxa"/>
          </w:tcPr>
          <w:p w:rsidR="00ED1407" w:rsidRPr="00BD5A0B" w:rsidRDefault="00ED1407" w:rsidP="008B79E2">
            <w:pPr>
              <w:rPr>
                <w:b/>
              </w:rPr>
            </w:pPr>
            <w:r w:rsidRPr="00BD5A0B">
              <w:rPr>
                <w:b/>
                <w:sz w:val="22"/>
                <w:szCs w:val="22"/>
              </w:rPr>
              <w:t>Total industrial affiliates</w:t>
            </w:r>
          </w:p>
        </w:tc>
        <w:tc>
          <w:tcPr>
            <w:tcW w:w="1680" w:type="dxa"/>
          </w:tcPr>
          <w:p w:rsidR="00ED1407" w:rsidRPr="00BD5A0B" w:rsidRDefault="00ED1407" w:rsidP="00BD5A0B">
            <w:pPr>
              <w:jc w:val="center"/>
            </w:pPr>
            <w:r w:rsidRPr="00BD5A0B">
              <w:rPr>
                <w:sz w:val="22"/>
                <w:szCs w:val="22"/>
              </w:rPr>
              <w:t>.028**</w:t>
            </w:r>
          </w:p>
          <w:p w:rsidR="00ED1407" w:rsidRPr="00BD5A0B" w:rsidRDefault="00ED1407" w:rsidP="00BD5A0B">
            <w:pPr>
              <w:jc w:val="center"/>
            </w:pPr>
            <w:r w:rsidRPr="00BD5A0B">
              <w:rPr>
                <w:sz w:val="22"/>
                <w:szCs w:val="22"/>
              </w:rPr>
              <w:t>(9.247)</w:t>
            </w:r>
          </w:p>
        </w:tc>
        <w:tc>
          <w:tcPr>
            <w:tcW w:w="1680" w:type="dxa"/>
          </w:tcPr>
          <w:p w:rsidR="00ED1407" w:rsidRPr="00BD5A0B" w:rsidRDefault="00ED1407" w:rsidP="00BD5A0B">
            <w:pPr>
              <w:jc w:val="center"/>
            </w:pPr>
          </w:p>
        </w:tc>
        <w:tc>
          <w:tcPr>
            <w:tcW w:w="1680" w:type="dxa"/>
          </w:tcPr>
          <w:p w:rsidR="00ED1407" w:rsidRPr="00BD5A0B" w:rsidRDefault="00ED1407" w:rsidP="00BD5A0B">
            <w:pPr>
              <w:jc w:val="center"/>
            </w:pPr>
          </w:p>
        </w:tc>
        <w:tc>
          <w:tcPr>
            <w:tcW w:w="1560" w:type="dxa"/>
          </w:tcPr>
          <w:p w:rsidR="00ED1407" w:rsidRPr="00BD5A0B" w:rsidRDefault="00ED1407" w:rsidP="00BD5A0B">
            <w:pPr>
              <w:jc w:val="center"/>
            </w:pPr>
          </w:p>
        </w:tc>
      </w:tr>
      <w:tr w:rsidR="00ED1407" w:rsidTr="00BD5A0B">
        <w:tc>
          <w:tcPr>
            <w:tcW w:w="2748" w:type="dxa"/>
          </w:tcPr>
          <w:p w:rsidR="00ED1407" w:rsidRPr="00BD5A0B" w:rsidRDefault="00ED1407" w:rsidP="008B79E2">
            <w:pPr>
              <w:rPr>
                <w:b/>
              </w:rPr>
            </w:pPr>
            <w:r w:rsidRPr="00BD5A0B">
              <w:rPr>
                <w:b/>
                <w:sz w:val="22"/>
                <w:szCs w:val="22"/>
              </w:rPr>
              <w:t>Total tertiary affiliates</w:t>
            </w:r>
          </w:p>
        </w:tc>
        <w:tc>
          <w:tcPr>
            <w:tcW w:w="1680" w:type="dxa"/>
          </w:tcPr>
          <w:p w:rsidR="00ED1407" w:rsidRPr="00BD5A0B" w:rsidRDefault="00ED1407" w:rsidP="00BD5A0B">
            <w:pPr>
              <w:jc w:val="center"/>
            </w:pPr>
          </w:p>
        </w:tc>
        <w:tc>
          <w:tcPr>
            <w:tcW w:w="1680" w:type="dxa"/>
          </w:tcPr>
          <w:p w:rsidR="00ED1407" w:rsidRPr="00BD5A0B" w:rsidRDefault="00ED1407" w:rsidP="00BD5A0B">
            <w:pPr>
              <w:jc w:val="center"/>
            </w:pPr>
            <w:r w:rsidRPr="00BD5A0B">
              <w:rPr>
                <w:sz w:val="22"/>
                <w:szCs w:val="22"/>
              </w:rPr>
              <w:t>.023**</w:t>
            </w:r>
          </w:p>
          <w:p w:rsidR="00ED1407" w:rsidRPr="00BD5A0B" w:rsidRDefault="00ED1407" w:rsidP="00BD5A0B">
            <w:pPr>
              <w:jc w:val="center"/>
            </w:pPr>
            <w:r w:rsidRPr="00BD5A0B">
              <w:rPr>
                <w:sz w:val="22"/>
                <w:szCs w:val="22"/>
              </w:rPr>
              <w:t>(9.159)</w:t>
            </w:r>
          </w:p>
        </w:tc>
        <w:tc>
          <w:tcPr>
            <w:tcW w:w="1680" w:type="dxa"/>
          </w:tcPr>
          <w:p w:rsidR="00ED1407" w:rsidRPr="00BD5A0B" w:rsidRDefault="00ED1407" w:rsidP="00BD5A0B">
            <w:pPr>
              <w:jc w:val="center"/>
            </w:pPr>
          </w:p>
        </w:tc>
        <w:tc>
          <w:tcPr>
            <w:tcW w:w="1560" w:type="dxa"/>
          </w:tcPr>
          <w:p w:rsidR="00ED1407" w:rsidRPr="00BD5A0B" w:rsidRDefault="00ED1407" w:rsidP="00BD5A0B">
            <w:pPr>
              <w:jc w:val="center"/>
            </w:pPr>
          </w:p>
        </w:tc>
      </w:tr>
      <w:tr w:rsidR="00ED1407" w:rsidTr="00BD5A0B">
        <w:tc>
          <w:tcPr>
            <w:tcW w:w="2748" w:type="dxa"/>
          </w:tcPr>
          <w:p w:rsidR="00ED1407" w:rsidRPr="00BD5A0B" w:rsidRDefault="00ED1407" w:rsidP="008B79E2">
            <w:pPr>
              <w:rPr>
                <w:b/>
              </w:rPr>
            </w:pPr>
            <w:r w:rsidRPr="00BD5A0B">
              <w:rPr>
                <w:b/>
                <w:sz w:val="22"/>
                <w:szCs w:val="22"/>
              </w:rPr>
              <w:t>Total financial affiliates</w:t>
            </w:r>
          </w:p>
        </w:tc>
        <w:tc>
          <w:tcPr>
            <w:tcW w:w="1680" w:type="dxa"/>
          </w:tcPr>
          <w:p w:rsidR="00ED1407" w:rsidRPr="00BD5A0B" w:rsidRDefault="00ED1407" w:rsidP="00BD5A0B">
            <w:pPr>
              <w:jc w:val="center"/>
            </w:pPr>
          </w:p>
        </w:tc>
        <w:tc>
          <w:tcPr>
            <w:tcW w:w="1680" w:type="dxa"/>
          </w:tcPr>
          <w:p w:rsidR="00ED1407" w:rsidRPr="00BD5A0B" w:rsidRDefault="00ED1407" w:rsidP="00BD5A0B">
            <w:pPr>
              <w:jc w:val="center"/>
            </w:pPr>
          </w:p>
        </w:tc>
        <w:tc>
          <w:tcPr>
            <w:tcW w:w="1680" w:type="dxa"/>
          </w:tcPr>
          <w:p w:rsidR="00ED1407" w:rsidRPr="00BD5A0B" w:rsidRDefault="00ED1407" w:rsidP="00BD5A0B">
            <w:pPr>
              <w:jc w:val="center"/>
            </w:pPr>
            <w:r w:rsidRPr="00BD5A0B">
              <w:rPr>
                <w:sz w:val="22"/>
                <w:szCs w:val="22"/>
              </w:rPr>
              <w:t>.024**</w:t>
            </w:r>
          </w:p>
          <w:p w:rsidR="00ED1407" w:rsidRPr="00BD5A0B" w:rsidRDefault="00ED1407" w:rsidP="00BD5A0B">
            <w:pPr>
              <w:jc w:val="center"/>
            </w:pPr>
            <w:r w:rsidRPr="00BD5A0B">
              <w:rPr>
                <w:sz w:val="22"/>
                <w:szCs w:val="22"/>
              </w:rPr>
              <w:t>(6.639)</w:t>
            </w:r>
          </w:p>
        </w:tc>
        <w:tc>
          <w:tcPr>
            <w:tcW w:w="1560" w:type="dxa"/>
          </w:tcPr>
          <w:p w:rsidR="00ED1407" w:rsidRPr="00BD5A0B" w:rsidRDefault="00ED1407" w:rsidP="00BD5A0B">
            <w:pPr>
              <w:jc w:val="center"/>
            </w:pPr>
          </w:p>
        </w:tc>
      </w:tr>
      <w:tr w:rsidR="00ED1407" w:rsidTr="00BD5A0B">
        <w:tc>
          <w:tcPr>
            <w:tcW w:w="2748" w:type="dxa"/>
            <w:tcBorders>
              <w:bottom w:val="single" w:sz="18" w:space="0" w:color="auto"/>
            </w:tcBorders>
          </w:tcPr>
          <w:p w:rsidR="00ED1407" w:rsidRPr="00BD5A0B" w:rsidRDefault="00ED1407" w:rsidP="008B79E2">
            <w:pPr>
              <w:rPr>
                <w:b/>
              </w:rPr>
            </w:pPr>
            <w:r w:rsidRPr="00BD5A0B">
              <w:rPr>
                <w:b/>
                <w:sz w:val="22"/>
                <w:szCs w:val="22"/>
              </w:rPr>
              <w:t>Total service affiliates</w:t>
            </w:r>
          </w:p>
        </w:tc>
        <w:tc>
          <w:tcPr>
            <w:tcW w:w="1680" w:type="dxa"/>
            <w:tcBorders>
              <w:bottom w:val="single" w:sz="18" w:space="0" w:color="auto"/>
            </w:tcBorders>
          </w:tcPr>
          <w:p w:rsidR="00ED1407" w:rsidRPr="00BD5A0B" w:rsidRDefault="00ED1407" w:rsidP="00BD5A0B">
            <w:pPr>
              <w:jc w:val="center"/>
            </w:pPr>
          </w:p>
        </w:tc>
        <w:tc>
          <w:tcPr>
            <w:tcW w:w="1680" w:type="dxa"/>
            <w:tcBorders>
              <w:bottom w:val="single" w:sz="18" w:space="0" w:color="auto"/>
            </w:tcBorders>
          </w:tcPr>
          <w:p w:rsidR="00ED1407" w:rsidRPr="00BD5A0B" w:rsidRDefault="00ED1407" w:rsidP="00BD5A0B">
            <w:pPr>
              <w:jc w:val="center"/>
            </w:pPr>
          </w:p>
        </w:tc>
        <w:tc>
          <w:tcPr>
            <w:tcW w:w="1680" w:type="dxa"/>
            <w:tcBorders>
              <w:bottom w:val="single" w:sz="18" w:space="0" w:color="auto"/>
            </w:tcBorders>
          </w:tcPr>
          <w:p w:rsidR="00ED1407" w:rsidRPr="00BD5A0B" w:rsidRDefault="00ED1407" w:rsidP="00BD5A0B">
            <w:pPr>
              <w:jc w:val="center"/>
            </w:pPr>
          </w:p>
        </w:tc>
        <w:tc>
          <w:tcPr>
            <w:tcW w:w="1560" w:type="dxa"/>
            <w:tcBorders>
              <w:bottom w:val="single" w:sz="18" w:space="0" w:color="auto"/>
            </w:tcBorders>
          </w:tcPr>
          <w:p w:rsidR="00ED1407" w:rsidRPr="00BD5A0B" w:rsidRDefault="00ED1407" w:rsidP="00BD5A0B">
            <w:pPr>
              <w:jc w:val="center"/>
            </w:pPr>
            <w:r w:rsidRPr="00BD5A0B">
              <w:rPr>
                <w:sz w:val="22"/>
                <w:szCs w:val="22"/>
              </w:rPr>
              <w:t>.022**</w:t>
            </w:r>
          </w:p>
          <w:p w:rsidR="00ED1407" w:rsidRPr="00BD5A0B" w:rsidRDefault="00ED1407" w:rsidP="00BD5A0B">
            <w:pPr>
              <w:jc w:val="center"/>
            </w:pPr>
            <w:r w:rsidRPr="00BD5A0B">
              <w:rPr>
                <w:sz w:val="22"/>
                <w:szCs w:val="22"/>
              </w:rPr>
              <w:t>(8.945)</w:t>
            </w:r>
          </w:p>
        </w:tc>
      </w:tr>
      <w:tr w:rsidR="00ED1407" w:rsidTr="00BD5A0B">
        <w:tc>
          <w:tcPr>
            <w:tcW w:w="2748" w:type="dxa"/>
            <w:tcBorders>
              <w:top w:val="single" w:sz="18" w:space="0" w:color="auto"/>
            </w:tcBorders>
          </w:tcPr>
          <w:p w:rsidR="00ED1407" w:rsidRPr="00BD5A0B" w:rsidRDefault="00ED1407" w:rsidP="008B79E2">
            <w:pPr>
              <w:rPr>
                <w:b/>
                <w:i/>
              </w:rPr>
            </w:pPr>
            <w:r w:rsidRPr="00BD5A0B">
              <w:rPr>
                <w:b/>
                <w:i/>
                <w:sz w:val="22"/>
                <w:szCs w:val="22"/>
              </w:rPr>
              <w:t>N</w:t>
            </w:r>
          </w:p>
        </w:tc>
        <w:tc>
          <w:tcPr>
            <w:tcW w:w="1680" w:type="dxa"/>
            <w:tcBorders>
              <w:top w:val="single" w:sz="18" w:space="0" w:color="auto"/>
            </w:tcBorders>
          </w:tcPr>
          <w:p w:rsidR="00ED1407" w:rsidRPr="00BD5A0B" w:rsidRDefault="00ED1407" w:rsidP="00BD5A0B">
            <w:pPr>
              <w:jc w:val="center"/>
              <w:rPr>
                <w:i/>
              </w:rPr>
            </w:pPr>
            <w:r w:rsidRPr="00BD5A0B">
              <w:rPr>
                <w:i/>
                <w:sz w:val="22"/>
                <w:szCs w:val="22"/>
              </w:rPr>
              <w:t>955</w:t>
            </w:r>
          </w:p>
        </w:tc>
        <w:tc>
          <w:tcPr>
            <w:tcW w:w="1680" w:type="dxa"/>
            <w:tcBorders>
              <w:top w:val="single" w:sz="18" w:space="0" w:color="auto"/>
            </w:tcBorders>
          </w:tcPr>
          <w:p w:rsidR="00ED1407" w:rsidRPr="00BD5A0B" w:rsidRDefault="00ED1407" w:rsidP="00BD5A0B">
            <w:pPr>
              <w:jc w:val="center"/>
              <w:rPr>
                <w:i/>
              </w:rPr>
            </w:pPr>
            <w:r w:rsidRPr="00BD5A0B">
              <w:rPr>
                <w:i/>
                <w:sz w:val="22"/>
                <w:szCs w:val="22"/>
              </w:rPr>
              <w:t>955</w:t>
            </w:r>
          </w:p>
        </w:tc>
        <w:tc>
          <w:tcPr>
            <w:tcW w:w="1680" w:type="dxa"/>
            <w:tcBorders>
              <w:top w:val="single" w:sz="18" w:space="0" w:color="auto"/>
            </w:tcBorders>
          </w:tcPr>
          <w:p w:rsidR="00ED1407" w:rsidRPr="00BD5A0B" w:rsidRDefault="00ED1407" w:rsidP="00BD5A0B">
            <w:pPr>
              <w:jc w:val="center"/>
              <w:rPr>
                <w:i/>
              </w:rPr>
            </w:pPr>
            <w:r w:rsidRPr="00BD5A0B">
              <w:rPr>
                <w:i/>
                <w:sz w:val="22"/>
                <w:szCs w:val="22"/>
              </w:rPr>
              <w:t>955</w:t>
            </w:r>
          </w:p>
        </w:tc>
        <w:tc>
          <w:tcPr>
            <w:tcW w:w="1560" w:type="dxa"/>
            <w:tcBorders>
              <w:top w:val="single" w:sz="18" w:space="0" w:color="auto"/>
            </w:tcBorders>
          </w:tcPr>
          <w:p w:rsidR="00ED1407" w:rsidRPr="00BD5A0B" w:rsidRDefault="00ED1407" w:rsidP="00BD5A0B">
            <w:pPr>
              <w:jc w:val="center"/>
              <w:rPr>
                <w:i/>
              </w:rPr>
            </w:pPr>
            <w:r w:rsidRPr="00BD5A0B">
              <w:rPr>
                <w:i/>
                <w:sz w:val="22"/>
                <w:szCs w:val="22"/>
              </w:rPr>
              <w:t>955</w:t>
            </w:r>
          </w:p>
        </w:tc>
      </w:tr>
      <w:tr w:rsidR="00ED1407" w:rsidTr="00BD5A0B">
        <w:tc>
          <w:tcPr>
            <w:tcW w:w="2748" w:type="dxa"/>
          </w:tcPr>
          <w:p w:rsidR="00ED1407" w:rsidRPr="00BD5A0B" w:rsidRDefault="00ED1407" w:rsidP="008B79E2">
            <w:pPr>
              <w:rPr>
                <w:b/>
                <w:i/>
                <w:vertAlign w:val="superscript"/>
              </w:rPr>
            </w:pPr>
            <w:r w:rsidRPr="00BD5A0B">
              <w:rPr>
                <w:b/>
                <w:i/>
                <w:sz w:val="22"/>
                <w:szCs w:val="22"/>
              </w:rPr>
              <w:t>Adjusted R</w:t>
            </w:r>
            <w:r w:rsidRPr="00BD5A0B">
              <w:rPr>
                <w:b/>
                <w:i/>
                <w:sz w:val="22"/>
                <w:szCs w:val="22"/>
                <w:vertAlign w:val="superscript"/>
              </w:rPr>
              <w:t>2</w:t>
            </w:r>
          </w:p>
        </w:tc>
        <w:tc>
          <w:tcPr>
            <w:tcW w:w="1680" w:type="dxa"/>
          </w:tcPr>
          <w:p w:rsidR="00ED1407" w:rsidRPr="00BD5A0B" w:rsidRDefault="00ED1407" w:rsidP="00BD5A0B">
            <w:pPr>
              <w:jc w:val="center"/>
              <w:rPr>
                <w:i/>
              </w:rPr>
            </w:pPr>
            <w:r w:rsidRPr="00BD5A0B">
              <w:rPr>
                <w:i/>
                <w:sz w:val="22"/>
                <w:szCs w:val="22"/>
              </w:rPr>
              <w:t>.215</w:t>
            </w:r>
          </w:p>
        </w:tc>
        <w:tc>
          <w:tcPr>
            <w:tcW w:w="1680" w:type="dxa"/>
          </w:tcPr>
          <w:p w:rsidR="00ED1407" w:rsidRPr="00BD5A0B" w:rsidRDefault="00ED1407" w:rsidP="00BD5A0B">
            <w:pPr>
              <w:jc w:val="center"/>
              <w:rPr>
                <w:i/>
              </w:rPr>
            </w:pPr>
            <w:r w:rsidRPr="00BD5A0B">
              <w:rPr>
                <w:i/>
                <w:sz w:val="22"/>
                <w:szCs w:val="22"/>
              </w:rPr>
              <w:t>.277</w:t>
            </w:r>
          </w:p>
        </w:tc>
        <w:tc>
          <w:tcPr>
            <w:tcW w:w="1680" w:type="dxa"/>
          </w:tcPr>
          <w:p w:rsidR="00ED1407" w:rsidRPr="00BD5A0B" w:rsidRDefault="00ED1407" w:rsidP="00BD5A0B">
            <w:pPr>
              <w:jc w:val="center"/>
              <w:rPr>
                <w:i/>
              </w:rPr>
            </w:pPr>
            <w:r w:rsidRPr="00BD5A0B">
              <w:rPr>
                <w:i/>
                <w:sz w:val="22"/>
                <w:szCs w:val="22"/>
              </w:rPr>
              <w:t>.192</w:t>
            </w:r>
          </w:p>
        </w:tc>
        <w:tc>
          <w:tcPr>
            <w:tcW w:w="1560" w:type="dxa"/>
          </w:tcPr>
          <w:p w:rsidR="00ED1407" w:rsidRPr="00BD5A0B" w:rsidRDefault="00ED1407" w:rsidP="00BD5A0B">
            <w:pPr>
              <w:jc w:val="center"/>
              <w:rPr>
                <w:i/>
              </w:rPr>
            </w:pPr>
            <w:r w:rsidRPr="00BD5A0B">
              <w:rPr>
                <w:i/>
                <w:sz w:val="22"/>
                <w:szCs w:val="22"/>
              </w:rPr>
              <w:t>.290</w:t>
            </w:r>
          </w:p>
        </w:tc>
      </w:tr>
      <w:tr w:rsidR="00ED1407" w:rsidTr="00BD5A0B">
        <w:tc>
          <w:tcPr>
            <w:tcW w:w="9348" w:type="dxa"/>
            <w:gridSpan w:val="5"/>
            <w:tcBorders>
              <w:left w:val="nil"/>
              <w:bottom w:val="nil"/>
              <w:right w:val="nil"/>
            </w:tcBorders>
          </w:tcPr>
          <w:p w:rsidR="00ED1407" w:rsidRPr="00B33BF3" w:rsidRDefault="00ED1407" w:rsidP="008B79E2">
            <w:r w:rsidRPr="00BD5A0B">
              <w:rPr>
                <w:color w:val="000000"/>
                <w:sz w:val="18"/>
                <w:szCs w:val="18"/>
              </w:rPr>
              <w:t>Notes: * indicates significance at .05 level; ** indicates significance at .01 level. T-values in parentheses.</w:t>
            </w:r>
          </w:p>
        </w:tc>
      </w:tr>
    </w:tbl>
    <w:p w:rsidR="00ED1407" w:rsidRDefault="00ED1407" w:rsidP="008B79E2">
      <w:pPr>
        <w:spacing w:line="480" w:lineRule="auto"/>
      </w:pPr>
    </w:p>
    <w:p w:rsidR="00ED1407" w:rsidRDefault="00ED1407" w:rsidP="008B79E2">
      <w:pPr>
        <w:spacing w:line="480" w:lineRule="auto"/>
      </w:pPr>
      <w:r>
        <w:t xml:space="preserve">Results indicate that the relative effects of cultural overlap and cultural distance indeed differ strongly between sectors. In fact, industrial affiliates appear to be located on basis of cultural distance rather than overlap (Model 5), which supports the thesis that transaction costs are more relevant in industrial sector-FDI. Models 6-8 show that in the tertiary, financial and service (i.e. financial and tertiary combined) sectors only cultural overlap has a significant effect on affiliate location. Cultural distance has no significant effect. Apparently, cultural overlap is more important in the services sector, while distance is the more relevant concept in the industrial sector. This confirms our third hypothesis. </w:t>
      </w:r>
    </w:p>
    <w:p w:rsidR="00ED1407" w:rsidRDefault="00ED1407" w:rsidP="008B79E2">
      <w:pPr>
        <w:spacing w:line="480" w:lineRule="auto"/>
      </w:pPr>
    </w:p>
    <w:p w:rsidR="00ED1407" w:rsidRDefault="00ED1407" w:rsidP="008B79E2">
      <w:pPr>
        <w:spacing w:line="480" w:lineRule="auto"/>
      </w:pPr>
      <w:r>
        <w:rPr>
          <w:i/>
        </w:rPr>
        <w:t>Robustness</w:t>
      </w:r>
    </w:p>
    <w:p w:rsidR="00ED1407" w:rsidRDefault="00ED1407" w:rsidP="008B79E2">
      <w:pPr>
        <w:spacing w:line="480" w:lineRule="auto"/>
        <w:ind w:firstLine="720"/>
      </w:pPr>
      <w:r>
        <w:t xml:space="preserve">To what extent are these results robust for changes in measures or in sample? If we focus on OECD economies only, results remain by and large unchanged (Table A2 in the Appendix). Looking at all sectors combined, cultural overlap still enters significantly (5% level), while cultural distance has no longer a statistically significant impact. In the industrial sector, we now find that neither distance nor overlap is significant. In the tertiary, financial and combined services sector cultural overlap is shown to affect location. Our overall conclusions slightly gain strength from these results. </w:t>
      </w:r>
    </w:p>
    <w:p w:rsidR="00ED1407" w:rsidRDefault="00ED1407" w:rsidP="008B79E2">
      <w:pPr>
        <w:spacing w:line="480" w:lineRule="auto"/>
        <w:ind w:firstLine="720"/>
      </w:pPr>
      <w:r>
        <w:t xml:space="preserve">If we replace our standard cultural overlap measure by the alternative, more restricted version, we see that results change slightly in favor of cultural distance, though again many of the results remain unchanged (Table 5). Looking at all sectors together, cultural distance now has a significant negative effect on location choice. Cultural overlap no longer has a significant effect, at least not at the 5% level. Results per sector, however, are still in line with our initial findings. Location of industrial affiliates appears to be primarily driven by cultural distance. For the tertiary, financial and service sectors, cultural overlap is more important. This suggests that cultural overlap is at least a relevant complement to standard cultural distance measures, which is especially important to </w:t>
      </w:r>
      <w:r w:rsidRPr="00813945">
        <w:t xml:space="preserve">MNE’s operating in the services sector. </w:t>
      </w:r>
    </w:p>
    <w:p w:rsidR="00ED1407" w:rsidRPr="00813945" w:rsidRDefault="00ED1407" w:rsidP="008B79E2">
      <w:pPr>
        <w:spacing w:line="480" w:lineRule="auto"/>
        <w:ind w:firstLine="720"/>
      </w:pPr>
      <w:r>
        <w:br w:type="page"/>
      </w:r>
    </w:p>
    <w:tbl>
      <w:tblPr>
        <w:tblpPr w:leftFromText="180" w:rightFromText="180" w:vertAnchor="text" w:horzAnchor="margin" w:tblpX="-372" w:tblpY="467"/>
        <w:tblW w:w="9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618"/>
        <w:gridCol w:w="1618"/>
        <w:gridCol w:w="1618"/>
        <w:gridCol w:w="1618"/>
        <w:gridCol w:w="1618"/>
        <w:gridCol w:w="1298"/>
      </w:tblGrid>
      <w:tr w:rsidR="00ED1407" w:rsidRPr="000F25D4" w:rsidTr="000F25D4">
        <w:tc>
          <w:tcPr>
            <w:tcW w:w="9388" w:type="dxa"/>
            <w:gridSpan w:val="6"/>
            <w:tcBorders>
              <w:top w:val="nil"/>
              <w:left w:val="nil"/>
              <w:right w:val="nil"/>
            </w:tcBorders>
          </w:tcPr>
          <w:p w:rsidR="00ED1407" w:rsidRPr="000F25D4" w:rsidRDefault="00ED1407" w:rsidP="00BD5A0B">
            <w:r w:rsidRPr="000F25D4">
              <w:rPr>
                <w:bCs/>
                <w:i/>
                <w:color w:val="000000"/>
                <w:sz w:val="22"/>
                <w:szCs w:val="22"/>
              </w:rPr>
              <w:t xml:space="preserve">Table 5. Number of bilateral affiliates total and per sector, alternative measure </w:t>
            </w:r>
          </w:p>
        </w:tc>
      </w:tr>
      <w:tr w:rsidR="00ED1407" w:rsidRPr="000F25D4" w:rsidTr="000F25D4">
        <w:tc>
          <w:tcPr>
            <w:tcW w:w="1618" w:type="dxa"/>
          </w:tcPr>
          <w:p w:rsidR="00ED1407" w:rsidRPr="000F25D4" w:rsidRDefault="00ED1407" w:rsidP="00BD5A0B">
            <w:pPr>
              <w:rPr>
                <w:b/>
              </w:rPr>
            </w:pPr>
          </w:p>
        </w:tc>
        <w:tc>
          <w:tcPr>
            <w:tcW w:w="1618" w:type="dxa"/>
          </w:tcPr>
          <w:p w:rsidR="00ED1407" w:rsidRPr="000F25D4" w:rsidRDefault="00ED1407" w:rsidP="00BD5A0B">
            <w:pPr>
              <w:jc w:val="center"/>
              <w:rPr>
                <w:b/>
              </w:rPr>
            </w:pPr>
            <w:r w:rsidRPr="000F25D4">
              <w:rPr>
                <w:b/>
                <w:sz w:val="22"/>
                <w:szCs w:val="22"/>
              </w:rPr>
              <w:t>Model 9</w:t>
            </w:r>
          </w:p>
        </w:tc>
        <w:tc>
          <w:tcPr>
            <w:tcW w:w="1618" w:type="dxa"/>
          </w:tcPr>
          <w:p w:rsidR="00ED1407" w:rsidRPr="000F25D4" w:rsidRDefault="00ED1407" w:rsidP="00BD5A0B">
            <w:pPr>
              <w:jc w:val="center"/>
              <w:rPr>
                <w:b/>
              </w:rPr>
            </w:pPr>
            <w:r w:rsidRPr="000F25D4">
              <w:rPr>
                <w:b/>
                <w:sz w:val="22"/>
                <w:szCs w:val="22"/>
              </w:rPr>
              <w:t>Model 10</w:t>
            </w:r>
          </w:p>
        </w:tc>
        <w:tc>
          <w:tcPr>
            <w:tcW w:w="1618" w:type="dxa"/>
          </w:tcPr>
          <w:p w:rsidR="00ED1407" w:rsidRPr="000F25D4" w:rsidRDefault="00ED1407" w:rsidP="00BD5A0B">
            <w:pPr>
              <w:jc w:val="center"/>
              <w:rPr>
                <w:b/>
              </w:rPr>
            </w:pPr>
            <w:r w:rsidRPr="000F25D4">
              <w:rPr>
                <w:b/>
                <w:sz w:val="22"/>
                <w:szCs w:val="22"/>
              </w:rPr>
              <w:t>Model 11</w:t>
            </w:r>
          </w:p>
        </w:tc>
        <w:tc>
          <w:tcPr>
            <w:tcW w:w="1618" w:type="dxa"/>
          </w:tcPr>
          <w:p w:rsidR="00ED1407" w:rsidRPr="000F25D4" w:rsidRDefault="00ED1407" w:rsidP="00BD5A0B">
            <w:pPr>
              <w:jc w:val="center"/>
              <w:rPr>
                <w:b/>
              </w:rPr>
            </w:pPr>
            <w:r w:rsidRPr="000F25D4">
              <w:rPr>
                <w:b/>
                <w:sz w:val="22"/>
                <w:szCs w:val="22"/>
              </w:rPr>
              <w:t>Model 12</w:t>
            </w:r>
          </w:p>
        </w:tc>
        <w:tc>
          <w:tcPr>
            <w:tcW w:w="1298" w:type="dxa"/>
          </w:tcPr>
          <w:p w:rsidR="00ED1407" w:rsidRPr="000F25D4" w:rsidRDefault="00ED1407" w:rsidP="00BD5A0B">
            <w:pPr>
              <w:jc w:val="center"/>
              <w:rPr>
                <w:b/>
              </w:rPr>
            </w:pPr>
            <w:r w:rsidRPr="000F25D4">
              <w:rPr>
                <w:b/>
                <w:sz w:val="22"/>
                <w:szCs w:val="22"/>
              </w:rPr>
              <w:t>Model 13</w:t>
            </w:r>
          </w:p>
        </w:tc>
      </w:tr>
      <w:tr w:rsidR="00ED1407" w:rsidRPr="000F25D4" w:rsidTr="000F25D4">
        <w:tc>
          <w:tcPr>
            <w:tcW w:w="1618" w:type="dxa"/>
          </w:tcPr>
          <w:p w:rsidR="00ED1407" w:rsidRPr="000F25D4" w:rsidRDefault="00ED1407" w:rsidP="00BD5A0B">
            <w:pPr>
              <w:rPr>
                <w:b/>
              </w:rPr>
            </w:pPr>
            <w:r w:rsidRPr="000F25D4">
              <w:rPr>
                <w:b/>
                <w:sz w:val="22"/>
                <w:szCs w:val="22"/>
              </w:rPr>
              <w:t>Constant</w:t>
            </w:r>
          </w:p>
        </w:tc>
        <w:tc>
          <w:tcPr>
            <w:tcW w:w="1618" w:type="dxa"/>
          </w:tcPr>
          <w:p w:rsidR="00ED1407" w:rsidRPr="000F25D4" w:rsidRDefault="00ED1407" w:rsidP="00BD5A0B">
            <w:pPr>
              <w:jc w:val="center"/>
            </w:pPr>
            <w:r w:rsidRPr="000F25D4">
              <w:rPr>
                <w:sz w:val="22"/>
              </w:rPr>
              <w:t>-.089</w:t>
            </w:r>
          </w:p>
          <w:p w:rsidR="00ED1407" w:rsidRPr="000F25D4" w:rsidRDefault="00ED1407" w:rsidP="00BD5A0B">
            <w:pPr>
              <w:jc w:val="center"/>
            </w:pPr>
            <w:r w:rsidRPr="000F25D4">
              <w:rPr>
                <w:sz w:val="22"/>
              </w:rPr>
              <w:t>(-.183)</w:t>
            </w:r>
          </w:p>
        </w:tc>
        <w:tc>
          <w:tcPr>
            <w:tcW w:w="1618" w:type="dxa"/>
          </w:tcPr>
          <w:p w:rsidR="00ED1407" w:rsidRPr="000F25D4" w:rsidRDefault="00ED1407" w:rsidP="00BD5A0B">
            <w:pPr>
              <w:jc w:val="center"/>
            </w:pPr>
            <w:r w:rsidRPr="000F25D4">
              <w:rPr>
                <w:sz w:val="22"/>
              </w:rPr>
              <w:t>.241</w:t>
            </w:r>
          </w:p>
          <w:p w:rsidR="00ED1407" w:rsidRPr="000F25D4" w:rsidRDefault="00ED1407" w:rsidP="00BD5A0B">
            <w:pPr>
              <w:jc w:val="center"/>
            </w:pPr>
            <w:r w:rsidRPr="000F25D4">
              <w:rPr>
                <w:sz w:val="22"/>
              </w:rPr>
              <w:t>(1.129)</w:t>
            </w:r>
          </w:p>
        </w:tc>
        <w:tc>
          <w:tcPr>
            <w:tcW w:w="1618" w:type="dxa"/>
          </w:tcPr>
          <w:p w:rsidR="00ED1407" w:rsidRPr="000F25D4" w:rsidRDefault="00ED1407" w:rsidP="00BD5A0B">
            <w:pPr>
              <w:jc w:val="center"/>
            </w:pPr>
            <w:r w:rsidRPr="000F25D4">
              <w:rPr>
                <w:sz w:val="22"/>
              </w:rPr>
              <w:t>-.134</w:t>
            </w:r>
          </w:p>
          <w:p w:rsidR="00ED1407" w:rsidRPr="000F25D4" w:rsidRDefault="00ED1407" w:rsidP="00BD5A0B">
            <w:pPr>
              <w:jc w:val="center"/>
            </w:pPr>
            <w:r w:rsidRPr="000F25D4">
              <w:rPr>
                <w:sz w:val="22"/>
              </w:rPr>
              <w:t>(-.589)</w:t>
            </w:r>
          </w:p>
        </w:tc>
        <w:tc>
          <w:tcPr>
            <w:tcW w:w="1618" w:type="dxa"/>
          </w:tcPr>
          <w:p w:rsidR="00ED1407" w:rsidRPr="000F25D4" w:rsidRDefault="00ED1407" w:rsidP="00BD5A0B">
            <w:pPr>
              <w:jc w:val="center"/>
            </w:pPr>
            <w:r w:rsidRPr="000F25D4">
              <w:rPr>
                <w:sz w:val="22"/>
              </w:rPr>
              <w:t>-.186</w:t>
            </w:r>
          </w:p>
          <w:p w:rsidR="00ED1407" w:rsidRPr="000F25D4" w:rsidRDefault="00ED1407" w:rsidP="00BD5A0B">
            <w:pPr>
              <w:jc w:val="center"/>
            </w:pPr>
            <w:r w:rsidRPr="000F25D4">
              <w:rPr>
                <w:sz w:val="22"/>
              </w:rPr>
              <w:t>(-1.389)</w:t>
            </w:r>
          </w:p>
        </w:tc>
        <w:tc>
          <w:tcPr>
            <w:tcW w:w="1298" w:type="dxa"/>
          </w:tcPr>
          <w:p w:rsidR="00ED1407" w:rsidRPr="000F25D4" w:rsidRDefault="00ED1407" w:rsidP="00BD5A0B">
            <w:pPr>
              <w:jc w:val="center"/>
            </w:pPr>
            <w:r w:rsidRPr="000F25D4">
              <w:rPr>
                <w:sz w:val="22"/>
              </w:rPr>
              <w:t>-.331</w:t>
            </w:r>
          </w:p>
          <w:p w:rsidR="00ED1407" w:rsidRPr="000F25D4" w:rsidRDefault="00ED1407" w:rsidP="00BD5A0B">
            <w:pPr>
              <w:jc w:val="center"/>
            </w:pPr>
            <w:r w:rsidRPr="000F25D4">
              <w:rPr>
                <w:sz w:val="22"/>
              </w:rPr>
              <w:t>(-1.057)</w:t>
            </w:r>
          </w:p>
        </w:tc>
      </w:tr>
      <w:tr w:rsidR="00ED1407" w:rsidRPr="000F25D4" w:rsidTr="000F25D4">
        <w:tc>
          <w:tcPr>
            <w:tcW w:w="1618" w:type="dxa"/>
          </w:tcPr>
          <w:p w:rsidR="00ED1407" w:rsidRPr="000F25D4" w:rsidRDefault="00ED1407" w:rsidP="00BD5A0B">
            <w:pPr>
              <w:rPr>
                <w:b/>
              </w:rPr>
            </w:pPr>
            <w:r w:rsidRPr="000F25D4">
              <w:rPr>
                <w:b/>
                <w:sz w:val="22"/>
                <w:szCs w:val="22"/>
              </w:rPr>
              <w:t>Cultural Overlap (restricted version)</w:t>
            </w:r>
          </w:p>
        </w:tc>
        <w:tc>
          <w:tcPr>
            <w:tcW w:w="1618" w:type="dxa"/>
          </w:tcPr>
          <w:p w:rsidR="00ED1407" w:rsidRPr="000F25D4" w:rsidRDefault="00ED1407" w:rsidP="00BD5A0B">
            <w:pPr>
              <w:jc w:val="center"/>
            </w:pPr>
            <w:r w:rsidRPr="000F25D4">
              <w:rPr>
                <w:sz w:val="22"/>
              </w:rPr>
              <w:t>.012</w:t>
            </w:r>
          </w:p>
          <w:p w:rsidR="00ED1407" w:rsidRPr="000F25D4" w:rsidRDefault="00ED1407" w:rsidP="00BD5A0B">
            <w:pPr>
              <w:jc w:val="center"/>
            </w:pPr>
            <w:r w:rsidRPr="000F25D4">
              <w:rPr>
                <w:sz w:val="22"/>
              </w:rPr>
              <w:t>(1.808)</w:t>
            </w:r>
          </w:p>
        </w:tc>
        <w:tc>
          <w:tcPr>
            <w:tcW w:w="1618" w:type="dxa"/>
          </w:tcPr>
          <w:p w:rsidR="00ED1407" w:rsidRPr="000F25D4" w:rsidRDefault="00ED1407" w:rsidP="00BD5A0B">
            <w:pPr>
              <w:jc w:val="center"/>
            </w:pPr>
            <w:r w:rsidRPr="000F25D4">
              <w:rPr>
                <w:sz w:val="22"/>
              </w:rPr>
              <w:t>.001</w:t>
            </w:r>
          </w:p>
          <w:p w:rsidR="00ED1407" w:rsidRPr="000F25D4" w:rsidRDefault="00ED1407" w:rsidP="00BD5A0B">
            <w:pPr>
              <w:jc w:val="center"/>
            </w:pPr>
            <w:r w:rsidRPr="000F25D4">
              <w:rPr>
                <w:sz w:val="22"/>
              </w:rPr>
              <w:t>(.420)</w:t>
            </w:r>
          </w:p>
        </w:tc>
        <w:tc>
          <w:tcPr>
            <w:tcW w:w="1618" w:type="dxa"/>
          </w:tcPr>
          <w:p w:rsidR="00ED1407" w:rsidRPr="000F25D4" w:rsidRDefault="00ED1407" w:rsidP="00BD5A0B">
            <w:pPr>
              <w:jc w:val="center"/>
            </w:pPr>
            <w:r w:rsidRPr="000F25D4">
              <w:rPr>
                <w:sz w:val="22"/>
              </w:rPr>
              <w:t>.006*</w:t>
            </w:r>
          </w:p>
          <w:p w:rsidR="00ED1407" w:rsidRPr="000F25D4" w:rsidRDefault="00ED1407" w:rsidP="00BD5A0B">
            <w:pPr>
              <w:jc w:val="center"/>
            </w:pPr>
            <w:r w:rsidRPr="000F25D4">
              <w:rPr>
                <w:sz w:val="22"/>
              </w:rPr>
              <w:t>(2.018)</w:t>
            </w:r>
          </w:p>
        </w:tc>
        <w:tc>
          <w:tcPr>
            <w:tcW w:w="1618" w:type="dxa"/>
          </w:tcPr>
          <w:p w:rsidR="00ED1407" w:rsidRPr="000F25D4" w:rsidRDefault="00ED1407" w:rsidP="00BD5A0B">
            <w:pPr>
              <w:jc w:val="center"/>
            </w:pPr>
            <w:r w:rsidRPr="000F25D4">
              <w:rPr>
                <w:sz w:val="22"/>
              </w:rPr>
              <w:t>.004*</w:t>
            </w:r>
          </w:p>
          <w:p w:rsidR="00ED1407" w:rsidRPr="000F25D4" w:rsidRDefault="00ED1407" w:rsidP="00BD5A0B">
            <w:pPr>
              <w:jc w:val="center"/>
            </w:pPr>
            <w:r w:rsidRPr="000F25D4">
              <w:rPr>
                <w:sz w:val="22"/>
              </w:rPr>
              <w:t>(2.234)</w:t>
            </w:r>
          </w:p>
        </w:tc>
        <w:tc>
          <w:tcPr>
            <w:tcW w:w="1298" w:type="dxa"/>
          </w:tcPr>
          <w:p w:rsidR="00ED1407" w:rsidRPr="000F25D4" w:rsidRDefault="00ED1407" w:rsidP="00BD5A0B">
            <w:pPr>
              <w:jc w:val="center"/>
            </w:pPr>
            <w:r w:rsidRPr="000F25D4">
              <w:rPr>
                <w:sz w:val="22"/>
              </w:rPr>
              <w:t>.011*</w:t>
            </w:r>
          </w:p>
          <w:p w:rsidR="00ED1407" w:rsidRPr="000F25D4" w:rsidRDefault="00ED1407" w:rsidP="00BD5A0B">
            <w:pPr>
              <w:jc w:val="center"/>
            </w:pPr>
            <w:r w:rsidRPr="000F25D4">
              <w:rPr>
                <w:sz w:val="22"/>
              </w:rPr>
              <w:t>(2.486)</w:t>
            </w:r>
          </w:p>
        </w:tc>
      </w:tr>
      <w:tr w:rsidR="00ED1407" w:rsidRPr="000F25D4" w:rsidTr="000F25D4">
        <w:tc>
          <w:tcPr>
            <w:tcW w:w="1618" w:type="dxa"/>
          </w:tcPr>
          <w:p w:rsidR="00ED1407" w:rsidRPr="000F25D4" w:rsidRDefault="00ED1407" w:rsidP="00BD5A0B">
            <w:pPr>
              <w:rPr>
                <w:b/>
              </w:rPr>
            </w:pPr>
            <w:r w:rsidRPr="000F25D4">
              <w:rPr>
                <w:b/>
                <w:sz w:val="22"/>
                <w:szCs w:val="22"/>
              </w:rPr>
              <w:t>Cultural Distance</w:t>
            </w:r>
          </w:p>
        </w:tc>
        <w:tc>
          <w:tcPr>
            <w:tcW w:w="1618" w:type="dxa"/>
          </w:tcPr>
          <w:p w:rsidR="00ED1407" w:rsidRPr="000F25D4" w:rsidRDefault="00ED1407" w:rsidP="00BD5A0B">
            <w:pPr>
              <w:jc w:val="center"/>
            </w:pPr>
            <w:r w:rsidRPr="000F25D4">
              <w:rPr>
                <w:sz w:val="22"/>
              </w:rPr>
              <w:t>-.104*</w:t>
            </w:r>
          </w:p>
          <w:p w:rsidR="00ED1407" w:rsidRPr="000F25D4" w:rsidRDefault="00ED1407" w:rsidP="00BD5A0B">
            <w:pPr>
              <w:jc w:val="center"/>
            </w:pPr>
            <w:r w:rsidRPr="000F25D4">
              <w:rPr>
                <w:sz w:val="22"/>
              </w:rPr>
              <w:t>(-2.127)</w:t>
            </w:r>
          </w:p>
        </w:tc>
        <w:tc>
          <w:tcPr>
            <w:tcW w:w="1618" w:type="dxa"/>
          </w:tcPr>
          <w:p w:rsidR="00ED1407" w:rsidRPr="000F25D4" w:rsidRDefault="00ED1407" w:rsidP="00BD5A0B">
            <w:pPr>
              <w:jc w:val="center"/>
            </w:pPr>
            <w:r w:rsidRPr="000F25D4">
              <w:rPr>
                <w:sz w:val="22"/>
              </w:rPr>
              <w:t>-.051*</w:t>
            </w:r>
          </w:p>
          <w:p w:rsidR="00ED1407" w:rsidRPr="000F25D4" w:rsidRDefault="00ED1407" w:rsidP="00BD5A0B">
            <w:pPr>
              <w:jc w:val="center"/>
            </w:pPr>
            <w:r w:rsidRPr="000F25D4">
              <w:rPr>
                <w:sz w:val="22"/>
              </w:rPr>
              <w:t>(-2.379)</w:t>
            </w:r>
          </w:p>
        </w:tc>
        <w:tc>
          <w:tcPr>
            <w:tcW w:w="1618" w:type="dxa"/>
          </w:tcPr>
          <w:p w:rsidR="00ED1407" w:rsidRPr="000F25D4" w:rsidRDefault="00ED1407" w:rsidP="00BD5A0B">
            <w:pPr>
              <w:jc w:val="center"/>
            </w:pPr>
            <w:r w:rsidRPr="000F25D4">
              <w:rPr>
                <w:sz w:val="22"/>
              </w:rPr>
              <w:t>-.039</w:t>
            </w:r>
          </w:p>
          <w:p w:rsidR="00ED1407" w:rsidRPr="000F25D4" w:rsidRDefault="00ED1407" w:rsidP="00BD5A0B">
            <w:pPr>
              <w:jc w:val="center"/>
            </w:pPr>
            <w:r w:rsidRPr="000F25D4">
              <w:rPr>
                <w:sz w:val="22"/>
              </w:rPr>
              <w:t>(-1.685)</w:t>
            </w:r>
          </w:p>
        </w:tc>
        <w:tc>
          <w:tcPr>
            <w:tcW w:w="1618" w:type="dxa"/>
          </w:tcPr>
          <w:p w:rsidR="00ED1407" w:rsidRPr="000F25D4" w:rsidRDefault="00ED1407" w:rsidP="00BD5A0B">
            <w:pPr>
              <w:jc w:val="center"/>
            </w:pPr>
            <w:r w:rsidRPr="000F25D4">
              <w:rPr>
                <w:sz w:val="22"/>
              </w:rPr>
              <w:t>-.013</w:t>
            </w:r>
          </w:p>
          <w:p w:rsidR="00ED1407" w:rsidRPr="000F25D4" w:rsidRDefault="00ED1407" w:rsidP="00BD5A0B">
            <w:pPr>
              <w:jc w:val="center"/>
            </w:pPr>
            <w:r w:rsidRPr="000F25D4">
              <w:rPr>
                <w:sz w:val="22"/>
              </w:rPr>
              <w:t>(-.937)</w:t>
            </w:r>
          </w:p>
        </w:tc>
        <w:tc>
          <w:tcPr>
            <w:tcW w:w="1298" w:type="dxa"/>
          </w:tcPr>
          <w:p w:rsidR="00ED1407" w:rsidRPr="000F25D4" w:rsidRDefault="00ED1407" w:rsidP="00BD5A0B">
            <w:pPr>
              <w:jc w:val="center"/>
            </w:pPr>
            <w:r w:rsidRPr="000F25D4">
              <w:rPr>
                <w:sz w:val="22"/>
              </w:rPr>
              <w:t>-.051</w:t>
            </w:r>
          </w:p>
          <w:p w:rsidR="00ED1407" w:rsidRPr="000F25D4" w:rsidRDefault="00ED1407" w:rsidP="00BD5A0B">
            <w:pPr>
              <w:jc w:val="center"/>
            </w:pPr>
            <w:r w:rsidRPr="000F25D4">
              <w:rPr>
                <w:sz w:val="22"/>
              </w:rPr>
              <w:t>(-1.626)</w:t>
            </w:r>
          </w:p>
        </w:tc>
      </w:tr>
      <w:tr w:rsidR="00ED1407" w:rsidRPr="000F25D4" w:rsidTr="000F25D4">
        <w:tc>
          <w:tcPr>
            <w:tcW w:w="1618" w:type="dxa"/>
          </w:tcPr>
          <w:p w:rsidR="00ED1407" w:rsidRPr="000F25D4" w:rsidRDefault="00ED1407" w:rsidP="00BD5A0B">
            <w:pPr>
              <w:rPr>
                <w:b/>
              </w:rPr>
            </w:pPr>
            <w:r w:rsidRPr="000F25D4">
              <w:rPr>
                <w:b/>
                <w:sz w:val="22"/>
                <w:szCs w:val="22"/>
              </w:rPr>
              <w:t>Geographical distance</w:t>
            </w:r>
          </w:p>
        </w:tc>
        <w:tc>
          <w:tcPr>
            <w:tcW w:w="1618" w:type="dxa"/>
          </w:tcPr>
          <w:p w:rsidR="00ED1407" w:rsidRPr="000F25D4" w:rsidRDefault="00ED1407" w:rsidP="00BD5A0B">
            <w:pPr>
              <w:jc w:val="center"/>
            </w:pPr>
            <w:r w:rsidRPr="000F25D4">
              <w:rPr>
                <w:sz w:val="22"/>
              </w:rPr>
              <w:t>-6.369E-5**</w:t>
            </w:r>
          </w:p>
          <w:p w:rsidR="00ED1407" w:rsidRPr="000F25D4" w:rsidRDefault="00ED1407" w:rsidP="00BD5A0B">
            <w:pPr>
              <w:jc w:val="center"/>
            </w:pPr>
            <w:r w:rsidRPr="000F25D4">
              <w:rPr>
                <w:sz w:val="22"/>
              </w:rPr>
              <w:t>(-4.546)</w:t>
            </w:r>
          </w:p>
        </w:tc>
        <w:tc>
          <w:tcPr>
            <w:tcW w:w="1618" w:type="dxa"/>
          </w:tcPr>
          <w:p w:rsidR="00ED1407" w:rsidRPr="000F25D4" w:rsidRDefault="00ED1407" w:rsidP="00BD5A0B">
            <w:pPr>
              <w:jc w:val="center"/>
            </w:pPr>
            <w:r w:rsidRPr="000F25D4">
              <w:rPr>
                <w:sz w:val="22"/>
              </w:rPr>
              <w:t>-2.590E-5**</w:t>
            </w:r>
          </w:p>
          <w:p w:rsidR="00ED1407" w:rsidRPr="000F25D4" w:rsidRDefault="00ED1407" w:rsidP="00BD5A0B">
            <w:pPr>
              <w:jc w:val="center"/>
            </w:pPr>
            <w:r w:rsidRPr="000F25D4">
              <w:rPr>
                <w:sz w:val="22"/>
              </w:rPr>
              <w:t>(-4.193)</w:t>
            </w:r>
          </w:p>
        </w:tc>
        <w:tc>
          <w:tcPr>
            <w:tcW w:w="1618" w:type="dxa"/>
          </w:tcPr>
          <w:p w:rsidR="00ED1407" w:rsidRPr="000F25D4" w:rsidRDefault="00ED1407" w:rsidP="00BD5A0B">
            <w:pPr>
              <w:jc w:val="center"/>
            </w:pPr>
            <w:r w:rsidRPr="000F25D4">
              <w:rPr>
                <w:sz w:val="22"/>
              </w:rPr>
              <w:t>-2.696E-5**</w:t>
            </w:r>
          </w:p>
          <w:p w:rsidR="00ED1407" w:rsidRPr="000F25D4" w:rsidRDefault="00ED1407" w:rsidP="00BD5A0B">
            <w:pPr>
              <w:jc w:val="center"/>
            </w:pPr>
            <w:r w:rsidRPr="000F25D4">
              <w:rPr>
                <w:sz w:val="22"/>
              </w:rPr>
              <w:t>(-4.092)</w:t>
            </w:r>
          </w:p>
        </w:tc>
        <w:tc>
          <w:tcPr>
            <w:tcW w:w="1618" w:type="dxa"/>
          </w:tcPr>
          <w:p w:rsidR="00ED1407" w:rsidRPr="000F25D4" w:rsidRDefault="00ED1407" w:rsidP="00BD5A0B">
            <w:pPr>
              <w:jc w:val="center"/>
            </w:pPr>
            <w:r w:rsidRPr="000F25D4">
              <w:rPr>
                <w:sz w:val="22"/>
              </w:rPr>
              <w:t>-1.029E-5**</w:t>
            </w:r>
          </w:p>
          <w:p w:rsidR="00ED1407" w:rsidRPr="000F25D4" w:rsidRDefault="00ED1407" w:rsidP="00BD5A0B">
            <w:pPr>
              <w:jc w:val="center"/>
            </w:pPr>
            <w:r w:rsidRPr="000F25D4">
              <w:rPr>
                <w:sz w:val="22"/>
              </w:rPr>
              <w:t>(-2.670)</w:t>
            </w:r>
          </w:p>
        </w:tc>
        <w:tc>
          <w:tcPr>
            <w:tcW w:w="1298" w:type="dxa"/>
          </w:tcPr>
          <w:p w:rsidR="00ED1407" w:rsidRPr="000F25D4" w:rsidRDefault="00ED1407" w:rsidP="00BD5A0B">
            <w:pPr>
              <w:jc w:val="center"/>
            </w:pPr>
            <w:r w:rsidRPr="000F25D4">
              <w:rPr>
                <w:sz w:val="22"/>
              </w:rPr>
              <w:t>-3.760E-5**</w:t>
            </w:r>
          </w:p>
          <w:p w:rsidR="00ED1407" w:rsidRPr="000F25D4" w:rsidRDefault="00ED1407" w:rsidP="00BD5A0B">
            <w:pPr>
              <w:jc w:val="center"/>
            </w:pPr>
            <w:r w:rsidRPr="000F25D4">
              <w:rPr>
                <w:sz w:val="22"/>
              </w:rPr>
              <w:t>(-4.158)</w:t>
            </w:r>
          </w:p>
        </w:tc>
      </w:tr>
      <w:tr w:rsidR="00ED1407" w:rsidRPr="000F25D4" w:rsidTr="000F25D4">
        <w:tc>
          <w:tcPr>
            <w:tcW w:w="1618" w:type="dxa"/>
          </w:tcPr>
          <w:p w:rsidR="00ED1407" w:rsidRPr="000F25D4" w:rsidRDefault="00ED1407" w:rsidP="00BD5A0B">
            <w:pPr>
              <w:rPr>
                <w:b/>
              </w:rPr>
            </w:pPr>
            <w:r w:rsidRPr="000F25D4">
              <w:rPr>
                <w:b/>
                <w:sz w:val="22"/>
                <w:szCs w:val="22"/>
              </w:rPr>
              <w:t>Colonial ties</w:t>
            </w:r>
          </w:p>
        </w:tc>
        <w:tc>
          <w:tcPr>
            <w:tcW w:w="1618" w:type="dxa"/>
          </w:tcPr>
          <w:p w:rsidR="00ED1407" w:rsidRPr="000F25D4" w:rsidRDefault="00ED1407" w:rsidP="00BD5A0B">
            <w:pPr>
              <w:jc w:val="center"/>
            </w:pPr>
            <w:r w:rsidRPr="000F25D4">
              <w:rPr>
                <w:sz w:val="22"/>
              </w:rPr>
              <w:t>.306</w:t>
            </w:r>
          </w:p>
          <w:p w:rsidR="00ED1407" w:rsidRPr="000F25D4" w:rsidRDefault="00ED1407" w:rsidP="00BD5A0B">
            <w:pPr>
              <w:jc w:val="center"/>
            </w:pPr>
            <w:r w:rsidRPr="000F25D4">
              <w:rPr>
                <w:sz w:val="22"/>
              </w:rPr>
              <w:t>(.789)</w:t>
            </w:r>
          </w:p>
        </w:tc>
        <w:tc>
          <w:tcPr>
            <w:tcW w:w="1618" w:type="dxa"/>
          </w:tcPr>
          <w:p w:rsidR="00ED1407" w:rsidRPr="000F25D4" w:rsidRDefault="00ED1407" w:rsidP="00BD5A0B">
            <w:pPr>
              <w:jc w:val="center"/>
            </w:pPr>
            <w:r w:rsidRPr="000F25D4">
              <w:rPr>
                <w:sz w:val="22"/>
              </w:rPr>
              <w:t>-.165</w:t>
            </w:r>
          </w:p>
          <w:p w:rsidR="00ED1407" w:rsidRPr="000F25D4" w:rsidRDefault="00ED1407" w:rsidP="00BD5A0B">
            <w:pPr>
              <w:jc w:val="center"/>
            </w:pPr>
            <w:r w:rsidRPr="000F25D4">
              <w:rPr>
                <w:sz w:val="22"/>
              </w:rPr>
              <w:t>(-.966)</w:t>
            </w:r>
          </w:p>
        </w:tc>
        <w:tc>
          <w:tcPr>
            <w:tcW w:w="1618" w:type="dxa"/>
          </w:tcPr>
          <w:p w:rsidR="00ED1407" w:rsidRPr="000F25D4" w:rsidRDefault="00ED1407" w:rsidP="00BD5A0B">
            <w:pPr>
              <w:jc w:val="center"/>
            </w:pPr>
            <w:r w:rsidRPr="000F25D4">
              <w:rPr>
                <w:sz w:val="22"/>
              </w:rPr>
              <w:t>.004</w:t>
            </w:r>
          </w:p>
          <w:p w:rsidR="00ED1407" w:rsidRPr="000F25D4" w:rsidRDefault="00ED1407" w:rsidP="00BD5A0B">
            <w:pPr>
              <w:jc w:val="center"/>
            </w:pPr>
            <w:r w:rsidRPr="000F25D4">
              <w:rPr>
                <w:sz w:val="22"/>
              </w:rPr>
              <w:t>(.022)</w:t>
            </w:r>
          </w:p>
        </w:tc>
        <w:tc>
          <w:tcPr>
            <w:tcW w:w="1618" w:type="dxa"/>
          </w:tcPr>
          <w:p w:rsidR="00ED1407" w:rsidRPr="000F25D4" w:rsidRDefault="00ED1407" w:rsidP="00BD5A0B">
            <w:pPr>
              <w:jc w:val="center"/>
            </w:pPr>
            <w:r w:rsidRPr="000F25D4">
              <w:rPr>
                <w:sz w:val="22"/>
              </w:rPr>
              <w:t>.463**</w:t>
            </w:r>
          </w:p>
          <w:p w:rsidR="00ED1407" w:rsidRPr="000F25D4" w:rsidRDefault="00ED1407" w:rsidP="00BD5A0B">
            <w:pPr>
              <w:jc w:val="center"/>
            </w:pPr>
            <w:r w:rsidRPr="000F25D4">
              <w:rPr>
                <w:sz w:val="22"/>
              </w:rPr>
              <w:t>(4.324)</w:t>
            </w:r>
          </w:p>
        </w:tc>
        <w:tc>
          <w:tcPr>
            <w:tcW w:w="1298" w:type="dxa"/>
          </w:tcPr>
          <w:p w:rsidR="00ED1407" w:rsidRPr="000F25D4" w:rsidRDefault="00ED1407" w:rsidP="00BD5A0B">
            <w:pPr>
              <w:jc w:val="center"/>
            </w:pPr>
            <w:r w:rsidRPr="000F25D4">
              <w:rPr>
                <w:sz w:val="22"/>
              </w:rPr>
              <w:t>.470</w:t>
            </w:r>
          </w:p>
          <w:p w:rsidR="00ED1407" w:rsidRPr="000F25D4" w:rsidRDefault="00ED1407" w:rsidP="00BD5A0B">
            <w:pPr>
              <w:jc w:val="center"/>
            </w:pPr>
            <w:r w:rsidRPr="000F25D4">
              <w:rPr>
                <w:sz w:val="22"/>
              </w:rPr>
              <w:t>(1.877)</w:t>
            </w:r>
          </w:p>
        </w:tc>
      </w:tr>
      <w:tr w:rsidR="00ED1407" w:rsidRPr="000F25D4" w:rsidTr="000F25D4">
        <w:tc>
          <w:tcPr>
            <w:tcW w:w="1618" w:type="dxa"/>
          </w:tcPr>
          <w:p w:rsidR="00ED1407" w:rsidRPr="000F25D4" w:rsidRDefault="00ED1407" w:rsidP="00BD5A0B">
            <w:pPr>
              <w:rPr>
                <w:b/>
              </w:rPr>
            </w:pPr>
            <w:r w:rsidRPr="000F25D4">
              <w:rPr>
                <w:b/>
                <w:sz w:val="22"/>
                <w:szCs w:val="22"/>
              </w:rPr>
              <w:t>Common language</w:t>
            </w:r>
          </w:p>
        </w:tc>
        <w:tc>
          <w:tcPr>
            <w:tcW w:w="1618" w:type="dxa"/>
          </w:tcPr>
          <w:p w:rsidR="00ED1407" w:rsidRPr="000F25D4" w:rsidRDefault="00ED1407" w:rsidP="00BD5A0B">
            <w:pPr>
              <w:jc w:val="center"/>
            </w:pPr>
            <w:r w:rsidRPr="000F25D4">
              <w:rPr>
                <w:sz w:val="22"/>
              </w:rPr>
              <w:t>.607*</w:t>
            </w:r>
          </w:p>
          <w:p w:rsidR="00ED1407" w:rsidRPr="000F25D4" w:rsidRDefault="00ED1407" w:rsidP="00BD5A0B">
            <w:pPr>
              <w:jc w:val="center"/>
            </w:pPr>
            <w:r w:rsidRPr="000F25D4">
              <w:rPr>
                <w:sz w:val="22"/>
              </w:rPr>
              <w:t>(2.535)</w:t>
            </w:r>
          </w:p>
        </w:tc>
        <w:tc>
          <w:tcPr>
            <w:tcW w:w="1618" w:type="dxa"/>
          </w:tcPr>
          <w:p w:rsidR="00ED1407" w:rsidRPr="000F25D4" w:rsidRDefault="00ED1407" w:rsidP="00BD5A0B">
            <w:pPr>
              <w:jc w:val="center"/>
            </w:pPr>
            <w:r w:rsidRPr="000F25D4">
              <w:rPr>
                <w:sz w:val="22"/>
              </w:rPr>
              <w:t>.196</w:t>
            </w:r>
          </w:p>
          <w:p w:rsidR="00ED1407" w:rsidRPr="000F25D4" w:rsidRDefault="00ED1407" w:rsidP="00BD5A0B">
            <w:pPr>
              <w:jc w:val="center"/>
            </w:pPr>
            <w:r w:rsidRPr="000F25D4">
              <w:rPr>
                <w:sz w:val="22"/>
              </w:rPr>
              <w:t>(1.854)</w:t>
            </w:r>
          </w:p>
        </w:tc>
        <w:tc>
          <w:tcPr>
            <w:tcW w:w="1618" w:type="dxa"/>
          </w:tcPr>
          <w:p w:rsidR="00ED1407" w:rsidRPr="000F25D4" w:rsidRDefault="00ED1407" w:rsidP="00BD5A0B">
            <w:pPr>
              <w:jc w:val="center"/>
            </w:pPr>
            <w:r w:rsidRPr="000F25D4">
              <w:rPr>
                <w:sz w:val="22"/>
              </w:rPr>
              <w:t>.253*</w:t>
            </w:r>
          </w:p>
          <w:p w:rsidR="00ED1407" w:rsidRPr="000F25D4" w:rsidRDefault="00ED1407" w:rsidP="00BD5A0B">
            <w:pPr>
              <w:jc w:val="center"/>
            </w:pPr>
            <w:r w:rsidRPr="000F25D4">
              <w:rPr>
                <w:sz w:val="22"/>
              </w:rPr>
              <w:t>(2.250)</w:t>
            </w:r>
          </w:p>
        </w:tc>
        <w:tc>
          <w:tcPr>
            <w:tcW w:w="1618" w:type="dxa"/>
          </w:tcPr>
          <w:p w:rsidR="00ED1407" w:rsidRPr="000F25D4" w:rsidRDefault="00ED1407" w:rsidP="00BD5A0B">
            <w:pPr>
              <w:jc w:val="center"/>
            </w:pPr>
            <w:r w:rsidRPr="000F25D4">
              <w:rPr>
                <w:sz w:val="22"/>
              </w:rPr>
              <w:t>.149*</w:t>
            </w:r>
          </w:p>
          <w:p w:rsidR="00ED1407" w:rsidRPr="000F25D4" w:rsidRDefault="00ED1407" w:rsidP="00BD5A0B">
            <w:pPr>
              <w:jc w:val="center"/>
            </w:pPr>
            <w:r w:rsidRPr="000F25D4">
              <w:rPr>
                <w:sz w:val="22"/>
              </w:rPr>
              <w:t>(2.260)</w:t>
            </w:r>
          </w:p>
        </w:tc>
        <w:tc>
          <w:tcPr>
            <w:tcW w:w="1298" w:type="dxa"/>
          </w:tcPr>
          <w:p w:rsidR="00ED1407" w:rsidRPr="000F25D4" w:rsidRDefault="00ED1407" w:rsidP="00BD5A0B">
            <w:pPr>
              <w:jc w:val="center"/>
            </w:pPr>
            <w:r w:rsidRPr="000F25D4">
              <w:rPr>
                <w:sz w:val="22"/>
              </w:rPr>
              <w:t>.405**</w:t>
            </w:r>
          </w:p>
          <w:p w:rsidR="00ED1407" w:rsidRPr="000F25D4" w:rsidRDefault="00ED1407" w:rsidP="00BD5A0B">
            <w:pPr>
              <w:jc w:val="center"/>
            </w:pPr>
            <w:r w:rsidRPr="000F25D4">
              <w:rPr>
                <w:sz w:val="22"/>
              </w:rPr>
              <w:t>(2.619)</w:t>
            </w:r>
          </w:p>
        </w:tc>
      </w:tr>
      <w:tr w:rsidR="00ED1407" w:rsidRPr="000F25D4" w:rsidTr="000F25D4">
        <w:tc>
          <w:tcPr>
            <w:tcW w:w="1618" w:type="dxa"/>
          </w:tcPr>
          <w:p w:rsidR="00ED1407" w:rsidRPr="000F25D4" w:rsidRDefault="00ED1407" w:rsidP="00BD5A0B">
            <w:pPr>
              <w:rPr>
                <w:b/>
              </w:rPr>
            </w:pPr>
            <w:r w:rsidRPr="000F25D4">
              <w:rPr>
                <w:b/>
                <w:sz w:val="22"/>
                <w:szCs w:val="22"/>
              </w:rPr>
              <w:t>GNI host country</w:t>
            </w:r>
          </w:p>
        </w:tc>
        <w:tc>
          <w:tcPr>
            <w:tcW w:w="1618" w:type="dxa"/>
          </w:tcPr>
          <w:p w:rsidR="00ED1407" w:rsidRPr="000F25D4" w:rsidRDefault="00ED1407" w:rsidP="00BD5A0B">
            <w:pPr>
              <w:jc w:val="center"/>
            </w:pPr>
            <w:r w:rsidRPr="000F25D4">
              <w:rPr>
                <w:sz w:val="22"/>
              </w:rPr>
              <w:t>8.221E-14*</w:t>
            </w:r>
          </w:p>
          <w:p w:rsidR="00ED1407" w:rsidRPr="000F25D4" w:rsidRDefault="00ED1407" w:rsidP="00BD5A0B">
            <w:pPr>
              <w:jc w:val="center"/>
            </w:pPr>
            <w:r w:rsidRPr="000F25D4">
              <w:rPr>
                <w:sz w:val="22"/>
              </w:rPr>
              <w:t>(2.067)</w:t>
            </w:r>
          </w:p>
        </w:tc>
        <w:tc>
          <w:tcPr>
            <w:tcW w:w="1618" w:type="dxa"/>
          </w:tcPr>
          <w:p w:rsidR="00ED1407" w:rsidRPr="000F25D4" w:rsidRDefault="00ED1407" w:rsidP="00BD5A0B">
            <w:pPr>
              <w:jc w:val="center"/>
            </w:pPr>
            <w:r w:rsidRPr="000F25D4">
              <w:rPr>
                <w:sz w:val="22"/>
              </w:rPr>
              <w:t>7.960E-15</w:t>
            </w:r>
          </w:p>
          <w:p w:rsidR="00ED1407" w:rsidRPr="000F25D4" w:rsidRDefault="00ED1407" w:rsidP="00BD5A0B">
            <w:pPr>
              <w:jc w:val="center"/>
            </w:pPr>
            <w:r w:rsidRPr="000F25D4">
              <w:rPr>
                <w:sz w:val="22"/>
              </w:rPr>
              <w:t>(.465)</w:t>
            </w:r>
          </w:p>
        </w:tc>
        <w:tc>
          <w:tcPr>
            <w:tcW w:w="1618" w:type="dxa"/>
          </w:tcPr>
          <w:p w:rsidR="00ED1407" w:rsidRPr="000F25D4" w:rsidRDefault="00ED1407" w:rsidP="00BD5A0B">
            <w:pPr>
              <w:jc w:val="center"/>
            </w:pPr>
            <w:r w:rsidRPr="000F25D4">
              <w:rPr>
                <w:sz w:val="22"/>
              </w:rPr>
              <w:t>4.457E-14*</w:t>
            </w:r>
          </w:p>
          <w:p w:rsidR="00ED1407" w:rsidRPr="000F25D4" w:rsidRDefault="00ED1407" w:rsidP="00BD5A0B">
            <w:pPr>
              <w:jc w:val="center"/>
            </w:pPr>
            <w:r w:rsidRPr="000F25D4">
              <w:rPr>
                <w:sz w:val="22"/>
              </w:rPr>
              <w:t>(2.370)</w:t>
            </w:r>
          </w:p>
        </w:tc>
        <w:tc>
          <w:tcPr>
            <w:tcW w:w="1618" w:type="dxa"/>
          </w:tcPr>
          <w:p w:rsidR="00ED1407" w:rsidRPr="000F25D4" w:rsidRDefault="00ED1407" w:rsidP="00BD5A0B">
            <w:pPr>
              <w:jc w:val="center"/>
            </w:pPr>
            <w:r w:rsidRPr="000F25D4">
              <w:rPr>
                <w:sz w:val="22"/>
              </w:rPr>
              <w:t>2.020E-14</w:t>
            </w:r>
          </w:p>
          <w:p w:rsidR="00ED1407" w:rsidRPr="000F25D4" w:rsidRDefault="00ED1407" w:rsidP="00BD5A0B">
            <w:pPr>
              <w:jc w:val="center"/>
            </w:pPr>
            <w:r w:rsidRPr="000F25D4">
              <w:rPr>
                <w:sz w:val="22"/>
              </w:rPr>
              <w:t>(1.940)</w:t>
            </w:r>
          </w:p>
        </w:tc>
        <w:tc>
          <w:tcPr>
            <w:tcW w:w="1298" w:type="dxa"/>
          </w:tcPr>
          <w:p w:rsidR="00ED1407" w:rsidRPr="000F25D4" w:rsidRDefault="00ED1407" w:rsidP="00BD5A0B">
            <w:pPr>
              <w:jc w:val="center"/>
            </w:pPr>
            <w:r w:rsidRPr="000F25D4">
              <w:rPr>
                <w:sz w:val="22"/>
              </w:rPr>
              <w:t>7.107E-14**</w:t>
            </w:r>
          </w:p>
          <w:p w:rsidR="00ED1407" w:rsidRPr="000F25D4" w:rsidRDefault="00ED1407" w:rsidP="00BD5A0B">
            <w:pPr>
              <w:jc w:val="center"/>
            </w:pPr>
            <w:r w:rsidRPr="000F25D4">
              <w:rPr>
                <w:sz w:val="22"/>
              </w:rPr>
              <w:t>(2.765)</w:t>
            </w:r>
          </w:p>
        </w:tc>
      </w:tr>
      <w:tr w:rsidR="00ED1407" w:rsidRPr="000F25D4" w:rsidTr="000F25D4">
        <w:tc>
          <w:tcPr>
            <w:tcW w:w="1618" w:type="dxa"/>
          </w:tcPr>
          <w:p w:rsidR="00ED1407" w:rsidRPr="000F25D4" w:rsidRDefault="00ED1407" w:rsidP="00BD5A0B">
            <w:pPr>
              <w:rPr>
                <w:b/>
              </w:rPr>
            </w:pPr>
            <w:r w:rsidRPr="000F25D4">
              <w:rPr>
                <w:b/>
                <w:sz w:val="22"/>
                <w:szCs w:val="22"/>
              </w:rPr>
              <w:t>Total affiliates</w:t>
            </w:r>
          </w:p>
        </w:tc>
        <w:tc>
          <w:tcPr>
            <w:tcW w:w="1618" w:type="dxa"/>
          </w:tcPr>
          <w:p w:rsidR="00ED1407" w:rsidRPr="000F25D4" w:rsidRDefault="00ED1407" w:rsidP="00BD5A0B">
            <w:pPr>
              <w:jc w:val="center"/>
            </w:pPr>
            <w:r w:rsidRPr="000F25D4">
              <w:rPr>
                <w:sz w:val="22"/>
              </w:rPr>
              <w:t>.024**</w:t>
            </w:r>
          </w:p>
          <w:p w:rsidR="00ED1407" w:rsidRPr="000F25D4" w:rsidRDefault="00ED1407" w:rsidP="00BD5A0B">
            <w:pPr>
              <w:jc w:val="center"/>
            </w:pPr>
            <w:r w:rsidRPr="000F25D4">
              <w:rPr>
                <w:sz w:val="22"/>
              </w:rPr>
              <w:t>(9.698)</w:t>
            </w:r>
          </w:p>
        </w:tc>
        <w:tc>
          <w:tcPr>
            <w:tcW w:w="1618" w:type="dxa"/>
          </w:tcPr>
          <w:p w:rsidR="00ED1407" w:rsidRPr="000F25D4" w:rsidRDefault="00ED1407" w:rsidP="00BD5A0B">
            <w:pPr>
              <w:jc w:val="center"/>
            </w:pPr>
          </w:p>
        </w:tc>
        <w:tc>
          <w:tcPr>
            <w:tcW w:w="1618" w:type="dxa"/>
          </w:tcPr>
          <w:p w:rsidR="00ED1407" w:rsidRPr="000F25D4" w:rsidRDefault="00ED1407" w:rsidP="00BD5A0B">
            <w:pPr>
              <w:jc w:val="center"/>
            </w:pPr>
          </w:p>
        </w:tc>
        <w:tc>
          <w:tcPr>
            <w:tcW w:w="1618" w:type="dxa"/>
          </w:tcPr>
          <w:p w:rsidR="00ED1407" w:rsidRPr="000F25D4" w:rsidRDefault="00ED1407" w:rsidP="00BD5A0B">
            <w:pPr>
              <w:jc w:val="center"/>
            </w:pPr>
          </w:p>
        </w:tc>
        <w:tc>
          <w:tcPr>
            <w:tcW w:w="1298" w:type="dxa"/>
          </w:tcPr>
          <w:p w:rsidR="00ED1407" w:rsidRPr="000F25D4" w:rsidRDefault="00ED1407" w:rsidP="00BD5A0B">
            <w:pPr>
              <w:jc w:val="center"/>
            </w:pPr>
          </w:p>
        </w:tc>
      </w:tr>
      <w:tr w:rsidR="00ED1407" w:rsidRPr="000F25D4" w:rsidTr="000F25D4">
        <w:tc>
          <w:tcPr>
            <w:tcW w:w="1618" w:type="dxa"/>
          </w:tcPr>
          <w:p w:rsidR="00ED1407" w:rsidRPr="000F25D4" w:rsidRDefault="00ED1407" w:rsidP="00BD5A0B">
            <w:pPr>
              <w:rPr>
                <w:b/>
              </w:rPr>
            </w:pPr>
            <w:r w:rsidRPr="000F25D4">
              <w:rPr>
                <w:b/>
                <w:sz w:val="22"/>
                <w:szCs w:val="22"/>
              </w:rPr>
              <w:t>Total industrial affiliates</w:t>
            </w:r>
          </w:p>
        </w:tc>
        <w:tc>
          <w:tcPr>
            <w:tcW w:w="1618" w:type="dxa"/>
          </w:tcPr>
          <w:p w:rsidR="00ED1407" w:rsidRPr="000F25D4" w:rsidRDefault="00ED1407" w:rsidP="00BD5A0B">
            <w:pPr>
              <w:jc w:val="center"/>
            </w:pPr>
          </w:p>
        </w:tc>
        <w:tc>
          <w:tcPr>
            <w:tcW w:w="1618" w:type="dxa"/>
          </w:tcPr>
          <w:p w:rsidR="00ED1407" w:rsidRPr="000F25D4" w:rsidRDefault="00ED1407" w:rsidP="00BD5A0B">
            <w:pPr>
              <w:jc w:val="center"/>
            </w:pPr>
            <w:r w:rsidRPr="000F25D4">
              <w:rPr>
                <w:sz w:val="22"/>
              </w:rPr>
              <w:t>.028**</w:t>
            </w:r>
          </w:p>
          <w:p w:rsidR="00ED1407" w:rsidRPr="000F25D4" w:rsidRDefault="00ED1407" w:rsidP="00BD5A0B">
            <w:pPr>
              <w:jc w:val="center"/>
            </w:pPr>
            <w:r w:rsidRPr="000F25D4">
              <w:rPr>
                <w:sz w:val="22"/>
              </w:rPr>
              <w:t>(9.345)</w:t>
            </w:r>
          </w:p>
        </w:tc>
        <w:tc>
          <w:tcPr>
            <w:tcW w:w="1618" w:type="dxa"/>
          </w:tcPr>
          <w:p w:rsidR="00ED1407" w:rsidRPr="000F25D4" w:rsidRDefault="00ED1407" w:rsidP="00BD5A0B">
            <w:pPr>
              <w:jc w:val="center"/>
            </w:pPr>
          </w:p>
        </w:tc>
        <w:tc>
          <w:tcPr>
            <w:tcW w:w="1618" w:type="dxa"/>
          </w:tcPr>
          <w:p w:rsidR="00ED1407" w:rsidRPr="000F25D4" w:rsidRDefault="00ED1407" w:rsidP="00BD5A0B">
            <w:pPr>
              <w:jc w:val="center"/>
            </w:pPr>
          </w:p>
        </w:tc>
        <w:tc>
          <w:tcPr>
            <w:tcW w:w="1298" w:type="dxa"/>
          </w:tcPr>
          <w:p w:rsidR="00ED1407" w:rsidRPr="000F25D4" w:rsidRDefault="00ED1407" w:rsidP="00BD5A0B">
            <w:pPr>
              <w:jc w:val="center"/>
            </w:pPr>
          </w:p>
        </w:tc>
      </w:tr>
      <w:tr w:rsidR="00ED1407" w:rsidRPr="000F25D4" w:rsidTr="000F25D4">
        <w:tc>
          <w:tcPr>
            <w:tcW w:w="1618" w:type="dxa"/>
          </w:tcPr>
          <w:p w:rsidR="00ED1407" w:rsidRPr="000F25D4" w:rsidRDefault="00ED1407" w:rsidP="00BD5A0B">
            <w:pPr>
              <w:rPr>
                <w:b/>
              </w:rPr>
            </w:pPr>
            <w:r w:rsidRPr="000F25D4">
              <w:rPr>
                <w:b/>
                <w:sz w:val="22"/>
                <w:szCs w:val="22"/>
              </w:rPr>
              <w:t>Total tertiary affiliates</w:t>
            </w:r>
          </w:p>
        </w:tc>
        <w:tc>
          <w:tcPr>
            <w:tcW w:w="1618" w:type="dxa"/>
          </w:tcPr>
          <w:p w:rsidR="00ED1407" w:rsidRPr="000F25D4" w:rsidRDefault="00ED1407" w:rsidP="00BD5A0B">
            <w:pPr>
              <w:jc w:val="center"/>
            </w:pPr>
          </w:p>
        </w:tc>
        <w:tc>
          <w:tcPr>
            <w:tcW w:w="1618" w:type="dxa"/>
          </w:tcPr>
          <w:p w:rsidR="00ED1407" w:rsidRPr="000F25D4" w:rsidRDefault="00ED1407" w:rsidP="00BD5A0B"/>
        </w:tc>
        <w:tc>
          <w:tcPr>
            <w:tcW w:w="1618" w:type="dxa"/>
          </w:tcPr>
          <w:p w:rsidR="00ED1407" w:rsidRPr="000F25D4" w:rsidRDefault="00ED1407" w:rsidP="00BD5A0B">
            <w:pPr>
              <w:jc w:val="center"/>
            </w:pPr>
            <w:r w:rsidRPr="000F25D4">
              <w:rPr>
                <w:sz w:val="22"/>
              </w:rPr>
              <w:t>.023**</w:t>
            </w:r>
          </w:p>
          <w:p w:rsidR="00ED1407" w:rsidRPr="000F25D4" w:rsidRDefault="00ED1407" w:rsidP="00BD5A0B">
            <w:pPr>
              <w:jc w:val="center"/>
            </w:pPr>
            <w:r w:rsidRPr="000F25D4">
              <w:rPr>
                <w:sz w:val="22"/>
              </w:rPr>
              <w:t>(9.299)</w:t>
            </w:r>
          </w:p>
        </w:tc>
        <w:tc>
          <w:tcPr>
            <w:tcW w:w="1618" w:type="dxa"/>
          </w:tcPr>
          <w:p w:rsidR="00ED1407" w:rsidRPr="000F25D4" w:rsidRDefault="00ED1407" w:rsidP="00BD5A0B">
            <w:pPr>
              <w:jc w:val="center"/>
            </w:pPr>
          </w:p>
        </w:tc>
        <w:tc>
          <w:tcPr>
            <w:tcW w:w="1298" w:type="dxa"/>
          </w:tcPr>
          <w:p w:rsidR="00ED1407" w:rsidRPr="000F25D4" w:rsidRDefault="00ED1407" w:rsidP="00BD5A0B">
            <w:pPr>
              <w:jc w:val="center"/>
            </w:pPr>
          </w:p>
        </w:tc>
      </w:tr>
      <w:tr w:rsidR="00ED1407" w:rsidRPr="000F25D4" w:rsidTr="000F25D4">
        <w:tc>
          <w:tcPr>
            <w:tcW w:w="1618" w:type="dxa"/>
          </w:tcPr>
          <w:p w:rsidR="00ED1407" w:rsidRPr="000F25D4" w:rsidRDefault="00ED1407" w:rsidP="00BD5A0B">
            <w:pPr>
              <w:rPr>
                <w:b/>
              </w:rPr>
            </w:pPr>
            <w:r w:rsidRPr="000F25D4">
              <w:rPr>
                <w:b/>
                <w:sz w:val="22"/>
                <w:szCs w:val="22"/>
              </w:rPr>
              <w:t>Total financial affiliates</w:t>
            </w:r>
          </w:p>
        </w:tc>
        <w:tc>
          <w:tcPr>
            <w:tcW w:w="1618" w:type="dxa"/>
          </w:tcPr>
          <w:p w:rsidR="00ED1407" w:rsidRPr="000F25D4" w:rsidRDefault="00ED1407" w:rsidP="00BD5A0B">
            <w:pPr>
              <w:jc w:val="center"/>
            </w:pPr>
          </w:p>
        </w:tc>
        <w:tc>
          <w:tcPr>
            <w:tcW w:w="1618" w:type="dxa"/>
          </w:tcPr>
          <w:p w:rsidR="00ED1407" w:rsidRPr="000F25D4" w:rsidRDefault="00ED1407" w:rsidP="00BD5A0B"/>
        </w:tc>
        <w:tc>
          <w:tcPr>
            <w:tcW w:w="1618" w:type="dxa"/>
          </w:tcPr>
          <w:p w:rsidR="00ED1407" w:rsidRPr="000F25D4" w:rsidRDefault="00ED1407" w:rsidP="00BD5A0B">
            <w:pPr>
              <w:jc w:val="center"/>
            </w:pPr>
          </w:p>
        </w:tc>
        <w:tc>
          <w:tcPr>
            <w:tcW w:w="1618" w:type="dxa"/>
          </w:tcPr>
          <w:p w:rsidR="00ED1407" w:rsidRPr="000F25D4" w:rsidRDefault="00ED1407" w:rsidP="00BD5A0B">
            <w:pPr>
              <w:jc w:val="center"/>
            </w:pPr>
            <w:r w:rsidRPr="000F25D4">
              <w:rPr>
                <w:sz w:val="22"/>
              </w:rPr>
              <w:t>.024**</w:t>
            </w:r>
          </w:p>
          <w:p w:rsidR="00ED1407" w:rsidRPr="000F25D4" w:rsidRDefault="00ED1407" w:rsidP="00BD5A0B">
            <w:pPr>
              <w:jc w:val="center"/>
            </w:pPr>
            <w:r w:rsidRPr="000F25D4">
              <w:rPr>
                <w:sz w:val="22"/>
              </w:rPr>
              <w:t>(6.722)</w:t>
            </w:r>
          </w:p>
        </w:tc>
        <w:tc>
          <w:tcPr>
            <w:tcW w:w="1298" w:type="dxa"/>
          </w:tcPr>
          <w:p w:rsidR="00ED1407" w:rsidRPr="000F25D4" w:rsidRDefault="00ED1407" w:rsidP="00BD5A0B">
            <w:pPr>
              <w:jc w:val="center"/>
            </w:pPr>
          </w:p>
        </w:tc>
      </w:tr>
      <w:tr w:rsidR="00ED1407" w:rsidRPr="000F25D4" w:rsidTr="000F25D4">
        <w:tc>
          <w:tcPr>
            <w:tcW w:w="1618" w:type="dxa"/>
            <w:tcBorders>
              <w:bottom w:val="single" w:sz="18" w:space="0" w:color="auto"/>
            </w:tcBorders>
          </w:tcPr>
          <w:p w:rsidR="00ED1407" w:rsidRPr="000F25D4" w:rsidRDefault="00ED1407" w:rsidP="00BD5A0B">
            <w:pPr>
              <w:rPr>
                <w:b/>
              </w:rPr>
            </w:pPr>
            <w:r w:rsidRPr="000F25D4">
              <w:rPr>
                <w:b/>
                <w:sz w:val="22"/>
                <w:szCs w:val="22"/>
              </w:rPr>
              <w:t>Total service affiliates</w:t>
            </w:r>
          </w:p>
        </w:tc>
        <w:tc>
          <w:tcPr>
            <w:tcW w:w="1618" w:type="dxa"/>
            <w:tcBorders>
              <w:bottom w:val="single" w:sz="18" w:space="0" w:color="auto"/>
            </w:tcBorders>
          </w:tcPr>
          <w:p w:rsidR="00ED1407" w:rsidRPr="000F25D4" w:rsidRDefault="00ED1407" w:rsidP="00BD5A0B">
            <w:pPr>
              <w:jc w:val="center"/>
            </w:pPr>
          </w:p>
        </w:tc>
        <w:tc>
          <w:tcPr>
            <w:tcW w:w="1618" w:type="dxa"/>
            <w:tcBorders>
              <w:bottom w:val="single" w:sz="18" w:space="0" w:color="auto"/>
            </w:tcBorders>
          </w:tcPr>
          <w:p w:rsidR="00ED1407" w:rsidRPr="000F25D4" w:rsidRDefault="00ED1407" w:rsidP="00BD5A0B"/>
        </w:tc>
        <w:tc>
          <w:tcPr>
            <w:tcW w:w="1618" w:type="dxa"/>
            <w:tcBorders>
              <w:bottom w:val="single" w:sz="18" w:space="0" w:color="auto"/>
            </w:tcBorders>
          </w:tcPr>
          <w:p w:rsidR="00ED1407" w:rsidRPr="000F25D4" w:rsidRDefault="00ED1407" w:rsidP="00BD5A0B">
            <w:pPr>
              <w:jc w:val="center"/>
            </w:pPr>
          </w:p>
        </w:tc>
        <w:tc>
          <w:tcPr>
            <w:tcW w:w="1618" w:type="dxa"/>
            <w:tcBorders>
              <w:bottom w:val="single" w:sz="18" w:space="0" w:color="auto"/>
            </w:tcBorders>
          </w:tcPr>
          <w:p w:rsidR="00ED1407" w:rsidRPr="000F25D4" w:rsidRDefault="00ED1407" w:rsidP="00BD5A0B">
            <w:pPr>
              <w:jc w:val="center"/>
            </w:pPr>
          </w:p>
        </w:tc>
        <w:tc>
          <w:tcPr>
            <w:tcW w:w="1298" w:type="dxa"/>
            <w:tcBorders>
              <w:bottom w:val="single" w:sz="18" w:space="0" w:color="auto"/>
            </w:tcBorders>
          </w:tcPr>
          <w:p w:rsidR="00ED1407" w:rsidRPr="000F25D4" w:rsidRDefault="00ED1407" w:rsidP="00BD5A0B">
            <w:pPr>
              <w:jc w:val="center"/>
            </w:pPr>
            <w:r w:rsidRPr="000F25D4">
              <w:rPr>
                <w:sz w:val="22"/>
              </w:rPr>
              <w:t>.023**</w:t>
            </w:r>
          </w:p>
          <w:p w:rsidR="00ED1407" w:rsidRPr="000F25D4" w:rsidRDefault="00ED1407" w:rsidP="00BD5A0B">
            <w:pPr>
              <w:jc w:val="center"/>
            </w:pPr>
            <w:r w:rsidRPr="000F25D4">
              <w:rPr>
                <w:sz w:val="22"/>
              </w:rPr>
              <w:t>(9.089)</w:t>
            </w:r>
          </w:p>
        </w:tc>
      </w:tr>
      <w:tr w:rsidR="00ED1407" w:rsidRPr="000F25D4" w:rsidTr="000F25D4">
        <w:tc>
          <w:tcPr>
            <w:tcW w:w="1618" w:type="dxa"/>
            <w:tcBorders>
              <w:top w:val="single" w:sz="18" w:space="0" w:color="auto"/>
            </w:tcBorders>
          </w:tcPr>
          <w:p w:rsidR="00ED1407" w:rsidRPr="000F25D4" w:rsidRDefault="00ED1407" w:rsidP="00BD5A0B">
            <w:pPr>
              <w:rPr>
                <w:b/>
                <w:i/>
              </w:rPr>
            </w:pPr>
            <w:r w:rsidRPr="000F25D4">
              <w:rPr>
                <w:b/>
                <w:i/>
                <w:sz w:val="22"/>
                <w:szCs w:val="22"/>
              </w:rPr>
              <w:t>N</w:t>
            </w:r>
          </w:p>
        </w:tc>
        <w:tc>
          <w:tcPr>
            <w:tcW w:w="1618" w:type="dxa"/>
            <w:tcBorders>
              <w:top w:val="single" w:sz="18" w:space="0" w:color="auto"/>
            </w:tcBorders>
          </w:tcPr>
          <w:p w:rsidR="00ED1407" w:rsidRPr="000F25D4" w:rsidRDefault="00ED1407" w:rsidP="00BD5A0B">
            <w:pPr>
              <w:jc w:val="center"/>
              <w:rPr>
                <w:i/>
              </w:rPr>
            </w:pPr>
            <w:r w:rsidRPr="000F25D4">
              <w:rPr>
                <w:i/>
                <w:sz w:val="22"/>
                <w:szCs w:val="22"/>
              </w:rPr>
              <w:t>955</w:t>
            </w:r>
          </w:p>
        </w:tc>
        <w:tc>
          <w:tcPr>
            <w:tcW w:w="1618" w:type="dxa"/>
            <w:tcBorders>
              <w:top w:val="single" w:sz="18" w:space="0" w:color="auto"/>
            </w:tcBorders>
          </w:tcPr>
          <w:p w:rsidR="00ED1407" w:rsidRPr="000F25D4" w:rsidRDefault="00ED1407" w:rsidP="00BD5A0B">
            <w:pPr>
              <w:jc w:val="center"/>
              <w:rPr>
                <w:i/>
              </w:rPr>
            </w:pPr>
            <w:r w:rsidRPr="000F25D4">
              <w:rPr>
                <w:i/>
                <w:sz w:val="22"/>
                <w:szCs w:val="22"/>
              </w:rPr>
              <w:t>955</w:t>
            </w:r>
          </w:p>
        </w:tc>
        <w:tc>
          <w:tcPr>
            <w:tcW w:w="1618" w:type="dxa"/>
            <w:tcBorders>
              <w:top w:val="single" w:sz="18" w:space="0" w:color="auto"/>
            </w:tcBorders>
          </w:tcPr>
          <w:p w:rsidR="00ED1407" w:rsidRPr="000F25D4" w:rsidRDefault="00ED1407" w:rsidP="00BD5A0B">
            <w:pPr>
              <w:jc w:val="center"/>
              <w:rPr>
                <w:i/>
              </w:rPr>
            </w:pPr>
            <w:r w:rsidRPr="000F25D4">
              <w:rPr>
                <w:i/>
                <w:sz w:val="22"/>
                <w:szCs w:val="22"/>
              </w:rPr>
              <w:t>955</w:t>
            </w:r>
          </w:p>
        </w:tc>
        <w:tc>
          <w:tcPr>
            <w:tcW w:w="1618" w:type="dxa"/>
            <w:tcBorders>
              <w:top w:val="single" w:sz="18" w:space="0" w:color="auto"/>
            </w:tcBorders>
          </w:tcPr>
          <w:p w:rsidR="00ED1407" w:rsidRPr="000F25D4" w:rsidRDefault="00ED1407" w:rsidP="00BD5A0B">
            <w:pPr>
              <w:jc w:val="center"/>
              <w:rPr>
                <w:i/>
              </w:rPr>
            </w:pPr>
            <w:r w:rsidRPr="000F25D4">
              <w:rPr>
                <w:i/>
                <w:sz w:val="22"/>
                <w:szCs w:val="22"/>
              </w:rPr>
              <w:t>955</w:t>
            </w:r>
          </w:p>
        </w:tc>
        <w:tc>
          <w:tcPr>
            <w:tcW w:w="1298" w:type="dxa"/>
            <w:tcBorders>
              <w:top w:val="single" w:sz="18" w:space="0" w:color="auto"/>
            </w:tcBorders>
          </w:tcPr>
          <w:p w:rsidR="00ED1407" w:rsidRPr="000F25D4" w:rsidRDefault="00ED1407" w:rsidP="00BD5A0B">
            <w:pPr>
              <w:jc w:val="center"/>
              <w:rPr>
                <w:i/>
              </w:rPr>
            </w:pPr>
            <w:r w:rsidRPr="000F25D4">
              <w:rPr>
                <w:i/>
                <w:sz w:val="22"/>
                <w:szCs w:val="22"/>
              </w:rPr>
              <w:t>955</w:t>
            </w:r>
          </w:p>
        </w:tc>
      </w:tr>
      <w:tr w:rsidR="00ED1407" w:rsidRPr="000F25D4" w:rsidTr="000F25D4">
        <w:tc>
          <w:tcPr>
            <w:tcW w:w="1618" w:type="dxa"/>
          </w:tcPr>
          <w:p w:rsidR="00ED1407" w:rsidRPr="000F25D4" w:rsidRDefault="00ED1407" w:rsidP="00BD5A0B">
            <w:pPr>
              <w:rPr>
                <w:b/>
                <w:i/>
                <w:vertAlign w:val="superscript"/>
              </w:rPr>
            </w:pPr>
            <w:r w:rsidRPr="000F25D4">
              <w:rPr>
                <w:b/>
                <w:i/>
                <w:sz w:val="22"/>
                <w:szCs w:val="22"/>
              </w:rPr>
              <w:t>Adjusted R</w:t>
            </w:r>
            <w:r w:rsidRPr="000F25D4">
              <w:rPr>
                <w:b/>
                <w:i/>
                <w:sz w:val="22"/>
                <w:szCs w:val="22"/>
                <w:vertAlign w:val="superscript"/>
              </w:rPr>
              <w:t>2</w:t>
            </w:r>
          </w:p>
        </w:tc>
        <w:tc>
          <w:tcPr>
            <w:tcW w:w="1618" w:type="dxa"/>
          </w:tcPr>
          <w:p w:rsidR="00ED1407" w:rsidRPr="000F25D4" w:rsidRDefault="00ED1407" w:rsidP="00BD5A0B">
            <w:pPr>
              <w:jc w:val="center"/>
              <w:rPr>
                <w:i/>
              </w:rPr>
            </w:pPr>
            <w:r w:rsidRPr="000F25D4">
              <w:rPr>
                <w:i/>
                <w:sz w:val="22"/>
                <w:szCs w:val="22"/>
              </w:rPr>
              <w:t>.287</w:t>
            </w:r>
          </w:p>
        </w:tc>
        <w:tc>
          <w:tcPr>
            <w:tcW w:w="1618" w:type="dxa"/>
          </w:tcPr>
          <w:p w:rsidR="00ED1407" w:rsidRPr="000F25D4" w:rsidRDefault="00ED1407" w:rsidP="00BD5A0B">
            <w:pPr>
              <w:jc w:val="center"/>
              <w:rPr>
                <w:i/>
              </w:rPr>
            </w:pPr>
            <w:r w:rsidRPr="000F25D4">
              <w:rPr>
                <w:i/>
                <w:sz w:val="22"/>
                <w:szCs w:val="22"/>
              </w:rPr>
              <w:t>.215</w:t>
            </w:r>
          </w:p>
        </w:tc>
        <w:tc>
          <w:tcPr>
            <w:tcW w:w="1618" w:type="dxa"/>
          </w:tcPr>
          <w:p w:rsidR="00ED1407" w:rsidRPr="000F25D4" w:rsidRDefault="00ED1407" w:rsidP="00BD5A0B">
            <w:pPr>
              <w:jc w:val="center"/>
              <w:rPr>
                <w:i/>
              </w:rPr>
            </w:pPr>
            <w:r w:rsidRPr="000F25D4">
              <w:rPr>
                <w:i/>
                <w:sz w:val="22"/>
                <w:szCs w:val="22"/>
              </w:rPr>
              <w:t>.271</w:t>
            </w:r>
          </w:p>
        </w:tc>
        <w:tc>
          <w:tcPr>
            <w:tcW w:w="1618" w:type="dxa"/>
          </w:tcPr>
          <w:p w:rsidR="00ED1407" w:rsidRPr="000F25D4" w:rsidRDefault="00ED1407" w:rsidP="00BD5A0B">
            <w:pPr>
              <w:jc w:val="center"/>
              <w:rPr>
                <w:i/>
              </w:rPr>
            </w:pPr>
            <w:r w:rsidRPr="000F25D4">
              <w:rPr>
                <w:i/>
                <w:sz w:val="22"/>
                <w:szCs w:val="22"/>
              </w:rPr>
              <w:t>.191</w:t>
            </w:r>
          </w:p>
        </w:tc>
        <w:tc>
          <w:tcPr>
            <w:tcW w:w="1298" w:type="dxa"/>
          </w:tcPr>
          <w:p w:rsidR="00ED1407" w:rsidRPr="000F25D4" w:rsidRDefault="00ED1407" w:rsidP="00BD5A0B">
            <w:pPr>
              <w:jc w:val="center"/>
              <w:rPr>
                <w:i/>
              </w:rPr>
            </w:pPr>
            <w:r w:rsidRPr="000F25D4">
              <w:rPr>
                <w:i/>
                <w:sz w:val="22"/>
                <w:szCs w:val="22"/>
              </w:rPr>
              <w:t>.289</w:t>
            </w:r>
          </w:p>
        </w:tc>
      </w:tr>
      <w:tr w:rsidR="00ED1407" w:rsidRPr="000F25D4" w:rsidTr="000F25D4">
        <w:tc>
          <w:tcPr>
            <w:tcW w:w="9388" w:type="dxa"/>
            <w:gridSpan w:val="6"/>
            <w:tcBorders>
              <w:left w:val="nil"/>
              <w:bottom w:val="nil"/>
              <w:right w:val="nil"/>
            </w:tcBorders>
          </w:tcPr>
          <w:p w:rsidR="00ED1407" w:rsidRPr="000F25D4" w:rsidRDefault="00ED1407" w:rsidP="00BD5A0B">
            <w:r w:rsidRPr="000F25D4">
              <w:rPr>
                <w:color w:val="000000"/>
                <w:sz w:val="22"/>
                <w:szCs w:val="18"/>
              </w:rPr>
              <w:t>Notes: * indicates significance at .05 level; ** indicates significance at .01 level. T-values in parentheses.</w:t>
            </w:r>
          </w:p>
        </w:tc>
      </w:tr>
    </w:tbl>
    <w:p w:rsidR="00ED1407" w:rsidRDefault="00ED1407" w:rsidP="008B79E2">
      <w:pPr>
        <w:spacing w:line="480" w:lineRule="auto"/>
        <w:ind w:firstLine="720"/>
      </w:pPr>
      <w:r>
        <w:t xml:space="preserve">  </w:t>
      </w:r>
    </w:p>
    <w:p w:rsidR="00ED1407" w:rsidRDefault="00ED1407" w:rsidP="008B79E2">
      <w:pPr>
        <w:spacing w:line="480" w:lineRule="auto"/>
        <w:ind w:firstLine="720"/>
      </w:pPr>
      <w:r>
        <w:br w:type="page"/>
      </w:r>
    </w:p>
    <w:p w:rsidR="00ED1407" w:rsidRPr="003A2C63" w:rsidRDefault="00ED1407" w:rsidP="008B79E2">
      <w:pPr>
        <w:spacing w:line="480" w:lineRule="auto"/>
        <w:rPr>
          <w:b/>
        </w:rPr>
      </w:pPr>
      <w:r>
        <w:rPr>
          <w:b/>
        </w:rPr>
        <w:t>5. Conclusion</w:t>
      </w:r>
      <w:r w:rsidRPr="003A2C63">
        <w:rPr>
          <w:b/>
        </w:rPr>
        <w:t xml:space="preserve"> </w:t>
      </w:r>
    </w:p>
    <w:p w:rsidR="00ED1407" w:rsidRDefault="00ED1407" w:rsidP="008B79E2">
      <w:pPr>
        <w:spacing w:line="480" w:lineRule="auto"/>
      </w:pPr>
      <w:r>
        <w:t>In this paper, we have argued that cultural distance is not the only relevant or even the most relevant conceptualization of cultural difference for MNE’s. Rather than focusing on the degree of differences between aggregate cultures, MNE’s are likely to focus on the likelihood of individual similarity when deciding to go abroad. An analysis of the location of the largest affiliates of MNE’s from 37 countries supports this thesis. We find that cultural overlap overall is a better predictor of location choice than cultural distance, the industrial sector excepted. We interpret this distinction as indication that cultural distance is a more related to culture-based transaction costs, which are especially relevant for efficiency-seeking FDI. Cultural overlap, by contrast, is more important  to firms entering foreign countries for market-seeking reasons. We conclude that cultural overlap is indicative of the MNE’s ability to exploit its culture-based FSA’s.</w:t>
      </w:r>
    </w:p>
    <w:p w:rsidR="00ED1407" w:rsidRDefault="00ED1407" w:rsidP="00622872">
      <w:pPr>
        <w:spacing w:line="480" w:lineRule="auto"/>
        <w:ind w:firstLine="720"/>
      </w:pPr>
      <w:r>
        <w:t xml:space="preserve">Our main conclusion is that cultural overlap captures an important complementing aspect of cultural differences, which theoretically and empirically appears to be distinct and perhaps more relevant to MNE activity than standard distance measures. It is therefore a useful concept that may be applied as an alternative to cultural distance in studies of MNE behavior. </w:t>
      </w:r>
    </w:p>
    <w:p w:rsidR="00ED1407" w:rsidRDefault="00ED1407" w:rsidP="00622872">
      <w:pPr>
        <w:spacing w:line="480" w:lineRule="auto"/>
        <w:ind w:firstLine="720"/>
      </w:pPr>
      <w:r>
        <w:t xml:space="preserve">Obviously, the concept of cultural overlap and the way in which it is operationalized in this paper are not entirely unproblematic either. What is more, it is not immediately clear whether the superior relevance of cultural overlap extends beyond location choice. More theoretical and empirical work is required in these areas. However, the implication of this paper is not that we should all immediately replace cultural distance measures by cultural overlap indicators in our research. Rather, what this project highlights is the fact that cultural distance is but one way to conceptualize cultural differences. Cultural overlap is one alternative; there may be others. None is likely to be the most relevant one for all purposes. For location decisions, it is theoretically plausible that the actual number of potential customers whose cultural preferences are linked to a firm are important. In other cases, transaction costs generated by differences between higher-order cultural contexts may play a larger role. The more general insight of this study, therefore, is that our conceptualization of cultural differences should follow the topic and question at hand.   </w:t>
      </w:r>
    </w:p>
    <w:p w:rsidR="00ED1407" w:rsidRDefault="00ED1407" w:rsidP="00813945">
      <w:pPr>
        <w:spacing w:line="480" w:lineRule="auto"/>
        <w:ind w:firstLine="720"/>
      </w:pPr>
      <w:r>
        <w:t xml:space="preserve">That being said, the results of this research project add weight to the case for paying more attention to intra-country variation (e.g. Au 1999; 2000; 2004; Tung 2008). In fact, the near-exclusive focus on the national level when studying culture may be seen as something of an anomaly in international business studies, which is otherwise almost defined by a focus on the firm level. One explanation for this state of affairs is that researchers, while generally aware of the problem of intra-country variation, have stuck with national level cultural distance measures because alternatives are deemed impractically complex. The construction of the cultural overlap measure, however, shows that with generally available data we are able to address intra-country variation in an easy and straightforward way. </w:t>
      </w:r>
    </w:p>
    <w:p w:rsidR="00ED1407" w:rsidRDefault="00ED1407" w:rsidP="00813945">
      <w:pPr>
        <w:spacing w:line="480" w:lineRule="auto"/>
        <w:ind w:firstLine="720"/>
      </w:pPr>
      <w:r>
        <w:t xml:space="preserve">Finally, the results of this paper suggest that it may be worthwhile to approach cultural differences not only as a source of problems and costs for firms, but also as a potential source of ownership advantages. A shared culture gives one a specific ability to reach out to fellow culture-members, resulting in privileged access to markets and pools of labor. Firms seeking to exploit this advantage need to address culture not just as a problem, but as an opportunity. </w:t>
      </w:r>
    </w:p>
    <w:p w:rsidR="00ED1407" w:rsidRDefault="00ED1407" w:rsidP="007F112B">
      <w:pPr>
        <w:autoSpaceDE w:val="0"/>
        <w:autoSpaceDN w:val="0"/>
        <w:adjustRightInd w:val="0"/>
        <w:spacing w:line="480" w:lineRule="auto"/>
        <w:ind w:left="360"/>
        <w:rPr>
          <w:sz w:val="22"/>
          <w:szCs w:val="22"/>
        </w:rPr>
      </w:pPr>
      <w:r>
        <w:rPr>
          <w:sz w:val="22"/>
          <w:szCs w:val="22"/>
        </w:rPr>
        <w:br w:type="page"/>
        <w:t xml:space="preserve">References: </w:t>
      </w:r>
    </w:p>
    <w:p w:rsidR="00ED1407" w:rsidRPr="005736B3" w:rsidRDefault="00ED1407" w:rsidP="009076A2">
      <w:pPr>
        <w:numPr>
          <w:ilvl w:val="0"/>
          <w:numId w:val="2"/>
        </w:numPr>
        <w:spacing w:line="480" w:lineRule="auto"/>
        <w:outlineLvl w:val="2"/>
        <w:rPr>
          <w:sz w:val="22"/>
          <w:szCs w:val="22"/>
        </w:rPr>
      </w:pPr>
      <w:r w:rsidRPr="005736B3">
        <w:rPr>
          <w:sz w:val="22"/>
          <w:szCs w:val="22"/>
        </w:rPr>
        <w:t xml:space="preserve">Acemoglu, Daron, Simon Johnson and James Robinson (2001), ‘The colonial origins of comparative development’, </w:t>
      </w:r>
      <w:r w:rsidRPr="005736B3">
        <w:rPr>
          <w:i/>
          <w:sz w:val="22"/>
          <w:szCs w:val="22"/>
        </w:rPr>
        <w:t>American Economic Review</w:t>
      </w:r>
      <w:r w:rsidRPr="005736B3">
        <w:rPr>
          <w:sz w:val="22"/>
          <w:szCs w:val="22"/>
        </w:rPr>
        <w:t xml:space="preserve"> 91: 1369-1401.</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Au, K. 1999 ‘Intra-cultural variation: Evidence and implications for international business’. </w:t>
      </w:r>
      <w:r w:rsidRPr="005736B3">
        <w:rPr>
          <w:i/>
          <w:iCs/>
          <w:sz w:val="22"/>
          <w:szCs w:val="22"/>
        </w:rPr>
        <w:t xml:space="preserve">Journal of International Business Studies </w:t>
      </w:r>
      <w:r w:rsidRPr="005736B3">
        <w:rPr>
          <w:sz w:val="22"/>
          <w:szCs w:val="22"/>
        </w:rPr>
        <w:t>30: 799–812.</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Au, K. 2000. Intra-cultural variation as another construct of international management: a study based on secondary data of 42 countries, </w:t>
      </w:r>
      <w:r w:rsidRPr="005736B3">
        <w:rPr>
          <w:i/>
          <w:sz w:val="22"/>
          <w:szCs w:val="22"/>
        </w:rPr>
        <w:t>Journal of International Management</w:t>
      </w:r>
      <w:r w:rsidRPr="005736B3">
        <w:rPr>
          <w:sz w:val="22"/>
          <w:szCs w:val="22"/>
        </w:rPr>
        <w:t>, 6, 217-238.</w:t>
      </w:r>
    </w:p>
    <w:p w:rsidR="00ED1407" w:rsidRPr="005736B3" w:rsidRDefault="00ED1407" w:rsidP="007F112B">
      <w:pPr>
        <w:numPr>
          <w:ilvl w:val="0"/>
          <w:numId w:val="2"/>
        </w:numPr>
        <w:autoSpaceDE w:val="0"/>
        <w:autoSpaceDN w:val="0"/>
        <w:adjustRightInd w:val="0"/>
        <w:spacing w:line="480" w:lineRule="auto"/>
        <w:rPr>
          <w:b/>
          <w:bCs/>
          <w:sz w:val="22"/>
          <w:szCs w:val="22"/>
        </w:rPr>
      </w:pPr>
      <w:r w:rsidRPr="005736B3">
        <w:rPr>
          <w:sz w:val="22"/>
          <w:szCs w:val="22"/>
        </w:rPr>
        <w:t xml:space="preserve">Au, K. and Cheung, M. 2004. </w:t>
      </w:r>
      <w:r w:rsidRPr="005736B3">
        <w:rPr>
          <w:bCs/>
          <w:sz w:val="22"/>
          <w:szCs w:val="22"/>
        </w:rPr>
        <w:t xml:space="preserve">Intra-cultural Variation and Job Autonomy in 42 Countries, </w:t>
      </w:r>
      <w:r w:rsidRPr="005736B3">
        <w:rPr>
          <w:bCs/>
          <w:i/>
          <w:sz w:val="22"/>
          <w:szCs w:val="22"/>
        </w:rPr>
        <w:t>Organization Studies</w:t>
      </w:r>
      <w:r w:rsidRPr="005736B3">
        <w:rPr>
          <w:bCs/>
          <w:sz w:val="22"/>
          <w:szCs w:val="22"/>
        </w:rPr>
        <w:t>, 25(8), 1339-1362.</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Barkema, H. G., Bell, J. H. J., &amp; Pennings, J. M. 1996. Foreign entry, cultural barriers and learning. </w:t>
      </w:r>
      <w:r w:rsidRPr="005736B3">
        <w:rPr>
          <w:i/>
          <w:sz w:val="22"/>
          <w:szCs w:val="22"/>
        </w:rPr>
        <w:t>Strategic Management Journal</w:t>
      </w:r>
      <w:r w:rsidRPr="005736B3">
        <w:rPr>
          <w:sz w:val="22"/>
          <w:szCs w:val="22"/>
        </w:rPr>
        <w:t>, 17: 151–166.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Benito, G. and Gripsrud, G. 1992. The Expansion of Foreign Direct Investments: Discrete Rational Location Choices or a CulturalLearning Process? </w:t>
      </w:r>
      <w:r w:rsidRPr="005736B3">
        <w:rPr>
          <w:i/>
          <w:sz w:val="22"/>
          <w:szCs w:val="22"/>
        </w:rPr>
        <w:t>Journal of International Business Studies</w:t>
      </w:r>
      <w:r w:rsidRPr="005736B3">
        <w:rPr>
          <w:sz w:val="22"/>
          <w:szCs w:val="22"/>
        </w:rPr>
        <w:t>, 23, pp. 461-476.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Berry, H. Guille´n, M. and Zhou, N. 2010 An institutional approach to cross-national distance, </w:t>
      </w:r>
      <w:r w:rsidRPr="005736B3">
        <w:rPr>
          <w:i/>
          <w:sz w:val="22"/>
          <w:szCs w:val="22"/>
        </w:rPr>
        <w:t>Journal of International Business Studies</w:t>
      </w:r>
      <w:r w:rsidRPr="005736B3">
        <w:rPr>
          <w:sz w:val="22"/>
          <w:szCs w:val="22"/>
        </w:rPr>
        <w:t>, doi:10.1057/jibs.2010.28.</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Brouthers, K. and Brouthers, L. 2000. Explaining the National Cultural Distance Paradox, </w:t>
      </w:r>
      <w:r w:rsidRPr="005736B3">
        <w:rPr>
          <w:i/>
          <w:sz w:val="22"/>
          <w:szCs w:val="22"/>
        </w:rPr>
        <w:t>Journal of International Business Studies</w:t>
      </w:r>
      <w:r w:rsidRPr="005736B3">
        <w:rPr>
          <w:sz w:val="22"/>
          <w:szCs w:val="22"/>
        </w:rPr>
        <w:t>, 32, pp. 177-189.</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Chang, S.J. and Rosenzweig, P. (2001), “The choice of entry mode in sequential foreign direct investment”, Strategic Management Journal, Vol. 22 No. 8, pp. 747-76.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Chiswick B. and P. Miller (2005), “Linguistic Distance: A Quantitative Measure of the Distance between English and Other Languages”, </w:t>
      </w:r>
      <w:r w:rsidRPr="005736B3">
        <w:rPr>
          <w:i/>
          <w:iCs/>
          <w:sz w:val="22"/>
          <w:szCs w:val="22"/>
        </w:rPr>
        <w:t xml:space="preserve">Journal of Multilingual &amp; Multicultural Development </w:t>
      </w:r>
      <w:r w:rsidRPr="005736B3">
        <w:rPr>
          <w:sz w:val="22"/>
          <w:szCs w:val="22"/>
        </w:rPr>
        <w:t>26, 1-11.</w:t>
      </w:r>
    </w:p>
    <w:p w:rsidR="00ED1407" w:rsidRPr="005736B3" w:rsidRDefault="00ED1407" w:rsidP="009076A2">
      <w:pPr>
        <w:numPr>
          <w:ilvl w:val="0"/>
          <w:numId w:val="2"/>
        </w:numPr>
        <w:autoSpaceDE w:val="0"/>
        <w:autoSpaceDN w:val="0"/>
        <w:adjustRightInd w:val="0"/>
        <w:spacing w:line="480" w:lineRule="auto"/>
        <w:rPr>
          <w:sz w:val="22"/>
          <w:szCs w:val="22"/>
        </w:rPr>
      </w:pPr>
      <w:r w:rsidRPr="005736B3">
        <w:rPr>
          <w:sz w:val="22"/>
          <w:szCs w:val="22"/>
        </w:rPr>
        <w:t xml:space="preserve">Dãvila, A. 2001. </w:t>
      </w:r>
      <w:r w:rsidRPr="005736B3">
        <w:rPr>
          <w:i/>
          <w:sz w:val="22"/>
          <w:szCs w:val="22"/>
        </w:rPr>
        <w:t>Latinos, Inc.: The Marketing and Making of a People</w:t>
      </w:r>
      <w:r w:rsidRPr="005736B3">
        <w:rPr>
          <w:sz w:val="22"/>
          <w:szCs w:val="22"/>
        </w:rPr>
        <w:t>. Berkeley, California: University of California Press.</w:t>
      </w:r>
    </w:p>
    <w:p w:rsidR="00ED1407" w:rsidRPr="005736B3" w:rsidRDefault="00ED1407" w:rsidP="009076A2">
      <w:pPr>
        <w:numPr>
          <w:ilvl w:val="0"/>
          <w:numId w:val="2"/>
        </w:numPr>
        <w:autoSpaceDE w:val="0"/>
        <w:autoSpaceDN w:val="0"/>
        <w:adjustRightInd w:val="0"/>
        <w:spacing w:line="480" w:lineRule="auto"/>
        <w:rPr>
          <w:sz w:val="22"/>
          <w:szCs w:val="22"/>
        </w:rPr>
      </w:pPr>
      <w:r w:rsidRPr="005736B3">
        <w:rPr>
          <w:sz w:val="22"/>
          <w:szCs w:val="22"/>
        </w:rPr>
        <w:t xml:space="preserve">Djankov, Simeon, Edward Glaeser, Rafael La Porta, Florencio Lopez-de-Silanes and Andrei Shleifer (2003),  ‘The new comparative economics’, </w:t>
      </w:r>
      <w:r w:rsidRPr="005736B3">
        <w:rPr>
          <w:i/>
          <w:iCs/>
          <w:sz w:val="22"/>
          <w:szCs w:val="22"/>
        </w:rPr>
        <w:t>Journal of Comparative Economics</w:t>
      </w:r>
      <w:r w:rsidRPr="005736B3">
        <w:rPr>
          <w:sz w:val="22"/>
          <w:szCs w:val="22"/>
        </w:rPr>
        <w:t xml:space="preserve">, </w:t>
      </w:r>
      <w:r w:rsidRPr="005736B3">
        <w:rPr>
          <w:iCs/>
          <w:sz w:val="22"/>
          <w:szCs w:val="22"/>
        </w:rPr>
        <w:t>31</w:t>
      </w:r>
      <w:r w:rsidRPr="005736B3">
        <w:rPr>
          <w:sz w:val="22"/>
          <w:szCs w:val="22"/>
        </w:rPr>
        <w:t>: 595–619.</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Dow, D. and Karunaratna, A. (2006), “Developing a multidimensional instrument to measure psychic distance stimuli”, Journal of International Business Studies, Vol. 37 No. 5, pp. 578-602.</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Ellis, P.D. (2008), “Does psychic distance moderate the market size-entry sequence relationship?”, </w:t>
      </w:r>
      <w:r w:rsidRPr="005736B3">
        <w:rPr>
          <w:i/>
          <w:sz w:val="22"/>
          <w:szCs w:val="22"/>
        </w:rPr>
        <w:t>Journal of International Business Studies</w:t>
      </w:r>
      <w:r w:rsidRPr="005736B3">
        <w:rPr>
          <w:sz w:val="22"/>
          <w:szCs w:val="22"/>
        </w:rPr>
        <w:t>, Vol. 39 No. 3, pp. 351-69.</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Flores, R. and Aguilera, R. 2007 Globalization and  location choice: an analysis of US multinational firms in 1980 and 2000, </w:t>
      </w:r>
      <w:r w:rsidRPr="005736B3">
        <w:rPr>
          <w:i/>
          <w:sz w:val="22"/>
          <w:szCs w:val="22"/>
        </w:rPr>
        <w:t>Journal of International Business Studies</w:t>
      </w:r>
      <w:r w:rsidRPr="005736B3">
        <w:rPr>
          <w:sz w:val="22"/>
          <w:szCs w:val="22"/>
        </w:rPr>
        <w:t xml:space="preserve"> 38, 1187–1210.</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Galan, J. González-Benito, J. and Zuñiga-Vincente, J. 2007. Factors determining the location decisions of Spanish MNEs: an analysis based on the investment development path </w:t>
      </w:r>
      <w:r w:rsidRPr="005736B3">
        <w:rPr>
          <w:i/>
          <w:sz w:val="22"/>
          <w:szCs w:val="22"/>
        </w:rPr>
        <w:t>Journal of International Business Studies</w:t>
      </w:r>
      <w:r w:rsidRPr="005736B3">
        <w:rPr>
          <w:sz w:val="22"/>
          <w:szCs w:val="22"/>
        </w:rPr>
        <w:t xml:space="preserve"> 38, 975–997. </w:t>
      </w:r>
    </w:p>
    <w:p w:rsidR="00ED1407" w:rsidRPr="005736B3" w:rsidRDefault="00ED1407" w:rsidP="007F112B">
      <w:pPr>
        <w:numPr>
          <w:ilvl w:val="0"/>
          <w:numId w:val="2"/>
        </w:numPr>
        <w:spacing w:line="480" w:lineRule="auto"/>
        <w:rPr>
          <w:sz w:val="22"/>
          <w:szCs w:val="22"/>
        </w:rPr>
      </w:pPr>
      <w:r w:rsidRPr="005736B3">
        <w:rPr>
          <w:sz w:val="22"/>
          <w:szCs w:val="22"/>
        </w:rPr>
        <w:t xml:space="preserve">Gatignon, H. and Anderson, E. (1988), “The multinational corporation’s degree of control over foreign subsidiaries: an empirical test of a transaction cost explanation”, </w:t>
      </w:r>
      <w:r w:rsidRPr="005736B3">
        <w:rPr>
          <w:i/>
          <w:sz w:val="22"/>
          <w:szCs w:val="22"/>
        </w:rPr>
        <w:t>Journal of Law, Economics, and Organization</w:t>
      </w:r>
      <w:r w:rsidRPr="005736B3">
        <w:rPr>
          <w:sz w:val="22"/>
          <w:szCs w:val="22"/>
        </w:rPr>
        <w:t>, 4 (2), pp. 304-36.</w:t>
      </w:r>
    </w:p>
    <w:p w:rsidR="00ED1407" w:rsidRPr="005736B3" w:rsidRDefault="00ED1407" w:rsidP="005736B3">
      <w:pPr>
        <w:numPr>
          <w:ilvl w:val="0"/>
          <w:numId w:val="2"/>
        </w:numPr>
        <w:spacing w:line="480" w:lineRule="auto"/>
        <w:rPr>
          <w:sz w:val="22"/>
          <w:szCs w:val="22"/>
        </w:rPr>
      </w:pPr>
      <w:r w:rsidRPr="005736B3">
        <w:rPr>
          <w:sz w:val="22"/>
          <w:szCs w:val="22"/>
        </w:rPr>
        <w:t>Ghemawat, P. (2001), “Distance still matters”, Harvard Business Review, Vol. 79 No. 8, p. 137.</w:t>
      </w:r>
    </w:p>
    <w:p w:rsidR="00ED1407" w:rsidRPr="005736B3" w:rsidRDefault="00ED1407" w:rsidP="005736B3">
      <w:pPr>
        <w:numPr>
          <w:ilvl w:val="0"/>
          <w:numId w:val="2"/>
        </w:numPr>
        <w:spacing w:line="480" w:lineRule="auto"/>
        <w:rPr>
          <w:sz w:val="22"/>
          <w:szCs w:val="22"/>
        </w:rPr>
      </w:pPr>
      <w:r w:rsidRPr="005736B3">
        <w:rPr>
          <w:sz w:val="22"/>
          <w:szCs w:val="22"/>
        </w:rPr>
        <w:t xml:space="preserve">Greif, A. 1994 ‘Cultural beliefs and the organization of society: a historical and theoretical reflection on collectivist and individualist societies’, </w:t>
      </w:r>
      <w:r w:rsidRPr="005736B3">
        <w:rPr>
          <w:i/>
          <w:sz w:val="22"/>
          <w:szCs w:val="22"/>
        </w:rPr>
        <w:t>Journal of political economy</w:t>
      </w:r>
      <w:r w:rsidRPr="005736B3">
        <w:rPr>
          <w:sz w:val="22"/>
          <w:szCs w:val="22"/>
        </w:rPr>
        <w:t xml:space="preserve"> 102.5: 912-950.</w:t>
      </w:r>
    </w:p>
    <w:p w:rsidR="00ED1407" w:rsidRPr="005736B3" w:rsidRDefault="00ED1407" w:rsidP="005736B3">
      <w:pPr>
        <w:numPr>
          <w:ilvl w:val="0"/>
          <w:numId w:val="2"/>
        </w:numPr>
        <w:spacing w:line="480" w:lineRule="auto"/>
        <w:rPr>
          <w:sz w:val="22"/>
          <w:szCs w:val="22"/>
        </w:rPr>
      </w:pPr>
      <w:r w:rsidRPr="005736B3">
        <w:rPr>
          <w:sz w:val="22"/>
          <w:szCs w:val="22"/>
        </w:rPr>
        <w:t xml:space="preserve">Greif, A. 2006. </w:t>
      </w:r>
      <w:r w:rsidRPr="005736B3">
        <w:rPr>
          <w:i/>
          <w:sz w:val="22"/>
          <w:szCs w:val="22"/>
        </w:rPr>
        <w:t xml:space="preserve">Institutions and the path to the modern economy; lessons from medieval trade. </w:t>
      </w:r>
      <w:r w:rsidRPr="005736B3">
        <w:rPr>
          <w:sz w:val="22"/>
          <w:szCs w:val="22"/>
        </w:rPr>
        <w:t>Cambridge: Cambridge University Press.</w:t>
      </w:r>
    </w:p>
    <w:p w:rsidR="00ED1407" w:rsidRPr="005736B3" w:rsidRDefault="00ED1407" w:rsidP="005736B3">
      <w:pPr>
        <w:numPr>
          <w:ilvl w:val="0"/>
          <w:numId w:val="2"/>
        </w:numPr>
        <w:spacing w:line="480" w:lineRule="auto"/>
        <w:rPr>
          <w:sz w:val="22"/>
          <w:szCs w:val="22"/>
        </w:rPr>
      </w:pPr>
      <w:r w:rsidRPr="005736B3">
        <w:rPr>
          <w:sz w:val="22"/>
          <w:szCs w:val="22"/>
        </w:rPr>
        <w:t xml:space="preserve">Greif, A. and Tabellini, G. 2010 Cultural and Institutional bifurcation: China and Europe compared, </w:t>
      </w:r>
      <w:r w:rsidRPr="005736B3">
        <w:rPr>
          <w:i/>
          <w:sz w:val="22"/>
          <w:szCs w:val="22"/>
        </w:rPr>
        <w:t>American Economic Review</w:t>
      </w:r>
      <w:r w:rsidRPr="005736B3">
        <w:rPr>
          <w:sz w:val="22"/>
          <w:szCs w:val="22"/>
        </w:rPr>
        <w:t xml:space="preserve">, </w:t>
      </w:r>
      <w:r w:rsidRPr="005736B3">
        <w:rPr>
          <w:i/>
          <w:sz w:val="22"/>
          <w:szCs w:val="22"/>
        </w:rPr>
        <w:t>Papers and Proceedings</w:t>
      </w:r>
      <w:r w:rsidRPr="005736B3">
        <w:rPr>
          <w:sz w:val="22"/>
          <w:szCs w:val="22"/>
        </w:rPr>
        <w:t>, 100: 135-140.</w:t>
      </w:r>
    </w:p>
    <w:p w:rsidR="00ED1407" w:rsidRDefault="00ED1407" w:rsidP="007F112B">
      <w:pPr>
        <w:numPr>
          <w:ilvl w:val="0"/>
          <w:numId w:val="2"/>
        </w:numPr>
        <w:spacing w:line="480" w:lineRule="auto"/>
        <w:rPr>
          <w:sz w:val="22"/>
          <w:szCs w:val="22"/>
        </w:rPr>
      </w:pPr>
      <w:r w:rsidRPr="005736B3">
        <w:rPr>
          <w:sz w:val="22"/>
          <w:szCs w:val="22"/>
        </w:rPr>
        <w:t xml:space="preserve">Hofstede G. 2001. </w:t>
      </w:r>
      <w:r w:rsidRPr="005736B3">
        <w:rPr>
          <w:i/>
          <w:sz w:val="22"/>
          <w:szCs w:val="22"/>
        </w:rPr>
        <w:t>Culture’s Consequences: Comparing Values, Behaviors, Institutions and Organizations across Nations</w:t>
      </w:r>
      <w:r w:rsidRPr="005736B3">
        <w:rPr>
          <w:sz w:val="22"/>
          <w:szCs w:val="22"/>
        </w:rPr>
        <w:t xml:space="preserve"> (2</w:t>
      </w:r>
      <w:r w:rsidRPr="005736B3">
        <w:rPr>
          <w:sz w:val="22"/>
          <w:szCs w:val="22"/>
          <w:vertAlign w:val="superscript"/>
        </w:rPr>
        <w:t>nd</w:t>
      </w:r>
      <w:r w:rsidRPr="005736B3">
        <w:rPr>
          <w:sz w:val="22"/>
          <w:szCs w:val="22"/>
        </w:rPr>
        <w:t xml:space="preserve"> ed.). Beverly Hills: Sage Publications.</w:t>
      </w:r>
    </w:p>
    <w:p w:rsidR="00ED1407" w:rsidRPr="005736B3" w:rsidRDefault="00ED1407" w:rsidP="007F112B">
      <w:pPr>
        <w:numPr>
          <w:ilvl w:val="0"/>
          <w:numId w:val="2"/>
        </w:numPr>
        <w:spacing w:line="480" w:lineRule="auto"/>
        <w:rPr>
          <w:sz w:val="22"/>
          <w:szCs w:val="22"/>
        </w:rPr>
      </w:pPr>
      <w:r>
        <w:rPr>
          <w:rStyle w:val="referencetext1"/>
          <w:rFonts w:ascii="Arial" w:hAnsi="Arial" w:cs="Arial"/>
          <w:sz w:val="18"/>
          <w:szCs w:val="18"/>
        </w:rPr>
        <w:t>Hymer, S. 1976</w:t>
      </w:r>
      <w:r w:rsidRPr="00604757">
        <w:rPr>
          <w:rStyle w:val="referencetext1"/>
          <w:rFonts w:ascii="Arial" w:hAnsi="Arial" w:cs="Arial"/>
          <w:sz w:val="18"/>
          <w:szCs w:val="18"/>
        </w:rPr>
        <w:t>.</w:t>
      </w:r>
      <w:r>
        <w:rPr>
          <w:rStyle w:val="referencetext1"/>
          <w:rFonts w:ascii="Arial" w:hAnsi="Arial" w:cs="Arial"/>
          <w:sz w:val="18"/>
          <w:szCs w:val="18"/>
        </w:rPr>
        <w:t xml:space="preserve"> </w:t>
      </w:r>
      <w:r w:rsidRPr="00604757">
        <w:rPr>
          <w:rStyle w:val="referencetext1"/>
          <w:rFonts w:ascii="Arial" w:hAnsi="Arial" w:cs="Arial"/>
          <w:i/>
          <w:sz w:val="18"/>
          <w:szCs w:val="18"/>
        </w:rPr>
        <w:t>The International Operations of National Firms: A Study of Direct Foreign Investment</w:t>
      </w:r>
      <w:r>
        <w:rPr>
          <w:rStyle w:val="referencetext1"/>
          <w:rFonts w:ascii="Arial" w:hAnsi="Arial" w:cs="Arial"/>
          <w:sz w:val="18"/>
          <w:szCs w:val="18"/>
        </w:rPr>
        <w:t xml:space="preserve"> , MIT Press, Cambridge, MA.</w:t>
      </w:r>
    </w:p>
    <w:p w:rsidR="00ED1407" w:rsidRPr="005736B3" w:rsidRDefault="00ED1407" w:rsidP="007F112B">
      <w:pPr>
        <w:numPr>
          <w:ilvl w:val="0"/>
          <w:numId w:val="2"/>
        </w:numPr>
        <w:autoSpaceDE w:val="0"/>
        <w:autoSpaceDN w:val="0"/>
        <w:adjustRightInd w:val="0"/>
        <w:spacing w:line="480" w:lineRule="auto"/>
        <w:rPr>
          <w:bCs/>
          <w:sz w:val="22"/>
          <w:szCs w:val="22"/>
        </w:rPr>
      </w:pPr>
      <w:r w:rsidRPr="005736B3">
        <w:rPr>
          <w:sz w:val="22"/>
          <w:szCs w:val="22"/>
        </w:rPr>
        <w:t xml:space="preserve">Javorcik, B. Özden, C., Spatareanu, M. &amp; Neagu, C. 2006. </w:t>
      </w:r>
      <w:r w:rsidRPr="005736B3">
        <w:rPr>
          <w:bCs/>
          <w:sz w:val="22"/>
          <w:szCs w:val="22"/>
        </w:rPr>
        <w:t xml:space="preserve">Migrant Networks and Foreign Direct Investment, RUTGERS UNIVERSITY NEWARK WORKING PAPER #2006-003. </w:t>
      </w:r>
    </w:p>
    <w:p w:rsidR="00ED1407" w:rsidRPr="005736B3" w:rsidRDefault="00ED1407" w:rsidP="007F112B">
      <w:pPr>
        <w:numPr>
          <w:ilvl w:val="0"/>
          <w:numId w:val="2"/>
        </w:numPr>
        <w:autoSpaceDE w:val="0"/>
        <w:autoSpaceDN w:val="0"/>
        <w:adjustRightInd w:val="0"/>
        <w:spacing w:line="480" w:lineRule="auto"/>
        <w:rPr>
          <w:color w:val="131413"/>
          <w:sz w:val="22"/>
          <w:szCs w:val="22"/>
        </w:rPr>
      </w:pPr>
      <w:r w:rsidRPr="005736B3">
        <w:rPr>
          <w:color w:val="131413"/>
          <w:sz w:val="22"/>
          <w:szCs w:val="22"/>
        </w:rPr>
        <w:t xml:space="preserve">Kim, Y and Gray, S. 2009. An assessment of alternative empirical measures of cultural distance: Evidence from the Republic of Korea </w:t>
      </w:r>
      <w:r w:rsidRPr="005736B3">
        <w:rPr>
          <w:i/>
          <w:color w:val="131413"/>
          <w:sz w:val="22"/>
          <w:szCs w:val="22"/>
        </w:rPr>
        <w:t xml:space="preserve">Asia Pacific Journal of Management </w:t>
      </w:r>
      <w:r w:rsidRPr="005736B3">
        <w:rPr>
          <w:color w:val="131413"/>
          <w:sz w:val="22"/>
          <w:szCs w:val="22"/>
        </w:rPr>
        <w:t xml:space="preserve">26:55–74. </w:t>
      </w:r>
    </w:p>
    <w:p w:rsidR="00ED1407" w:rsidRPr="005736B3" w:rsidRDefault="00ED1407" w:rsidP="007F112B">
      <w:pPr>
        <w:numPr>
          <w:ilvl w:val="0"/>
          <w:numId w:val="2"/>
        </w:numPr>
        <w:spacing w:line="480" w:lineRule="auto"/>
        <w:rPr>
          <w:sz w:val="22"/>
          <w:szCs w:val="22"/>
        </w:rPr>
      </w:pPr>
      <w:r w:rsidRPr="005736B3">
        <w:rPr>
          <w:sz w:val="22"/>
          <w:szCs w:val="22"/>
        </w:rPr>
        <w:t xml:space="preserve">Kogut, B. and Singh, H. 1988. ‘The effect of national culture on the choice of entry mode’, </w:t>
      </w:r>
      <w:r w:rsidRPr="005736B3">
        <w:rPr>
          <w:i/>
          <w:sz w:val="22"/>
          <w:szCs w:val="22"/>
        </w:rPr>
        <w:t>Journal of International Business Studies</w:t>
      </w:r>
      <w:r w:rsidRPr="005736B3">
        <w:rPr>
          <w:sz w:val="22"/>
          <w:szCs w:val="22"/>
        </w:rPr>
        <w:t xml:space="preserve"> </w:t>
      </w:r>
      <w:r w:rsidRPr="005736B3">
        <w:rPr>
          <w:bCs/>
          <w:sz w:val="22"/>
          <w:szCs w:val="22"/>
        </w:rPr>
        <w:t>19</w:t>
      </w:r>
      <w:r w:rsidRPr="005736B3">
        <w:rPr>
          <w:sz w:val="22"/>
          <w:szCs w:val="22"/>
        </w:rPr>
        <w:t>.3: 411-432.</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Lee, S, Shenkar, O. and Li, J. 2008. </w:t>
      </w:r>
      <w:r w:rsidRPr="005736B3">
        <w:rPr>
          <w:bCs/>
          <w:sz w:val="22"/>
          <w:szCs w:val="22"/>
        </w:rPr>
        <w:t>Cultural Distance, Investment Flow, And Control In Cross-Border Cooperation</w:t>
      </w:r>
      <w:r w:rsidRPr="005736B3">
        <w:rPr>
          <w:sz w:val="22"/>
          <w:szCs w:val="22"/>
        </w:rPr>
        <w:t xml:space="preserve"> </w:t>
      </w:r>
      <w:r w:rsidRPr="005736B3">
        <w:rPr>
          <w:i/>
          <w:iCs/>
          <w:sz w:val="22"/>
          <w:szCs w:val="22"/>
        </w:rPr>
        <w:t>Strategic. Management Journal</w:t>
      </w:r>
      <w:r w:rsidRPr="005736B3">
        <w:rPr>
          <w:sz w:val="22"/>
          <w:szCs w:val="22"/>
        </w:rPr>
        <w:t xml:space="preserve">, </w:t>
      </w:r>
      <w:r w:rsidRPr="005736B3">
        <w:rPr>
          <w:b/>
          <w:bCs/>
          <w:sz w:val="22"/>
          <w:szCs w:val="22"/>
        </w:rPr>
        <w:t>29</w:t>
      </w:r>
      <w:r w:rsidRPr="005736B3">
        <w:rPr>
          <w:sz w:val="22"/>
          <w:szCs w:val="22"/>
        </w:rPr>
        <w:t xml:space="preserve">: 1117–1125. </w:t>
      </w:r>
    </w:p>
    <w:p w:rsidR="00ED1407" w:rsidRPr="005736B3" w:rsidRDefault="00ED1407" w:rsidP="007F112B">
      <w:pPr>
        <w:numPr>
          <w:ilvl w:val="0"/>
          <w:numId w:val="2"/>
        </w:numPr>
        <w:autoSpaceDE w:val="0"/>
        <w:autoSpaceDN w:val="0"/>
        <w:adjustRightInd w:val="0"/>
        <w:spacing w:line="480" w:lineRule="auto"/>
        <w:rPr>
          <w:bCs/>
          <w:sz w:val="22"/>
          <w:szCs w:val="22"/>
        </w:rPr>
      </w:pPr>
      <w:r w:rsidRPr="005736B3">
        <w:rPr>
          <w:sz w:val="22"/>
          <w:szCs w:val="22"/>
        </w:rPr>
        <w:t>Lee, S., Shenkar, O, and Li, J. 2008 C</w:t>
      </w:r>
      <w:r w:rsidRPr="005736B3">
        <w:rPr>
          <w:bCs/>
          <w:sz w:val="22"/>
          <w:szCs w:val="22"/>
        </w:rPr>
        <w:t xml:space="preserve">ultural distance, investment flow, and control in cross border cooperation, </w:t>
      </w:r>
      <w:r w:rsidRPr="005736B3">
        <w:rPr>
          <w:i/>
          <w:iCs/>
          <w:sz w:val="22"/>
          <w:szCs w:val="22"/>
        </w:rPr>
        <w:t>Strategic Management Journal</w:t>
      </w:r>
      <w:r w:rsidRPr="005736B3">
        <w:rPr>
          <w:sz w:val="22"/>
          <w:szCs w:val="22"/>
        </w:rPr>
        <w:t xml:space="preserve">, </w:t>
      </w:r>
      <w:r w:rsidRPr="005736B3">
        <w:rPr>
          <w:bCs/>
          <w:sz w:val="22"/>
          <w:szCs w:val="22"/>
        </w:rPr>
        <w:t>29</w:t>
      </w:r>
      <w:r w:rsidRPr="005736B3">
        <w:rPr>
          <w:sz w:val="22"/>
          <w:szCs w:val="22"/>
        </w:rPr>
        <w:t xml:space="preserve">: 1117–1125. </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Li, J. and Guisinger, S.E. (1992) ‘The globalization of service ultinationals in the ‘Triad’ regions: Japan, Western Europe nd North America’, </w:t>
      </w:r>
      <w:r w:rsidRPr="005736B3">
        <w:rPr>
          <w:i/>
          <w:sz w:val="22"/>
          <w:szCs w:val="22"/>
        </w:rPr>
        <w:t>Journal of International Business Studies</w:t>
      </w:r>
      <w:r w:rsidRPr="005736B3">
        <w:rPr>
          <w:sz w:val="22"/>
          <w:szCs w:val="22"/>
        </w:rPr>
        <w:t xml:space="preserve"> 23(4): 675–696.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Mezias, S., Chen, Y., Murphy, P., Biaggio, A., Chuawanlee, W., Hui, H., Okumura, T. Starr, S. 2002. National cultural distance as liability of  foreignness: the issue of level of analysis, </w:t>
      </w:r>
      <w:r w:rsidRPr="005736B3">
        <w:rPr>
          <w:i/>
          <w:sz w:val="22"/>
          <w:szCs w:val="22"/>
        </w:rPr>
        <w:t>Journal of International Management</w:t>
      </w:r>
      <w:r w:rsidRPr="005736B3">
        <w:rPr>
          <w:sz w:val="22"/>
          <w:szCs w:val="22"/>
        </w:rPr>
        <w:t>, 8, 407–421.</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Mitra, D. and Golder, P. (2002), “Whose culture matters? Near-market knowledge and its impact on foreign market entry timing”, Journal of Marketing Research, Vol. 39 No. 3, pp. 350-65.</w:t>
      </w:r>
    </w:p>
    <w:p w:rsidR="00ED1407" w:rsidRPr="005736B3" w:rsidRDefault="00ED1407" w:rsidP="009076A2">
      <w:pPr>
        <w:numPr>
          <w:ilvl w:val="0"/>
          <w:numId w:val="2"/>
        </w:numPr>
        <w:autoSpaceDE w:val="0"/>
        <w:autoSpaceDN w:val="0"/>
        <w:adjustRightInd w:val="0"/>
        <w:spacing w:line="480" w:lineRule="auto"/>
        <w:rPr>
          <w:sz w:val="22"/>
          <w:szCs w:val="22"/>
        </w:rPr>
      </w:pPr>
      <w:r w:rsidRPr="005736B3">
        <w:rPr>
          <w:bCs/>
          <w:sz w:val="22"/>
          <w:szCs w:val="22"/>
        </w:rPr>
        <w:t>Nachum, L. 2010. When Is Foreignness an Asset or a Liability? Explaining the Performance Differential Between Foreign and Local Firms</w:t>
      </w:r>
      <w:r w:rsidRPr="005736B3">
        <w:rPr>
          <w:i/>
          <w:iCs/>
          <w:sz w:val="22"/>
          <w:szCs w:val="22"/>
        </w:rPr>
        <w:t xml:space="preserve"> Journal of Management </w:t>
      </w:r>
      <w:r w:rsidRPr="005736B3">
        <w:rPr>
          <w:sz w:val="22"/>
          <w:szCs w:val="22"/>
        </w:rPr>
        <w:t xml:space="preserve">36: 714- 739. </w:t>
      </w:r>
    </w:p>
    <w:p w:rsidR="00ED1407" w:rsidRPr="005736B3" w:rsidRDefault="00ED1407" w:rsidP="005736B3">
      <w:pPr>
        <w:numPr>
          <w:ilvl w:val="0"/>
          <w:numId w:val="2"/>
        </w:numPr>
        <w:autoSpaceDE w:val="0"/>
        <w:autoSpaceDN w:val="0"/>
        <w:adjustRightInd w:val="0"/>
        <w:spacing w:line="480" w:lineRule="auto"/>
        <w:rPr>
          <w:sz w:val="22"/>
          <w:szCs w:val="22"/>
        </w:rPr>
      </w:pPr>
      <w:r w:rsidRPr="005736B3">
        <w:rPr>
          <w:sz w:val="22"/>
          <w:szCs w:val="22"/>
        </w:rPr>
        <w:t xml:space="preserve">North, D. 1990. </w:t>
      </w:r>
      <w:r w:rsidRPr="005736B3">
        <w:rPr>
          <w:i/>
          <w:sz w:val="22"/>
          <w:szCs w:val="22"/>
        </w:rPr>
        <w:t>Institutions, Institutional Change and Economic Performance.</w:t>
      </w:r>
      <w:r w:rsidRPr="005736B3">
        <w:rPr>
          <w:sz w:val="22"/>
          <w:szCs w:val="22"/>
        </w:rPr>
        <w:t xml:space="preserve"> Cambridge: Cambridge University Press.</w:t>
      </w:r>
    </w:p>
    <w:p w:rsidR="00ED1407" w:rsidRPr="005736B3" w:rsidRDefault="00ED1407" w:rsidP="005736B3">
      <w:pPr>
        <w:numPr>
          <w:ilvl w:val="0"/>
          <w:numId w:val="2"/>
        </w:numPr>
        <w:autoSpaceDE w:val="0"/>
        <w:autoSpaceDN w:val="0"/>
        <w:adjustRightInd w:val="0"/>
        <w:spacing w:line="480" w:lineRule="auto"/>
        <w:rPr>
          <w:sz w:val="22"/>
          <w:szCs w:val="22"/>
        </w:rPr>
      </w:pPr>
      <w:r w:rsidRPr="005736B3">
        <w:rPr>
          <w:sz w:val="22"/>
          <w:szCs w:val="22"/>
        </w:rPr>
        <w:t xml:space="preserve">North, D. 2005. </w:t>
      </w:r>
      <w:r w:rsidRPr="005736B3">
        <w:rPr>
          <w:i/>
          <w:sz w:val="22"/>
          <w:szCs w:val="22"/>
        </w:rPr>
        <w:t>Understanding the process of economic change</w:t>
      </w:r>
      <w:r w:rsidRPr="005736B3">
        <w:rPr>
          <w:sz w:val="22"/>
          <w:szCs w:val="22"/>
        </w:rPr>
        <w:t>. Princeton, NJ:  Princeton University Press.</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Pla-Barber, J. Sanchez-Peinado, E. and Madhok, A. 2010 Investment and Control Decisions in Foreign Markets: Evidence from Service Industries </w:t>
      </w:r>
      <w:r w:rsidRPr="005736B3">
        <w:rPr>
          <w:i/>
          <w:sz w:val="22"/>
          <w:szCs w:val="22"/>
        </w:rPr>
        <w:t>British Journal of Management</w:t>
      </w:r>
      <w:r w:rsidRPr="005736B3">
        <w:rPr>
          <w:sz w:val="22"/>
          <w:szCs w:val="22"/>
        </w:rPr>
        <w:t>, Vol. 21, 736–753 (2010)</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Robertson, K. and Wood, V. (2001), “The relative importance of types of information in the foreign market selection process”, International Business Review, Vol. 10 No. 3, pp. 363-79.</w:t>
      </w:r>
    </w:p>
    <w:p w:rsidR="00ED1407" w:rsidRPr="005736B3" w:rsidRDefault="00ED1407" w:rsidP="005736B3">
      <w:pPr>
        <w:numPr>
          <w:ilvl w:val="0"/>
          <w:numId w:val="2"/>
        </w:numPr>
        <w:autoSpaceDE w:val="0"/>
        <w:autoSpaceDN w:val="0"/>
        <w:adjustRightInd w:val="0"/>
        <w:spacing w:line="480" w:lineRule="auto"/>
        <w:rPr>
          <w:sz w:val="22"/>
          <w:szCs w:val="22"/>
        </w:rPr>
      </w:pPr>
      <w:r w:rsidRPr="005736B3">
        <w:rPr>
          <w:sz w:val="22"/>
          <w:szCs w:val="22"/>
        </w:rPr>
        <w:t xml:space="preserve">Robertson, K. and Wood, V. (2001), “The relative importance of types of information in the foreign market selection process”, </w:t>
      </w:r>
      <w:r w:rsidRPr="005736B3">
        <w:rPr>
          <w:i/>
          <w:sz w:val="22"/>
          <w:szCs w:val="22"/>
        </w:rPr>
        <w:t>International Business Review</w:t>
      </w:r>
      <w:r w:rsidRPr="005736B3">
        <w:rPr>
          <w:sz w:val="22"/>
          <w:szCs w:val="22"/>
        </w:rPr>
        <w:t>, Vol. 10 No. 3, pp. 363-79.</w:t>
      </w:r>
    </w:p>
    <w:p w:rsidR="00ED1407" w:rsidRPr="005736B3" w:rsidRDefault="00ED1407" w:rsidP="007F112B">
      <w:pPr>
        <w:numPr>
          <w:ilvl w:val="0"/>
          <w:numId w:val="2"/>
        </w:numPr>
        <w:autoSpaceDE w:val="0"/>
        <w:autoSpaceDN w:val="0"/>
        <w:adjustRightInd w:val="0"/>
        <w:spacing w:line="480" w:lineRule="auto"/>
        <w:rPr>
          <w:i/>
          <w:iCs/>
          <w:sz w:val="22"/>
          <w:szCs w:val="22"/>
        </w:rPr>
      </w:pPr>
      <w:r w:rsidRPr="005736B3">
        <w:rPr>
          <w:sz w:val="22"/>
          <w:szCs w:val="22"/>
        </w:rPr>
        <w:t xml:space="preserve">Rodrik, D., Subramanian, A. and Trebbi, F. 2004. ‘Institutions Rule: The Primacy of Institutions over Geography and Integration in Economic Development’, </w:t>
      </w:r>
      <w:r w:rsidRPr="005736B3">
        <w:rPr>
          <w:i/>
          <w:sz w:val="22"/>
          <w:szCs w:val="22"/>
        </w:rPr>
        <w:t>Journal of Economic Growth</w:t>
      </w:r>
      <w:r w:rsidRPr="005736B3">
        <w:rPr>
          <w:sz w:val="22"/>
          <w:szCs w:val="22"/>
        </w:rPr>
        <w:t xml:space="preserve"> 9.2: 131-165.</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Rugman, A., &amp; Verbeke, A. 2004. A perspective on regional and global strategies of multinational enterprises. </w:t>
      </w:r>
      <w:r w:rsidRPr="005736B3">
        <w:rPr>
          <w:i/>
          <w:sz w:val="22"/>
          <w:szCs w:val="22"/>
        </w:rPr>
        <w:t>Journal of International Business Studies</w:t>
      </w:r>
      <w:r w:rsidRPr="005736B3">
        <w:rPr>
          <w:sz w:val="22"/>
          <w:szCs w:val="22"/>
        </w:rPr>
        <w:t>, 35: 3–18.</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lang w:val="nl-NL"/>
        </w:rPr>
        <w:t xml:space="preserve">Rugman, A.M. &amp; Verbeke, A. 2007. </w:t>
      </w:r>
      <w:r w:rsidRPr="005736B3">
        <w:rPr>
          <w:sz w:val="22"/>
          <w:szCs w:val="22"/>
        </w:rPr>
        <w:t xml:space="preserve">Liabilities of regional foreignness and the use of firm-level versus country-level data, a response to Dunning et al., </w:t>
      </w:r>
      <w:r w:rsidRPr="005736B3">
        <w:rPr>
          <w:i/>
          <w:sz w:val="22"/>
          <w:szCs w:val="22"/>
        </w:rPr>
        <w:t>Journal of International Business Studies</w:t>
      </w:r>
      <w:r w:rsidRPr="005736B3">
        <w:rPr>
          <w:sz w:val="22"/>
          <w:szCs w:val="22"/>
        </w:rPr>
        <w:t>, 38: 200-205.</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Shenkar, O. 2001. ‘Cultural distance revisited: Towards a more rigorous conceptualization and measurement of cultural differences’, </w:t>
      </w:r>
      <w:r w:rsidRPr="005736B3">
        <w:rPr>
          <w:i/>
          <w:iCs/>
          <w:sz w:val="22"/>
          <w:szCs w:val="22"/>
        </w:rPr>
        <w:t>Journal of International Business Studies</w:t>
      </w:r>
      <w:r w:rsidRPr="005736B3">
        <w:rPr>
          <w:sz w:val="22"/>
          <w:szCs w:val="22"/>
        </w:rPr>
        <w:t xml:space="preserve"> </w:t>
      </w:r>
      <w:r w:rsidRPr="005736B3">
        <w:rPr>
          <w:bCs/>
          <w:sz w:val="22"/>
          <w:szCs w:val="22"/>
        </w:rPr>
        <w:t>32</w:t>
      </w:r>
      <w:r w:rsidRPr="005736B3">
        <w:rPr>
          <w:sz w:val="22"/>
          <w:szCs w:val="22"/>
        </w:rPr>
        <w:t>.3: 519-535.</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Sunderland, P., Taylor, E. and Denny, R. 2004. ‘</w:t>
      </w:r>
      <w:r w:rsidRPr="005736B3">
        <w:rPr>
          <w:color w:val="242424"/>
          <w:sz w:val="22"/>
          <w:szCs w:val="22"/>
        </w:rPr>
        <w:t xml:space="preserve">Being Mexican and American: Negotiating ethnicity in the practice of market research’ </w:t>
      </w:r>
      <w:r w:rsidRPr="005736B3">
        <w:rPr>
          <w:i/>
          <w:color w:val="242424"/>
          <w:sz w:val="22"/>
          <w:szCs w:val="22"/>
        </w:rPr>
        <w:t>Human Organization</w:t>
      </w:r>
      <w:r w:rsidRPr="005736B3">
        <w:rPr>
          <w:color w:val="242424"/>
          <w:sz w:val="22"/>
          <w:szCs w:val="22"/>
        </w:rPr>
        <w:t>, 63.3: 373-380.</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Terpstra, V. and Yu, C. (1988), “Determinants of foreign investment of US advertising agencies”, Journal of International Business Studies, Vol. 19 No. 1, pp. 33-46.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Terpstra, V. and Yu, C. (1988), “Determinants of foreign investment of US advertising agencies”, </w:t>
      </w:r>
      <w:r w:rsidRPr="005736B3">
        <w:rPr>
          <w:i/>
          <w:sz w:val="22"/>
          <w:szCs w:val="22"/>
        </w:rPr>
        <w:t>Journal of International Business Studies</w:t>
      </w:r>
      <w:r w:rsidRPr="005736B3">
        <w:rPr>
          <w:sz w:val="22"/>
          <w:szCs w:val="22"/>
        </w:rPr>
        <w:t xml:space="preserve">, Vol. 19 No. 1, pp. 33-46. </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Tung, R. L. 2008a. The cross-cultural research imperative: The need to balance cross-national and intra-national diversity. </w:t>
      </w:r>
      <w:r w:rsidRPr="005736B3">
        <w:rPr>
          <w:i/>
          <w:sz w:val="22"/>
          <w:szCs w:val="22"/>
        </w:rPr>
        <w:t>Journal of International Business Studies</w:t>
      </w:r>
      <w:r w:rsidRPr="005736B3">
        <w:rPr>
          <w:sz w:val="22"/>
          <w:szCs w:val="22"/>
        </w:rPr>
        <w:t>, 39(1): 41–46.</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Tung, R. L., &amp; Baumann, C. 2009. Comparing the attitudes toward money, material possessions and savings of overseas Chinese vis-a`-vis Chinese in China: Convergence, divergence or crossvergence, vis-a`-vis “one size fits all” human resource management policies and practices. </w:t>
      </w:r>
      <w:r w:rsidRPr="005736B3">
        <w:rPr>
          <w:i/>
          <w:sz w:val="22"/>
          <w:szCs w:val="22"/>
        </w:rPr>
        <w:t>International Journal of Human Resource Management</w:t>
      </w:r>
      <w:r w:rsidRPr="005736B3">
        <w:rPr>
          <w:sz w:val="22"/>
          <w:szCs w:val="22"/>
        </w:rPr>
        <w:t>, 20(11): 2382–2401</w:t>
      </w:r>
    </w:p>
    <w:p w:rsidR="00ED1407" w:rsidRPr="005736B3" w:rsidRDefault="00ED1407" w:rsidP="007F112B">
      <w:pPr>
        <w:numPr>
          <w:ilvl w:val="0"/>
          <w:numId w:val="2"/>
        </w:numPr>
        <w:autoSpaceDE w:val="0"/>
        <w:autoSpaceDN w:val="0"/>
        <w:adjustRightInd w:val="0"/>
        <w:spacing w:line="480" w:lineRule="auto"/>
        <w:rPr>
          <w:sz w:val="22"/>
          <w:szCs w:val="22"/>
        </w:rPr>
      </w:pPr>
      <w:r w:rsidRPr="005736B3">
        <w:rPr>
          <w:sz w:val="22"/>
          <w:szCs w:val="22"/>
        </w:rPr>
        <w:t xml:space="preserve">Tung, R.L. and Verbeke, A. 2010. Beyond Hofstede and GLOBE: Improving the quality of cross cultural research, </w:t>
      </w:r>
      <w:r w:rsidRPr="005736B3">
        <w:rPr>
          <w:i/>
          <w:sz w:val="22"/>
          <w:szCs w:val="22"/>
        </w:rPr>
        <w:t>Journal of International Business Studies</w:t>
      </w:r>
      <w:r w:rsidRPr="005736B3">
        <w:rPr>
          <w:sz w:val="22"/>
          <w:szCs w:val="22"/>
        </w:rPr>
        <w:t xml:space="preserve">  41, 1259–1274. </w:t>
      </w:r>
    </w:p>
    <w:p w:rsidR="00ED1407" w:rsidRPr="005736B3" w:rsidRDefault="00ED1407" w:rsidP="009076A2">
      <w:pPr>
        <w:numPr>
          <w:ilvl w:val="0"/>
          <w:numId w:val="2"/>
        </w:numPr>
        <w:autoSpaceDE w:val="0"/>
        <w:autoSpaceDN w:val="0"/>
        <w:adjustRightInd w:val="0"/>
        <w:spacing w:line="480" w:lineRule="auto"/>
        <w:rPr>
          <w:sz w:val="22"/>
          <w:szCs w:val="22"/>
        </w:rPr>
      </w:pPr>
      <w:r w:rsidRPr="005736B3">
        <w:rPr>
          <w:sz w:val="22"/>
          <w:szCs w:val="22"/>
        </w:rPr>
        <w:t>Weitzel, U. and Berns, S. (2006), “Cross-border takeovers, corruption, and related aspects of governance”, Journal of International Business Studies, Vol. 37 No. 6, pp. 786-806.</w:t>
      </w:r>
    </w:p>
    <w:p w:rsidR="00ED1407" w:rsidRPr="005736B3" w:rsidRDefault="00ED1407" w:rsidP="009076A2">
      <w:pPr>
        <w:numPr>
          <w:ilvl w:val="0"/>
          <w:numId w:val="2"/>
        </w:numPr>
        <w:autoSpaceDE w:val="0"/>
        <w:autoSpaceDN w:val="0"/>
        <w:adjustRightInd w:val="0"/>
        <w:spacing w:line="480" w:lineRule="auto"/>
        <w:rPr>
          <w:sz w:val="22"/>
          <w:szCs w:val="22"/>
        </w:rPr>
      </w:pPr>
      <w:r w:rsidRPr="005736B3">
        <w:rPr>
          <w:sz w:val="22"/>
          <w:szCs w:val="22"/>
        </w:rPr>
        <w:t xml:space="preserve">Williamson, O.E. 2000. ‘The New Institutional Economics: Taking Stock, Looking Ahead’, </w:t>
      </w:r>
      <w:r w:rsidRPr="005736B3">
        <w:rPr>
          <w:i/>
          <w:sz w:val="22"/>
          <w:szCs w:val="22"/>
        </w:rPr>
        <w:t>Journal of Economic Literature</w:t>
      </w:r>
      <w:r w:rsidRPr="005736B3">
        <w:rPr>
          <w:sz w:val="22"/>
          <w:szCs w:val="22"/>
        </w:rPr>
        <w:t xml:space="preserve"> 38: 595-613.</w:t>
      </w:r>
    </w:p>
    <w:p w:rsidR="00ED1407" w:rsidRDefault="00ED1407" w:rsidP="005736B3">
      <w:pPr>
        <w:autoSpaceDE w:val="0"/>
        <w:autoSpaceDN w:val="0"/>
        <w:adjustRightInd w:val="0"/>
        <w:spacing w:line="480" w:lineRule="auto"/>
        <w:ind w:left="360"/>
      </w:pPr>
      <w:r>
        <w:br w:type="page"/>
      </w:r>
    </w:p>
    <w:p w:rsidR="00ED1407" w:rsidRDefault="00ED1407" w:rsidP="008B79E2">
      <w:pPr>
        <w:spacing w:line="480" w:lineRule="auto"/>
        <w:rPr>
          <w:b/>
        </w:rPr>
      </w:pPr>
      <w:r w:rsidRPr="007422EB">
        <w:rPr>
          <w:b/>
        </w:rPr>
        <w:t>Appendix A</w:t>
      </w:r>
      <w:r>
        <w:rPr>
          <w:b/>
        </w:rPr>
        <w:t>1</w:t>
      </w:r>
    </w:p>
    <w:tbl>
      <w:tblPr>
        <w:tblW w:w="9378" w:type="dxa"/>
        <w:tblLayout w:type="fixed"/>
        <w:tblCellMar>
          <w:left w:w="18" w:type="dxa"/>
          <w:right w:w="18" w:type="dxa"/>
        </w:tblCellMar>
        <w:tblLook w:val="0000"/>
      </w:tblPr>
      <w:tblGrid>
        <w:gridCol w:w="3138"/>
        <w:gridCol w:w="1080"/>
        <w:gridCol w:w="1362"/>
        <w:gridCol w:w="1106"/>
        <w:gridCol w:w="1106"/>
        <w:gridCol w:w="1586"/>
      </w:tblGrid>
      <w:tr w:rsidR="00ED1407" w:rsidRPr="00C32E57" w:rsidTr="00361DFC">
        <w:tc>
          <w:tcPr>
            <w:tcW w:w="9378" w:type="dxa"/>
            <w:gridSpan w:val="6"/>
            <w:tcBorders>
              <w:top w:val="single" w:sz="8" w:space="0" w:color="000000"/>
              <w:left w:val="single" w:sz="8" w:space="0" w:color="000000"/>
              <w:bottom w:val="single" w:sz="4" w:space="0" w:color="000000"/>
              <w:right w:val="single" w:sz="8" w:space="0" w:color="000000"/>
            </w:tcBorders>
            <w:shd w:val="clear" w:color="auto" w:fill="FFFFFF"/>
          </w:tcPr>
          <w:p w:rsidR="00ED1407" w:rsidRPr="00C848B9" w:rsidRDefault="00ED1407" w:rsidP="00C848B9">
            <w:pPr>
              <w:autoSpaceDE w:val="0"/>
              <w:autoSpaceDN w:val="0"/>
              <w:adjustRightInd w:val="0"/>
              <w:spacing w:line="480" w:lineRule="auto"/>
              <w:rPr>
                <w:i/>
              </w:rPr>
            </w:pPr>
            <w:r w:rsidRPr="00C848B9">
              <w:rPr>
                <w:i/>
              </w:rPr>
              <w:t>Table A1</w:t>
            </w:r>
            <w:r>
              <w:rPr>
                <w:i/>
              </w:rPr>
              <w:t>.</w:t>
            </w:r>
            <w:r w:rsidRPr="00C848B9">
              <w:rPr>
                <w:i/>
              </w:rPr>
              <w:t xml:space="preserve"> Descriptive statistics main variables</w:t>
            </w:r>
          </w:p>
        </w:tc>
      </w:tr>
      <w:tr w:rsidR="00ED1407" w:rsidRPr="00C32E57" w:rsidTr="00660804">
        <w:tc>
          <w:tcPr>
            <w:tcW w:w="3138" w:type="dxa"/>
            <w:tcBorders>
              <w:top w:val="single" w:sz="8" w:space="0" w:color="000000"/>
              <w:left w:val="single" w:sz="8" w:space="0" w:color="000000"/>
              <w:bottom w:val="single" w:sz="4" w:space="0" w:color="000000"/>
              <w:right w:val="single" w:sz="8" w:space="0" w:color="000000"/>
            </w:tcBorders>
            <w:shd w:val="clear" w:color="auto" w:fill="FFFFFF"/>
          </w:tcPr>
          <w:p w:rsidR="00ED1407" w:rsidRPr="00C32E57" w:rsidRDefault="00ED1407" w:rsidP="008B79E2">
            <w:pPr>
              <w:autoSpaceDE w:val="0"/>
              <w:autoSpaceDN w:val="0"/>
              <w:adjustRightInd w:val="0"/>
              <w:spacing w:line="480" w:lineRule="auto"/>
            </w:pPr>
            <w:r w:rsidRPr="00C32E57">
              <w:t xml:space="preserve">       </w:t>
            </w:r>
          </w:p>
        </w:tc>
        <w:tc>
          <w:tcPr>
            <w:tcW w:w="1080"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ED1407" w:rsidRPr="00660804" w:rsidRDefault="00ED1407" w:rsidP="008B79E2">
            <w:pPr>
              <w:autoSpaceDE w:val="0"/>
              <w:autoSpaceDN w:val="0"/>
              <w:adjustRightInd w:val="0"/>
              <w:spacing w:line="480" w:lineRule="auto"/>
              <w:jc w:val="center"/>
              <w:rPr>
                <w:b/>
              </w:rPr>
            </w:pPr>
            <w:r w:rsidRPr="00660804">
              <w:rPr>
                <w:b/>
              </w:rPr>
              <w:t>N</w:t>
            </w:r>
          </w:p>
        </w:tc>
        <w:tc>
          <w:tcPr>
            <w:tcW w:w="1362"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ED1407" w:rsidRPr="00660804" w:rsidRDefault="00ED1407" w:rsidP="008B79E2">
            <w:pPr>
              <w:autoSpaceDE w:val="0"/>
              <w:autoSpaceDN w:val="0"/>
              <w:adjustRightInd w:val="0"/>
              <w:spacing w:line="480" w:lineRule="auto"/>
              <w:jc w:val="center"/>
              <w:rPr>
                <w:b/>
              </w:rPr>
            </w:pPr>
            <w:r w:rsidRPr="00660804">
              <w:rPr>
                <w:b/>
              </w:rPr>
              <w:t>Min.</w:t>
            </w:r>
          </w:p>
        </w:tc>
        <w:tc>
          <w:tcPr>
            <w:tcW w:w="110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ED1407" w:rsidRPr="00660804" w:rsidRDefault="00ED1407" w:rsidP="008B79E2">
            <w:pPr>
              <w:autoSpaceDE w:val="0"/>
              <w:autoSpaceDN w:val="0"/>
              <w:adjustRightInd w:val="0"/>
              <w:spacing w:line="480" w:lineRule="auto"/>
              <w:jc w:val="center"/>
              <w:rPr>
                <w:b/>
              </w:rPr>
            </w:pPr>
            <w:r w:rsidRPr="00660804">
              <w:rPr>
                <w:b/>
              </w:rPr>
              <w:t>Max.</w:t>
            </w:r>
          </w:p>
        </w:tc>
        <w:tc>
          <w:tcPr>
            <w:tcW w:w="110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ED1407" w:rsidRPr="00660804" w:rsidRDefault="00ED1407" w:rsidP="008B79E2">
            <w:pPr>
              <w:autoSpaceDE w:val="0"/>
              <w:autoSpaceDN w:val="0"/>
              <w:adjustRightInd w:val="0"/>
              <w:spacing w:line="480" w:lineRule="auto"/>
              <w:jc w:val="center"/>
              <w:rPr>
                <w:b/>
              </w:rPr>
            </w:pPr>
            <w:r w:rsidRPr="00660804">
              <w:rPr>
                <w:b/>
              </w:rPr>
              <w:t>Mean</w:t>
            </w:r>
          </w:p>
        </w:tc>
        <w:tc>
          <w:tcPr>
            <w:tcW w:w="158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ED1407" w:rsidRPr="00660804" w:rsidRDefault="00ED1407" w:rsidP="008B79E2">
            <w:pPr>
              <w:autoSpaceDE w:val="0"/>
              <w:autoSpaceDN w:val="0"/>
              <w:adjustRightInd w:val="0"/>
              <w:spacing w:line="480" w:lineRule="auto"/>
              <w:jc w:val="center"/>
              <w:rPr>
                <w:b/>
              </w:rPr>
            </w:pPr>
            <w:r w:rsidRPr="00660804">
              <w:rPr>
                <w:b/>
              </w:rPr>
              <w:t>Std. Deviation</w:t>
            </w:r>
          </w:p>
        </w:tc>
      </w:tr>
      <w:tr w:rsidR="00ED1407" w:rsidTr="00660804">
        <w:tblPrEx>
          <w:tblCellMar>
            <w:left w:w="108" w:type="dxa"/>
            <w:right w:w="108" w:type="dxa"/>
          </w:tblCellMar>
        </w:tblPrEx>
        <w:trPr>
          <w:trHeight w:val="150"/>
        </w:trPr>
        <w:tc>
          <w:tcPr>
            <w:tcW w:w="3138" w:type="dxa"/>
            <w:tcBorders>
              <w:top w:val="single" w:sz="4" w:space="0" w:color="000000"/>
              <w:left w:val="single" w:sz="8" w:space="0" w:color="000000"/>
              <w:bottom w:val="single" w:sz="4" w:space="0" w:color="000000"/>
              <w:right w:val="single" w:sz="8" w:space="0" w:color="000000"/>
            </w:tcBorders>
            <w:shd w:val="clear" w:color="auto" w:fill="FFFFFF"/>
          </w:tcPr>
          <w:p w:rsidR="00ED1407" w:rsidRPr="00660804" w:rsidRDefault="00ED1407" w:rsidP="00660804">
            <w:pPr>
              <w:rPr>
                <w:b/>
              </w:rPr>
            </w:pPr>
            <w:r w:rsidRPr="00660804">
              <w:rPr>
                <w:b/>
              </w:rPr>
              <w:t>Number of bilateral industrial affiliates</w:t>
            </w:r>
          </w:p>
        </w:tc>
        <w:tc>
          <w:tcPr>
            <w:tcW w:w="1080" w:type="dxa"/>
            <w:tcBorders>
              <w:top w:val="single" w:sz="4" w:space="0" w:color="000000"/>
              <w:left w:val="single" w:sz="8" w:space="0" w:color="000000"/>
              <w:bottom w:val="single" w:sz="4" w:space="0" w:color="000000"/>
              <w:right w:val="single" w:sz="8" w:space="0" w:color="000000"/>
            </w:tcBorders>
            <w:shd w:val="clear" w:color="auto" w:fill="FFFFFF"/>
          </w:tcPr>
          <w:p w:rsidR="00ED1407" w:rsidRPr="00EB755A" w:rsidRDefault="00ED1407" w:rsidP="00660804">
            <w:r w:rsidRPr="00EB755A">
              <w:t>3510</w:t>
            </w:r>
          </w:p>
        </w:tc>
        <w:tc>
          <w:tcPr>
            <w:tcW w:w="1362"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0E13" w:rsidRDefault="00ED1407" w:rsidP="00660804">
            <w:r w:rsidRPr="00190E13">
              <w:t>0</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0F5494" w:rsidRDefault="00ED1407" w:rsidP="00660804">
            <w:r w:rsidRPr="000F5494">
              <w:t>13</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594F77" w:rsidRDefault="00ED1407" w:rsidP="00660804">
            <w:r>
              <w:t>.</w:t>
            </w:r>
            <w:r w:rsidRPr="00594F77">
              <w:t>11</w:t>
            </w:r>
          </w:p>
        </w:tc>
        <w:tc>
          <w:tcPr>
            <w:tcW w:w="1586"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6B55" w:rsidRDefault="00ED1407" w:rsidP="00660804">
            <w:r>
              <w:t>.</w:t>
            </w:r>
            <w:r w:rsidRPr="00196B55">
              <w:t>663</w:t>
            </w:r>
          </w:p>
        </w:tc>
      </w:tr>
      <w:tr w:rsidR="00ED1407" w:rsidTr="00660804">
        <w:tblPrEx>
          <w:tblCellMar>
            <w:left w:w="108" w:type="dxa"/>
            <w:right w:w="108" w:type="dxa"/>
          </w:tblCellMar>
        </w:tblPrEx>
        <w:trPr>
          <w:trHeight w:val="196"/>
        </w:trPr>
        <w:tc>
          <w:tcPr>
            <w:tcW w:w="3138" w:type="dxa"/>
            <w:tcBorders>
              <w:top w:val="single" w:sz="4" w:space="0" w:color="000000"/>
              <w:left w:val="single" w:sz="8" w:space="0" w:color="000000"/>
              <w:bottom w:val="single" w:sz="4" w:space="0" w:color="000000"/>
              <w:right w:val="single" w:sz="8" w:space="0" w:color="000000"/>
            </w:tcBorders>
            <w:shd w:val="clear" w:color="auto" w:fill="FFFFFF"/>
          </w:tcPr>
          <w:p w:rsidR="00ED1407" w:rsidRPr="00660804" w:rsidRDefault="00ED1407" w:rsidP="00660804">
            <w:pPr>
              <w:rPr>
                <w:b/>
              </w:rPr>
            </w:pPr>
            <w:r w:rsidRPr="00660804">
              <w:rPr>
                <w:b/>
              </w:rPr>
              <w:t>Number of bilateral tertiary affiliates</w:t>
            </w:r>
          </w:p>
        </w:tc>
        <w:tc>
          <w:tcPr>
            <w:tcW w:w="1080" w:type="dxa"/>
            <w:tcBorders>
              <w:top w:val="single" w:sz="4" w:space="0" w:color="000000"/>
              <w:left w:val="single" w:sz="8" w:space="0" w:color="000000"/>
              <w:bottom w:val="single" w:sz="4" w:space="0" w:color="000000"/>
              <w:right w:val="single" w:sz="8" w:space="0" w:color="000000"/>
            </w:tcBorders>
            <w:shd w:val="clear" w:color="auto" w:fill="FFFFFF"/>
          </w:tcPr>
          <w:p w:rsidR="00ED1407" w:rsidRPr="00EB755A" w:rsidRDefault="00ED1407" w:rsidP="00660804">
            <w:r w:rsidRPr="00EB755A">
              <w:t>3510</w:t>
            </w:r>
          </w:p>
        </w:tc>
        <w:tc>
          <w:tcPr>
            <w:tcW w:w="1362"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0E13" w:rsidRDefault="00ED1407" w:rsidP="00660804">
            <w:r w:rsidRPr="00190E13">
              <w:t>0</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0F5494" w:rsidRDefault="00ED1407" w:rsidP="00660804">
            <w:r w:rsidRPr="000F5494">
              <w:t>18</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594F77" w:rsidRDefault="00ED1407" w:rsidP="00660804">
            <w:r>
              <w:t>.</w:t>
            </w:r>
            <w:r w:rsidRPr="00594F77">
              <w:t>12</w:t>
            </w:r>
          </w:p>
        </w:tc>
        <w:tc>
          <w:tcPr>
            <w:tcW w:w="1586"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6B55" w:rsidRDefault="00ED1407" w:rsidP="00660804">
            <w:r>
              <w:t>.</w:t>
            </w:r>
            <w:r w:rsidRPr="00196B55">
              <w:t>778</w:t>
            </w:r>
          </w:p>
        </w:tc>
      </w:tr>
      <w:tr w:rsidR="00ED1407" w:rsidTr="00660804">
        <w:tblPrEx>
          <w:tblCellMar>
            <w:left w:w="108" w:type="dxa"/>
            <w:right w:w="108" w:type="dxa"/>
          </w:tblCellMar>
        </w:tblPrEx>
        <w:trPr>
          <w:trHeight w:val="234"/>
        </w:trPr>
        <w:tc>
          <w:tcPr>
            <w:tcW w:w="3138" w:type="dxa"/>
            <w:tcBorders>
              <w:top w:val="single" w:sz="4" w:space="0" w:color="000000"/>
              <w:left w:val="single" w:sz="8" w:space="0" w:color="000000"/>
              <w:bottom w:val="single" w:sz="4" w:space="0" w:color="000000"/>
              <w:right w:val="single" w:sz="8" w:space="0" w:color="000000"/>
            </w:tcBorders>
            <w:shd w:val="clear" w:color="auto" w:fill="FFFFFF"/>
          </w:tcPr>
          <w:p w:rsidR="00ED1407" w:rsidRPr="00660804" w:rsidRDefault="00ED1407" w:rsidP="00660804">
            <w:pPr>
              <w:rPr>
                <w:b/>
              </w:rPr>
            </w:pPr>
            <w:r w:rsidRPr="00660804">
              <w:rPr>
                <w:b/>
              </w:rPr>
              <w:t>Number of bilateral finance affiliates</w:t>
            </w:r>
          </w:p>
        </w:tc>
        <w:tc>
          <w:tcPr>
            <w:tcW w:w="1080" w:type="dxa"/>
            <w:tcBorders>
              <w:top w:val="single" w:sz="4" w:space="0" w:color="000000"/>
              <w:left w:val="single" w:sz="8" w:space="0" w:color="000000"/>
              <w:bottom w:val="single" w:sz="4" w:space="0" w:color="000000"/>
              <w:right w:val="single" w:sz="8" w:space="0" w:color="000000"/>
            </w:tcBorders>
            <w:shd w:val="clear" w:color="auto" w:fill="FFFFFF"/>
          </w:tcPr>
          <w:p w:rsidR="00ED1407" w:rsidRPr="00EB755A" w:rsidRDefault="00ED1407" w:rsidP="00660804">
            <w:r w:rsidRPr="00EB755A">
              <w:t>3510</w:t>
            </w:r>
          </w:p>
        </w:tc>
        <w:tc>
          <w:tcPr>
            <w:tcW w:w="1362"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0E13" w:rsidRDefault="00ED1407" w:rsidP="00660804">
            <w:r w:rsidRPr="00190E13">
              <w:t>0</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0F5494" w:rsidRDefault="00ED1407" w:rsidP="00660804">
            <w:r w:rsidRPr="000F5494">
              <w:t>10</w:t>
            </w:r>
          </w:p>
        </w:tc>
        <w:tc>
          <w:tcPr>
            <w:tcW w:w="1106" w:type="dxa"/>
            <w:tcBorders>
              <w:top w:val="single" w:sz="4" w:space="0" w:color="000000"/>
              <w:left w:val="single" w:sz="8" w:space="0" w:color="000000"/>
              <w:bottom w:val="single" w:sz="4" w:space="0" w:color="000000"/>
              <w:right w:val="single" w:sz="8" w:space="0" w:color="000000"/>
            </w:tcBorders>
            <w:shd w:val="clear" w:color="auto" w:fill="FFFFFF"/>
          </w:tcPr>
          <w:p w:rsidR="00ED1407" w:rsidRPr="00594F77" w:rsidRDefault="00ED1407" w:rsidP="00660804">
            <w:r>
              <w:t>.</w:t>
            </w:r>
            <w:r w:rsidRPr="00594F77">
              <w:t>06</w:t>
            </w:r>
          </w:p>
        </w:tc>
        <w:tc>
          <w:tcPr>
            <w:tcW w:w="1586" w:type="dxa"/>
            <w:tcBorders>
              <w:top w:val="single" w:sz="4" w:space="0" w:color="000000"/>
              <w:left w:val="single" w:sz="8" w:space="0" w:color="000000"/>
              <w:bottom w:val="single" w:sz="4" w:space="0" w:color="000000"/>
              <w:right w:val="single" w:sz="8" w:space="0" w:color="000000"/>
            </w:tcBorders>
            <w:shd w:val="clear" w:color="auto" w:fill="FFFFFF"/>
          </w:tcPr>
          <w:p w:rsidR="00ED1407" w:rsidRPr="00196B55" w:rsidRDefault="00ED1407" w:rsidP="00660804">
            <w:r>
              <w:t>.</w:t>
            </w:r>
            <w:r w:rsidRPr="00196B55">
              <w:t>440</w:t>
            </w:r>
          </w:p>
        </w:tc>
      </w:tr>
      <w:tr w:rsidR="00ED1407" w:rsidTr="00660804">
        <w:tblPrEx>
          <w:tblCellMar>
            <w:left w:w="108" w:type="dxa"/>
            <w:right w:w="108" w:type="dxa"/>
          </w:tblCellMar>
        </w:tblPrEx>
        <w:trPr>
          <w:trHeight w:val="479"/>
        </w:trPr>
        <w:tc>
          <w:tcPr>
            <w:tcW w:w="3138" w:type="dxa"/>
            <w:tcBorders>
              <w:top w:val="single" w:sz="4" w:space="0" w:color="000000"/>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Number of bilateral affiliates</w:t>
            </w:r>
          </w:p>
        </w:tc>
        <w:tc>
          <w:tcPr>
            <w:tcW w:w="1080" w:type="dxa"/>
            <w:tcBorders>
              <w:top w:val="single" w:sz="4" w:space="0" w:color="000000"/>
              <w:left w:val="single" w:sz="8" w:space="0" w:color="000000"/>
              <w:bottom w:val="nil"/>
              <w:right w:val="single" w:sz="8" w:space="0" w:color="000000"/>
            </w:tcBorders>
            <w:shd w:val="clear" w:color="auto" w:fill="FFFFFF"/>
          </w:tcPr>
          <w:p w:rsidR="00ED1407" w:rsidRPr="00EB755A" w:rsidRDefault="00ED1407" w:rsidP="00660804">
            <w:r w:rsidRPr="00EB755A">
              <w:t>3510</w:t>
            </w:r>
          </w:p>
        </w:tc>
        <w:tc>
          <w:tcPr>
            <w:tcW w:w="1362" w:type="dxa"/>
            <w:tcBorders>
              <w:top w:val="single" w:sz="4" w:space="0" w:color="000000"/>
              <w:left w:val="single" w:sz="8" w:space="0" w:color="000000"/>
              <w:bottom w:val="nil"/>
              <w:right w:val="single" w:sz="8" w:space="0" w:color="000000"/>
            </w:tcBorders>
            <w:shd w:val="clear" w:color="auto" w:fill="FFFFFF"/>
          </w:tcPr>
          <w:p w:rsidR="00ED1407" w:rsidRPr="00190E13" w:rsidRDefault="00ED1407" w:rsidP="00660804">
            <w:r w:rsidRPr="00190E13">
              <w:t>0</w:t>
            </w:r>
          </w:p>
        </w:tc>
        <w:tc>
          <w:tcPr>
            <w:tcW w:w="1106" w:type="dxa"/>
            <w:tcBorders>
              <w:top w:val="single" w:sz="4" w:space="0" w:color="000000"/>
              <w:left w:val="single" w:sz="8" w:space="0" w:color="000000"/>
              <w:bottom w:val="nil"/>
              <w:right w:val="single" w:sz="8" w:space="0" w:color="000000"/>
            </w:tcBorders>
            <w:shd w:val="clear" w:color="auto" w:fill="FFFFFF"/>
          </w:tcPr>
          <w:p w:rsidR="00ED1407" w:rsidRPr="000F5494" w:rsidRDefault="00ED1407" w:rsidP="00660804">
            <w:r w:rsidRPr="000F5494">
              <w:t>36</w:t>
            </w:r>
          </w:p>
        </w:tc>
        <w:tc>
          <w:tcPr>
            <w:tcW w:w="1106" w:type="dxa"/>
            <w:tcBorders>
              <w:top w:val="single" w:sz="4" w:space="0" w:color="000000"/>
              <w:left w:val="single" w:sz="8" w:space="0" w:color="000000"/>
              <w:bottom w:val="nil"/>
              <w:right w:val="single" w:sz="8" w:space="0" w:color="000000"/>
            </w:tcBorders>
            <w:shd w:val="clear" w:color="auto" w:fill="FFFFFF"/>
          </w:tcPr>
          <w:p w:rsidR="00ED1407" w:rsidRPr="00594F77" w:rsidRDefault="00ED1407" w:rsidP="00660804">
            <w:r>
              <w:t>.</w:t>
            </w:r>
            <w:r w:rsidRPr="00594F77">
              <w:t>29</w:t>
            </w:r>
          </w:p>
        </w:tc>
        <w:tc>
          <w:tcPr>
            <w:tcW w:w="1586" w:type="dxa"/>
            <w:tcBorders>
              <w:top w:val="single" w:sz="4" w:space="0" w:color="000000"/>
              <w:left w:val="single" w:sz="8" w:space="0" w:color="000000"/>
              <w:bottom w:val="nil"/>
              <w:right w:val="single" w:sz="8" w:space="0" w:color="000000"/>
            </w:tcBorders>
            <w:shd w:val="clear" w:color="auto" w:fill="FFFFFF"/>
          </w:tcPr>
          <w:p w:rsidR="00ED1407" w:rsidRPr="00196B55" w:rsidRDefault="00ED1407" w:rsidP="00660804">
            <w:r w:rsidRPr="00196B55">
              <w:t>1</w:t>
            </w:r>
            <w:r>
              <w:t>.</w:t>
            </w:r>
            <w:r w:rsidRPr="00196B55">
              <w:t>617</w:t>
            </w:r>
          </w:p>
        </w:tc>
      </w:tr>
      <w:tr w:rsidR="00ED1407" w:rsidTr="00660804">
        <w:tblPrEx>
          <w:tblCellMar>
            <w:left w:w="108" w:type="dxa"/>
            <w:right w:w="108" w:type="dxa"/>
          </w:tblCellMar>
        </w:tblPrEx>
        <w:trPr>
          <w:trHeight w:val="317"/>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Cultural overlap</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7330</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53</w:t>
            </w:r>
            <w:r>
              <w:t>.</w:t>
            </w:r>
            <w:r w:rsidRPr="00190E13">
              <w:t>16</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98</w:t>
            </w:r>
            <w:r>
              <w:t>.</w:t>
            </w:r>
            <w:r w:rsidRPr="000F5494">
              <w:t>71</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82</w:t>
            </w:r>
            <w:r>
              <w:t>.</w:t>
            </w:r>
            <w:r w:rsidRPr="00594F77">
              <w:t>092</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6</w:t>
            </w:r>
            <w:r>
              <w:t>.466</w:t>
            </w:r>
          </w:p>
        </w:tc>
      </w:tr>
      <w:tr w:rsidR="00ED1407" w:rsidTr="00660804">
        <w:tblPrEx>
          <w:tblCellMar>
            <w:left w:w="108" w:type="dxa"/>
            <w:right w:w="108" w:type="dxa"/>
          </w:tblCellMar>
        </w:tblPrEx>
        <w:trPr>
          <w:trHeight w:val="201"/>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Cultural overlap (restricted)</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7220</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21</w:t>
            </w:r>
            <w:r>
              <w:t>.</w:t>
            </w:r>
            <w:r w:rsidRPr="00190E13">
              <w:t>83</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96</w:t>
            </w:r>
            <w:r>
              <w:t>.</w:t>
            </w:r>
            <w:r w:rsidRPr="000F5494">
              <w:t>10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64</w:t>
            </w:r>
            <w:r>
              <w:t>.</w:t>
            </w:r>
            <w:r w:rsidRPr="00594F77">
              <w:t>39</w:t>
            </w:r>
            <w:r>
              <w:t>6</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12</w:t>
            </w:r>
            <w:r>
              <w:t>.</w:t>
            </w:r>
            <w:r w:rsidRPr="00196B55">
              <w:t>108</w:t>
            </w:r>
          </w:p>
        </w:tc>
      </w:tr>
      <w:tr w:rsidR="00ED1407" w:rsidTr="00660804">
        <w:tblPrEx>
          <w:tblCellMar>
            <w:left w:w="108" w:type="dxa"/>
            <w:right w:w="108" w:type="dxa"/>
          </w:tblCellMar>
        </w:tblPrEx>
        <w:trPr>
          <w:trHeight w:val="295"/>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Cultural distance</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4692</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t>.</w:t>
            </w:r>
            <w:r w:rsidRPr="00190E13">
              <w:t>02</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10</w:t>
            </w:r>
            <w:r>
              <w:t>.</w:t>
            </w:r>
            <w:r w:rsidRPr="000F5494">
              <w:t>16</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2</w:t>
            </w:r>
            <w:r>
              <w:t>.</w:t>
            </w:r>
            <w:r w:rsidRPr="00594F77">
              <w:t>000</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1</w:t>
            </w:r>
            <w:r>
              <w:t>.448</w:t>
            </w:r>
          </w:p>
        </w:tc>
      </w:tr>
      <w:tr w:rsidR="00ED1407" w:rsidTr="00660804">
        <w:tblPrEx>
          <w:tblCellMar>
            <w:left w:w="108" w:type="dxa"/>
            <w:right w:w="108" w:type="dxa"/>
          </w:tblCellMar>
        </w:tblPrEx>
        <w:trPr>
          <w:trHeight w:val="279"/>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GNI PPP current international dollars 2008</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7986</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3441770495</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w:t>
            </w:r>
            <w:r>
              <w:t>.</w:t>
            </w:r>
            <w:r w:rsidRPr="000F5494">
              <w:t>E13</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7</w:t>
            </w:r>
            <w:r>
              <w:t>.</w:t>
            </w:r>
            <w:r w:rsidRPr="00594F77">
              <w:t>66E11</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1</w:t>
            </w:r>
            <w:r>
              <w:t>.</w:t>
            </w:r>
            <w:r w:rsidRPr="00196B55">
              <w:t>877E12</w:t>
            </w:r>
          </w:p>
        </w:tc>
      </w:tr>
      <w:tr w:rsidR="00ED1407" w:rsidTr="00660804">
        <w:tblPrEx>
          <w:tblCellMar>
            <w:left w:w="108" w:type="dxa"/>
            <w:right w:w="108" w:type="dxa"/>
          </w:tblCellMar>
        </w:tblPrEx>
        <w:trPr>
          <w:trHeight w:val="193"/>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Geographical distance</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8584</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55</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19650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7155</w:t>
            </w:r>
            <w:r>
              <w:t>.</w:t>
            </w:r>
            <w:r w:rsidRPr="00594F77">
              <w:t>85</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4601</w:t>
            </w:r>
            <w:r>
              <w:t>.</w:t>
            </w:r>
            <w:r w:rsidRPr="00196B55">
              <w:t>168</w:t>
            </w:r>
          </w:p>
        </w:tc>
      </w:tr>
      <w:tr w:rsidR="00ED1407" w:rsidTr="00660804">
        <w:tblPrEx>
          <w:tblCellMar>
            <w:left w:w="108" w:type="dxa"/>
            <w:right w:w="108" w:type="dxa"/>
          </w:tblCellMar>
        </w:tblPrEx>
        <w:trPr>
          <w:trHeight w:val="259"/>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Common language</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8584</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t>.</w:t>
            </w:r>
            <w:r w:rsidRPr="00594F77">
              <w:t>11</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t>.</w:t>
            </w:r>
            <w:r w:rsidRPr="00196B55">
              <w:t>310</w:t>
            </w:r>
          </w:p>
        </w:tc>
      </w:tr>
      <w:tr w:rsidR="00ED1407" w:rsidTr="00660804">
        <w:tblPrEx>
          <w:tblCellMar>
            <w:left w:w="108" w:type="dxa"/>
            <w:right w:w="108" w:type="dxa"/>
          </w:tblCellMar>
        </w:tblPrEx>
        <w:trPr>
          <w:trHeight w:val="494"/>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Colonial ties</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8584</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rsidRPr="00190E13">
              <w:t>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t>.</w:t>
            </w:r>
            <w:r w:rsidRPr="00594F77">
              <w:t>02</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t>.</w:t>
            </w:r>
            <w:r w:rsidRPr="00196B55">
              <w:t>139</w:t>
            </w:r>
          </w:p>
        </w:tc>
      </w:tr>
      <w:tr w:rsidR="00ED1407" w:rsidTr="00660804">
        <w:tblPrEx>
          <w:tblCellMar>
            <w:left w:w="108" w:type="dxa"/>
            <w:right w:w="108" w:type="dxa"/>
          </w:tblCellMar>
        </w:tblPrEx>
        <w:trPr>
          <w:trHeight w:val="309"/>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 xml:space="preserve">Total affiliates in host </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8943</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t>.</w:t>
            </w:r>
            <w:r w:rsidRPr="00190E13">
              <w:t>00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232</w:t>
            </w:r>
            <w:r>
              <w:t>.</w:t>
            </w:r>
            <w:r w:rsidRPr="000F5494">
              <w:t>00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10</w:t>
            </w:r>
            <w:r>
              <w:t>.</w:t>
            </w:r>
            <w:r w:rsidRPr="00594F77">
              <w:t>789</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29</w:t>
            </w:r>
            <w:r>
              <w:t>.</w:t>
            </w:r>
            <w:r w:rsidRPr="00196B55">
              <w:t>174</w:t>
            </w:r>
          </w:p>
        </w:tc>
      </w:tr>
      <w:tr w:rsidR="00ED1407" w:rsidTr="00660804">
        <w:tblPrEx>
          <w:tblCellMar>
            <w:left w:w="108" w:type="dxa"/>
            <w:right w:w="108" w:type="dxa"/>
          </w:tblCellMar>
        </w:tblPrEx>
        <w:trPr>
          <w:trHeight w:val="347"/>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Total industrial affiliates in host</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8943</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t>.</w:t>
            </w:r>
            <w:r w:rsidRPr="00190E13">
              <w:t>00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81</w:t>
            </w:r>
            <w:r>
              <w:t>.</w:t>
            </w:r>
            <w:r w:rsidRPr="000F5494">
              <w:t>00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4</w:t>
            </w:r>
            <w:r>
              <w:t>.</w:t>
            </w:r>
            <w:r w:rsidRPr="00594F77">
              <w:t>0</w:t>
            </w:r>
            <w:r>
              <w:t>10</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10</w:t>
            </w:r>
            <w:r>
              <w:t>.</w:t>
            </w:r>
            <w:r w:rsidRPr="00196B55">
              <w:t>492</w:t>
            </w:r>
          </w:p>
        </w:tc>
      </w:tr>
      <w:tr w:rsidR="00ED1407" w:rsidTr="00660804">
        <w:tblPrEx>
          <w:tblCellMar>
            <w:left w:w="108" w:type="dxa"/>
            <w:right w:w="108" w:type="dxa"/>
          </w:tblCellMar>
        </w:tblPrEx>
        <w:trPr>
          <w:trHeight w:val="177"/>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Total tertiary affiliates in host</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8943</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t>.</w:t>
            </w:r>
            <w:r w:rsidRPr="00190E13">
              <w:t>00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111</w:t>
            </w:r>
            <w:r>
              <w:t>.</w:t>
            </w:r>
            <w:r w:rsidRPr="000F5494">
              <w:t>00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4</w:t>
            </w:r>
            <w:r>
              <w:t>.511</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13</w:t>
            </w:r>
            <w:r>
              <w:t>.</w:t>
            </w:r>
            <w:r w:rsidRPr="00196B55">
              <w:t>774</w:t>
            </w:r>
          </w:p>
        </w:tc>
      </w:tr>
      <w:tr w:rsidR="00ED1407" w:rsidTr="00660804">
        <w:tblPrEx>
          <w:tblCellMar>
            <w:left w:w="108" w:type="dxa"/>
            <w:right w:w="108" w:type="dxa"/>
          </w:tblCellMar>
        </w:tblPrEx>
        <w:trPr>
          <w:trHeight w:val="451"/>
        </w:trPr>
        <w:tc>
          <w:tcPr>
            <w:tcW w:w="3138" w:type="dxa"/>
            <w:tcBorders>
              <w:top w:val="nil"/>
              <w:left w:val="single" w:sz="8" w:space="0" w:color="000000"/>
              <w:bottom w:val="nil"/>
              <w:right w:val="single" w:sz="8" w:space="0" w:color="000000"/>
            </w:tcBorders>
            <w:shd w:val="clear" w:color="auto" w:fill="FFFFFF"/>
          </w:tcPr>
          <w:p w:rsidR="00ED1407" w:rsidRPr="00660804" w:rsidRDefault="00ED1407" w:rsidP="00660804">
            <w:pPr>
              <w:rPr>
                <w:b/>
              </w:rPr>
            </w:pPr>
            <w:r w:rsidRPr="00660804">
              <w:rPr>
                <w:b/>
              </w:rPr>
              <w:t>Total finance affiliates in host</w:t>
            </w:r>
          </w:p>
        </w:tc>
        <w:tc>
          <w:tcPr>
            <w:tcW w:w="1080" w:type="dxa"/>
            <w:tcBorders>
              <w:top w:val="nil"/>
              <w:left w:val="single" w:sz="8" w:space="0" w:color="000000"/>
              <w:bottom w:val="nil"/>
              <w:right w:val="single" w:sz="8" w:space="0" w:color="000000"/>
            </w:tcBorders>
            <w:shd w:val="clear" w:color="auto" w:fill="FFFFFF"/>
          </w:tcPr>
          <w:p w:rsidR="00ED1407" w:rsidRPr="00EB755A" w:rsidRDefault="00ED1407" w:rsidP="00660804">
            <w:r w:rsidRPr="00EB755A">
              <w:t>8943</w:t>
            </w:r>
          </w:p>
        </w:tc>
        <w:tc>
          <w:tcPr>
            <w:tcW w:w="1362" w:type="dxa"/>
            <w:tcBorders>
              <w:top w:val="nil"/>
              <w:left w:val="single" w:sz="8" w:space="0" w:color="000000"/>
              <w:bottom w:val="nil"/>
              <w:right w:val="single" w:sz="8" w:space="0" w:color="000000"/>
            </w:tcBorders>
            <w:shd w:val="clear" w:color="auto" w:fill="FFFFFF"/>
          </w:tcPr>
          <w:p w:rsidR="00ED1407" w:rsidRPr="00190E13" w:rsidRDefault="00ED1407" w:rsidP="00660804">
            <w:r>
              <w:t>.</w:t>
            </w:r>
            <w:r w:rsidRPr="00190E13">
              <w:t>00</w:t>
            </w:r>
          </w:p>
        </w:tc>
        <w:tc>
          <w:tcPr>
            <w:tcW w:w="1106" w:type="dxa"/>
            <w:tcBorders>
              <w:top w:val="nil"/>
              <w:left w:val="single" w:sz="8" w:space="0" w:color="000000"/>
              <w:bottom w:val="nil"/>
              <w:right w:val="single" w:sz="8" w:space="0" w:color="000000"/>
            </w:tcBorders>
            <w:shd w:val="clear" w:color="auto" w:fill="FFFFFF"/>
          </w:tcPr>
          <w:p w:rsidR="00ED1407" w:rsidRPr="000F5494" w:rsidRDefault="00ED1407" w:rsidP="00660804">
            <w:r w:rsidRPr="000F5494">
              <w:t>40</w:t>
            </w:r>
            <w:r>
              <w:t>.</w:t>
            </w:r>
            <w:r w:rsidRPr="000F5494">
              <w:t>00</w:t>
            </w:r>
          </w:p>
        </w:tc>
        <w:tc>
          <w:tcPr>
            <w:tcW w:w="1106" w:type="dxa"/>
            <w:tcBorders>
              <w:top w:val="nil"/>
              <w:left w:val="single" w:sz="8" w:space="0" w:color="000000"/>
              <w:bottom w:val="nil"/>
              <w:right w:val="single" w:sz="8" w:space="0" w:color="000000"/>
            </w:tcBorders>
            <w:shd w:val="clear" w:color="auto" w:fill="FFFFFF"/>
          </w:tcPr>
          <w:p w:rsidR="00ED1407" w:rsidRPr="00594F77" w:rsidRDefault="00ED1407" w:rsidP="00660804">
            <w:r w:rsidRPr="00594F77">
              <w:t>2</w:t>
            </w:r>
            <w:r>
              <w:t>.269</w:t>
            </w:r>
          </w:p>
        </w:tc>
        <w:tc>
          <w:tcPr>
            <w:tcW w:w="1586" w:type="dxa"/>
            <w:tcBorders>
              <w:top w:val="nil"/>
              <w:left w:val="single" w:sz="8" w:space="0" w:color="000000"/>
              <w:bottom w:val="nil"/>
              <w:right w:val="single" w:sz="8" w:space="0" w:color="000000"/>
            </w:tcBorders>
            <w:shd w:val="clear" w:color="auto" w:fill="FFFFFF"/>
          </w:tcPr>
          <w:p w:rsidR="00ED1407" w:rsidRPr="00196B55" w:rsidRDefault="00ED1407" w:rsidP="00660804">
            <w:r w:rsidRPr="00196B55">
              <w:t>5</w:t>
            </w:r>
            <w:r>
              <w:t>.484</w:t>
            </w:r>
          </w:p>
        </w:tc>
      </w:tr>
      <w:tr w:rsidR="00ED1407" w:rsidTr="00660804">
        <w:tblPrEx>
          <w:tblCellMar>
            <w:left w:w="108" w:type="dxa"/>
            <w:right w:w="108" w:type="dxa"/>
          </w:tblCellMar>
        </w:tblPrEx>
        <w:trPr>
          <w:trHeight w:val="265"/>
        </w:trPr>
        <w:tc>
          <w:tcPr>
            <w:tcW w:w="3138" w:type="dxa"/>
            <w:tcBorders>
              <w:top w:val="nil"/>
              <w:left w:val="single" w:sz="8" w:space="0" w:color="000000"/>
              <w:bottom w:val="single" w:sz="8" w:space="0" w:color="000000"/>
              <w:right w:val="single" w:sz="8" w:space="0" w:color="000000"/>
            </w:tcBorders>
            <w:shd w:val="clear" w:color="auto" w:fill="FFFFFF"/>
          </w:tcPr>
          <w:p w:rsidR="00ED1407" w:rsidRPr="00660804" w:rsidRDefault="00ED1407" w:rsidP="00660804">
            <w:pPr>
              <w:rPr>
                <w:b/>
              </w:rPr>
            </w:pPr>
            <w:r w:rsidRPr="00660804">
              <w:rPr>
                <w:b/>
              </w:rPr>
              <w:t>Total services affiliates in host</w:t>
            </w:r>
          </w:p>
        </w:tc>
        <w:tc>
          <w:tcPr>
            <w:tcW w:w="1080" w:type="dxa"/>
            <w:tcBorders>
              <w:top w:val="nil"/>
              <w:left w:val="single" w:sz="8" w:space="0" w:color="000000"/>
              <w:bottom w:val="single" w:sz="8" w:space="0" w:color="000000"/>
              <w:right w:val="single" w:sz="8" w:space="0" w:color="000000"/>
            </w:tcBorders>
            <w:shd w:val="clear" w:color="auto" w:fill="FFFFFF"/>
          </w:tcPr>
          <w:p w:rsidR="00ED1407" w:rsidRDefault="00ED1407" w:rsidP="00660804">
            <w:r w:rsidRPr="00EB755A">
              <w:t>8943</w:t>
            </w:r>
          </w:p>
        </w:tc>
        <w:tc>
          <w:tcPr>
            <w:tcW w:w="1362" w:type="dxa"/>
            <w:tcBorders>
              <w:top w:val="nil"/>
              <w:left w:val="single" w:sz="8" w:space="0" w:color="000000"/>
              <w:bottom w:val="single" w:sz="8" w:space="0" w:color="000000"/>
              <w:right w:val="single" w:sz="8" w:space="0" w:color="000000"/>
            </w:tcBorders>
            <w:shd w:val="clear" w:color="auto" w:fill="FFFFFF"/>
          </w:tcPr>
          <w:p w:rsidR="00ED1407" w:rsidRDefault="00ED1407" w:rsidP="00660804">
            <w:r>
              <w:t>.</w:t>
            </w:r>
            <w:r w:rsidRPr="00190E13">
              <w:t>00</w:t>
            </w:r>
          </w:p>
        </w:tc>
        <w:tc>
          <w:tcPr>
            <w:tcW w:w="1106" w:type="dxa"/>
            <w:tcBorders>
              <w:top w:val="nil"/>
              <w:left w:val="single" w:sz="8" w:space="0" w:color="000000"/>
              <w:bottom w:val="single" w:sz="8" w:space="0" w:color="000000"/>
              <w:right w:val="single" w:sz="8" w:space="0" w:color="000000"/>
            </w:tcBorders>
            <w:shd w:val="clear" w:color="auto" w:fill="FFFFFF"/>
          </w:tcPr>
          <w:p w:rsidR="00ED1407" w:rsidRDefault="00ED1407" w:rsidP="00660804">
            <w:r w:rsidRPr="000F5494">
              <w:t>151</w:t>
            </w:r>
            <w:r>
              <w:t>.</w:t>
            </w:r>
            <w:r w:rsidRPr="000F5494">
              <w:t>00</w:t>
            </w:r>
          </w:p>
        </w:tc>
        <w:tc>
          <w:tcPr>
            <w:tcW w:w="1106" w:type="dxa"/>
            <w:tcBorders>
              <w:top w:val="nil"/>
              <w:left w:val="single" w:sz="8" w:space="0" w:color="000000"/>
              <w:bottom w:val="single" w:sz="8" w:space="0" w:color="000000"/>
              <w:right w:val="single" w:sz="8" w:space="0" w:color="000000"/>
            </w:tcBorders>
            <w:shd w:val="clear" w:color="auto" w:fill="FFFFFF"/>
          </w:tcPr>
          <w:p w:rsidR="00ED1407" w:rsidRDefault="00ED1407" w:rsidP="00660804">
            <w:r w:rsidRPr="00594F77">
              <w:t>6</w:t>
            </w:r>
            <w:r>
              <w:t>.780</w:t>
            </w:r>
          </w:p>
        </w:tc>
        <w:tc>
          <w:tcPr>
            <w:tcW w:w="1586" w:type="dxa"/>
            <w:tcBorders>
              <w:top w:val="nil"/>
              <w:left w:val="single" w:sz="8" w:space="0" w:color="000000"/>
              <w:bottom w:val="single" w:sz="8" w:space="0" w:color="000000"/>
              <w:right w:val="single" w:sz="8" w:space="0" w:color="000000"/>
            </w:tcBorders>
            <w:shd w:val="clear" w:color="auto" w:fill="FFFFFF"/>
          </w:tcPr>
          <w:p w:rsidR="00ED1407" w:rsidRDefault="00ED1407" w:rsidP="00660804">
            <w:r w:rsidRPr="00196B55">
              <w:t>18</w:t>
            </w:r>
            <w:r>
              <w:t>.927</w:t>
            </w:r>
          </w:p>
        </w:tc>
      </w:tr>
    </w:tbl>
    <w:p w:rsidR="00ED1407" w:rsidRDefault="00ED1407" w:rsidP="008B79E2">
      <w:pPr>
        <w:spacing w:line="480" w:lineRule="auto"/>
      </w:pPr>
    </w:p>
    <w:p w:rsidR="00ED1407" w:rsidRDefault="00ED1407" w:rsidP="008B79E2">
      <w:pPr>
        <w:spacing w:line="480" w:lineRule="auto"/>
        <w:rPr>
          <w:b/>
        </w:rPr>
      </w:pPr>
      <w:r>
        <w:br w:type="page"/>
      </w:r>
      <w:r w:rsidRPr="00F4275E">
        <w:rPr>
          <w:b/>
        </w:rPr>
        <w:t>Appendix A2</w:t>
      </w:r>
      <w:r>
        <w:rPr>
          <w:b/>
        </w:rPr>
        <w:t xml:space="preserve"> </w:t>
      </w:r>
    </w:p>
    <w:tbl>
      <w:tblPr>
        <w:tblpPr w:leftFromText="180" w:rightFromText="180" w:vertAnchor="text" w:horzAnchor="margin" w:tblpX="-504" w:tblpY="467"/>
        <w:tblW w:w="97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078"/>
        <w:gridCol w:w="1079"/>
        <w:gridCol w:w="1079"/>
        <w:gridCol w:w="1078"/>
        <w:gridCol w:w="1079"/>
        <w:gridCol w:w="1079"/>
        <w:gridCol w:w="1078"/>
        <w:gridCol w:w="1079"/>
        <w:gridCol w:w="1079"/>
      </w:tblGrid>
      <w:tr w:rsidR="00ED1407" w:rsidRPr="00813945" w:rsidTr="00883D6B">
        <w:tc>
          <w:tcPr>
            <w:tcW w:w="9708" w:type="dxa"/>
            <w:gridSpan w:val="9"/>
            <w:tcBorders>
              <w:top w:val="nil"/>
              <w:left w:val="nil"/>
              <w:right w:val="nil"/>
            </w:tcBorders>
          </w:tcPr>
          <w:p w:rsidR="00ED1407" w:rsidRPr="00883D6B" w:rsidRDefault="00ED1407" w:rsidP="00883D6B">
            <w:r w:rsidRPr="00883D6B">
              <w:rPr>
                <w:bCs/>
                <w:i/>
                <w:color w:val="000000"/>
                <w:sz w:val="22"/>
                <w:szCs w:val="22"/>
              </w:rPr>
              <w:t>Table A2. Number of bilateral affiliates total (A1-A5) and per sector  (A5-A8)</w:t>
            </w:r>
            <w:r>
              <w:rPr>
                <w:bCs/>
                <w:i/>
                <w:color w:val="000000"/>
                <w:sz w:val="22"/>
                <w:szCs w:val="22"/>
              </w:rPr>
              <w:t xml:space="preserve"> OECD only</w:t>
            </w:r>
          </w:p>
        </w:tc>
      </w:tr>
      <w:tr w:rsidR="00ED1407" w:rsidTr="00883D6B">
        <w:tc>
          <w:tcPr>
            <w:tcW w:w="1078" w:type="dxa"/>
          </w:tcPr>
          <w:p w:rsidR="00ED1407" w:rsidRPr="00883D6B" w:rsidRDefault="00ED1407" w:rsidP="00883D6B">
            <w:pPr>
              <w:rPr>
                <w:b/>
                <w:sz w:val="20"/>
              </w:rPr>
            </w:pPr>
          </w:p>
        </w:tc>
        <w:tc>
          <w:tcPr>
            <w:tcW w:w="1079" w:type="dxa"/>
          </w:tcPr>
          <w:p w:rsidR="00ED1407" w:rsidRPr="00883D6B" w:rsidRDefault="00ED1407" w:rsidP="00883D6B">
            <w:pPr>
              <w:jc w:val="center"/>
              <w:rPr>
                <w:b/>
                <w:sz w:val="20"/>
              </w:rPr>
            </w:pPr>
            <w:r w:rsidRPr="00883D6B">
              <w:rPr>
                <w:b/>
                <w:sz w:val="20"/>
                <w:szCs w:val="22"/>
              </w:rPr>
              <w:t>Model A1</w:t>
            </w:r>
          </w:p>
        </w:tc>
        <w:tc>
          <w:tcPr>
            <w:tcW w:w="1079" w:type="dxa"/>
          </w:tcPr>
          <w:p w:rsidR="00ED1407" w:rsidRPr="00883D6B" w:rsidRDefault="00ED1407" w:rsidP="00883D6B">
            <w:pPr>
              <w:jc w:val="center"/>
              <w:rPr>
                <w:b/>
                <w:sz w:val="20"/>
              </w:rPr>
            </w:pPr>
            <w:r w:rsidRPr="00883D6B">
              <w:rPr>
                <w:b/>
                <w:sz w:val="20"/>
                <w:szCs w:val="22"/>
              </w:rPr>
              <w:t>Model A2</w:t>
            </w:r>
          </w:p>
        </w:tc>
        <w:tc>
          <w:tcPr>
            <w:tcW w:w="1078" w:type="dxa"/>
          </w:tcPr>
          <w:p w:rsidR="00ED1407" w:rsidRPr="00883D6B" w:rsidRDefault="00ED1407" w:rsidP="00883D6B">
            <w:pPr>
              <w:jc w:val="center"/>
              <w:rPr>
                <w:b/>
                <w:sz w:val="20"/>
              </w:rPr>
            </w:pPr>
            <w:r w:rsidRPr="00883D6B">
              <w:rPr>
                <w:b/>
                <w:sz w:val="20"/>
                <w:szCs w:val="22"/>
              </w:rPr>
              <w:t>Model A3</w:t>
            </w:r>
          </w:p>
        </w:tc>
        <w:tc>
          <w:tcPr>
            <w:tcW w:w="1079" w:type="dxa"/>
          </w:tcPr>
          <w:p w:rsidR="00ED1407" w:rsidRPr="00883D6B" w:rsidRDefault="00ED1407" w:rsidP="00883D6B">
            <w:pPr>
              <w:jc w:val="center"/>
              <w:rPr>
                <w:b/>
                <w:sz w:val="20"/>
              </w:rPr>
            </w:pPr>
            <w:r w:rsidRPr="00883D6B">
              <w:rPr>
                <w:b/>
                <w:sz w:val="20"/>
                <w:szCs w:val="22"/>
              </w:rPr>
              <w:t>Model A4</w:t>
            </w:r>
          </w:p>
        </w:tc>
        <w:tc>
          <w:tcPr>
            <w:tcW w:w="1079" w:type="dxa"/>
          </w:tcPr>
          <w:p w:rsidR="00ED1407" w:rsidRPr="00883D6B" w:rsidRDefault="00ED1407" w:rsidP="00883D6B">
            <w:pPr>
              <w:jc w:val="center"/>
              <w:rPr>
                <w:b/>
                <w:sz w:val="20"/>
              </w:rPr>
            </w:pPr>
            <w:r w:rsidRPr="00883D6B">
              <w:rPr>
                <w:b/>
                <w:sz w:val="20"/>
                <w:szCs w:val="22"/>
              </w:rPr>
              <w:t>Model A5</w:t>
            </w:r>
          </w:p>
        </w:tc>
        <w:tc>
          <w:tcPr>
            <w:tcW w:w="1078" w:type="dxa"/>
          </w:tcPr>
          <w:p w:rsidR="00ED1407" w:rsidRPr="00883D6B" w:rsidRDefault="00ED1407" w:rsidP="00883D6B">
            <w:pPr>
              <w:jc w:val="center"/>
              <w:rPr>
                <w:b/>
                <w:sz w:val="20"/>
              </w:rPr>
            </w:pPr>
            <w:r w:rsidRPr="00883D6B">
              <w:rPr>
                <w:b/>
                <w:sz w:val="20"/>
                <w:szCs w:val="22"/>
              </w:rPr>
              <w:t>Model A6</w:t>
            </w:r>
          </w:p>
        </w:tc>
        <w:tc>
          <w:tcPr>
            <w:tcW w:w="1079" w:type="dxa"/>
          </w:tcPr>
          <w:p w:rsidR="00ED1407" w:rsidRPr="00883D6B" w:rsidRDefault="00ED1407" w:rsidP="00883D6B">
            <w:pPr>
              <w:jc w:val="center"/>
              <w:rPr>
                <w:b/>
                <w:sz w:val="20"/>
              </w:rPr>
            </w:pPr>
            <w:r w:rsidRPr="00883D6B">
              <w:rPr>
                <w:b/>
                <w:sz w:val="20"/>
                <w:szCs w:val="22"/>
              </w:rPr>
              <w:t>Model A7</w:t>
            </w:r>
          </w:p>
        </w:tc>
        <w:tc>
          <w:tcPr>
            <w:tcW w:w="1079" w:type="dxa"/>
          </w:tcPr>
          <w:p w:rsidR="00ED1407" w:rsidRPr="00883D6B" w:rsidRDefault="00ED1407" w:rsidP="00883D6B">
            <w:pPr>
              <w:jc w:val="center"/>
              <w:rPr>
                <w:b/>
                <w:sz w:val="20"/>
              </w:rPr>
            </w:pPr>
            <w:r w:rsidRPr="00883D6B">
              <w:rPr>
                <w:b/>
                <w:sz w:val="20"/>
                <w:szCs w:val="22"/>
              </w:rPr>
              <w:t>Model A8</w:t>
            </w:r>
          </w:p>
        </w:tc>
      </w:tr>
      <w:tr w:rsidR="00ED1407" w:rsidTr="00883D6B">
        <w:tc>
          <w:tcPr>
            <w:tcW w:w="1078" w:type="dxa"/>
          </w:tcPr>
          <w:p w:rsidR="00ED1407" w:rsidRPr="00883D6B" w:rsidRDefault="00ED1407" w:rsidP="00883D6B">
            <w:pPr>
              <w:rPr>
                <w:b/>
                <w:sz w:val="20"/>
              </w:rPr>
            </w:pPr>
            <w:r w:rsidRPr="00883D6B">
              <w:rPr>
                <w:b/>
                <w:sz w:val="20"/>
                <w:szCs w:val="22"/>
              </w:rPr>
              <w:t>Constant</w:t>
            </w:r>
          </w:p>
        </w:tc>
        <w:tc>
          <w:tcPr>
            <w:tcW w:w="1079" w:type="dxa"/>
          </w:tcPr>
          <w:p w:rsidR="00ED1407" w:rsidRPr="00883D6B" w:rsidRDefault="00ED1407" w:rsidP="00883D6B">
            <w:pPr>
              <w:rPr>
                <w:sz w:val="20"/>
              </w:rPr>
            </w:pPr>
            <w:r w:rsidRPr="00883D6B">
              <w:rPr>
                <w:sz w:val="20"/>
              </w:rPr>
              <w:t>.534**</w:t>
            </w:r>
          </w:p>
          <w:p w:rsidR="00ED1407" w:rsidRPr="00883D6B" w:rsidRDefault="00ED1407" w:rsidP="00883D6B">
            <w:pPr>
              <w:rPr>
                <w:sz w:val="20"/>
              </w:rPr>
            </w:pPr>
            <w:r w:rsidRPr="00883D6B">
              <w:rPr>
                <w:sz w:val="20"/>
              </w:rPr>
              <w:t>(4.337)</w:t>
            </w:r>
          </w:p>
        </w:tc>
        <w:tc>
          <w:tcPr>
            <w:tcW w:w="1079" w:type="dxa"/>
          </w:tcPr>
          <w:p w:rsidR="00ED1407" w:rsidRPr="00883D6B" w:rsidRDefault="00ED1407" w:rsidP="00883D6B">
            <w:pPr>
              <w:rPr>
                <w:sz w:val="20"/>
              </w:rPr>
            </w:pPr>
            <w:r w:rsidRPr="00883D6B">
              <w:rPr>
                <w:sz w:val="20"/>
              </w:rPr>
              <w:t>-1.752</w:t>
            </w:r>
          </w:p>
          <w:p w:rsidR="00ED1407" w:rsidRPr="00883D6B" w:rsidRDefault="00ED1407" w:rsidP="00883D6B">
            <w:pPr>
              <w:rPr>
                <w:sz w:val="20"/>
              </w:rPr>
            </w:pPr>
            <w:r w:rsidRPr="00883D6B">
              <w:rPr>
                <w:sz w:val="20"/>
              </w:rPr>
              <w:t>(-1.795)</w:t>
            </w:r>
          </w:p>
        </w:tc>
        <w:tc>
          <w:tcPr>
            <w:tcW w:w="1078" w:type="dxa"/>
          </w:tcPr>
          <w:p w:rsidR="00ED1407" w:rsidRPr="00883D6B" w:rsidRDefault="00ED1407" w:rsidP="00883D6B">
            <w:pPr>
              <w:rPr>
                <w:sz w:val="20"/>
              </w:rPr>
            </w:pPr>
            <w:r w:rsidRPr="00883D6B">
              <w:rPr>
                <w:sz w:val="20"/>
              </w:rPr>
              <w:t>.771**</w:t>
            </w:r>
          </w:p>
          <w:p w:rsidR="00ED1407" w:rsidRPr="00883D6B" w:rsidRDefault="00ED1407" w:rsidP="00883D6B">
            <w:pPr>
              <w:rPr>
                <w:sz w:val="20"/>
              </w:rPr>
            </w:pPr>
            <w:r w:rsidRPr="00883D6B">
              <w:rPr>
                <w:sz w:val="20"/>
              </w:rPr>
              <w:t>(4.374)</w:t>
            </w:r>
          </w:p>
        </w:tc>
        <w:tc>
          <w:tcPr>
            <w:tcW w:w="1079" w:type="dxa"/>
          </w:tcPr>
          <w:p w:rsidR="00ED1407" w:rsidRPr="00883D6B" w:rsidRDefault="00ED1407" w:rsidP="00883D6B">
            <w:pPr>
              <w:rPr>
                <w:sz w:val="20"/>
              </w:rPr>
            </w:pPr>
            <w:r w:rsidRPr="00883D6B">
              <w:rPr>
                <w:sz w:val="20"/>
              </w:rPr>
              <w:t>-2.428</w:t>
            </w:r>
          </w:p>
          <w:p w:rsidR="00ED1407" w:rsidRPr="00883D6B" w:rsidRDefault="00ED1407" w:rsidP="00883D6B">
            <w:pPr>
              <w:rPr>
                <w:sz w:val="20"/>
              </w:rPr>
            </w:pPr>
            <w:r w:rsidRPr="00883D6B">
              <w:rPr>
                <w:sz w:val="20"/>
              </w:rPr>
              <w:t>(-1.556)</w:t>
            </w:r>
          </w:p>
        </w:tc>
        <w:tc>
          <w:tcPr>
            <w:tcW w:w="1079" w:type="dxa"/>
          </w:tcPr>
          <w:p w:rsidR="00ED1407" w:rsidRPr="00883D6B" w:rsidRDefault="00ED1407" w:rsidP="00883D6B">
            <w:pPr>
              <w:rPr>
                <w:sz w:val="20"/>
              </w:rPr>
            </w:pPr>
            <w:r w:rsidRPr="00883D6B">
              <w:rPr>
                <w:sz w:val="20"/>
              </w:rPr>
              <w:t>-.072</w:t>
            </w:r>
          </w:p>
          <w:p w:rsidR="00ED1407" w:rsidRPr="00883D6B" w:rsidRDefault="00ED1407" w:rsidP="00883D6B">
            <w:pPr>
              <w:rPr>
                <w:sz w:val="20"/>
              </w:rPr>
            </w:pPr>
            <w:r w:rsidRPr="00883D6B">
              <w:rPr>
                <w:sz w:val="20"/>
              </w:rPr>
              <w:t>(-.106)</w:t>
            </w:r>
          </w:p>
        </w:tc>
        <w:tc>
          <w:tcPr>
            <w:tcW w:w="1078" w:type="dxa"/>
          </w:tcPr>
          <w:p w:rsidR="00ED1407" w:rsidRPr="00883D6B" w:rsidRDefault="00ED1407" w:rsidP="00883D6B">
            <w:pPr>
              <w:rPr>
                <w:sz w:val="20"/>
              </w:rPr>
            </w:pPr>
            <w:r w:rsidRPr="00883D6B">
              <w:rPr>
                <w:sz w:val="20"/>
              </w:rPr>
              <w:t>-1.211</w:t>
            </w:r>
          </w:p>
          <w:p w:rsidR="00ED1407" w:rsidRPr="00883D6B" w:rsidRDefault="00ED1407" w:rsidP="00883D6B">
            <w:pPr>
              <w:rPr>
                <w:sz w:val="20"/>
              </w:rPr>
            </w:pPr>
            <w:r w:rsidRPr="00883D6B">
              <w:rPr>
                <w:sz w:val="20"/>
              </w:rPr>
              <w:t>(-1.736)</w:t>
            </w:r>
          </w:p>
        </w:tc>
        <w:tc>
          <w:tcPr>
            <w:tcW w:w="1079" w:type="dxa"/>
          </w:tcPr>
          <w:p w:rsidR="00ED1407" w:rsidRPr="00883D6B" w:rsidRDefault="00ED1407" w:rsidP="00883D6B">
            <w:pPr>
              <w:rPr>
                <w:sz w:val="20"/>
              </w:rPr>
            </w:pPr>
            <w:r w:rsidRPr="00883D6B">
              <w:rPr>
                <w:sz w:val="20"/>
              </w:rPr>
              <w:t>-1.047*</w:t>
            </w:r>
          </w:p>
          <w:p w:rsidR="00ED1407" w:rsidRPr="00883D6B" w:rsidRDefault="00ED1407" w:rsidP="00883D6B">
            <w:pPr>
              <w:rPr>
                <w:sz w:val="20"/>
              </w:rPr>
            </w:pPr>
            <w:r w:rsidRPr="00883D6B">
              <w:rPr>
                <w:sz w:val="20"/>
              </w:rPr>
              <w:t>(-2.285)</w:t>
            </w:r>
          </w:p>
        </w:tc>
        <w:tc>
          <w:tcPr>
            <w:tcW w:w="1079" w:type="dxa"/>
          </w:tcPr>
          <w:p w:rsidR="00ED1407" w:rsidRPr="00883D6B" w:rsidRDefault="00ED1407" w:rsidP="00883D6B">
            <w:pPr>
              <w:rPr>
                <w:sz w:val="20"/>
              </w:rPr>
            </w:pPr>
            <w:r w:rsidRPr="00883D6B">
              <w:rPr>
                <w:sz w:val="20"/>
              </w:rPr>
              <w:t>-2.323*</w:t>
            </w:r>
          </w:p>
          <w:p w:rsidR="00ED1407" w:rsidRPr="00883D6B" w:rsidRDefault="00ED1407" w:rsidP="00883D6B">
            <w:pPr>
              <w:rPr>
                <w:sz w:val="20"/>
              </w:rPr>
            </w:pPr>
            <w:r w:rsidRPr="00883D6B">
              <w:rPr>
                <w:sz w:val="20"/>
              </w:rPr>
              <w:t>(-2.330)</w:t>
            </w:r>
          </w:p>
        </w:tc>
      </w:tr>
      <w:tr w:rsidR="00ED1407" w:rsidTr="00883D6B">
        <w:tc>
          <w:tcPr>
            <w:tcW w:w="1078" w:type="dxa"/>
          </w:tcPr>
          <w:p w:rsidR="00ED1407" w:rsidRPr="00883D6B" w:rsidRDefault="00ED1407" w:rsidP="00883D6B">
            <w:pPr>
              <w:rPr>
                <w:b/>
                <w:sz w:val="20"/>
              </w:rPr>
            </w:pPr>
            <w:r w:rsidRPr="00883D6B">
              <w:rPr>
                <w:b/>
                <w:sz w:val="20"/>
                <w:szCs w:val="22"/>
              </w:rPr>
              <w:t xml:space="preserve">Cultural Overlap </w:t>
            </w: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r w:rsidRPr="00883D6B">
              <w:rPr>
                <w:sz w:val="20"/>
              </w:rPr>
              <w:t>.028*</w:t>
            </w:r>
          </w:p>
          <w:p w:rsidR="00ED1407" w:rsidRPr="00883D6B" w:rsidRDefault="00ED1407" w:rsidP="00883D6B">
            <w:pPr>
              <w:rPr>
                <w:sz w:val="20"/>
              </w:rPr>
            </w:pPr>
            <w:r w:rsidRPr="00883D6B">
              <w:rPr>
                <w:sz w:val="20"/>
              </w:rPr>
              <w:t>(2.398)</w:t>
            </w:r>
          </w:p>
        </w:tc>
        <w:tc>
          <w:tcPr>
            <w:tcW w:w="1078" w:type="dxa"/>
          </w:tcPr>
          <w:p w:rsidR="00ED1407" w:rsidRPr="00883D6B" w:rsidRDefault="00ED1407" w:rsidP="00883D6B">
            <w:pPr>
              <w:rPr>
                <w:sz w:val="20"/>
              </w:rPr>
            </w:pPr>
          </w:p>
        </w:tc>
        <w:tc>
          <w:tcPr>
            <w:tcW w:w="1079" w:type="dxa"/>
          </w:tcPr>
          <w:p w:rsidR="00ED1407" w:rsidRPr="00883D6B" w:rsidRDefault="00ED1407" w:rsidP="00883D6B">
            <w:pPr>
              <w:rPr>
                <w:sz w:val="20"/>
              </w:rPr>
            </w:pPr>
            <w:r w:rsidRPr="00883D6B">
              <w:rPr>
                <w:sz w:val="20"/>
              </w:rPr>
              <w:t>.037*</w:t>
            </w:r>
          </w:p>
          <w:p w:rsidR="00ED1407" w:rsidRPr="00883D6B" w:rsidRDefault="00ED1407" w:rsidP="00883D6B">
            <w:pPr>
              <w:rPr>
                <w:sz w:val="20"/>
              </w:rPr>
            </w:pPr>
            <w:r w:rsidRPr="00883D6B">
              <w:rPr>
                <w:sz w:val="20"/>
              </w:rPr>
              <w:t>(2.055)</w:t>
            </w:r>
          </w:p>
        </w:tc>
        <w:tc>
          <w:tcPr>
            <w:tcW w:w="1079" w:type="dxa"/>
          </w:tcPr>
          <w:p w:rsidR="00ED1407" w:rsidRPr="00883D6B" w:rsidRDefault="00ED1407" w:rsidP="00883D6B">
            <w:pPr>
              <w:rPr>
                <w:sz w:val="20"/>
              </w:rPr>
            </w:pPr>
            <w:r w:rsidRPr="00883D6B">
              <w:rPr>
                <w:sz w:val="20"/>
              </w:rPr>
              <w:t>.004</w:t>
            </w:r>
          </w:p>
          <w:p w:rsidR="00ED1407" w:rsidRPr="00883D6B" w:rsidRDefault="00ED1407" w:rsidP="00883D6B">
            <w:pPr>
              <w:rPr>
                <w:sz w:val="20"/>
              </w:rPr>
            </w:pPr>
            <w:r w:rsidRPr="00883D6B">
              <w:rPr>
                <w:sz w:val="20"/>
              </w:rPr>
              <w:t>(.471)</w:t>
            </w:r>
          </w:p>
        </w:tc>
        <w:tc>
          <w:tcPr>
            <w:tcW w:w="1078" w:type="dxa"/>
          </w:tcPr>
          <w:p w:rsidR="00ED1407" w:rsidRPr="00883D6B" w:rsidRDefault="00ED1407" w:rsidP="00883D6B">
            <w:pPr>
              <w:rPr>
                <w:sz w:val="20"/>
              </w:rPr>
            </w:pPr>
            <w:r w:rsidRPr="00883D6B">
              <w:rPr>
                <w:sz w:val="20"/>
              </w:rPr>
              <w:t>.019*</w:t>
            </w:r>
          </w:p>
          <w:p w:rsidR="00ED1407" w:rsidRPr="00883D6B" w:rsidRDefault="00ED1407" w:rsidP="00883D6B">
            <w:pPr>
              <w:rPr>
                <w:sz w:val="20"/>
              </w:rPr>
            </w:pPr>
            <w:r w:rsidRPr="00883D6B">
              <w:rPr>
                <w:sz w:val="20"/>
              </w:rPr>
              <w:t>(2.329)</w:t>
            </w:r>
          </w:p>
        </w:tc>
        <w:tc>
          <w:tcPr>
            <w:tcW w:w="1079" w:type="dxa"/>
          </w:tcPr>
          <w:p w:rsidR="00ED1407" w:rsidRPr="00883D6B" w:rsidRDefault="00ED1407" w:rsidP="00883D6B">
            <w:pPr>
              <w:rPr>
                <w:sz w:val="20"/>
              </w:rPr>
            </w:pPr>
            <w:r w:rsidRPr="00883D6B">
              <w:rPr>
                <w:sz w:val="20"/>
              </w:rPr>
              <w:t>.013*</w:t>
            </w:r>
          </w:p>
          <w:p w:rsidR="00ED1407" w:rsidRPr="00883D6B" w:rsidRDefault="00ED1407" w:rsidP="00883D6B">
            <w:pPr>
              <w:rPr>
                <w:sz w:val="20"/>
              </w:rPr>
            </w:pPr>
            <w:r w:rsidRPr="00883D6B">
              <w:rPr>
                <w:sz w:val="20"/>
              </w:rPr>
              <w:t>(2.496)</w:t>
            </w:r>
          </w:p>
        </w:tc>
        <w:tc>
          <w:tcPr>
            <w:tcW w:w="1079" w:type="dxa"/>
          </w:tcPr>
          <w:p w:rsidR="00ED1407" w:rsidRPr="00883D6B" w:rsidRDefault="00ED1407" w:rsidP="00883D6B">
            <w:pPr>
              <w:rPr>
                <w:sz w:val="20"/>
              </w:rPr>
            </w:pPr>
            <w:r w:rsidRPr="00883D6B">
              <w:rPr>
                <w:sz w:val="20"/>
              </w:rPr>
              <w:t>.033**</w:t>
            </w:r>
          </w:p>
          <w:p w:rsidR="00ED1407" w:rsidRPr="00883D6B" w:rsidRDefault="00ED1407" w:rsidP="00883D6B">
            <w:pPr>
              <w:rPr>
                <w:sz w:val="20"/>
              </w:rPr>
            </w:pPr>
            <w:r w:rsidRPr="00883D6B">
              <w:rPr>
                <w:sz w:val="20"/>
              </w:rPr>
              <w:t>(2.859)</w:t>
            </w:r>
          </w:p>
        </w:tc>
      </w:tr>
      <w:tr w:rsidR="00ED1407" w:rsidTr="00883D6B">
        <w:tc>
          <w:tcPr>
            <w:tcW w:w="1078" w:type="dxa"/>
          </w:tcPr>
          <w:p w:rsidR="00ED1407" w:rsidRPr="00883D6B" w:rsidRDefault="00ED1407" w:rsidP="00883D6B">
            <w:pPr>
              <w:rPr>
                <w:b/>
                <w:sz w:val="20"/>
              </w:rPr>
            </w:pPr>
            <w:r w:rsidRPr="00883D6B">
              <w:rPr>
                <w:b/>
                <w:sz w:val="20"/>
                <w:szCs w:val="22"/>
              </w:rPr>
              <w:t>Cultural Distance</w:t>
            </w: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8" w:type="dxa"/>
          </w:tcPr>
          <w:p w:rsidR="00ED1407" w:rsidRPr="00883D6B" w:rsidRDefault="00ED1407" w:rsidP="00883D6B">
            <w:pPr>
              <w:rPr>
                <w:sz w:val="20"/>
              </w:rPr>
            </w:pPr>
            <w:r w:rsidRPr="00883D6B">
              <w:rPr>
                <w:sz w:val="20"/>
              </w:rPr>
              <w:t>-.091</w:t>
            </w:r>
          </w:p>
          <w:p w:rsidR="00ED1407" w:rsidRPr="00883D6B" w:rsidRDefault="00ED1407" w:rsidP="00883D6B">
            <w:pPr>
              <w:rPr>
                <w:sz w:val="20"/>
              </w:rPr>
            </w:pPr>
            <w:r w:rsidRPr="00883D6B">
              <w:rPr>
                <w:sz w:val="20"/>
              </w:rPr>
              <w:t>(-1.910)</w:t>
            </w:r>
          </w:p>
        </w:tc>
        <w:tc>
          <w:tcPr>
            <w:tcW w:w="1079" w:type="dxa"/>
          </w:tcPr>
          <w:p w:rsidR="00ED1407" w:rsidRPr="00883D6B" w:rsidRDefault="00ED1407" w:rsidP="00883D6B">
            <w:pPr>
              <w:rPr>
                <w:sz w:val="20"/>
              </w:rPr>
            </w:pPr>
            <w:r w:rsidRPr="00883D6B">
              <w:rPr>
                <w:sz w:val="20"/>
              </w:rPr>
              <w:t>-.034</w:t>
            </w:r>
          </w:p>
          <w:p w:rsidR="00ED1407" w:rsidRPr="00883D6B" w:rsidRDefault="00ED1407" w:rsidP="00883D6B">
            <w:pPr>
              <w:rPr>
                <w:sz w:val="20"/>
              </w:rPr>
            </w:pPr>
            <w:r w:rsidRPr="00883D6B">
              <w:rPr>
                <w:sz w:val="20"/>
              </w:rPr>
              <w:t>(-.514)</w:t>
            </w:r>
          </w:p>
        </w:tc>
        <w:tc>
          <w:tcPr>
            <w:tcW w:w="1079" w:type="dxa"/>
          </w:tcPr>
          <w:p w:rsidR="00ED1407" w:rsidRPr="00883D6B" w:rsidRDefault="00ED1407" w:rsidP="00883D6B">
            <w:pPr>
              <w:rPr>
                <w:sz w:val="20"/>
              </w:rPr>
            </w:pPr>
            <w:r w:rsidRPr="00883D6B">
              <w:rPr>
                <w:sz w:val="20"/>
              </w:rPr>
              <w:t>-.008</w:t>
            </w:r>
          </w:p>
          <w:p w:rsidR="00ED1407" w:rsidRPr="00883D6B" w:rsidRDefault="00ED1407" w:rsidP="00883D6B">
            <w:pPr>
              <w:rPr>
                <w:sz w:val="20"/>
              </w:rPr>
            </w:pPr>
            <w:r w:rsidRPr="00883D6B">
              <w:rPr>
                <w:sz w:val="20"/>
              </w:rPr>
              <w:t>(-.266)</w:t>
            </w:r>
          </w:p>
        </w:tc>
        <w:tc>
          <w:tcPr>
            <w:tcW w:w="1078" w:type="dxa"/>
          </w:tcPr>
          <w:p w:rsidR="00ED1407" w:rsidRPr="00883D6B" w:rsidRDefault="00ED1407" w:rsidP="00883D6B">
            <w:pPr>
              <w:rPr>
                <w:sz w:val="20"/>
              </w:rPr>
            </w:pPr>
            <w:r w:rsidRPr="00883D6B">
              <w:rPr>
                <w:sz w:val="20"/>
              </w:rPr>
              <w:t>-.034</w:t>
            </w:r>
          </w:p>
          <w:p w:rsidR="00ED1407" w:rsidRPr="00883D6B" w:rsidRDefault="00ED1407" w:rsidP="00883D6B">
            <w:pPr>
              <w:rPr>
                <w:sz w:val="20"/>
              </w:rPr>
            </w:pPr>
            <w:r w:rsidRPr="00883D6B">
              <w:rPr>
                <w:sz w:val="20"/>
              </w:rPr>
              <w:t>(-1.156)</w:t>
            </w:r>
          </w:p>
        </w:tc>
        <w:tc>
          <w:tcPr>
            <w:tcW w:w="1079" w:type="dxa"/>
          </w:tcPr>
          <w:p w:rsidR="00ED1407" w:rsidRPr="00883D6B" w:rsidRDefault="00ED1407" w:rsidP="00883D6B">
            <w:pPr>
              <w:rPr>
                <w:sz w:val="20"/>
              </w:rPr>
            </w:pPr>
            <w:r w:rsidRPr="00883D6B">
              <w:rPr>
                <w:sz w:val="20"/>
              </w:rPr>
              <w:t>.011</w:t>
            </w:r>
          </w:p>
          <w:p w:rsidR="00ED1407" w:rsidRPr="00883D6B" w:rsidRDefault="00ED1407" w:rsidP="00883D6B">
            <w:pPr>
              <w:rPr>
                <w:sz w:val="20"/>
              </w:rPr>
            </w:pPr>
            <w:r w:rsidRPr="00883D6B">
              <w:rPr>
                <w:sz w:val="20"/>
              </w:rPr>
              <w:t>(.563)</w:t>
            </w:r>
          </w:p>
        </w:tc>
        <w:tc>
          <w:tcPr>
            <w:tcW w:w="1079" w:type="dxa"/>
          </w:tcPr>
          <w:p w:rsidR="00ED1407" w:rsidRPr="00883D6B" w:rsidRDefault="00ED1407" w:rsidP="00883D6B">
            <w:pPr>
              <w:rPr>
                <w:sz w:val="20"/>
              </w:rPr>
            </w:pPr>
            <w:r w:rsidRPr="00883D6B">
              <w:rPr>
                <w:sz w:val="20"/>
              </w:rPr>
              <w:t>-.026</w:t>
            </w:r>
          </w:p>
          <w:p w:rsidR="00ED1407" w:rsidRPr="00883D6B" w:rsidRDefault="00ED1407" w:rsidP="00883D6B">
            <w:pPr>
              <w:rPr>
                <w:sz w:val="20"/>
              </w:rPr>
            </w:pPr>
            <w:r w:rsidRPr="00883D6B">
              <w:rPr>
                <w:sz w:val="20"/>
              </w:rPr>
              <w:t>(-.610)</w:t>
            </w:r>
          </w:p>
        </w:tc>
      </w:tr>
      <w:tr w:rsidR="00ED1407" w:rsidTr="00883D6B">
        <w:tc>
          <w:tcPr>
            <w:tcW w:w="1078" w:type="dxa"/>
          </w:tcPr>
          <w:p w:rsidR="00ED1407" w:rsidRPr="00883D6B" w:rsidRDefault="00ED1407" w:rsidP="00883D6B">
            <w:pPr>
              <w:rPr>
                <w:b/>
                <w:sz w:val="20"/>
              </w:rPr>
            </w:pPr>
            <w:r w:rsidRPr="00883D6B">
              <w:rPr>
                <w:b/>
                <w:sz w:val="20"/>
                <w:szCs w:val="22"/>
              </w:rPr>
              <w:t>Geographical distance</w:t>
            </w:r>
          </w:p>
        </w:tc>
        <w:tc>
          <w:tcPr>
            <w:tcW w:w="1079" w:type="dxa"/>
          </w:tcPr>
          <w:p w:rsidR="00ED1407" w:rsidRPr="00883D6B" w:rsidRDefault="00ED1407" w:rsidP="00883D6B">
            <w:pPr>
              <w:rPr>
                <w:sz w:val="20"/>
              </w:rPr>
            </w:pPr>
            <w:r w:rsidRPr="00883D6B">
              <w:rPr>
                <w:sz w:val="20"/>
              </w:rPr>
              <w:t>-7.756E-5**</w:t>
            </w:r>
          </w:p>
          <w:p w:rsidR="00ED1407" w:rsidRPr="00883D6B" w:rsidRDefault="00ED1407" w:rsidP="00883D6B">
            <w:pPr>
              <w:rPr>
                <w:sz w:val="20"/>
              </w:rPr>
            </w:pPr>
            <w:r w:rsidRPr="00883D6B">
              <w:rPr>
                <w:sz w:val="20"/>
              </w:rPr>
              <w:t>(-6.165)</w:t>
            </w:r>
          </w:p>
        </w:tc>
        <w:tc>
          <w:tcPr>
            <w:tcW w:w="1079" w:type="dxa"/>
          </w:tcPr>
          <w:p w:rsidR="00ED1407" w:rsidRPr="00883D6B" w:rsidRDefault="00ED1407" w:rsidP="00883D6B">
            <w:pPr>
              <w:rPr>
                <w:sz w:val="20"/>
              </w:rPr>
            </w:pPr>
            <w:r w:rsidRPr="00883D6B">
              <w:rPr>
                <w:sz w:val="20"/>
              </w:rPr>
              <w:t>-7.505E-5**</w:t>
            </w:r>
          </w:p>
          <w:p w:rsidR="00ED1407" w:rsidRPr="00883D6B" w:rsidRDefault="00ED1407" w:rsidP="00883D6B">
            <w:pPr>
              <w:rPr>
                <w:sz w:val="20"/>
              </w:rPr>
            </w:pPr>
            <w:r w:rsidRPr="00883D6B">
              <w:rPr>
                <w:sz w:val="20"/>
              </w:rPr>
              <w:t>(-4.805)</w:t>
            </w:r>
          </w:p>
        </w:tc>
        <w:tc>
          <w:tcPr>
            <w:tcW w:w="1078" w:type="dxa"/>
          </w:tcPr>
          <w:p w:rsidR="00ED1407" w:rsidRPr="00883D6B" w:rsidRDefault="00ED1407" w:rsidP="00883D6B">
            <w:pPr>
              <w:rPr>
                <w:sz w:val="20"/>
              </w:rPr>
            </w:pPr>
            <w:r w:rsidRPr="00883D6B">
              <w:rPr>
                <w:sz w:val="20"/>
              </w:rPr>
              <w:t>-7.809E-5**</w:t>
            </w:r>
          </w:p>
          <w:p w:rsidR="00ED1407" w:rsidRPr="00883D6B" w:rsidRDefault="00ED1407" w:rsidP="00883D6B">
            <w:pPr>
              <w:rPr>
                <w:sz w:val="20"/>
              </w:rPr>
            </w:pPr>
            <w:r w:rsidRPr="00883D6B">
              <w:rPr>
                <w:sz w:val="20"/>
              </w:rPr>
              <w:t>(-5.794)</w:t>
            </w:r>
          </w:p>
        </w:tc>
        <w:tc>
          <w:tcPr>
            <w:tcW w:w="1079" w:type="dxa"/>
          </w:tcPr>
          <w:p w:rsidR="00ED1407" w:rsidRPr="00883D6B" w:rsidRDefault="00ED1407" w:rsidP="00883D6B">
            <w:pPr>
              <w:rPr>
                <w:sz w:val="20"/>
              </w:rPr>
            </w:pPr>
            <w:r w:rsidRPr="00883D6B">
              <w:rPr>
                <w:sz w:val="20"/>
              </w:rPr>
              <w:t>-7.557E-5**</w:t>
            </w:r>
          </w:p>
          <w:p w:rsidR="00ED1407" w:rsidRPr="00883D6B" w:rsidRDefault="00ED1407" w:rsidP="00883D6B">
            <w:pPr>
              <w:rPr>
                <w:sz w:val="20"/>
              </w:rPr>
            </w:pPr>
            <w:r w:rsidRPr="00883D6B">
              <w:rPr>
                <w:sz w:val="20"/>
              </w:rPr>
              <w:t>(-4.398)</w:t>
            </w:r>
          </w:p>
        </w:tc>
        <w:tc>
          <w:tcPr>
            <w:tcW w:w="1079" w:type="dxa"/>
          </w:tcPr>
          <w:p w:rsidR="00ED1407" w:rsidRPr="00883D6B" w:rsidRDefault="00ED1407" w:rsidP="00883D6B">
            <w:pPr>
              <w:rPr>
                <w:sz w:val="20"/>
              </w:rPr>
            </w:pPr>
            <w:r w:rsidRPr="00883D6B">
              <w:rPr>
                <w:sz w:val="20"/>
              </w:rPr>
              <w:t>-3.214E-5**</w:t>
            </w:r>
          </w:p>
          <w:p w:rsidR="00ED1407" w:rsidRPr="00883D6B" w:rsidRDefault="00ED1407" w:rsidP="00883D6B">
            <w:pPr>
              <w:rPr>
                <w:sz w:val="20"/>
              </w:rPr>
            </w:pPr>
            <w:r w:rsidRPr="00883D6B">
              <w:rPr>
                <w:sz w:val="20"/>
              </w:rPr>
              <w:t>(-4.322)</w:t>
            </w:r>
          </w:p>
        </w:tc>
        <w:tc>
          <w:tcPr>
            <w:tcW w:w="1078" w:type="dxa"/>
          </w:tcPr>
          <w:p w:rsidR="00ED1407" w:rsidRPr="00883D6B" w:rsidRDefault="00ED1407" w:rsidP="00883D6B">
            <w:pPr>
              <w:rPr>
                <w:sz w:val="20"/>
              </w:rPr>
            </w:pPr>
            <w:r w:rsidRPr="00883D6B">
              <w:rPr>
                <w:sz w:val="20"/>
              </w:rPr>
              <w:t>-3.027E-5**</w:t>
            </w:r>
          </w:p>
          <w:p w:rsidR="00ED1407" w:rsidRPr="00883D6B" w:rsidRDefault="00ED1407" w:rsidP="00883D6B">
            <w:pPr>
              <w:rPr>
                <w:sz w:val="20"/>
              </w:rPr>
            </w:pPr>
            <w:r w:rsidRPr="00883D6B">
              <w:rPr>
                <w:sz w:val="20"/>
              </w:rPr>
              <w:t>(-3.924)</w:t>
            </w:r>
          </w:p>
        </w:tc>
        <w:tc>
          <w:tcPr>
            <w:tcW w:w="1079" w:type="dxa"/>
          </w:tcPr>
          <w:p w:rsidR="00ED1407" w:rsidRPr="00883D6B" w:rsidRDefault="00ED1407" w:rsidP="00883D6B">
            <w:pPr>
              <w:rPr>
                <w:sz w:val="20"/>
              </w:rPr>
            </w:pPr>
            <w:r w:rsidRPr="00883D6B">
              <w:rPr>
                <w:sz w:val="20"/>
              </w:rPr>
              <w:t>-1.359E-5**</w:t>
            </w:r>
          </w:p>
          <w:p w:rsidR="00ED1407" w:rsidRPr="00883D6B" w:rsidRDefault="00ED1407" w:rsidP="00883D6B">
            <w:pPr>
              <w:rPr>
                <w:sz w:val="20"/>
              </w:rPr>
            </w:pPr>
            <w:r w:rsidRPr="00883D6B">
              <w:rPr>
                <w:sz w:val="20"/>
              </w:rPr>
              <w:t>(-2.696)</w:t>
            </w:r>
          </w:p>
        </w:tc>
        <w:tc>
          <w:tcPr>
            <w:tcW w:w="1079" w:type="dxa"/>
          </w:tcPr>
          <w:p w:rsidR="00ED1407" w:rsidRPr="00883D6B" w:rsidRDefault="00ED1407" w:rsidP="00883D6B">
            <w:pPr>
              <w:rPr>
                <w:sz w:val="20"/>
              </w:rPr>
            </w:pPr>
            <w:r w:rsidRPr="00883D6B">
              <w:rPr>
                <w:sz w:val="20"/>
              </w:rPr>
              <w:t>-4.375E-5**</w:t>
            </w:r>
          </w:p>
          <w:p w:rsidR="00ED1407" w:rsidRPr="00883D6B" w:rsidRDefault="00ED1407" w:rsidP="00883D6B">
            <w:pPr>
              <w:rPr>
                <w:sz w:val="20"/>
              </w:rPr>
            </w:pPr>
            <w:r w:rsidRPr="00883D6B">
              <w:rPr>
                <w:sz w:val="20"/>
              </w:rPr>
              <w:t>(-3.976)</w:t>
            </w:r>
          </w:p>
        </w:tc>
      </w:tr>
      <w:tr w:rsidR="00ED1407" w:rsidTr="00883D6B">
        <w:tc>
          <w:tcPr>
            <w:tcW w:w="1078" w:type="dxa"/>
          </w:tcPr>
          <w:p w:rsidR="00ED1407" w:rsidRPr="00883D6B" w:rsidRDefault="00ED1407" w:rsidP="00883D6B">
            <w:pPr>
              <w:rPr>
                <w:b/>
                <w:sz w:val="20"/>
              </w:rPr>
            </w:pPr>
            <w:r w:rsidRPr="00883D6B">
              <w:rPr>
                <w:b/>
                <w:sz w:val="20"/>
                <w:szCs w:val="22"/>
              </w:rPr>
              <w:t>Colonial ties</w:t>
            </w:r>
          </w:p>
        </w:tc>
        <w:tc>
          <w:tcPr>
            <w:tcW w:w="1079" w:type="dxa"/>
          </w:tcPr>
          <w:p w:rsidR="00ED1407" w:rsidRPr="00883D6B" w:rsidRDefault="00ED1407" w:rsidP="00883D6B">
            <w:pPr>
              <w:rPr>
                <w:sz w:val="20"/>
              </w:rPr>
            </w:pPr>
            <w:r w:rsidRPr="00883D6B">
              <w:rPr>
                <w:sz w:val="20"/>
              </w:rPr>
              <w:t>.129</w:t>
            </w:r>
          </w:p>
          <w:p w:rsidR="00ED1407" w:rsidRPr="00883D6B" w:rsidRDefault="00ED1407" w:rsidP="00883D6B">
            <w:pPr>
              <w:rPr>
                <w:sz w:val="20"/>
              </w:rPr>
            </w:pPr>
            <w:r w:rsidRPr="00883D6B">
              <w:rPr>
                <w:sz w:val="20"/>
              </w:rPr>
              <w:t>(.363)</w:t>
            </w:r>
          </w:p>
        </w:tc>
        <w:tc>
          <w:tcPr>
            <w:tcW w:w="1079" w:type="dxa"/>
          </w:tcPr>
          <w:p w:rsidR="00ED1407" w:rsidRPr="00883D6B" w:rsidRDefault="00ED1407" w:rsidP="00883D6B">
            <w:pPr>
              <w:rPr>
                <w:sz w:val="20"/>
              </w:rPr>
            </w:pPr>
            <w:r w:rsidRPr="00883D6B">
              <w:rPr>
                <w:sz w:val="20"/>
              </w:rPr>
              <w:t>-.334</w:t>
            </w:r>
          </w:p>
          <w:p w:rsidR="00ED1407" w:rsidRPr="00883D6B" w:rsidRDefault="00ED1407" w:rsidP="00883D6B">
            <w:pPr>
              <w:rPr>
                <w:sz w:val="20"/>
              </w:rPr>
            </w:pPr>
            <w:r w:rsidRPr="00883D6B">
              <w:rPr>
                <w:sz w:val="20"/>
              </w:rPr>
              <w:t>(-.818)</w:t>
            </w:r>
          </w:p>
        </w:tc>
        <w:tc>
          <w:tcPr>
            <w:tcW w:w="1078" w:type="dxa"/>
          </w:tcPr>
          <w:p w:rsidR="00ED1407" w:rsidRPr="00883D6B" w:rsidRDefault="00ED1407" w:rsidP="00883D6B">
            <w:pPr>
              <w:rPr>
                <w:sz w:val="20"/>
              </w:rPr>
            </w:pPr>
            <w:r w:rsidRPr="00883D6B">
              <w:rPr>
                <w:sz w:val="20"/>
              </w:rPr>
              <w:t>.161</w:t>
            </w:r>
          </w:p>
          <w:p w:rsidR="00ED1407" w:rsidRPr="00883D6B" w:rsidRDefault="00ED1407" w:rsidP="00883D6B">
            <w:pPr>
              <w:rPr>
                <w:sz w:val="20"/>
              </w:rPr>
            </w:pPr>
            <w:r w:rsidRPr="00883D6B">
              <w:rPr>
                <w:sz w:val="20"/>
              </w:rPr>
              <w:t>(.405)</w:t>
            </w:r>
          </w:p>
        </w:tc>
        <w:tc>
          <w:tcPr>
            <w:tcW w:w="1079" w:type="dxa"/>
          </w:tcPr>
          <w:p w:rsidR="00ED1407" w:rsidRPr="00883D6B" w:rsidRDefault="00ED1407" w:rsidP="00883D6B">
            <w:pPr>
              <w:rPr>
                <w:sz w:val="20"/>
              </w:rPr>
            </w:pPr>
            <w:r w:rsidRPr="00883D6B">
              <w:rPr>
                <w:sz w:val="20"/>
              </w:rPr>
              <w:t>-.349</w:t>
            </w:r>
          </w:p>
          <w:p w:rsidR="00ED1407" w:rsidRPr="00883D6B" w:rsidRDefault="00ED1407" w:rsidP="00883D6B">
            <w:pPr>
              <w:rPr>
                <w:sz w:val="20"/>
              </w:rPr>
            </w:pPr>
            <w:r w:rsidRPr="00883D6B">
              <w:rPr>
                <w:sz w:val="20"/>
              </w:rPr>
              <w:t>(-.740)</w:t>
            </w:r>
          </w:p>
        </w:tc>
        <w:tc>
          <w:tcPr>
            <w:tcW w:w="1079" w:type="dxa"/>
          </w:tcPr>
          <w:p w:rsidR="00ED1407" w:rsidRPr="00883D6B" w:rsidRDefault="00ED1407" w:rsidP="00883D6B">
            <w:pPr>
              <w:rPr>
                <w:sz w:val="20"/>
              </w:rPr>
            </w:pPr>
            <w:r w:rsidRPr="00883D6B">
              <w:rPr>
                <w:sz w:val="20"/>
              </w:rPr>
              <w:t>-.476*</w:t>
            </w:r>
          </w:p>
          <w:p w:rsidR="00ED1407" w:rsidRPr="00883D6B" w:rsidRDefault="00ED1407" w:rsidP="00883D6B">
            <w:pPr>
              <w:rPr>
                <w:sz w:val="20"/>
              </w:rPr>
            </w:pPr>
            <w:r w:rsidRPr="00883D6B">
              <w:rPr>
                <w:sz w:val="20"/>
              </w:rPr>
              <w:t>(-2.327)</w:t>
            </w:r>
          </w:p>
        </w:tc>
        <w:tc>
          <w:tcPr>
            <w:tcW w:w="1078" w:type="dxa"/>
          </w:tcPr>
          <w:p w:rsidR="00ED1407" w:rsidRPr="00883D6B" w:rsidRDefault="00ED1407" w:rsidP="00883D6B">
            <w:pPr>
              <w:rPr>
                <w:sz w:val="20"/>
              </w:rPr>
            </w:pPr>
            <w:r w:rsidRPr="00883D6B">
              <w:rPr>
                <w:sz w:val="20"/>
              </w:rPr>
              <w:t>-.125</w:t>
            </w:r>
          </w:p>
          <w:p w:rsidR="00ED1407" w:rsidRPr="00883D6B" w:rsidRDefault="00ED1407" w:rsidP="00883D6B">
            <w:pPr>
              <w:rPr>
                <w:sz w:val="20"/>
              </w:rPr>
            </w:pPr>
            <w:r w:rsidRPr="00883D6B">
              <w:rPr>
                <w:sz w:val="20"/>
              </w:rPr>
              <w:t>(-.592)</w:t>
            </w:r>
          </w:p>
        </w:tc>
        <w:tc>
          <w:tcPr>
            <w:tcW w:w="1079" w:type="dxa"/>
          </w:tcPr>
          <w:p w:rsidR="00ED1407" w:rsidRPr="00883D6B" w:rsidRDefault="00ED1407" w:rsidP="00883D6B">
            <w:pPr>
              <w:rPr>
                <w:sz w:val="20"/>
              </w:rPr>
            </w:pPr>
            <w:r w:rsidRPr="00883D6B">
              <w:rPr>
                <w:sz w:val="20"/>
              </w:rPr>
              <w:t>.254</w:t>
            </w:r>
          </w:p>
          <w:p w:rsidR="00ED1407" w:rsidRPr="00883D6B" w:rsidRDefault="00ED1407" w:rsidP="00883D6B">
            <w:pPr>
              <w:rPr>
                <w:sz w:val="20"/>
              </w:rPr>
            </w:pPr>
            <w:r w:rsidRPr="00883D6B">
              <w:rPr>
                <w:sz w:val="20"/>
              </w:rPr>
              <w:t>(1.834)</w:t>
            </w:r>
          </w:p>
        </w:tc>
        <w:tc>
          <w:tcPr>
            <w:tcW w:w="1079" w:type="dxa"/>
          </w:tcPr>
          <w:p w:rsidR="00ED1407" w:rsidRPr="00883D6B" w:rsidRDefault="00ED1407" w:rsidP="00883D6B">
            <w:pPr>
              <w:rPr>
                <w:sz w:val="20"/>
              </w:rPr>
            </w:pPr>
            <w:r w:rsidRPr="00883D6B">
              <w:rPr>
                <w:sz w:val="20"/>
              </w:rPr>
              <w:t>.129</w:t>
            </w:r>
          </w:p>
          <w:p w:rsidR="00ED1407" w:rsidRPr="00883D6B" w:rsidRDefault="00ED1407" w:rsidP="00883D6B">
            <w:pPr>
              <w:rPr>
                <w:sz w:val="20"/>
              </w:rPr>
            </w:pPr>
            <w:r w:rsidRPr="00883D6B">
              <w:rPr>
                <w:sz w:val="20"/>
              </w:rPr>
              <w:t>(.427)</w:t>
            </w:r>
          </w:p>
        </w:tc>
      </w:tr>
      <w:tr w:rsidR="00ED1407" w:rsidTr="00883D6B">
        <w:tc>
          <w:tcPr>
            <w:tcW w:w="1078" w:type="dxa"/>
          </w:tcPr>
          <w:p w:rsidR="00ED1407" w:rsidRPr="00883D6B" w:rsidRDefault="00ED1407" w:rsidP="00883D6B">
            <w:pPr>
              <w:rPr>
                <w:b/>
                <w:sz w:val="20"/>
              </w:rPr>
            </w:pPr>
            <w:r w:rsidRPr="00883D6B">
              <w:rPr>
                <w:b/>
                <w:sz w:val="20"/>
                <w:szCs w:val="22"/>
              </w:rPr>
              <w:t>Common language</w:t>
            </w:r>
          </w:p>
        </w:tc>
        <w:tc>
          <w:tcPr>
            <w:tcW w:w="1079" w:type="dxa"/>
          </w:tcPr>
          <w:p w:rsidR="00ED1407" w:rsidRPr="00883D6B" w:rsidRDefault="00ED1407" w:rsidP="00883D6B">
            <w:pPr>
              <w:rPr>
                <w:sz w:val="20"/>
              </w:rPr>
            </w:pPr>
            <w:r w:rsidRPr="00883D6B">
              <w:rPr>
                <w:sz w:val="20"/>
              </w:rPr>
              <w:t>1.329**</w:t>
            </w:r>
          </w:p>
          <w:p w:rsidR="00ED1407" w:rsidRPr="00883D6B" w:rsidRDefault="00ED1407" w:rsidP="00883D6B">
            <w:pPr>
              <w:rPr>
                <w:sz w:val="20"/>
              </w:rPr>
            </w:pPr>
            <w:r w:rsidRPr="00883D6B">
              <w:rPr>
                <w:sz w:val="20"/>
              </w:rPr>
              <w:t>(5.932)</w:t>
            </w:r>
          </w:p>
        </w:tc>
        <w:tc>
          <w:tcPr>
            <w:tcW w:w="1079" w:type="dxa"/>
          </w:tcPr>
          <w:p w:rsidR="00ED1407" w:rsidRPr="00883D6B" w:rsidRDefault="00ED1407" w:rsidP="00883D6B">
            <w:pPr>
              <w:rPr>
                <w:sz w:val="20"/>
              </w:rPr>
            </w:pPr>
            <w:r w:rsidRPr="00883D6B">
              <w:rPr>
                <w:sz w:val="20"/>
              </w:rPr>
              <w:t>1.409**</w:t>
            </w:r>
          </w:p>
          <w:p w:rsidR="00ED1407" w:rsidRPr="00883D6B" w:rsidRDefault="00ED1407" w:rsidP="00883D6B">
            <w:pPr>
              <w:rPr>
                <w:sz w:val="20"/>
              </w:rPr>
            </w:pPr>
            <w:r w:rsidRPr="00883D6B">
              <w:rPr>
                <w:sz w:val="20"/>
              </w:rPr>
              <w:t>(5.063)</w:t>
            </w:r>
          </w:p>
        </w:tc>
        <w:tc>
          <w:tcPr>
            <w:tcW w:w="1078" w:type="dxa"/>
          </w:tcPr>
          <w:p w:rsidR="00ED1407" w:rsidRPr="00883D6B" w:rsidRDefault="00ED1407" w:rsidP="00883D6B">
            <w:pPr>
              <w:rPr>
                <w:sz w:val="20"/>
              </w:rPr>
            </w:pPr>
            <w:r w:rsidRPr="00883D6B">
              <w:rPr>
                <w:sz w:val="20"/>
              </w:rPr>
              <w:t>1.354**</w:t>
            </w:r>
          </w:p>
          <w:p w:rsidR="00ED1407" w:rsidRPr="00883D6B" w:rsidRDefault="00ED1407" w:rsidP="00883D6B">
            <w:pPr>
              <w:rPr>
                <w:sz w:val="20"/>
              </w:rPr>
            </w:pPr>
            <w:r w:rsidRPr="00883D6B">
              <w:rPr>
                <w:sz w:val="20"/>
              </w:rPr>
              <w:t>(5.334)</w:t>
            </w:r>
          </w:p>
        </w:tc>
        <w:tc>
          <w:tcPr>
            <w:tcW w:w="1079" w:type="dxa"/>
          </w:tcPr>
          <w:p w:rsidR="00ED1407" w:rsidRPr="00883D6B" w:rsidRDefault="00ED1407" w:rsidP="00883D6B">
            <w:pPr>
              <w:rPr>
                <w:sz w:val="20"/>
              </w:rPr>
            </w:pPr>
            <w:r w:rsidRPr="00883D6B">
              <w:rPr>
                <w:sz w:val="20"/>
              </w:rPr>
              <w:t>1.506**</w:t>
            </w:r>
          </w:p>
          <w:p w:rsidR="00ED1407" w:rsidRPr="00883D6B" w:rsidRDefault="00ED1407" w:rsidP="00883D6B">
            <w:pPr>
              <w:rPr>
                <w:sz w:val="20"/>
              </w:rPr>
            </w:pPr>
            <w:r w:rsidRPr="00883D6B">
              <w:rPr>
                <w:sz w:val="20"/>
              </w:rPr>
              <w:t>(4.538)</w:t>
            </w:r>
          </w:p>
        </w:tc>
        <w:tc>
          <w:tcPr>
            <w:tcW w:w="1079" w:type="dxa"/>
          </w:tcPr>
          <w:p w:rsidR="00ED1407" w:rsidRPr="00883D6B" w:rsidRDefault="00ED1407" w:rsidP="00883D6B">
            <w:pPr>
              <w:rPr>
                <w:sz w:val="20"/>
              </w:rPr>
            </w:pPr>
            <w:r w:rsidRPr="00883D6B">
              <w:rPr>
                <w:sz w:val="20"/>
              </w:rPr>
              <w:t>.639**</w:t>
            </w:r>
          </w:p>
          <w:p w:rsidR="00ED1407" w:rsidRPr="00883D6B" w:rsidRDefault="00ED1407" w:rsidP="00883D6B">
            <w:pPr>
              <w:rPr>
                <w:sz w:val="20"/>
              </w:rPr>
            </w:pPr>
            <w:r w:rsidRPr="00883D6B">
              <w:rPr>
                <w:sz w:val="20"/>
              </w:rPr>
              <w:t>(4.445)</w:t>
            </w:r>
          </w:p>
        </w:tc>
        <w:tc>
          <w:tcPr>
            <w:tcW w:w="1078" w:type="dxa"/>
          </w:tcPr>
          <w:p w:rsidR="00ED1407" w:rsidRPr="00883D6B" w:rsidRDefault="00ED1407" w:rsidP="00883D6B">
            <w:pPr>
              <w:rPr>
                <w:sz w:val="20"/>
              </w:rPr>
            </w:pPr>
            <w:r w:rsidRPr="00883D6B">
              <w:rPr>
                <w:sz w:val="20"/>
              </w:rPr>
              <w:t>.429**</w:t>
            </w:r>
          </w:p>
          <w:p w:rsidR="00ED1407" w:rsidRPr="00883D6B" w:rsidRDefault="00ED1407" w:rsidP="00883D6B">
            <w:pPr>
              <w:rPr>
                <w:sz w:val="20"/>
              </w:rPr>
            </w:pPr>
            <w:r w:rsidRPr="00883D6B">
              <w:rPr>
                <w:sz w:val="20"/>
              </w:rPr>
              <w:t>(2.885)</w:t>
            </w:r>
          </w:p>
        </w:tc>
        <w:tc>
          <w:tcPr>
            <w:tcW w:w="1079" w:type="dxa"/>
          </w:tcPr>
          <w:p w:rsidR="00ED1407" w:rsidRPr="00883D6B" w:rsidRDefault="00ED1407" w:rsidP="00883D6B">
            <w:pPr>
              <w:rPr>
                <w:sz w:val="20"/>
              </w:rPr>
            </w:pPr>
            <w:r w:rsidRPr="00883D6B">
              <w:rPr>
                <w:sz w:val="20"/>
              </w:rPr>
              <w:t>.435**</w:t>
            </w:r>
          </w:p>
          <w:p w:rsidR="00ED1407" w:rsidRPr="00883D6B" w:rsidRDefault="00ED1407" w:rsidP="00883D6B">
            <w:pPr>
              <w:rPr>
                <w:sz w:val="20"/>
              </w:rPr>
            </w:pPr>
            <w:r w:rsidRPr="00883D6B">
              <w:rPr>
                <w:sz w:val="20"/>
              </w:rPr>
              <w:t>(4.463)</w:t>
            </w:r>
          </w:p>
        </w:tc>
        <w:tc>
          <w:tcPr>
            <w:tcW w:w="1079" w:type="dxa"/>
          </w:tcPr>
          <w:p w:rsidR="00ED1407" w:rsidRPr="00883D6B" w:rsidRDefault="00ED1407" w:rsidP="00883D6B">
            <w:pPr>
              <w:rPr>
                <w:sz w:val="20"/>
              </w:rPr>
            </w:pPr>
            <w:r w:rsidRPr="00883D6B">
              <w:rPr>
                <w:sz w:val="20"/>
              </w:rPr>
              <w:t>.868**</w:t>
            </w:r>
          </w:p>
          <w:p w:rsidR="00ED1407" w:rsidRPr="00883D6B" w:rsidRDefault="00ED1407" w:rsidP="00883D6B">
            <w:pPr>
              <w:rPr>
                <w:sz w:val="20"/>
              </w:rPr>
            </w:pPr>
            <w:r w:rsidRPr="00883D6B">
              <w:rPr>
                <w:sz w:val="20"/>
              </w:rPr>
              <w:t>(4.088)</w:t>
            </w:r>
          </w:p>
        </w:tc>
      </w:tr>
      <w:tr w:rsidR="00ED1407" w:rsidTr="00883D6B">
        <w:tc>
          <w:tcPr>
            <w:tcW w:w="1078" w:type="dxa"/>
          </w:tcPr>
          <w:p w:rsidR="00ED1407" w:rsidRPr="00883D6B" w:rsidRDefault="00ED1407" w:rsidP="00883D6B">
            <w:pPr>
              <w:rPr>
                <w:b/>
                <w:sz w:val="20"/>
              </w:rPr>
            </w:pPr>
            <w:r w:rsidRPr="00883D6B">
              <w:rPr>
                <w:b/>
                <w:sz w:val="20"/>
                <w:szCs w:val="22"/>
              </w:rPr>
              <w:t>GNI host country</w:t>
            </w:r>
          </w:p>
        </w:tc>
        <w:tc>
          <w:tcPr>
            <w:tcW w:w="1079" w:type="dxa"/>
          </w:tcPr>
          <w:p w:rsidR="00ED1407" w:rsidRPr="00883D6B" w:rsidRDefault="00ED1407" w:rsidP="00883D6B">
            <w:pPr>
              <w:rPr>
                <w:sz w:val="20"/>
              </w:rPr>
            </w:pPr>
            <w:r w:rsidRPr="00883D6B">
              <w:rPr>
                <w:sz w:val="20"/>
              </w:rPr>
              <w:t>2.917E-14</w:t>
            </w:r>
          </w:p>
          <w:p w:rsidR="00ED1407" w:rsidRPr="00883D6B" w:rsidRDefault="00ED1407" w:rsidP="00883D6B">
            <w:pPr>
              <w:rPr>
                <w:sz w:val="20"/>
              </w:rPr>
            </w:pPr>
            <w:r w:rsidRPr="00883D6B">
              <w:rPr>
                <w:sz w:val="20"/>
              </w:rPr>
              <w:t>(.703)</w:t>
            </w:r>
          </w:p>
        </w:tc>
        <w:tc>
          <w:tcPr>
            <w:tcW w:w="1079" w:type="dxa"/>
          </w:tcPr>
          <w:p w:rsidR="00ED1407" w:rsidRPr="00883D6B" w:rsidRDefault="00ED1407" w:rsidP="00883D6B">
            <w:pPr>
              <w:rPr>
                <w:sz w:val="20"/>
              </w:rPr>
            </w:pPr>
            <w:r w:rsidRPr="00883D6B">
              <w:rPr>
                <w:sz w:val="20"/>
              </w:rPr>
              <w:t>5.026E-14</w:t>
            </w:r>
          </w:p>
          <w:p w:rsidR="00ED1407" w:rsidRPr="00883D6B" w:rsidRDefault="00ED1407" w:rsidP="00883D6B">
            <w:pPr>
              <w:rPr>
                <w:sz w:val="20"/>
              </w:rPr>
            </w:pPr>
            <w:r w:rsidRPr="00883D6B">
              <w:rPr>
                <w:sz w:val="20"/>
              </w:rPr>
              <w:t>(1.048)</w:t>
            </w:r>
          </w:p>
        </w:tc>
        <w:tc>
          <w:tcPr>
            <w:tcW w:w="1078" w:type="dxa"/>
          </w:tcPr>
          <w:p w:rsidR="00ED1407" w:rsidRPr="00883D6B" w:rsidRDefault="00ED1407" w:rsidP="00883D6B">
            <w:pPr>
              <w:rPr>
                <w:sz w:val="20"/>
              </w:rPr>
            </w:pPr>
            <w:r w:rsidRPr="00883D6B">
              <w:rPr>
                <w:sz w:val="20"/>
              </w:rPr>
              <w:t>3.757E-14</w:t>
            </w:r>
          </w:p>
          <w:p w:rsidR="00ED1407" w:rsidRPr="00883D6B" w:rsidRDefault="00ED1407" w:rsidP="00883D6B">
            <w:pPr>
              <w:rPr>
                <w:sz w:val="20"/>
              </w:rPr>
            </w:pPr>
            <w:r w:rsidRPr="00883D6B">
              <w:rPr>
                <w:sz w:val="20"/>
              </w:rPr>
              <w:t>(.861)</w:t>
            </w:r>
          </w:p>
        </w:tc>
        <w:tc>
          <w:tcPr>
            <w:tcW w:w="1079" w:type="dxa"/>
          </w:tcPr>
          <w:p w:rsidR="00ED1407" w:rsidRPr="00883D6B" w:rsidRDefault="00ED1407" w:rsidP="00883D6B">
            <w:pPr>
              <w:rPr>
                <w:sz w:val="20"/>
              </w:rPr>
            </w:pPr>
            <w:r w:rsidRPr="00883D6B">
              <w:rPr>
                <w:sz w:val="20"/>
              </w:rPr>
              <w:t>6.082E-14</w:t>
            </w:r>
          </w:p>
          <w:p w:rsidR="00ED1407" w:rsidRPr="00883D6B" w:rsidRDefault="00ED1407" w:rsidP="00883D6B">
            <w:pPr>
              <w:rPr>
                <w:sz w:val="20"/>
              </w:rPr>
            </w:pPr>
            <w:r w:rsidRPr="00883D6B">
              <w:rPr>
                <w:sz w:val="20"/>
              </w:rPr>
              <w:t>(1.168)</w:t>
            </w:r>
          </w:p>
        </w:tc>
        <w:tc>
          <w:tcPr>
            <w:tcW w:w="1079" w:type="dxa"/>
          </w:tcPr>
          <w:p w:rsidR="00ED1407" w:rsidRPr="00883D6B" w:rsidRDefault="00ED1407" w:rsidP="00883D6B">
            <w:pPr>
              <w:rPr>
                <w:sz w:val="20"/>
              </w:rPr>
            </w:pPr>
            <w:r w:rsidRPr="00883D6B">
              <w:rPr>
                <w:sz w:val="20"/>
              </w:rPr>
              <w:t>2.008E-14</w:t>
            </w:r>
          </w:p>
          <w:p w:rsidR="00ED1407" w:rsidRPr="00883D6B" w:rsidRDefault="00ED1407" w:rsidP="00883D6B">
            <w:pPr>
              <w:rPr>
                <w:sz w:val="20"/>
              </w:rPr>
            </w:pPr>
            <w:r w:rsidRPr="00883D6B">
              <w:rPr>
                <w:sz w:val="20"/>
              </w:rPr>
              <w:t>(.911)</w:t>
            </w:r>
          </w:p>
        </w:tc>
        <w:tc>
          <w:tcPr>
            <w:tcW w:w="1078" w:type="dxa"/>
          </w:tcPr>
          <w:p w:rsidR="00ED1407" w:rsidRPr="00883D6B" w:rsidRDefault="00ED1407" w:rsidP="00883D6B">
            <w:pPr>
              <w:rPr>
                <w:sz w:val="20"/>
              </w:rPr>
            </w:pPr>
            <w:r w:rsidRPr="00883D6B">
              <w:rPr>
                <w:sz w:val="20"/>
              </w:rPr>
              <w:t>1.786E-14</w:t>
            </w:r>
          </w:p>
          <w:p w:rsidR="00ED1407" w:rsidRPr="00883D6B" w:rsidRDefault="00ED1407" w:rsidP="00883D6B">
            <w:pPr>
              <w:rPr>
                <w:sz w:val="20"/>
              </w:rPr>
            </w:pPr>
            <w:r w:rsidRPr="00883D6B">
              <w:rPr>
                <w:sz w:val="20"/>
              </w:rPr>
              <w:t>(.762)</w:t>
            </w:r>
          </w:p>
        </w:tc>
        <w:tc>
          <w:tcPr>
            <w:tcW w:w="1079" w:type="dxa"/>
          </w:tcPr>
          <w:p w:rsidR="00ED1407" w:rsidRPr="00883D6B" w:rsidRDefault="00ED1407" w:rsidP="00883D6B">
            <w:pPr>
              <w:rPr>
                <w:sz w:val="20"/>
              </w:rPr>
            </w:pPr>
            <w:r w:rsidRPr="00883D6B">
              <w:rPr>
                <w:sz w:val="20"/>
              </w:rPr>
              <w:t>1.711E-14</w:t>
            </w:r>
          </w:p>
          <w:p w:rsidR="00ED1407" w:rsidRPr="00883D6B" w:rsidRDefault="00ED1407" w:rsidP="00883D6B">
            <w:pPr>
              <w:rPr>
                <w:sz w:val="20"/>
              </w:rPr>
            </w:pPr>
            <w:r w:rsidRPr="00883D6B">
              <w:rPr>
                <w:sz w:val="20"/>
              </w:rPr>
              <w:t>(1.180)</w:t>
            </w:r>
          </w:p>
        </w:tc>
        <w:tc>
          <w:tcPr>
            <w:tcW w:w="1079" w:type="dxa"/>
          </w:tcPr>
          <w:p w:rsidR="00ED1407" w:rsidRPr="00883D6B" w:rsidRDefault="00ED1407" w:rsidP="00883D6B">
            <w:pPr>
              <w:rPr>
                <w:sz w:val="20"/>
              </w:rPr>
            </w:pPr>
            <w:r w:rsidRPr="00883D6B">
              <w:rPr>
                <w:sz w:val="20"/>
              </w:rPr>
              <w:t>4.229E-14</w:t>
            </w:r>
          </w:p>
          <w:p w:rsidR="00ED1407" w:rsidRPr="00883D6B" w:rsidRDefault="00ED1407" w:rsidP="00883D6B">
            <w:pPr>
              <w:rPr>
                <w:sz w:val="20"/>
              </w:rPr>
            </w:pPr>
            <w:r w:rsidRPr="00883D6B">
              <w:rPr>
                <w:sz w:val="20"/>
              </w:rPr>
              <w:t>(1.270)</w:t>
            </w:r>
          </w:p>
        </w:tc>
      </w:tr>
      <w:tr w:rsidR="00ED1407" w:rsidTr="00883D6B">
        <w:tc>
          <w:tcPr>
            <w:tcW w:w="1078" w:type="dxa"/>
          </w:tcPr>
          <w:p w:rsidR="00ED1407" w:rsidRPr="00883D6B" w:rsidRDefault="00ED1407" w:rsidP="00883D6B">
            <w:pPr>
              <w:rPr>
                <w:b/>
                <w:sz w:val="20"/>
              </w:rPr>
            </w:pPr>
            <w:r w:rsidRPr="00883D6B">
              <w:rPr>
                <w:b/>
                <w:sz w:val="20"/>
                <w:szCs w:val="22"/>
              </w:rPr>
              <w:t>Total affiliates</w:t>
            </w:r>
          </w:p>
        </w:tc>
        <w:tc>
          <w:tcPr>
            <w:tcW w:w="1079" w:type="dxa"/>
          </w:tcPr>
          <w:p w:rsidR="00ED1407" w:rsidRPr="00883D6B" w:rsidRDefault="00ED1407" w:rsidP="00883D6B">
            <w:pPr>
              <w:rPr>
                <w:sz w:val="20"/>
              </w:rPr>
            </w:pPr>
            <w:r w:rsidRPr="00883D6B">
              <w:rPr>
                <w:sz w:val="20"/>
              </w:rPr>
              <w:t>.032**</w:t>
            </w:r>
          </w:p>
          <w:p w:rsidR="00ED1407" w:rsidRPr="00883D6B" w:rsidRDefault="00ED1407" w:rsidP="00883D6B">
            <w:pPr>
              <w:rPr>
                <w:sz w:val="20"/>
              </w:rPr>
            </w:pPr>
            <w:r w:rsidRPr="00883D6B">
              <w:rPr>
                <w:sz w:val="20"/>
              </w:rPr>
              <w:t>(12.076)</w:t>
            </w:r>
          </w:p>
        </w:tc>
        <w:tc>
          <w:tcPr>
            <w:tcW w:w="1079" w:type="dxa"/>
          </w:tcPr>
          <w:p w:rsidR="00ED1407" w:rsidRPr="00883D6B" w:rsidRDefault="00ED1407" w:rsidP="00883D6B">
            <w:pPr>
              <w:rPr>
                <w:sz w:val="20"/>
              </w:rPr>
            </w:pPr>
            <w:r w:rsidRPr="00883D6B">
              <w:rPr>
                <w:sz w:val="20"/>
              </w:rPr>
              <w:t>.030</w:t>
            </w:r>
          </w:p>
          <w:p w:rsidR="00ED1407" w:rsidRPr="00883D6B" w:rsidRDefault="00ED1407" w:rsidP="00883D6B">
            <w:pPr>
              <w:rPr>
                <w:sz w:val="20"/>
              </w:rPr>
            </w:pPr>
            <w:r w:rsidRPr="00883D6B">
              <w:rPr>
                <w:sz w:val="20"/>
              </w:rPr>
              <w:t>(9.778)</w:t>
            </w:r>
          </w:p>
        </w:tc>
        <w:tc>
          <w:tcPr>
            <w:tcW w:w="1078" w:type="dxa"/>
          </w:tcPr>
          <w:p w:rsidR="00ED1407" w:rsidRPr="00883D6B" w:rsidRDefault="00ED1407" w:rsidP="00883D6B">
            <w:pPr>
              <w:rPr>
                <w:sz w:val="20"/>
              </w:rPr>
            </w:pPr>
            <w:r w:rsidRPr="00883D6B">
              <w:rPr>
                <w:sz w:val="20"/>
              </w:rPr>
              <w:t>.030**</w:t>
            </w:r>
          </w:p>
          <w:p w:rsidR="00ED1407" w:rsidRPr="00883D6B" w:rsidRDefault="00ED1407" w:rsidP="00883D6B">
            <w:pPr>
              <w:rPr>
                <w:sz w:val="20"/>
              </w:rPr>
            </w:pPr>
            <w:r w:rsidRPr="00883D6B">
              <w:rPr>
                <w:sz w:val="20"/>
              </w:rPr>
              <w:t>(10.836)</w:t>
            </w:r>
          </w:p>
        </w:tc>
        <w:tc>
          <w:tcPr>
            <w:tcW w:w="1079" w:type="dxa"/>
          </w:tcPr>
          <w:p w:rsidR="00ED1407" w:rsidRPr="00883D6B" w:rsidRDefault="00ED1407" w:rsidP="00883D6B">
            <w:pPr>
              <w:rPr>
                <w:sz w:val="20"/>
              </w:rPr>
            </w:pPr>
            <w:r w:rsidRPr="00883D6B">
              <w:rPr>
                <w:sz w:val="20"/>
              </w:rPr>
              <w:t>.029**</w:t>
            </w:r>
          </w:p>
          <w:p w:rsidR="00ED1407" w:rsidRPr="00883D6B" w:rsidRDefault="00ED1407" w:rsidP="00883D6B">
            <w:pPr>
              <w:rPr>
                <w:sz w:val="20"/>
              </w:rPr>
            </w:pPr>
            <w:r w:rsidRPr="00883D6B">
              <w:rPr>
                <w:sz w:val="20"/>
              </w:rPr>
              <w:t>(8.787)</w:t>
            </w:r>
          </w:p>
        </w:tc>
        <w:tc>
          <w:tcPr>
            <w:tcW w:w="1079" w:type="dxa"/>
          </w:tcPr>
          <w:p w:rsidR="00ED1407" w:rsidRPr="00883D6B" w:rsidRDefault="00ED1407" w:rsidP="00883D6B">
            <w:pPr>
              <w:rPr>
                <w:sz w:val="20"/>
              </w:rPr>
            </w:pPr>
          </w:p>
        </w:tc>
        <w:tc>
          <w:tcPr>
            <w:tcW w:w="1078"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p>
        </w:tc>
      </w:tr>
      <w:tr w:rsidR="00ED1407" w:rsidTr="00883D6B">
        <w:tc>
          <w:tcPr>
            <w:tcW w:w="1078" w:type="dxa"/>
          </w:tcPr>
          <w:p w:rsidR="00ED1407" w:rsidRPr="00883D6B" w:rsidRDefault="00ED1407" w:rsidP="00883D6B">
            <w:pPr>
              <w:rPr>
                <w:b/>
                <w:sz w:val="20"/>
              </w:rPr>
            </w:pPr>
            <w:r w:rsidRPr="00883D6B">
              <w:rPr>
                <w:b/>
                <w:sz w:val="20"/>
                <w:szCs w:val="22"/>
              </w:rPr>
              <w:t>Total industrial affiliates</w:t>
            </w: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8"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r w:rsidRPr="00883D6B">
              <w:rPr>
                <w:sz w:val="20"/>
              </w:rPr>
              <w:t>.035**</w:t>
            </w:r>
          </w:p>
          <w:p w:rsidR="00ED1407" w:rsidRPr="00883D6B" w:rsidRDefault="00ED1407" w:rsidP="00883D6B">
            <w:pPr>
              <w:rPr>
                <w:sz w:val="20"/>
              </w:rPr>
            </w:pPr>
            <w:r w:rsidRPr="00883D6B">
              <w:rPr>
                <w:sz w:val="20"/>
              </w:rPr>
              <w:t>(9.029)</w:t>
            </w:r>
          </w:p>
        </w:tc>
        <w:tc>
          <w:tcPr>
            <w:tcW w:w="1078" w:type="dxa"/>
          </w:tcPr>
          <w:p w:rsidR="00ED1407" w:rsidRPr="00883D6B" w:rsidRDefault="00ED1407" w:rsidP="00883D6B">
            <w:pPr>
              <w:rPr>
                <w:sz w:val="20"/>
              </w:rPr>
            </w:pPr>
          </w:p>
        </w:tc>
        <w:tc>
          <w:tcPr>
            <w:tcW w:w="1079" w:type="dxa"/>
          </w:tcPr>
          <w:p w:rsidR="00ED1407" w:rsidRPr="00883D6B" w:rsidRDefault="00ED1407" w:rsidP="00883D6B">
            <w:pPr>
              <w:jc w:val="center"/>
              <w:rPr>
                <w:sz w:val="20"/>
              </w:rPr>
            </w:pPr>
          </w:p>
        </w:tc>
        <w:tc>
          <w:tcPr>
            <w:tcW w:w="1079" w:type="dxa"/>
          </w:tcPr>
          <w:p w:rsidR="00ED1407" w:rsidRPr="00883D6B" w:rsidRDefault="00ED1407" w:rsidP="00883D6B">
            <w:pPr>
              <w:jc w:val="center"/>
              <w:rPr>
                <w:sz w:val="20"/>
              </w:rPr>
            </w:pPr>
          </w:p>
        </w:tc>
      </w:tr>
      <w:tr w:rsidR="00ED1407" w:rsidTr="00883D6B">
        <w:tc>
          <w:tcPr>
            <w:tcW w:w="1078" w:type="dxa"/>
          </w:tcPr>
          <w:p w:rsidR="00ED1407" w:rsidRPr="00883D6B" w:rsidRDefault="00ED1407" w:rsidP="00883D6B">
            <w:pPr>
              <w:rPr>
                <w:b/>
                <w:sz w:val="20"/>
              </w:rPr>
            </w:pPr>
            <w:r w:rsidRPr="00883D6B">
              <w:rPr>
                <w:b/>
                <w:sz w:val="20"/>
                <w:szCs w:val="22"/>
              </w:rPr>
              <w:t>Total tertiary affiliates</w:t>
            </w: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8"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9" w:type="dxa"/>
          </w:tcPr>
          <w:p w:rsidR="00ED1407" w:rsidRPr="00883D6B" w:rsidRDefault="00ED1407" w:rsidP="00883D6B">
            <w:pPr>
              <w:rPr>
                <w:sz w:val="20"/>
              </w:rPr>
            </w:pPr>
          </w:p>
        </w:tc>
        <w:tc>
          <w:tcPr>
            <w:tcW w:w="1078" w:type="dxa"/>
          </w:tcPr>
          <w:p w:rsidR="00ED1407" w:rsidRPr="00883D6B" w:rsidRDefault="00ED1407" w:rsidP="00883D6B">
            <w:pPr>
              <w:rPr>
                <w:sz w:val="20"/>
              </w:rPr>
            </w:pPr>
            <w:r w:rsidRPr="00883D6B">
              <w:rPr>
                <w:sz w:val="20"/>
              </w:rPr>
              <w:t>.024**</w:t>
            </w:r>
          </w:p>
          <w:p w:rsidR="00ED1407" w:rsidRPr="00883D6B" w:rsidRDefault="00ED1407" w:rsidP="00883D6B">
            <w:pPr>
              <w:jc w:val="center"/>
              <w:rPr>
                <w:sz w:val="20"/>
              </w:rPr>
            </w:pPr>
            <w:r w:rsidRPr="00883D6B">
              <w:rPr>
                <w:sz w:val="20"/>
              </w:rPr>
              <w:t>(7.709)</w:t>
            </w:r>
          </w:p>
        </w:tc>
        <w:tc>
          <w:tcPr>
            <w:tcW w:w="1079" w:type="dxa"/>
          </w:tcPr>
          <w:p w:rsidR="00ED1407" w:rsidRPr="00883D6B" w:rsidRDefault="00ED1407" w:rsidP="00883D6B">
            <w:pPr>
              <w:jc w:val="center"/>
              <w:rPr>
                <w:sz w:val="20"/>
              </w:rPr>
            </w:pPr>
          </w:p>
        </w:tc>
        <w:tc>
          <w:tcPr>
            <w:tcW w:w="1079" w:type="dxa"/>
          </w:tcPr>
          <w:p w:rsidR="00ED1407" w:rsidRPr="00883D6B" w:rsidRDefault="00ED1407" w:rsidP="00883D6B">
            <w:pPr>
              <w:jc w:val="center"/>
              <w:rPr>
                <w:sz w:val="20"/>
              </w:rPr>
            </w:pPr>
          </w:p>
        </w:tc>
      </w:tr>
      <w:tr w:rsidR="00ED1407" w:rsidTr="00883D6B">
        <w:tc>
          <w:tcPr>
            <w:tcW w:w="1078" w:type="dxa"/>
          </w:tcPr>
          <w:p w:rsidR="00ED1407" w:rsidRPr="00883D6B" w:rsidRDefault="00ED1407" w:rsidP="00883D6B">
            <w:pPr>
              <w:rPr>
                <w:b/>
                <w:sz w:val="20"/>
              </w:rPr>
            </w:pPr>
            <w:r w:rsidRPr="00883D6B">
              <w:rPr>
                <w:b/>
                <w:sz w:val="20"/>
                <w:szCs w:val="22"/>
              </w:rPr>
              <w:t>Total financial affiliates</w:t>
            </w:r>
          </w:p>
        </w:tc>
        <w:tc>
          <w:tcPr>
            <w:tcW w:w="1079" w:type="dxa"/>
          </w:tcPr>
          <w:p w:rsidR="00ED1407" w:rsidRPr="00883D6B" w:rsidRDefault="00ED1407" w:rsidP="00883D6B">
            <w:pPr>
              <w:jc w:val="center"/>
              <w:rPr>
                <w:sz w:val="20"/>
              </w:rPr>
            </w:pPr>
          </w:p>
        </w:tc>
        <w:tc>
          <w:tcPr>
            <w:tcW w:w="1079" w:type="dxa"/>
          </w:tcPr>
          <w:p w:rsidR="00ED1407" w:rsidRPr="00883D6B" w:rsidRDefault="00ED1407" w:rsidP="00883D6B">
            <w:pPr>
              <w:jc w:val="center"/>
              <w:rPr>
                <w:sz w:val="20"/>
              </w:rPr>
            </w:pPr>
          </w:p>
        </w:tc>
        <w:tc>
          <w:tcPr>
            <w:tcW w:w="1078" w:type="dxa"/>
          </w:tcPr>
          <w:p w:rsidR="00ED1407" w:rsidRPr="00883D6B" w:rsidRDefault="00ED1407" w:rsidP="00883D6B">
            <w:pPr>
              <w:jc w:val="center"/>
              <w:rPr>
                <w:sz w:val="20"/>
              </w:rPr>
            </w:pPr>
          </w:p>
        </w:tc>
        <w:tc>
          <w:tcPr>
            <w:tcW w:w="1079" w:type="dxa"/>
          </w:tcPr>
          <w:p w:rsidR="00ED1407" w:rsidRPr="00883D6B" w:rsidRDefault="00ED1407" w:rsidP="00883D6B">
            <w:pPr>
              <w:rPr>
                <w:sz w:val="20"/>
              </w:rPr>
            </w:pPr>
          </w:p>
        </w:tc>
        <w:tc>
          <w:tcPr>
            <w:tcW w:w="1079" w:type="dxa"/>
          </w:tcPr>
          <w:p w:rsidR="00ED1407" w:rsidRPr="00883D6B" w:rsidRDefault="00ED1407" w:rsidP="00883D6B">
            <w:pPr>
              <w:jc w:val="center"/>
              <w:rPr>
                <w:sz w:val="20"/>
              </w:rPr>
            </w:pPr>
          </w:p>
        </w:tc>
        <w:tc>
          <w:tcPr>
            <w:tcW w:w="1078" w:type="dxa"/>
          </w:tcPr>
          <w:p w:rsidR="00ED1407" w:rsidRPr="00883D6B" w:rsidRDefault="00ED1407" w:rsidP="00883D6B">
            <w:pPr>
              <w:jc w:val="center"/>
              <w:rPr>
                <w:sz w:val="20"/>
              </w:rPr>
            </w:pPr>
            <w:r w:rsidRPr="00883D6B">
              <w:rPr>
                <w:sz w:val="20"/>
              </w:rPr>
              <w:t>.</w:t>
            </w:r>
          </w:p>
        </w:tc>
        <w:tc>
          <w:tcPr>
            <w:tcW w:w="1079" w:type="dxa"/>
          </w:tcPr>
          <w:p w:rsidR="00ED1407" w:rsidRPr="00883D6B" w:rsidRDefault="00ED1407" w:rsidP="00883D6B">
            <w:pPr>
              <w:rPr>
                <w:sz w:val="20"/>
              </w:rPr>
            </w:pPr>
            <w:r w:rsidRPr="00883D6B">
              <w:rPr>
                <w:sz w:val="20"/>
              </w:rPr>
              <w:t>.033**</w:t>
            </w:r>
          </w:p>
          <w:p w:rsidR="00ED1407" w:rsidRPr="00883D6B" w:rsidRDefault="00ED1407" w:rsidP="00883D6B">
            <w:pPr>
              <w:jc w:val="center"/>
              <w:rPr>
                <w:sz w:val="20"/>
              </w:rPr>
            </w:pPr>
            <w:r w:rsidRPr="00883D6B">
              <w:rPr>
                <w:sz w:val="20"/>
              </w:rPr>
              <w:t>(6.467)</w:t>
            </w:r>
          </w:p>
        </w:tc>
        <w:tc>
          <w:tcPr>
            <w:tcW w:w="1079" w:type="dxa"/>
          </w:tcPr>
          <w:p w:rsidR="00ED1407" w:rsidRPr="00883D6B" w:rsidRDefault="00ED1407" w:rsidP="00883D6B">
            <w:pPr>
              <w:jc w:val="center"/>
              <w:rPr>
                <w:sz w:val="20"/>
              </w:rPr>
            </w:pPr>
          </w:p>
        </w:tc>
      </w:tr>
      <w:tr w:rsidR="00ED1407" w:rsidTr="00883D6B">
        <w:tc>
          <w:tcPr>
            <w:tcW w:w="1078" w:type="dxa"/>
            <w:tcBorders>
              <w:bottom w:val="single" w:sz="18" w:space="0" w:color="auto"/>
            </w:tcBorders>
          </w:tcPr>
          <w:p w:rsidR="00ED1407" w:rsidRPr="00883D6B" w:rsidRDefault="00ED1407" w:rsidP="00883D6B">
            <w:pPr>
              <w:rPr>
                <w:b/>
                <w:sz w:val="20"/>
              </w:rPr>
            </w:pPr>
            <w:r w:rsidRPr="00883D6B">
              <w:rPr>
                <w:b/>
                <w:sz w:val="20"/>
                <w:szCs w:val="22"/>
              </w:rPr>
              <w:t>Total service affiliates</w:t>
            </w:r>
          </w:p>
        </w:tc>
        <w:tc>
          <w:tcPr>
            <w:tcW w:w="1079" w:type="dxa"/>
            <w:tcBorders>
              <w:bottom w:val="single" w:sz="18" w:space="0" w:color="auto"/>
            </w:tcBorders>
          </w:tcPr>
          <w:p w:rsidR="00ED1407" w:rsidRPr="00883D6B" w:rsidRDefault="00ED1407" w:rsidP="00883D6B">
            <w:pPr>
              <w:jc w:val="center"/>
              <w:rPr>
                <w:sz w:val="20"/>
              </w:rPr>
            </w:pPr>
          </w:p>
        </w:tc>
        <w:tc>
          <w:tcPr>
            <w:tcW w:w="1079" w:type="dxa"/>
            <w:tcBorders>
              <w:bottom w:val="single" w:sz="18" w:space="0" w:color="auto"/>
            </w:tcBorders>
          </w:tcPr>
          <w:p w:rsidR="00ED1407" w:rsidRPr="00883D6B" w:rsidRDefault="00ED1407" w:rsidP="00883D6B">
            <w:pPr>
              <w:jc w:val="center"/>
              <w:rPr>
                <w:sz w:val="20"/>
              </w:rPr>
            </w:pPr>
          </w:p>
        </w:tc>
        <w:tc>
          <w:tcPr>
            <w:tcW w:w="1078" w:type="dxa"/>
            <w:tcBorders>
              <w:bottom w:val="single" w:sz="18" w:space="0" w:color="auto"/>
            </w:tcBorders>
          </w:tcPr>
          <w:p w:rsidR="00ED1407" w:rsidRPr="00883D6B" w:rsidRDefault="00ED1407" w:rsidP="00883D6B">
            <w:pPr>
              <w:jc w:val="center"/>
              <w:rPr>
                <w:sz w:val="20"/>
              </w:rPr>
            </w:pPr>
          </w:p>
        </w:tc>
        <w:tc>
          <w:tcPr>
            <w:tcW w:w="1079" w:type="dxa"/>
            <w:tcBorders>
              <w:bottom w:val="single" w:sz="18" w:space="0" w:color="auto"/>
            </w:tcBorders>
          </w:tcPr>
          <w:p w:rsidR="00ED1407" w:rsidRPr="00883D6B" w:rsidRDefault="00ED1407" w:rsidP="00883D6B">
            <w:pPr>
              <w:rPr>
                <w:sz w:val="20"/>
              </w:rPr>
            </w:pPr>
          </w:p>
        </w:tc>
        <w:tc>
          <w:tcPr>
            <w:tcW w:w="1079" w:type="dxa"/>
            <w:tcBorders>
              <w:bottom w:val="single" w:sz="18" w:space="0" w:color="auto"/>
            </w:tcBorders>
          </w:tcPr>
          <w:p w:rsidR="00ED1407" w:rsidRPr="00883D6B" w:rsidRDefault="00ED1407" w:rsidP="00883D6B">
            <w:pPr>
              <w:jc w:val="center"/>
              <w:rPr>
                <w:sz w:val="20"/>
              </w:rPr>
            </w:pPr>
          </w:p>
        </w:tc>
        <w:tc>
          <w:tcPr>
            <w:tcW w:w="1078" w:type="dxa"/>
            <w:tcBorders>
              <w:bottom w:val="single" w:sz="18" w:space="0" w:color="auto"/>
            </w:tcBorders>
          </w:tcPr>
          <w:p w:rsidR="00ED1407" w:rsidRPr="00883D6B" w:rsidRDefault="00ED1407" w:rsidP="00883D6B">
            <w:pPr>
              <w:jc w:val="center"/>
              <w:rPr>
                <w:sz w:val="20"/>
              </w:rPr>
            </w:pPr>
          </w:p>
        </w:tc>
        <w:tc>
          <w:tcPr>
            <w:tcW w:w="1079" w:type="dxa"/>
            <w:tcBorders>
              <w:bottom w:val="single" w:sz="18" w:space="0" w:color="auto"/>
            </w:tcBorders>
          </w:tcPr>
          <w:p w:rsidR="00ED1407" w:rsidRPr="00883D6B" w:rsidRDefault="00ED1407" w:rsidP="00883D6B">
            <w:pPr>
              <w:jc w:val="center"/>
              <w:rPr>
                <w:sz w:val="20"/>
              </w:rPr>
            </w:pPr>
          </w:p>
        </w:tc>
        <w:tc>
          <w:tcPr>
            <w:tcW w:w="1079" w:type="dxa"/>
            <w:tcBorders>
              <w:bottom w:val="single" w:sz="18" w:space="0" w:color="auto"/>
            </w:tcBorders>
          </w:tcPr>
          <w:p w:rsidR="00ED1407" w:rsidRPr="00883D6B" w:rsidRDefault="00ED1407" w:rsidP="00883D6B">
            <w:pPr>
              <w:rPr>
                <w:sz w:val="20"/>
              </w:rPr>
            </w:pPr>
            <w:r w:rsidRPr="00883D6B">
              <w:rPr>
                <w:sz w:val="20"/>
              </w:rPr>
              <w:t>.025**</w:t>
            </w:r>
          </w:p>
          <w:p w:rsidR="00ED1407" w:rsidRPr="00883D6B" w:rsidRDefault="00ED1407" w:rsidP="00883D6B">
            <w:pPr>
              <w:jc w:val="center"/>
              <w:rPr>
                <w:sz w:val="20"/>
              </w:rPr>
            </w:pPr>
            <w:r w:rsidRPr="00883D6B">
              <w:rPr>
                <w:sz w:val="20"/>
              </w:rPr>
              <w:t>(7.826)</w:t>
            </w:r>
          </w:p>
        </w:tc>
      </w:tr>
      <w:tr w:rsidR="00ED1407" w:rsidTr="00883D6B">
        <w:tc>
          <w:tcPr>
            <w:tcW w:w="1078" w:type="dxa"/>
            <w:tcBorders>
              <w:top w:val="single" w:sz="18" w:space="0" w:color="auto"/>
            </w:tcBorders>
          </w:tcPr>
          <w:p w:rsidR="00ED1407" w:rsidRPr="00883D6B" w:rsidRDefault="00ED1407" w:rsidP="00883D6B">
            <w:pPr>
              <w:rPr>
                <w:b/>
                <w:i/>
                <w:sz w:val="20"/>
              </w:rPr>
            </w:pPr>
            <w:r w:rsidRPr="00883D6B">
              <w:rPr>
                <w:b/>
                <w:i/>
                <w:sz w:val="20"/>
                <w:szCs w:val="22"/>
              </w:rPr>
              <w:t>N</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8"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8"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c>
          <w:tcPr>
            <w:tcW w:w="1079" w:type="dxa"/>
            <w:tcBorders>
              <w:top w:val="single" w:sz="18" w:space="0" w:color="auto"/>
            </w:tcBorders>
          </w:tcPr>
          <w:p w:rsidR="00ED1407" w:rsidRPr="00883D6B" w:rsidRDefault="00ED1407" w:rsidP="00883D6B">
            <w:pPr>
              <w:jc w:val="center"/>
              <w:rPr>
                <w:i/>
                <w:sz w:val="20"/>
              </w:rPr>
            </w:pPr>
            <w:r w:rsidRPr="00883D6B">
              <w:rPr>
                <w:i/>
                <w:sz w:val="20"/>
                <w:szCs w:val="22"/>
              </w:rPr>
              <w:t>649</w:t>
            </w:r>
          </w:p>
        </w:tc>
      </w:tr>
      <w:tr w:rsidR="00ED1407" w:rsidTr="00883D6B">
        <w:tc>
          <w:tcPr>
            <w:tcW w:w="1078" w:type="dxa"/>
          </w:tcPr>
          <w:p w:rsidR="00ED1407" w:rsidRPr="00883D6B" w:rsidRDefault="00ED1407" w:rsidP="00883D6B">
            <w:pPr>
              <w:rPr>
                <w:b/>
                <w:i/>
                <w:sz w:val="20"/>
                <w:vertAlign w:val="superscript"/>
              </w:rPr>
            </w:pPr>
            <w:r w:rsidRPr="00883D6B">
              <w:rPr>
                <w:b/>
                <w:i/>
                <w:sz w:val="20"/>
                <w:szCs w:val="22"/>
              </w:rPr>
              <w:t>Adjusted R</w:t>
            </w:r>
            <w:r w:rsidRPr="00883D6B">
              <w:rPr>
                <w:b/>
                <w:i/>
                <w:sz w:val="20"/>
                <w:szCs w:val="22"/>
                <w:vertAlign w:val="superscript"/>
              </w:rPr>
              <w:t>2</w:t>
            </w:r>
          </w:p>
        </w:tc>
        <w:tc>
          <w:tcPr>
            <w:tcW w:w="1079" w:type="dxa"/>
          </w:tcPr>
          <w:p w:rsidR="00ED1407" w:rsidRPr="00883D6B" w:rsidRDefault="00ED1407" w:rsidP="00883D6B">
            <w:pPr>
              <w:jc w:val="center"/>
              <w:rPr>
                <w:i/>
                <w:sz w:val="20"/>
              </w:rPr>
            </w:pPr>
            <w:r w:rsidRPr="00883D6B">
              <w:rPr>
                <w:i/>
                <w:sz w:val="20"/>
                <w:szCs w:val="22"/>
              </w:rPr>
              <w:t>.326</w:t>
            </w:r>
          </w:p>
        </w:tc>
        <w:tc>
          <w:tcPr>
            <w:tcW w:w="1079" w:type="dxa"/>
          </w:tcPr>
          <w:p w:rsidR="00ED1407" w:rsidRPr="00883D6B" w:rsidRDefault="00ED1407" w:rsidP="00883D6B">
            <w:pPr>
              <w:jc w:val="center"/>
              <w:rPr>
                <w:i/>
                <w:sz w:val="20"/>
              </w:rPr>
            </w:pPr>
            <w:r w:rsidRPr="00883D6B">
              <w:rPr>
                <w:i/>
                <w:sz w:val="20"/>
                <w:szCs w:val="22"/>
              </w:rPr>
              <w:t>.327</w:t>
            </w:r>
          </w:p>
        </w:tc>
        <w:tc>
          <w:tcPr>
            <w:tcW w:w="1078" w:type="dxa"/>
          </w:tcPr>
          <w:p w:rsidR="00ED1407" w:rsidRPr="00883D6B" w:rsidRDefault="00ED1407" w:rsidP="00883D6B">
            <w:pPr>
              <w:jc w:val="center"/>
              <w:rPr>
                <w:i/>
                <w:sz w:val="20"/>
              </w:rPr>
            </w:pPr>
            <w:r w:rsidRPr="00883D6B">
              <w:rPr>
                <w:i/>
                <w:sz w:val="20"/>
                <w:szCs w:val="22"/>
              </w:rPr>
              <w:t>.326</w:t>
            </w:r>
          </w:p>
        </w:tc>
        <w:tc>
          <w:tcPr>
            <w:tcW w:w="1079" w:type="dxa"/>
          </w:tcPr>
          <w:p w:rsidR="00ED1407" w:rsidRPr="00883D6B" w:rsidRDefault="00ED1407" w:rsidP="00883D6B">
            <w:pPr>
              <w:jc w:val="center"/>
              <w:rPr>
                <w:i/>
                <w:sz w:val="20"/>
              </w:rPr>
            </w:pPr>
            <w:r w:rsidRPr="00883D6B">
              <w:rPr>
                <w:i/>
                <w:sz w:val="20"/>
                <w:szCs w:val="22"/>
              </w:rPr>
              <w:t>.323</w:t>
            </w:r>
          </w:p>
        </w:tc>
        <w:tc>
          <w:tcPr>
            <w:tcW w:w="1079" w:type="dxa"/>
          </w:tcPr>
          <w:p w:rsidR="00ED1407" w:rsidRPr="00883D6B" w:rsidRDefault="00ED1407" w:rsidP="00883D6B">
            <w:pPr>
              <w:jc w:val="center"/>
              <w:rPr>
                <w:i/>
                <w:sz w:val="20"/>
              </w:rPr>
            </w:pPr>
            <w:r w:rsidRPr="00883D6B">
              <w:rPr>
                <w:i/>
                <w:sz w:val="20"/>
                <w:szCs w:val="22"/>
              </w:rPr>
              <w:t>.294</w:t>
            </w:r>
          </w:p>
        </w:tc>
        <w:tc>
          <w:tcPr>
            <w:tcW w:w="1078" w:type="dxa"/>
          </w:tcPr>
          <w:p w:rsidR="00ED1407" w:rsidRPr="00883D6B" w:rsidRDefault="00ED1407" w:rsidP="00883D6B">
            <w:pPr>
              <w:jc w:val="center"/>
              <w:rPr>
                <w:i/>
                <w:sz w:val="20"/>
              </w:rPr>
            </w:pPr>
            <w:r w:rsidRPr="00883D6B">
              <w:rPr>
                <w:i/>
                <w:sz w:val="20"/>
                <w:szCs w:val="22"/>
              </w:rPr>
              <w:t>.253</w:t>
            </w:r>
          </w:p>
        </w:tc>
        <w:tc>
          <w:tcPr>
            <w:tcW w:w="1079" w:type="dxa"/>
          </w:tcPr>
          <w:p w:rsidR="00ED1407" w:rsidRPr="00883D6B" w:rsidRDefault="00ED1407" w:rsidP="00883D6B">
            <w:pPr>
              <w:jc w:val="center"/>
              <w:rPr>
                <w:i/>
                <w:sz w:val="20"/>
              </w:rPr>
            </w:pPr>
            <w:r w:rsidRPr="00883D6B">
              <w:rPr>
                <w:i/>
                <w:sz w:val="20"/>
                <w:szCs w:val="22"/>
              </w:rPr>
              <w:t>.296</w:t>
            </w:r>
          </w:p>
        </w:tc>
        <w:tc>
          <w:tcPr>
            <w:tcW w:w="1079" w:type="dxa"/>
          </w:tcPr>
          <w:p w:rsidR="00ED1407" w:rsidRPr="00883D6B" w:rsidRDefault="00ED1407" w:rsidP="00883D6B">
            <w:pPr>
              <w:jc w:val="center"/>
              <w:rPr>
                <w:i/>
                <w:sz w:val="20"/>
              </w:rPr>
            </w:pPr>
            <w:r w:rsidRPr="00883D6B">
              <w:rPr>
                <w:i/>
                <w:sz w:val="20"/>
                <w:szCs w:val="22"/>
              </w:rPr>
              <w:t>.289</w:t>
            </w:r>
          </w:p>
        </w:tc>
      </w:tr>
      <w:tr w:rsidR="00ED1407" w:rsidTr="00883D6B">
        <w:tc>
          <w:tcPr>
            <w:tcW w:w="9708" w:type="dxa"/>
            <w:gridSpan w:val="9"/>
            <w:tcBorders>
              <w:left w:val="nil"/>
              <w:bottom w:val="nil"/>
              <w:right w:val="nil"/>
            </w:tcBorders>
          </w:tcPr>
          <w:p w:rsidR="00ED1407" w:rsidRPr="00B33BF3" w:rsidRDefault="00ED1407" w:rsidP="00883D6B">
            <w:r w:rsidRPr="00BD5A0B">
              <w:rPr>
                <w:color w:val="000000"/>
                <w:sz w:val="18"/>
                <w:szCs w:val="18"/>
              </w:rPr>
              <w:t>Notes: * indicates significance at .05 level; ** indicates significance at .01 level. T-values in parentheses.</w:t>
            </w:r>
          </w:p>
        </w:tc>
      </w:tr>
    </w:tbl>
    <w:p w:rsidR="00ED1407" w:rsidRPr="00F4275E" w:rsidRDefault="00ED1407" w:rsidP="008B79E2">
      <w:pPr>
        <w:spacing w:line="480" w:lineRule="auto"/>
        <w:rPr>
          <w:b/>
        </w:rPr>
      </w:pPr>
    </w:p>
    <w:sectPr w:rsidR="00ED1407" w:rsidRPr="00F4275E" w:rsidSect="000F0192">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07" w:rsidRDefault="00ED1407">
      <w:r>
        <w:separator/>
      </w:r>
    </w:p>
  </w:endnote>
  <w:endnote w:type="continuationSeparator" w:id="0">
    <w:p w:rsidR="00ED1407" w:rsidRDefault="00ED1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dvSTSerif-R">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07" w:rsidRDefault="00ED1407">
      <w:r>
        <w:separator/>
      </w:r>
    </w:p>
  </w:footnote>
  <w:footnote w:type="continuationSeparator" w:id="0">
    <w:p w:rsidR="00ED1407" w:rsidRDefault="00ED1407">
      <w:r>
        <w:continuationSeparator/>
      </w:r>
    </w:p>
  </w:footnote>
  <w:footnote w:id="1">
    <w:p w:rsidR="00ED1407" w:rsidRDefault="00ED1407">
      <w:pPr>
        <w:pStyle w:val="FootnoteText"/>
      </w:pPr>
      <w:r>
        <w:rPr>
          <w:rStyle w:val="FootnoteReference"/>
        </w:rPr>
        <w:footnoteRef/>
      </w:r>
      <w:r>
        <w:t xml:space="preserve"> Wave 1-5. Data freely downloadable from www.w</w:t>
      </w:r>
      <w:r w:rsidRPr="008577A4">
        <w:t>orldvaluessurvey.org</w:t>
      </w:r>
      <w:r>
        <w:t>.</w:t>
      </w:r>
    </w:p>
  </w:footnote>
  <w:footnote w:id="2">
    <w:p w:rsidR="00ED1407" w:rsidRDefault="00ED1407" w:rsidP="004C0E81">
      <w:pPr>
        <w:pStyle w:val="FootnoteText"/>
      </w:pPr>
      <w:r>
        <w:rPr>
          <w:rStyle w:val="FootnoteReference"/>
        </w:rPr>
        <w:footnoteRef/>
      </w:r>
      <w:r>
        <w:t xml:space="preserve"> </w:t>
      </w:r>
      <w:r w:rsidRPr="00C802EB">
        <w:t xml:space="preserve">Sample consists of Argentina, Armenia, </w:t>
      </w:r>
      <w:r>
        <w:t xml:space="preserve">Brazil, Canada, Chile, Colombia, Denmark, Dominican Republic, Egypt, El Salvador, Ethiopia, Finland, France, Germany, Ghana, Guatemala, Ireland, Italy, Japan, Mexico, Morocco, Netherlands, New Zealand, Nigeria, Norway, Peru, South Africa, Spain, Sweden, Switzerland, Tanzania, United Kingdom, United States, Uruguay, Venezuela, Zambia and Zimbabwe. </w:t>
      </w:r>
    </w:p>
  </w:footnote>
  <w:footnote w:id="3">
    <w:p w:rsidR="00ED1407" w:rsidRDefault="00ED1407" w:rsidP="00311B8D">
      <w:pPr>
        <w:pStyle w:val="FootnoteText"/>
      </w:pPr>
      <w:r>
        <w:rPr>
          <w:rStyle w:val="FootnoteReference"/>
        </w:rPr>
        <w:footnoteRef/>
      </w:r>
      <w:r>
        <w:t xml:space="preserve"> </w:t>
      </w:r>
      <w:r w:rsidRPr="009C37E1">
        <w:t>More specifically, we use the distance between two countries</w:t>
      </w:r>
      <w:r>
        <w:t xml:space="preserve">’ biggest cities weighted by the share of the city in the overall country’s population, following the formula </w:t>
      </w:r>
      <w:r w:rsidRPr="00F20136">
        <w:rPr>
          <w:position w:val="-28"/>
          <w:sz w:val="18"/>
        </w:rPr>
        <w:object w:dxaOrig="3940" w:dyaOrig="540">
          <v:shape id="_x0000_i1037" type="#_x0000_t75" style="width:153.75pt;height:21pt" o:ole="">
            <v:imagedata r:id="rId1" o:title=""/>
          </v:shape>
          <o:OLEObject Type="Embed" ProgID="Equation.3" ShapeID="_x0000_i1037" DrawAspect="Content" ObjectID="_1368860000" r:id="rId2"/>
        </w:object>
      </w:r>
      <w:r w:rsidRPr="00F20136">
        <w:rPr>
          <w:sz w:val="18"/>
        </w:rPr>
        <w:t>,</w:t>
      </w:r>
      <w:r>
        <w:rPr>
          <w:sz w:val="18"/>
        </w:rPr>
        <w:t xml:space="preserve"> </w:t>
      </w:r>
      <w:r>
        <w:t xml:space="preserve">where </w:t>
      </w:r>
      <w:r w:rsidRPr="00F20136">
        <w:rPr>
          <w:i/>
        </w:rPr>
        <w:t>pop</w:t>
      </w:r>
      <w:r w:rsidRPr="00F20136">
        <w:rPr>
          <w:i/>
          <w:vertAlign w:val="subscript"/>
        </w:rPr>
        <w:t>k</w:t>
      </w:r>
      <w:r>
        <w:t xml:space="preserve"> denotes the population of agglomeration </w:t>
      </w:r>
      <w:r>
        <w:rPr>
          <w:i/>
        </w:rPr>
        <w:t>k</w:t>
      </w:r>
      <w:r>
        <w:t xml:space="preserve"> (</w:t>
      </w:r>
      <w:r w:rsidRPr="00F20136">
        <w:rPr>
          <w:i/>
        </w:rPr>
        <w:t>l</w:t>
      </w:r>
      <w:r>
        <w:t xml:space="preserve">) in country </w:t>
      </w:r>
      <w:r>
        <w:rPr>
          <w:i/>
        </w:rPr>
        <w:t xml:space="preserve">i </w:t>
      </w:r>
      <w:r>
        <w:t>(</w:t>
      </w:r>
      <w:r w:rsidRPr="00F20136">
        <w:rPr>
          <w:i/>
        </w:rPr>
        <w:t>j</w:t>
      </w:r>
      <w:r>
        <w:t xml:space="preserve">). We prefer this measure over other measures of geographical distance, since it incorporates the internal distribution of population and thus reflects the spirit of our cultural overlap indicator.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5B9"/>
    <w:multiLevelType w:val="hybridMultilevel"/>
    <w:tmpl w:val="D1F4177A"/>
    <w:lvl w:ilvl="0" w:tplc="0FB8574E">
      <w:start w:val="11"/>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AC51C5"/>
    <w:multiLevelType w:val="multilevel"/>
    <w:tmpl w:val="842E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C81"/>
    <w:rsid w:val="00002A4B"/>
    <w:rsid w:val="0001413A"/>
    <w:rsid w:val="00025D19"/>
    <w:rsid w:val="00047702"/>
    <w:rsid w:val="00052181"/>
    <w:rsid w:val="0005331A"/>
    <w:rsid w:val="0006221D"/>
    <w:rsid w:val="00067C81"/>
    <w:rsid w:val="00082318"/>
    <w:rsid w:val="000830B6"/>
    <w:rsid w:val="000959C7"/>
    <w:rsid w:val="00096DC6"/>
    <w:rsid w:val="000A7EA7"/>
    <w:rsid w:val="000B7BEE"/>
    <w:rsid w:val="000C4FD2"/>
    <w:rsid w:val="000C6FE9"/>
    <w:rsid w:val="000D5499"/>
    <w:rsid w:val="000E72CC"/>
    <w:rsid w:val="000E795E"/>
    <w:rsid w:val="000F0192"/>
    <w:rsid w:val="000F25D4"/>
    <w:rsid w:val="000F5494"/>
    <w:rsid w:val="000F5BF1"/>
    <w:rsid w:val="0010494C"/>
    <w:rsid w:val="00110D02"/>
    <w:rsid w:val="00110E1A"/>
    <w:rsid w:val="00115870"/>
    <w:rsid w:val="0011706D"/>
    <w:rsid w:val="00130128"/>
    <w:rsid w:val="00136262"/>
    <w:rsid w:val="001406E0"/>
    <w:rsid w:val="001413BB"/>
    <w:rsid w:val="00162EA3"/>
    <w:rsid w:val="001729A4"/>
    <w:rsid w:val="00175B5D"/>
    <w:rsid w:val="001765CB"/>
    <w:rsid w:val="0018593C"/>
    <w:rsid w:val="00190E13"/>
    <w:rsid w:val="00196B55"/>
    <w:rsid w:val="00196F6C"/>
    <w:rsid w:val="00197B49"/>
    <w:rsid w:val="001A18DE"/>
    <w:rsid w:val="001A1E34"/>
    <w:rsid w:val="001A335F"/>
    <w:rsid w:val="001A4559"/>
    <w:rsid w:val="001A4C11"/>
    <w:rsid w:val="001C57E1"/>
    <w:rsid w:val="001E7553"/>
    <w:rsid w:val="00217451"/>
    <w:rsid w:val="00221037"/>
    <w:rsid w:val="0022135F"/>
    <w:rsid w:val="00232CB9"/>
    <w:rsid w:val="00233EAB"/>
    <w:rsid w:val="00234ED2"/>
    <w:rsid w:val="0025249B"/>
    <w:rsid w:val="00253F92"/>
    <w:rsid w:val="00267BF7"/>
    <w:rsid w:val="0028414C"/>
    <w:rsid w:val="0028688D"/>
    <w:rsid w:val="00292E2B"/>
    <w:rsid w:val="002A53CE"/>
    <w:rsid w:val="002A5B86"/>
    <w:rsid w:val="002A5D6B"/>
    <w:rsid w:val="002B4CC3"/>
    <w:rsid w:val="002D19B2"/>
    <w:rsid w:val="002D4311"/>
    <w:rsid w:val="002E58A6"/>
    <w:rsid w:val="002E6DBC"/>
    <w:rsid w:val="00310311"/>
    <w:rsid w:val="00311B8D"/>
    <w:rsid w:val="00312333"/>
    <w:rsid w:val="003127D3"/>
    <w:rsid w:val="00312895"/>
    <w:rsid w:val="003256C5"/>
    <w:rsid w:val="00325789"/>
    <w:rsid w:val="00326698"/>
    <w:rsid w:val="0033050E"/>
    <w:rsid w:val="00330981"/>
    <w:rsid w:val="00331561"/>
    <w:rsid w:val="00350FDD"/>
    <w:rsid w:val="00353E67"/>
    <w:rsid w:val="00357B2D"/>
    <w:rsid w:val="00360E87"/>
    <w:rsid w:val="00361DFC"/>
    <w:rsid w:val="00385FAF"/>
    <w:rsid w:val="00390301"/>
    <w:rsid w:val="0039512E"/>
    <w:rsid w:val="003A19CA"/>
    <w:rsid w:val="003A2C63"/>
    <w:rsid w:val="003A76D6"/>
    <w:rsid w:val="003C1932"/>
    <w:rsid w:val="003C7E64"/>
    <w:rsid w:val="003D5DBE"/>
    <w:rsid w:val="00400488"/>
    <w:rsid w:val="00404C6B"/>
    <w:rsid w:val="004111B0"/>
    <w:rsid w:val="00424ED8"/>
    <w:rsid w:val="0042795E"/>
    <w:rsid w:val="004309FC"/>
    <w:rsid w:val="00455183"/>
    <w:rsid w:val="004726B6"/>
    <w:rsid w:val="0047483D"/>
    <w:rsid w:val="004764D9"/>
    <w:rsid w:val="00480DA8"/>
    <w:rsid w:val="00482C87"/>
    <w:rsid w:val="00494316"/>
    <w:rsid w:val="00497BCC"/>
    <w:rsid w:val="004A110E"/>
    <w:rsid w:val="004A7C8F"/>
    <w:rsid w:val="004B23EA"/>
    <w:rsid w:val="004B4F88"/>
    <w:rsid w:val="004B698A"/>
    <w:rsid w:val="004C0E81"/>
    <w:rsid w:val="004C46A2"/>
    <w:rsid w:val="004C59D2"/>
    <w:rsid w:val="004D415F"/>
    <w:rsid w:val="004D5A4A"/>
    <w:rsid w:val="004E027A"/>
    <w:rsid w:val="004E0FF8"/>
    <w:rsid w:val="004E4D4E"/>
    <w:rsid w:val="004E58D3"/>
    <w:rsid w:val="00507C59"/>
    <w:rsid w:val="0051257A"/>
    <w:rsid w:val="00515D00"/>
    <w:rsid w:val="00522978"/>
    <w:rsid w:val="005236C7"/>
    <w:rsid w:val="00526E67"/>
    <w:rsid w:val="005353CE"/>
    <w:rsid w:val="00535BFD"/>
    <w:rsid w:val="00542C50"/>
    <w:rsid w:val="00557BF7"/>
    <w:rsid w:val="0056464B"/>
    <w:rsid w:val="00566918"/>
    <w:rsid w:val="005736B3"/>
    <w:rsid w:val="0057447A"/>
    <w:rsid w:val="005744CB"/>
    <w:rsid w:val="005821F2"/>
    <w:rsid w:val="005874F0"/>
    <w:rsid w:val="0059255A"/>
    <w:rsid w:val="00594F77"/>
    <w:rsid w:val="005D3E1D"/>
    <w:rsid w:val="005D4C14"/>
    <w:rsid w:val="005E36DB"/>
    <w:rsid w:val="005E5D67"/>
    <w:rsid w:val="005F3ECC"/>
    <w:rsid w:val="005F6E0A"/>
    <w:rsid w:val="00601C3A"/>
    <w:rsid w:val="0060240D"/>
    <w:rsid w:val="00604757"/>
    <w:rsid w:val="00622872"/>
    <w:rsid w:val="00636A67"/>
    <w:rsid w:val="00653B65"/>
    <w:rsid w:val="00660804"/>
    <w:rsid w:val="00667ECB"/>
    <w:rsid w:val="006720A2"/>
    <w:rsid w:val="00682B81"/>
    <w:rsid w:val="00684D51"/>
    <w:rsid w:val="006A7666"/>
    <w:rsid w:val="006B3524"/>
    <w:rsid w:val="006C5B20"/>
    <w:rsid w:val="006C7A25"/>
    <w:rsid w:val="006C7B38"/>
    <w:rsid w:val="006D783D"/>
    <w:rsid w:val="006F0FB9"/>
    <w:rsid w:val="00701281"/>
    <w:rsid w:val="00707B6A"/>
    <w:rsid w:val="00712588"/>
    <w:rsid w:val="0074128E"/>
    <w:rsid w:val="007422EB"/>
    <w:rsid w:val="00743815"/>
    <w:rsid w:val="00743DAA"/>
    <w:rsid w:val="007447EC"/>
    <w:rsid w:val="00744895"/>
    <w:rsid w:val="00750FC5"/>
    <w:rsid w:val="00753014"/>
    <w:rsid w:val="007571E0"/>
    <w:rsid w:val="00762720"/>
    <w:rsid w:val="0076595A"/>
    <w:rsid w:val="00765F8D"/>
    <w:rsid w:val="00776758"/>
    <w:rsid w:val="00786458"/>
    <w:rsid w:val="00793B40"/>
    <w:rsid w:val="007A42D9"/>
    <w:rsid w:val="007A5004"/>
    <w:rsid w:val="007A52F5"/>
    <w:rsid w:val="007A6DA1"/>
    <w:rsid w:val="007A7685"/>
    <w:rsid w:val="007A7A53"/>
    <w:rsid w:val="007B0735"/>
    <w:rsid w:val="007B469C"/>
    <w:rsid w:val="007B78F2"/>
    <w:rsid w:val="007C5D6E"/>
    <w:rsid w:val="007D30FB"/>
    <w:rsid w:val="007E1614"/>
    <w:rsid w:val="007E4CC4"/>
    <w:rsid w:val="007F112B"/>
    <w:rsid w:val="007F3857"/>
    <w:rsid w:val="007F69EA"/>
    <w:rsid w:val="008033A6"/>
    <w:rsid w:val="008053DF"/>
    <w:rsid w:val="00813945"/>
    <w:rsid w:val="00816A54"/>
    <w:rsid w:val="00843730"/>
    <w:rsid w:val="00855880"/>
    <w:rsid w:val="008577A4"/>
    <w:rsid w:val="00873A83"/>
    <w:rsid w:val="00883D6B"/>
    <w:rsid w:val="0089164D"/>
    <w:rsid w:val="008B03C4"/>
    <w:rsid w:val="008B79E2"/>
    <w:rsid w:val="008C0DAB"/>
    <w:rsid w:val="008C796C"/>
    <w:rsid w:val="008E37F2"/>
    <w:rsid w:val="008F285C"/>
    <w:rsid w:val="008F5D38"/>
    <w:rsid w:val="00901DA3"/>
    <w:rsid w:val="009076A2"/>
    <w:rsid w:val="00911D6A"/>
    <w:rsid w:val="0091341B"/>
    <w:rsid w:val="00917EE7"/>
    <w:rsid w:val="00921BDD"/>
    <w:rsid w:val="00931DC9"/>
    <w:rsid w:val="00952C83"/>
    <w:rsid w:val="009557DF"/>
    <w:rsid w:val="00962FDE"/>
    <w:rsid w:val="009646D8"/>
    <w:rsid w:val="0096595D"/>
    <w:rsid w:val="00983DD9"/>
    <w:rsid w:val="0099232E"/>
    <w:rsid w:val="009A3C07"/>
    <w:rsid w:val="009B08C7"/>
    <w:rsid w:val="009B37E4"/>
    <w:rsid w:val="009B64CD"/>
    <w:rsid w:val="009B7F48"/>
    <w:rsid w:val="009C37E1"/>
    <w:rsid w:val="009C718C"/>
    <w:rsid w:val="009D53F0"/>
    <w:rsid w:val="009E1C9B"/>
    <w:rsid w:val="00A01F1A"/>
    <w:rsid w:val="00A0247C"/>
    <w:rsid w:val="00A03A0B"/>
    <w:rsid w:val="00A11FCF"/>
    <w:rsid w:val="00A17691"/>
    <w:rsid w:val="00A2534A"/>
    <w:rsid w:val="00A51044"/>
    <w:rsid w:val="00A55461"/>
    <w:rsid w:val="00A60746"/>
    <w:rsid w:val="00A850BD"/>
    <w:rsid w:val="00A86788"/>
    <w:rsid w:val="00A96675"/>
    <w:rsid w:val="00AC40FD"/>
    <w:rsid w:val="00AC76E9"/>
    <w:rsid w:val="00AF758A"/>
    <w:rsid w:val="00B0169C"/>
    <w:rsid w:val="00B04577"/>
    <w:rsid w:val="00B10965"/>
    <w:rsid w:val="00B17AD4"/>
    <w:rsid w:val="00B17AF1"/>
    <w:rsid w:val="00B33BF3"/>
    <w:rsid w:val="00B514B1"/>
    <w:rsid w:val="00B55E58"/>
    <w:rsid w:val="00B6261F"/>
    <w:rsid w:val="00B76A27"/>
    <w:rsid w:val="00B805A9"/>
    <w:rsid w:val="00B93FAE"/>
    <w:rsid w:val="00B97F40"/>
    <w:rsid w:val="00BA6F13"/>
    <w:rsid w:val="00BA6F1B"/>
    <w:rsid w:val="00BD312D"/>
    <w:rsid w:val="00BD5A0B"/>
    <w:rsid w:val="00BE0452"/>
    <w:rsid w:val="00BE59EC"/>
    <w:rsid w:val="00BF1B94"/>
    <w:rsid w:val="00BF6003"/>
    <w:rsid w:val="00C003B9"/>
    <w:rsid w:val="00C15690"/>
    <w:rsid w:val="00C17F3F"/>
    <w:rsid w:val="00C25D16"/>
    <w:rsid w:val="00C31D89"/>
    <w:rsid w:val="00C32E57"/>
    <w:rsid w:val="00C37F3A"/>
    <w:rsid w:val="00C462E1"/>
    <w:rsid w:val="00C46620"/>
    <w:rsid w:val="00C5081F"/>
    <w:rsid w:val="00C704DF"/>
    <w:rsid w:val="00C70AFF"/>
    <w:rsid w:val="00C74580"/>
    <w:rsid w:val="00C771DB"/>
    <w:rsid w:val="00C802EB"/>
    <w:rsid w:val="00C817C6"/>
    <w:rsid w:val="00C848B9"/>
    <w:rsid w:val="00C90910"/>
    <w:rsid w:val="00C9234C"/>
    <w:rsid w:val="00C9506D"/>
    <w:rsid w:val="00CD07B4"/>
    <w:rsid w:val="00CD49EF"/>
    <w:rsid w:val="00CD4B1A"/>
    <w:rsid w:val="00CE3DAC"/>
    <w:rsid w:val="00D00105"/>
    <w:rsid w:val="00D058F9"/>
    <w:rsid w:val="00D129CD"/>
    <w:rsid w:val="00D129F8"/>
    <w:rsid w:val="00D133A9"/>
    <w:rsid w:val="00D17AD2"/>
    <w:rsid w:val="00D17B64"/>
    <w:rsid w:val="00D23CB3"/>
    <w:rsid w:val="00D31D72"/>
    <w:rsid w:val="00D33921"/>
    <w:rsid w:val="00D37AD1"/>
    <w:rsid w:val="00D41066"/>
    <w:rsid w:val="00D714C8"/>
    <w:rsid w:val="00D76427"/>
    <w:rsid w:val="00D802B0"/>
    <w:rsid w:val="00D826D1"/>
    <w:rsid w:val="00D8453B"/>
    <w:rsid w:val="00D84938"/>
    <w:rsid w:val="00D93591"/>
    <w:rsid w:val="00D94552"/>
    <w:rsid w:val="00DA7133"/>
    <w:rsid w:val="00DB4300"/>
    <w:rsid w:val="00DB6F58"/>
    <w:rsid w:val="00DB7108"/>
    <w:rsid w:val="00DC5FB3"/>
    <w:rsid w:val="00DD0988"/>
    <w:rsid w:val="00DE03F2"/>
    <w:rsid w:val="00DE13A7"/>
    <w:rsid w:val="00DE4CA1"/>
    <w:rsid w:val="00E0195C"/>
    <w:rsid w:val="00E03591"/>
    <w:rsid w:val="00E127DF"/>
    <w:rsid w:val="00E14901"/>
    <w:rsid w:val="00E163C9"/>
    <w:rsid w:val="00E2225B"/>
    <w:rsid w:val="00E24B44"/>
    <w:rsid w:val="00E24BBD"/>
    <w:rsid w:val="00E3181F"/>
    <w:rsid w:val="00E332E3"/>
    <w:rsid w:val="00E4003C"/>
    <w:rsid w:val="00E61137"/>
    <w:rsid w:val="00E87719"/>
    <w:rsid w:val="00EA3C03"/>
    <w:rsid w:val="00EB5B34"/>
    <w:rsid w:val="00EB682B"/>
    <w:rsid w:val="00EB755A"/>
    <w:rsid w:val="00EC2759"/>
    <w:rsid w:val="00EC501B"/>
    <w:rsid w:val="00ED039A"/>
    <w:rsid w:val="00ED1407"/>
    <w:rsid w:val="00ED49B6"/>
    <w:rsid w:val="00ED4ACF"/>
    <w:rsid w:val="00EE15BE"/>
    <w:rsid w:val="00EF0D0A"/>
    <w:rsid w:val="00EF3D76"/>
    <w:rsid w:val="00F05DB0"/>
    <w:rsid w:val="00F17D96"/>
    <w:rsid w:val="00F20136"/>
    <w:rsid w:val="00F21A79"/>
    <w:rsid w:val="00F24260"/>
    <w:rsid w:val="00F4048A"/>
    <w:rsid w:val="00F4275E"/>
    <w:rsid w:val="00F45EC7"/>
    <w:rsid w:val="00F53D84"/>
    <w:rsid w:val="00F5722F"/>
    <w:rsid w:val="00F61150"/>
    <w:rsid w:val="00F66465"/>
    <w:rsid w:val="00F6719A"/>
    <w:rsid w:val="00F811FB"/>
    <w:rsid w:val="00F8635C"/>
    <w:rsid w:val="00F9239A"/>
    <w:rsid w:val="00F9758E"/>
    <w:rsid w:val="00FB58AC"/>
    <w:rsid w:val="00FC082D"/>
    <w:rsid w:val="00FC47E3"/>
    <w:rsid w:val="00FD0AC5"/>
    <w:rsid w:val="00FE0D82"/>
    <w:rsid w:val="00FE268D"/>
    <w:rsid w:val="00FF6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27"/>
    <w:rPr>
      <w:sz w:val="24"/>
      <w:szCs w:val="24"/>
    </w:rPr>
  </w:style>
  <w:style w:type="paragraph" w:styleId="Heading2">
    <w:name w:val="heading 2"/>
    <w:basedOn w:val="Normal"/>
    <w:link w:val="Heading2Char"/>
    <w:uiPriority w:val="99"/>
    <w:qFormat/>
    <w:rsid w:val="00175B5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175B5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758A"/>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AF758A"/>
    <w:rPr>
      <w:rFonts w:ascii="Calibri" w:hAnsi="Calibri" w:cs="Times New Roman"/>
      <w:b/>
      <w:bCs/>
      <w:sz w:val="28"/>
      <w:szCs w:val="28"/>
    </w:rPr>
  </w:style>
  <w:style w:type="table" w:styleId="TableGrid">
    <w:name w:val="Table Grid"/>
    <w:basedOn w:val="TableNormal"/>
    <w:uiPriority w:val="99"/>
    <w:rsid w:val="001A4C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447EC"/>
    <w:rPr>
      <w:rFonts w:cs="Times New Roman"/>
      <w:sz w:val="16"/>
      <w:szCs w:val="16"/>
    </w:rPr>
  </w:style>
  <w:style w:type="paragraph" w:styleId="CommentText">
    <w:name w:val="annotation text"/>
    <w:basedOn w:val="Normal"/>
    <w:link w:val="CommentTextChar"/>
    <w:uiPriority w:val="99"/>
    <w:semiHidden/>
    <w:rsid w:val="007447EC"/>
    <w:rPr>
      <w:sz w:val="20"/>
      <w:szCs w:val="20"/>
    </w:rPr>
  </w:style>
  <w:style w:type="character" w:customStyle="1" w:styleId="CommentTextChar">
    <w:name w:val="Comment Text Char"/>
    <w:basedOn w:val="DefaultParagraphFont"/>
    <w:link w:val="CommentText"/>
    <w:uiPriority w:val="99"/>
    <w:semiHidden/>
    <w:locked/>
    <w:rsid w:val="00AF758A"/>
    <w:rPr>
      <w:rFonts w:cs="Times New Roman"/>
      <w:sz w:val="20"/>
      <w:szCs w:val="20"/>
    </w:rPr>
  </w:style>
  <w:style w:type="paragraph" w:styleId="CommentSubject">
    <w:name w:val="annotation subject"/>
    <w:basedOn w:val="CommentText"/>
    <w:next w:val="CommentText"/>
    <w:link w:val="CommentSubjectChar"/>
    <w:uiPriority w:val="99"/>
    <w:semiHidden/>
    <w:rsid w:val="007447EC"/>
    <w:rPr>
      <w:b/>
      <w:bCs/>
    </w:rPr>
  </w:style>
  <w:style w:type="character" w:customStyle="1" w:styleId="CommentSubjectChar">
    <w:name w:val="Comment Subject Char"/>
    <w:basedOn w:val="CommentTextChar"/>
    <w:link w:val="CommentSubject"/>
    <w:uiPriority w:val="99"/>
    <w:semiHidden/>
    <w:locked/>
    <w:rsid w:val="00AF758A"/>
    <w:rPr>
      <w:b/>
      <w:bCs/>
    </w:rPr>
  </w:style>
  <w:style w:type="paragraph" w:styleId="BalloonText">
    <w:name w:val="Balloon Text"/>
    <w:basedOn w:val="Normal"/>
    <w:link w:val="BalloonTextChar"/>
    <w:uiPriority w:val="99"/>
    <w:semiHidden/>
    <w:rsid w:val="00744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58A"/>
    <w:rPr>
      <w:rFonts w:cs="Times New Roman"/>
      <w:sz w:val="2"/>
    </w:rPr>
  </w:style>
  <w:style w:type="paragraph" w:styleId="FootnoteText">
    <w:name w:val="footnote text"/>
    <w:basedOn w:val="Normal"/>
    <w:link w:val="FootnoteTextChar"/>
    <w:uiPriority w:val="99"/>
    <w:semiHidden/>
    <w:rsid w:val="005D4C14"/>
    <w:rPr>
      <w:sz w:val="20"/>
      <w:szCs w:val="20"/>
    </w:rPr>
  </w:style>
  <w:style w:type="character" w:customStyle="1" w:styleId="FootnoteTextChar">
    <w:name w:val="Footnote Text Char"/>
    <w:basedOn w:val="DefaultParagraphFont"/>
    <w:link w:val="FootnoteText"/>
    <w:uiPriority w:val="99"/>
    <w:semiHidden/>
    <w:locked/>
    <w:rsid w:val="00AF758A"/>
    <w:rPr>
      <w:rFonts w:cs="Times New Roman"/>
      <w:sz w:val="20"/>
      <w:szCs w:val="20"/>
    </w:rPr>
  </w:style>
  <w:style w:type="character" w:styleId="FootnoteReference">
    <w:name w:val="footnote reference"/>
    <w:basedOn w:val="DefaultParagraphFont"/>
    <w:uiPriority w:val="99"/>
    <w:semiHidden/>
    <w:rsid w:val="005D4C14"/>
    <w:rPr>
      <w:rFonts w:cs="Times New Roman"/>
      <w:vertAlign w:val="superscript"/>
    </w:rPr>
  </w:style>
  <w:style w:type="paragraph" w:customStyle="1" w:styleId="from">
    <w:name w:val="from"/>
    <w:basedOn w:val="Normal"/>
    <w:uiPriority w:val="99"/>
    <w:rsid w:val="00175B5D"/>
    <w:pPr>
      <w:spacing w:before="100" w:beforeAutospacing="1" w:after="100" w:afterAutospacing="1"/>
    </w:pPr>
  </w:style>
  <w:style w:type="paragraph" w:customStyle="1" w:styleId="aug">
    <w:name w:val="aug"/>
    <w:basedOn w:val="Normal"/>
    <w:uiPriority w:val="99"/>
    <w:rsid w:val="00175B5D"/>
    <w:pPr>
      <w:spacing w:before="100" w:beforeAutospacing="1" w:after="100" w:afterAutospacing="1"/>
    </w:pPr>
  </w:style>
  <w:style w:type="character" w:styleId="Hyperlink">
    <w:name w:val="Hyperlink"/>
    <w:basedOn w:val="DefaultParagraphFont"/>
    <w:uiPriority w:val="99"/>
    <w:rsid w:val="00175B5D"/>
    <w:rPr>
      <w:rFonts w:cs="Times New Roman"/>
      <w:color w:val="0000FF"/>
      <w:u w:val="single"/>
    </w:rPr>
  </w:style>
  <w:style w:type="paragraph" w:customStyle="1" w:styleId="follows-h4">
    <w:name w:val="follows-h4"/>
    <w:basedOn w:val="Normal"/>
    <w:uiPriority w:val="99"/>
    <w:rsid w:val="00175B5D"/>
    <w:pPr>
      <w:spacing w:before="100" w:beforeAutospacing="1" w:after="100" w:afterAutospacing="1"/>
    </w:pPr>
  </w:style>
  <w:style w:type="paragraph" w:customStyle="1" w:styleId="norm">
    <w:name w:val="norm"/>
    <w:basedOn w:val="Normal"/>
    <w:uiPriority w:val="99"/>
    <w:rsid w:val="00175B5D"/>
    <w:pPr>
      <w:spacing w:before="100" w:beforeAutospacing="1" w:after="100" w:afterAutospacing="1"/>
    </w:pPr>
  </w:style>
  <w:style w:type="table" w:styleId="TableTheme">
    <w:name w:val="Table Theme"/>
    <w:basedOn w:val="TableNormal"/>
    <w:uiPriority w:val="99"/>
    <w:rsid w:val="00D17A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7">
    <w:name w:val="Table Grid 7"/>
    <w:basedOn w:val="TableNormal"/>
    <w:uiPriority w:val="99"/>
    <w:rsid w:val="00E163C9"/>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ocumentMap">
    <w:name w:val="Document Map"/>
    <w:basedOn w:val="Normal"/>
    <w:link w:val="DocumentMapChar"/>
    <w:uiPriority w:val="99"/>
    <w:semiHidden/>
    <w:rsid w:val="00DB710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F758A"/>
    <w:rPr>
      <w:rFonts w:cs="Times New Roman"/>
      <w:sz w:val="2"/>
    </w:rPr>
  </w:style>
  <w:style w:type="character" w:styleId="Strong">
    <w:name w:val="Strong"/>
    <w:basedOn w:val="DefaultParagraphFont"/>
    <w:uiPriority w:val="99"/>
    <w:qFormat/>
    <w:rsid w:val="00F05DB0"/>
    <w:rPr>
      <w:rFonts w:cs="Times New Roman"/>
      <w:b/>
      <w:bCs/>
    </w:rPr>
  </w:style>
  <w:style w:type="character" w:customStyle="1" w:styleId="referencetext1">
    <w:name w:val="referencetext1"/>
    <w:basedOn w:val="DefaultParagraphFont"/>
    <w:uiPriority w:val="99"/>
    <w:rsid w:val="00604757"/>
    <w:rPr>
      <w:rFonts w:cs="Times New Roman"/>
    </w:rPr>
  </w:style>
</w:styles>
</file>

<file path=word/webSettings.xml><?xml version="1.0" encoding="utf-8"?>
<w:webSettings xmlns:r="http://schemas.openxmlformats.org/officeDocument/2006/relationships" xmlns:w="http://schemas.openxmlformats.org/wordprocessingml/2006/main">
  <w:divs>
    <w:div w:id="588150202">
      <w:marLeft w:val="0"/>
      <w:marRight w:val="0"/>
      <w:marTop w:val="0"/>
      <w:marBottom w:val="0"/>
      <w:divBdr>
        <w:top w:val="none" w:sz="0" w:space="0" w:color="auto"/>
        <w:left w:val="none" w:sz="0" w:space="0" w:color="auto"/>
        <w:bottom w:val="none" w:sz="0" w:space="0" w:color="auto"/>
        <w:right w:val="none" w:sz="0" w:space="0" w:color="auto"/>
      </w:divBdr>
    </w:div>
    <w:div w:id="588150203">
      <w:marLeft w:val="0"/>
      <w:marRight w:val="0"/>
      <w:marTop w:val="0"/>
      <w:marBottom w:val="0"/>
      <w:divBdr>
        <w:top w:val="none" w:sz="0" w:space="0" w:color="auto"/>
        <w:left w:val="none" w:sz="0" w:space="0" w:color="auto"/>
        <w:bottom w:val="none" w:sz="0" w:space="0" w:color="auto"/>
        <w:right w:val="none" w:sz="0" w:space="0" w:color="auto"/>
      </w:divBdr>
    </w:div>
    <w:div w:id="588150204">
      <w:marLeft w:val="0"/>
      <w:marRight w:val="0"/>
      <w:marTop w:val="0"/>
      <w:marBottom w:val="0"/>
      <w:divBdr>
        <w:top w:val="none" w:sz="0" w:space="0" w:color="auto"/>
        <w:left w:val="none" w:sz="0" w:space="0" w:color="auto"/>
        <w:bottom w:val="none" w:sz="0" w:space="0" w:color="auto"/>
        <w:right w:val="none" w:sz="0" w:space="0" w:color="auto"/>
      </w:divBdr>
    </w:div>
    <w:div w:id="588150205">
      <w:marLeft w:val="0"/>
      <w:marRight w:val="0"/>
      <w:marTop w:val="0"/>
      <w:marBottom w:val="0"/>
      <w:divBdr>
        <w:top w:val="none" w:sz="0" w:space="0" w:color="auto"/>
        <w:left w:val="none" w:sz="0" w:space="0" w:color="auto"/>
        <w:bottom w:val="none" w:sz="0" w:space="0" w:color="auto"/>
        <w:right w:val="none" w:sz="0" w:space="0" w:color="auto"/>
      </w:divBdr>
      <w:divsChild>
        <w:div w:id="588150206">
          <w:marLeft w:val="0"/>
          <w:marRight w:val="0"/>
          <w:marTop w:val="0"/>
          <w:marBottom w:val="0"/>
          <w:divBdr>
            <w:top w:val="none" w:sz="0" w:space="0" w:color="auto"/>
            <w:left w:val="none" w:sz="0" w:space="0" w:color="auto"/>
            <w:bottom w:val="none" w:sz="0" w:space="0" w:color="auto"/>
            <w:right w:val="none" w:sz="0" w:space="0" w:color="auto"/>
          </w:divBdr>
        </w:div>
      </w:divsChild>
    </w:div>
    <w:div w:id="588150207">
      <w:marLeft w:val="0"/>
      <w:marRight w:val="0"/>
      <w:marTop w:val="0"/>
      <w:marBottom w:val="0"/>
      <w:divBdr>
        <w:top w:val="none" w:sz="0" w:space="0" w:color="auto"/>
        <w:left w:val="none" w:sz="0" w:space="0" w:color="auto"/>
        <w:bottom w:val="none" w:sz="0" w:space="0" w:color="auto"/>
        <w:right w:val="none" w:sz="0" w:space="0" w:color="auto"/>
      </w:divBdr>
    </w:div>
    <w:div w:id="588150208">
      <w:marLeft w:val="0"/>
      <w:marRight w:val="0"/>
      <w:marTop w:val="0"/>
      <w:marBottom w:val="0"/>
      <w:divBdr>
        <w:top w:val="none" w:sz="0" w:space="0" w:color="auto"/>
        <w:left w:val="none" w:sz="0" w:space="0" w:color="auto"/>
        <w:bottom w:val="none" w:sz="0" w:space="0" w:color="auto"/>
        <w:right w:val="none" w:sz="0" w:space="0" w:color="auto"/>
      </w:divBdr>
      <w:divsChild>
        <w:div w:id="58815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yperlink" Target="http://www.cepii.fr"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32</Pages>
  <Words>6910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overlap and MNE location decisions</dc:title>
  <dc:subject/>
  <dc:creator/>
  <cp:keywords/>
  <dc:description/>
  <cp:lastModifiedBy>P256558</cp:lastModifiedBy>
  <cp:revision>12</cp:revision>
  <cp:lastPrinted>2011-02-16T13:44:00Z</cp:lastPrinted>
  <dcterms:created xsi:type="dcterms:W3CDTF">2011-02-16T10:41:00Z</dcterms:created>
  <dcterms:modified xsi:type="dcterms:W3CDTF">2011-06-06T08:07:00Z</dcterms:modified>
</cp:coreProperties>
</file>