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2E" w:rsidRDefault="00A6342E" w:rsidP="00C76551">
      <w:pPr>
        <w:jc w:val="center"/>
        <w:rPr>
          <w:b/>
        </w:rPr>
      </w:pPr>
    </w:p>
    <w:p w:rsidR="00A6342E" w:rsidRDefault="00A6342E" w:rsidP="00C76551">
      <w:pPr>
        <w:jc w:val="center"/>
        <w:rPr>
          <w:b/>
        </w:rPr>
      </w:pPr>
    </w:p>
    <w:p w:rsidR="00A6342E" w:rsidRDefault="00A6342E" w:rsidP="00C76551">
      <w:pPr>
        <w:jc w:val="center"/>
        <w:rPr>
          <w:b/>
        </w:rPr>
      </w:pPr>
    </w:p>
    <w:p w:rsidR="00C76551" w:rsidRPr="00DA7EB1" w:rsidRDefault="005F233D" w:rsidP="00C76551">
      <w:pPr>
        <w:spacing w:after="0"/>
        <w:jc w:val="center"/>
      </w:pPr>
      <w:r>
        <w:rPr>
          <w:b/>
        </w:rPr>
        <w:t>Regulatory Externalities as a Driver of Corporate Environmental Performance</w:t>
      </w:r>
    </w:p>
    <w:p w:rsidR="00C76551" w:rsidRDefault="00C76551" w:rsidP="00C76551">
      <w:pPr>
        <w:spacing w:after="0"/>
        <w:jc w:val="center"/>
      </w:pPr>
    </w:p>
    <w:p w:rsidR="00743472" w:rsidRDefault="00743472" w:rsidP="00C76551">
      <w:pPr>
        <w:spacing w:after="0"/>
        <w:jc w:val="center"/>
      </w:pPr>
    </w:p>
    <w:p w:rsidR="00743472" w:rsidRPr="00DA7EB1" w:rsidRDefault="00743472" w:rsidP="00C76551">
      <w:pPr>
        <w:spacing w:after="0"/>
        <w:jc w:val="center"/>
      </w:pPr>
    </w:p>
    <w:p w:rsidR="00C76551" w:rsidRPr="00DA7EB1" w:rsidRDefault="00C76551" w:rsidP="000F6251">
      <w:pPr>
        <w:spacing w:after="0"/>
        <w:jc w:val="center"/>
      </w:pPr>
    </w:p>
    <w:p w:rsidR="00C76551" w:rsidRDefault="00C76551" w:rsidP="000F6251">
      <w:pPr>
        <w:autoSpaceDE w:val="0"/>
        <w:autoSpaceDN w:val="0"/>
        <w:adjustRightInd w:val="0"/>
        <w:spacing w:after="0"/>
        <w:jc w:val="center"/>
      </w:pPr>
      <w:r>
        <w:t xml:space="preserve">Adam </w:t>
      </w:r>
      <w:r w:rsidR="000F6251">
        <w:t xml:space="preserve">R. </w:t>
      </w:r>
      <w:r>
        <w:t>Fremeth</w:t>
      </w:r>
    </w:p>
    <w:p w:rsidR="000F6251" w:rsidRDefault="000F6251" w:rsidP="000F6251">
      <w:pPr>
        <w:autoSpaceDE w:val="0"/>
        <w:autoSpaceDN w:val="0"/>
        <w:adjustRightInd w:val="0"/>
        <w:spacing w:after="0"/>
        <w:jc w:val="center"/>
      </w:pPr>
      <w:r>
        <w:t>Richard Ivey School of Business</w:t>
      </w:r>
    </w:p>
    <w:p w:rsidR="000F6251" w:rsidRPr="00DA7EB1" w:rsidRDefault="002E75A0" w:rsidP="000F6251">
      <w:pPr>
        <w:autoSpaceDE w:val="0"/>
        <w:autoSpaceDN w:val="0"/>
        <w:adjustRightInd w:val="0"/>
        <w:spacing w:after="0"/>
        <w:jc w:val="center"/>
      </w:pPr>
      <w:r>
        <w:t xml:space="preserve">The </w:t>
      </w:r>
      <w:r w:rsidR="000F6251">
        <w:t>University of Western Ontario</w:t>
      </w:r>
    </w:p>
    <w:p w:rsidR="000F6251" w:rsidRDefault="000F6251" w:rsidP="000F6251">
      <w:pPr>
        <w:autoSpaceDE w:val="0"/>
        <w:autoSpaceDN w:val="0"/>
        <w:adjustRightInd w:val="0"/>
        <w:spacing w:after="0"/>
        <w:jc w:val="center"/>
      </w:pPr>
      <w:r>
        <w:t>1151 Richmond St. N.</w:t>
      </w:r>
    </w:p>
    <w:p w:rsidR="00C76551" w:rsidRDefault="000F6251" w:rsidP="000F6251">
      <w:pPr>
        <w:spacing w:after="0"/>
        <w:jc w:val="center"/>
      </w:pPr>
      <w:r>
        <w:t>London, ON N6A 3K7</w:t>
      </w:r>
    </w:p>
    <w:p w:rsidR="000F6251" w:rsidRDefault="000F6251" w:rsidP="000F6251">
      <w:pPr>
        <w:spacing w:after="0"/>
        <w:jc w:val="center"/>
      </w:pPr>
      <w:r>
        <w:t>Phone: (519) 850-2439</w:t>
      </w:r>
    </w:p>
    <w:p w:rsidR="000F6251" w:rsidRDefault="000F6251" w:rsidP="000F6251">
      <w:pPr>
        <w:spacing w:after="0"/>
        <w:jc w:val="center"/>
      </w:pPr>
      <w:r w:rsidRPr="00211C69">
        <w:t>afremeth@ivey.ca</w:t>
      </w:r>
    </w:p>
    <w:p w:rsidR="00C76551" w:rsidRDefault="00C76551" w:rsidP="00C76551">
      <w:pPr>
        <w:spacing w:after="0"/>
        <w:ind w:firstLine="720"/>
        <w:jc w:val="center"/>
      </w:pPr>
    </w:p>
    <w:p w:rsidR="00C76551" w:rsidRDefault="00C76551" w:rsidP="00C76551">
      <w:pPr>
        <w:spacing w:after="0"/>
        <w:jc w:val="center"/>
      </w:pPr>
      <w:r w:rsidRPr="00DA7EB1">
        <w:t>J. Myles Shaver</w:t>
      </w:r>
    </w:p>
    <w:p w:rsidR="00C76551" w:rsidRDefault="00C76551" w:rsidP="00C76551">
      <w:pPr>
        <w:spacing w:after="0"/>
        <w:jc w:val="center"/>
      </w:pPr>
      <w:r w:rsidRPr="00DA7EB1">
        <w:t>Carlson School of Management</w:t>
      </w:r>
    </w:p>
    <w:p w:rsidR="00C76551" w:rsidRDefault="00C76551" w:rsidP="00C76551">
      <w:pPr>
        <w:spacing w:after="0"/>
        <w:jc w:val="center"/>
      </w:pPr>
      <w:r w:rsidRPr="00DA7EB1">
        <w:t>University of Minnesota</w:t>
      </w:r>
    </w:p>
    <w:p w:rsidR="00C76551" w:rsidRPr="00DA7EB1" w:rsidRDefault="00C76551" w:rsidP="00C76551">
      <w:pPr>
        <w:spacing w:after="0"/>
        <w:jc w:val="center"/>
      </w:pPr>
    </w:p>
    <w:p w:rsidR="00C76551" w:rsidRDefault="00C76551" w:rsidP="00C76551">
      <w:pPr>
        <w:widowControl w:val="0"/>
        <w:spacing w:after="0"/>
        <w:ind w:firstLine="720"/>
      </w:pPr>
    </w:p>
    <w:p w:rsidR="00C76551" w:rsidRDefault="00C76551" w:rsidP="00C76551">
      <w:pPr>
        <w:widowControl w:val="0"/>
        <w:spacing w:after="0"/>
        <w:ind w:firstLine="720"/>
      </w:pPr>
    </w:p>
    <w:p w:rsidR="00C76551" w:rsidRPr="00DA7EB1" w:rsidRDefault="00C53137" w:rsidP="00C76551">
      <w:pPr>
        <w:spacing w:after="0"/>
        <w:jc w:val="center"/>
      </w:pPr>
      <w:r>
        <w:t>May 2</w:t>
      </w:r>
      <w:r w:rsidR="00C76551">
        <w:t>, 201</w:t>
      </w:r>
      <w:r w:rsidR="00C305B5">
        <w:t>1</w:t>
      </w:r>
      <w:bookmarkStart w:id="0" w:name="_GoBack"/>
      <w:bookmarkEnd w:id="0"/>
    </w:p>
    <w:p w:rsidR="00C76551" w:rsidRDefault="00C76551" w:rsidP="00C76551">
      <w:pPr>
        <w:spacing w:after="0"/>
        <w:jc w:val="center"/>
      </w:pPr>
    </w:p>
    <w:p w:rsidR="00C76551" w:rsidRPr="00DA7EB1" w:rsidRDefault="00C76551" w:rsidP="00C76551">
      <w:pPr>
        <w:spacing w:after="0"/>
        <w:jc w:val="center"/>
      </w:pPr>
    </w:p>
    <w:p w:rsidR="00C76551" w:rsidRDefault="00C76551" w:rsidP="00C76551">
      <w:pPr>
        <w:widowControl w:val="0"/>
        <w:spacing w:after="0"/>
      </w:pPr>
    </w:p>
    <w:p w:rsidR="00C76551" w:rsidRDefault="00C76551">
      <w:pPr>
        <w:spacing w:after="0"/>
        <w:rPr>
          <w:b/>
        </w:rPr>
      </w:pPr>
      <w:r>
        <w:rPr>
          <w:b/>
        </w:rPr>
        <w:br w:type="page"/>
      </w:r>
    </w:p>
    <w:p w:rsidR="00BF21DD" w:rsidRDefault="00BF21DD" w:rsidP="00BF21DD">
      <w:pPr>
        <w:widowControl w:val="0"/>
        <w:spacing w:after="0"/>
        <w:jc w:val="center"/>
        <w:rPr>
          <w:b/>
        </w:rPr>
      </w:pPr>
      <w:r>
        <w:rPr>
          <w:b/>
        </w:rPr>
        <w:lastRenderedPageBreak/>
        <w:t>ABSTRACT</w:t>
      </w:r>
    </w:p>
    <w:p w:rsidR="00BF21DD" w:rsidRDefault="00BF21DD" w:rsidP="00BF21DD">
      <w:pPr>
        <w:widowControl w:val="0"/>
        <w:spacing w:after="0"/>
        <w:jc w:val="center"/>
        <w:rPr>
          <w:b/>
        </w:rPr>
      </w:pPr>
    </w:p>
    <w:p w:rsidR="0092187C" w:rsidRDefault="00725C22">
      <w:pPr>
        <w:widowControl w:val="0"/>
        <w:spacing w:after="0" w:line="480" w:lineRule="auto"/>
      </w:pPr>
      <w:r>
        <w:t xml:space="preserve">We hypothesize that </w:t>
      </w:r>
      <w:r w:rsidR="000E7BCC">
        <w:t xml:space="preserve">regulatory externalities (i.e., </w:t>
      </w:r>
      <w:r>
        <w:t>regulations in jurisdictions beyond where a firm operates</w:t>
      </w:r>
      <w:r w:rsidR="000E7BCC">
        <w:t>)</w:t>
      </w:r>
      <w:r>
        <w:t xml:space="preserve"> can influence </w:t>
      </w:r>
      <w:r w:rsidR="005942E9">
        <w:t xml:space="preserve">a firm’s </w:t>
      </w:r>
      <w:r>
        <w:t xml:space="preserve">environmental behavior. Specifically, we predict that firms will be sensitive to regulations </w:t>
      </w:r>
      <w:r w:rsidR="000E7BCC">
        <w:t xml:space="preserve">both </w:t>
      </w:r>
      <w:r>
        <w:t>in neighboring jurisdictions and in jurisdictions where peer firms operate. By examining the use of renewable</w:t>
      </w:r>
      <w:r w:rsidR="005942E9">
        <w:t>-</w:t>
      </w:r>
      <w:r>
        <w:t>generating technologies in the U</w:t>
      </w:r>
      <w:r w:rsidR="005942E9">
        <w:t>.</w:t>
      </w:r>
      <w:r>
        <w:t>S</w:t>
      </w:r>
      <w:r w:rsidR="005942E9">
        <w:t>.</w:t>
      </w:r>
      <w:r>
        <w:t xml:space="preserve"> electrical utility sector between 2001 and 2006, we find evidence of regulatory externalities while controlling for firm capabilities and regulations within the jurisdictions where a firm operates. Firms adopt more renewable power generation when their peers face greater renewable power standards elsewhere. Thus</w:t>
      </w:r>
      <w:r w:rsidR="002D24B5">
        <w:t>,</w:t>
      </w:r>
      <w:r>
        <w:t xml:space="preserve"> in </w:t>
      </w:r>
      <w:r w:rsidR="000E7BCC">
        <w:t xml:space="preserve">the electrical utility </w:t>
      </w:r>
      <w:r>
        <w:t>sector</w:t>
      </w:r>
      <w:r w:rsidR="002D24B5">
        <w:t>,</w:t>
      </w:r>
      <w:r>
        <w:t xml:space="preserve"> we find that regulatory externalities </w:t>
      </w:r>
      <w:r w:rsidR="008F6AF7">
        <w:t xml:space="preserve">spur </w:t>
      </w:r>
      <w:r>
        <w:t>a race</w:t>
      </w:r>
      <w:r w:rsidR="002D24B5">
        <w:t xml:space="preserve"> </w:t>
      </w:r>
      <w:r>
        <w:t>to</w:t>
      </w:r>
      <w:r w:rsidR="002D24B5">
        <w:t xml:space="preserve"> </w:t>
      </w:r>
      <w:r>
        <w:t>the</w:t>
      </w:r>
      <w:r w:rsidR="002D24B5">
        <w:t xml:space="preserve"> </w:t>
      </w:r>
      <w:r>
        <w:t>top.</w:t>
      </w:r>
    </w:p>
    <w:p w:rsidR="0092187C" w:rsidRDefault="0092187C">
      <w:pPr>
        <w:widowControl w:val="0"/>
        <w:spacing w:after="0" w:line="480" w:lineRule="auto"/>
      </w:pPr>
    </w:p>
    <w:p w:rsidR="00BF21DD" w:rsidRPr="00BF21DD" w:rsidRDefault="00BF21DD" w:rsidP="00BF21DD">
      <w:pPr>
        <w:widowControl w:val="0"/>
        <w:spacing w:after="0"/>
      </w:pPr>
    </w:p>
    <w:p w:rsidR="00BF21DD" w:rsidRPr="00BF21DD" w:rsidRDefault="00C76551" w:rsidP="00BF21DD">
      <w:pPr>
        <w:widowControl w:val="0"/>
        <w:spacing w:after="0"/>
        <w:ind w:firstLine="720"/>
        <w:rPr>
          <w:b/>
        </w:rPr>
      </w:pPr>
      <w:r>
        <w:rPr>
          <w:b/>
        </w:rPr>
        <w:br w:type="page"/>
      </w:r>
    </w:p>
    <w:p w:rsidR="00E1477F" w:rsidRPr="00A229A4" w:rsidRDefault="00C73B14" w:rsidP="00BF21DD">
      <w:pPr>
        <w:spacing w:after="0"/>
        <w:rPr>
          <w:b/>
        </w:rPr>
      </w:pPr>
      <w:r w:rsidRPr="00A229A4">
        <w:rPr>
          <w:b/>
        </w:rPr>
        <w:lastRenderedPageBreak/>
        <w:t>INTRODUCTION</w:t>
      </w:r>
    </w:p>
    <w:p w:rsidR="006331AC" w:rsidRDefault="00C55372" w:rsidP="006331AC">
      <w:pPr>
        <w:spacing w:after="0" w:line="480" w:lineRule="auto"/>
      </w:pPr>
      <w:r>
        <w:t xml:space="preserve">It is well documented that </w:t>
      </w:r>
      <w:r w:rsidR="0022120C">
        <w:t xml:space="preserve">regulation </w:t>
      </w:r>
      <w:r w:rsidR="009D27E3">
        <w:t xml:space="preserve">and </w:t>
      </w:r>
      <w:r w:rsidR="00B17962">
        <w:t xml:space="preserve">firm capabilities </w:t>
      </w:r>
      <w:r w:rsidR="0022120C">
        <w:t xml:space="preserve">shape firms’ </w:t>
      </w:r>
      <w:r>
        <w:t>c</w:t>
      </w:r>
      <w:r w:rsidR="00E1477F">
        <w:t>orporate environmental action</w:t>
      </w:r>
      <w:r w:rsidR="0022120C">
        <w:t>s</w:t>
      </w:r>
      <w:r w:rsidR="00E1477F">
        <w:t xml:space="preserve"> </w:t>
      </w:r>
      <w:r>
        <w:t>(</w:t>
      </w:r>
      <w:r w:rsidR="00EB2493">
        <w:t>Delmas, Russo</w:t>
      </w:r>
      <w:r w:rsidR="002B05A3">
        <w:t>,</w:t>
      </w:r>
      <w:r w:rsidR="00EB2493">
        <w:t xml:space="preserve"> </w:t>
      </w:r>
      <w:r w:rsidR="002B05A3">
        <w:t>and</w:t>
      </w:r>
      <w:r w:rsidR="00EB2493">
        <w:t xml:space="preserve"> Montes-Sancho, 2007; </w:t>
      </w:r>
      <w:proofErr w:type="spellStart"/>
      <w:r w:rsidR="00EB2493">
        <w:t>Henriques</w:t>
      </w:r>
      <w:proofErr w:type="spellEnd"/>
      <w:r w:rsidR="00EB2493">
        <w:t xml:space="preserve"> </w:t>
      </w:r>
      <w:r w:rsidR="002B05A3">
        <w:t>and</w:t>
      </w:r>
      <w:r w:rsidR="00EB2493">
        <w:t xml:space="preserve"> Sadorsky, 199</w:t>
      </w:r>
      <w:r w:rsidR="001E7F11">
        <w:t>9</w:t>
      </w:r>
      <w:r w:rsidR="00EB2493">
        <w:t xml:space="preserve">; </w:t>
      </w:r>
      <w:proofErr w:type="spellStart"/>
      <w:r w:rsidR="00EB2493">
        <w:t>Karpoff</w:t>
      </w:r>
      <w:proofErr w:type="spellEnd"/>
      <w:r w:rsidR="00EB2493">
        <w:t xml:space="preserve">, Lott, </w:t>
      </w:r>
      <w:r w:rsidR="002B05A3">
        <w:t>and</w:t>
      </w:r>
      <w:r w:rsidR="00EB2493">
        <w:t xml:space="preserve"> </w:t>
      </w:r>
      <w:proofErr w:type="spellStart"/>
      <w:r w:rsidR="00EB2493">
        <w:t>Wehrly</w:t>
      </w:r>
      <w:proofErr w:type="spellEnd"/>
      <w:r w:rsidR="00EB2493">
        <w:t xml:space="preserve">, 2005; </w:t>
      </w:r>
      <w:r w:rsidR="008A2FC7">
        <w:t xml:space="preserve">Klassen </w:t>
      </w:r>
      <w:r w:rsidR="002B05A3">
        <w:t>and</w:t>
      </w:r>
      <w:r w:rsidR="008A2FC7">
        <w:t xml:space="preserve"> </w:t>
      </w:r>
      <w:proofErr w:type="spellStart"/>
      <w:r w:rsidR="008A2FC7">
        <w:t>Whybark</w:t>
      </w:r>
      <w:proofErr w:type="spellEnd"/>
      <w:r w:rsidR="008A2FC7">
        <w:t>, 1999</w:t>
      </w:r>
      <w:r>
        <w:t>)</w:t>
      </w:r>
      <w:r w:rsidR="00E1477F">
        <w:t>.</w:t>
      </w:r>
      <w:r w:rsidR="00122E46">
        <w:t xml:space="preserve"> W</w:t>
      </w:r>
      <w:r w:rsidR="006A4503">
        <w:t>e propose</w:t>
      </w:r>
      <w:r w:rsidR="002B05A3">
        <w:t xml:space="preserve"> that</w:t>
      </w:r>
      <w:r w:rsidR="00122E46">
        <w:t>,</w:t>
      </w:r>
      <w:r w:rsidR="006A4503">
        <w:t xml:space="preserve"> </w:t>
      </w:r>
      <w:r w:rsidR="00122E46">
        <w:t xml:space="preserve">in addition to these effects, </w:t>
      </w:r>
      <w:r>
        <w:t>firms</w:t>
      </w:r>
      <w:r w:rsidR="006A4503">
        <w:t>’</w:t>
      </w:r>
      <w:r>
        <w:t xml:space="preserve"> environmental actions are shaped by </w:t>
      </w:r>
      <w:r w:rsidR="003F325D">
        <w:t xml:space="preserve">regulatory externalities (i.e., </w:t>
      </w:r>
      <w:r w:rsidR="00C35324">
        <w:t xml:space="preserve">regulations outside of </w:t>
      </w:r>
      <w:r w:rsidR="0022120C">
        <w:t>jurisdiction</w:t>
      </w:r>
      <w:r w:rsidR="00C35324">
        <w:t>s where they operate</w:t>
      </w:r>
      <w:r w:rsidR="003F325D">
        <w:t>)</w:t>
      </w:r>
      <w:r w:rsidR="006A4503">
        <w:t xml:space="preserve">. </w:t>
      </w:r>
      <w:r w:rsidR="00644B1D">
        <w:t xml:space="preserve">Therefore, we argue that regulatory externalities can be an important determinant of </w:t>
      </w:r>
      <w:r w:rsidR="00487315">
        <w:t xml:space="preserve">firms’ </w:t>
      </w:r>
      <w:r w:rsidR="00644B1D">
        <w:t>environmental actions.</w:t>
      </w:r>
    </w:p>
    <w:p w:rsidR="00FC4ED7" w:rsidRDefault="00FC4ED7" w:rsidP="00BF079C">
      <w:pPr>
        <w:spacing w:after="0" w:line="480" w:lineRule="auto"/>
        <w:ind w:firstLine="720"/>
      </w:pPr>
      <w:r>
        <w:t xml:space="preserve">Specifically, we </w:t>
      </w:r>
      <w:r w:rsidR="00644B1D">
        <w:t xml:space="preserve">predict </w:t>
      </w:r>
      <w:r>
        <w:t>that firm</w:t>
      </w:r>
      <w:r w:rsidR="006C30AC">
        <w:t>s</w:t>
      </w:r>
      <w:r>
        <w:t xml:space="preserve"> </w:t>
      </w:r>
      <w:r w:rsidR="006C30AC">
        <w:t xml:space="preserve">are more likely to </w:t>
      </w:r>
      <w:r>
        <w:t>undertake environmentally</w:t>
      </w:r>
      <w:r w:rsidR="002D24B5">
        <w:t xml:space="preserve"> </w:t>
      </w:r>
      <w:r>
        <w:t>responsible actions</w:t>
      </w:r>
      <w:r w:rsidR="000F6251">
        <w:t xml:space="preserve"> when</w:t>
      </w:r>
      <w:r>
        <w:t xml:space="preserve"> </w:t>
      </w:r>
      <w:r w:rsidR="007B54A2">
        <w:t>neighboring</w:t>
      </w:r>
      <w:r>
        <w:t xml:space="preserve"> jurisdictions </w:t>
      </w:r>
      <w:r w:rsidR="00233D0F">
        <w:t>require such actions</w:t>
      </w:r>
      <w:r>
        <w:t xml:space="preserve">. </w:t>
      </w:r>
      <w:r w:rsidR="002D24B5">
        <w:t>G</w:t>
      </w:r>
      <w:r>
        <w:t>eographic regions tend to share common economic and social values</w:t>
      </w:r>
      <w:r w:rsidR="00BD310B">
        <w:t>,</w:t>
      </w:r>
      <w:r>
        <w:t xml:space="preserve"> and firms are cognizant that these external pressures can </w:t>
      </w:r>
      <w:r w:rsidR="006C30AC">
        <w:t>foreshadow</w:t>
      </w:r>
      <w:r>
        <w:t xml:space="preserve"> novel environmental regulatory demands. Responding to policy set outside a firm’s jurisdiction can allow </w:t>
      </w:r>
      <w:r w:rsidR="00BD310B">
        <w:t xml:space="preserve">a firm </w:t>
      </w:r>
      <w:r>
        <w:t>to better position itself in the market for the requisite resources to improve its environmental performance. For example, Oklahoma Gas &amp; Electric</w:t>
      </w:r>
      <w:r w:rsidR="00BD310B">
        <w:t>,</w:t>
      </w:r>
      <w:r>
        <w:t xml:space="preserve"> a major investor-owned utility</w:t>
      </w:r>
      <w:r w:rsidR="00BD310B">
        <w:t>,</w:t>
      </w:r>
      <w:r>
        <w:t xml:space="preserve"> has been active in sourcing wind</w:t>
      </w:r>
      <w:r w:rsidR="00BD310B">
        <w:t>-</w:t>
      </w:r>
      <w:r>
        <w:t>generated electricity</w:t>
      </w:r>
      <w:r w:rsidR="00CF4B8B">
        <w:t>,</w:t>
      </w:r>
      <w:r>
        <w:t xml:space="preserve"> despite not </w:t>
      </w:r>
      <w:r w:rsidR="006C30AC">
        <w:t>facing</w:t>
      </w:r>
      <w:r w:rsidR="0074624A">
        <w:t xml:space="preserve"> a Renewable Portfolio Standard (</w:t>
      </w:r>
      <w:r>
        <w:t>RPS</w:t>
      </w:r>
      <w:r w:rsidR="0074624A">
        <w:t xml:space="preserve">) </w:t>
      </w:r>
      <w:r>
        <w:t xml:space="preserve">in either </w:t>
      </w:r>
      <w:r w:rsidR="00BD310B">
        <w:t xml:space="preserve">Oklahoma or Arkansas, the two </w:t>
      </w:r>
      <w:r>
        <w:t>state</w:t>
      </w:r>
      <w:r w:rsidR="00BD310B">
        <w:t>s</w:t>
      </w:r>
      <w:r w:rsidR="006C30AC">
        <w:t xml:space="preserve"> in which it operates</w:t>
      </w:r>
      <w:r>
        <w:t xml:space="preserve">. Nevertheless, its operational footprint is located in the Southwest and is contiguous to the states of Texas, New Mexico, and Colorado, all of which have adopted increasingly stringent RPS policies. </w:t>
      </w:r>
    </w:p>
    <w:p w:rsidR="0022120C" w:rsidRDefault="00FC4ED7" w:rsidP="00BF079C">
      <w:pPr>
        <w:spacing w:after="0" w:line="480" w:lineRule="auto"/>
        <w:ind w:firstLine="720"/>
      </w:pPr>
      <w:r>
        <w:t>W</w:t>
      </w:r>
      <w:r w:rsidR="00E1477F">
        <w:t xml:space="preserve">e </w:t>
      </w:r>
      <w:r>
        <w:t xml:space="preserve">also </w:t>
      </w:r>
      <w:r w:rsidR="00644B1D">
        <w:t xml:space="preserve">predict </w:t>
      </w:r>
      <w:r w:rsidR="00E1477F">
        <w:t>that firm</w:t>
      </w:r>
      <w:r>
        <w:t>s</w:t>
      </w:r>
      <w:r w:rsidR="00E1477F">
        <w:t xml:space="preserve"> undertake environmentally</w:t>
      </w:r>
      <w:r w:rsidR="00BD310B">
        <w:t xml:space="preserve"> </w:t>
      </w:r>
      <w:r w:rsidR="00E1477F">
        <w:t xml:space="preserve">responsible actions when </w:t>
      </w:r>
      <w:r>
        <w:t xml:space="preserve">other </w:t>
      </w:r>
      <w:r w:rsidR="0022120C">
        <w:t xml:space="preserve">firms within </w:t>
      </w:r>
      <w:r w:rsidR="006C30AC">
        <w:t>their</w:t>
      </w:r>
      <w:r w:rsidR="0022120C">
        <w:t xml:space="preserve"> regulatory jurisdiction </w:t>
      </w:r>
      <w:r w:rsidR="0052579E">
        <w:t xml:space="preserve">(what we </w:t>
      </w:r>
      <w:r w:rsidR="006C30AC">
        <w:t>refer to as</w:t>
      </w:r>
      <w:r w:rsidR="0052579E">
        <w:t xml:space="preserve"> peer firms) </w:t>
      </w:r>
      <w:r w:rsidR="00E1477F">
        <w:t xml:space="preserve">face demanding policies elsewhere. </w:t>
      </w:r>
      <w:r w:rsidR="007F177A">
        <w:t xml:space="preserve">These differentially regulated peers can </w:t>
      </w:r>
      <w:r w:rsidR="00CF4B8B">
        <w:t xml:space="preserve">both </w:t>
      </w:r>
      <w:r w:rsidR="007F177A">
        <w:t>affect what is deemed as a legitimate business practice and shape the expectations of external stakeholders, including the public, policy makers, and special</w:t>
      </w:r>
      <w:r w:rsidR="00CF4B8B">
        <w:t>-</w:t>
      </w:r>
      <w:r w:rsidR="007F177A">
        <w:t>interest</w:t>
      </w:r>
      <w:r w:rsidR="00BD310B">
        <w:t xml:space="preserve"> group</w:t>
      </w:r>
      <w:r w:rsidR="007F177A">
        <w:t xml:space="preserve">s. </w:t>
      </w:r>
      <w:r w:rsidR="006F29FC">
        <w:t>O</w:t>
      </w:r>
      <w:r w:rsidR="007F177A">
        <w:t xml:space="preserve">perating within a common jurisdiction </w:t>
      </w:r>
      <w:r w:rsidR="006F29FC">
        <w:t xml:space="preserve">with such </w:t>
      </w:r>
      <w:r w:rsidR="00CF4B8B">
        <w:t xml:space="preserve">peer </w:t>
      </w:r>
      <w:r w:rsidR="006F29FC">
        <w:t xml:space="preserve">firms </w:t>
      </w:r>
      <w:r w:rsidR="007F177A">
        <w:t xml:space="preserve">creates a degree of expediency that would not otherwise persist. </w:t>
      </w:r>
      <w:r w:rsidR="00122E46">
        <w:t xml:space="preserve">For example, </w:t>
      </w:r>
      <w:r w:rsidR="00BD310B">
        <w:t xml:space="preserve">in </w:t>
      </w:r>
      <w:r w:rsidR="00122E46">
        <w:lastRenderedPageBreak/>
        <w:t>Minnesota</w:t>
      </w:r>
      <w:r w:rsidR="00BD310B">
        <w:t>,</w:t>
      </w:r>
      <w:r w:rsidR="00122E46">
        <w:t xml:space="preserve"> five investor-owned electric utilities provide energy to final consumers. Of these utilities, two operate </w:t>
      </w:r>
      <w:r w:rsidR="00323227">
        <w:t>only in Minnesota. However</w:t>
      </w:r>
      <w:r w:rsidR="00122E46">
        <w:t xml:space="preserve">, two </w:t>
      </w:r>
      <w:r w:rsidR="00BD310B">
        <w:t xml:space="preserve">utilities also </w:t>
      </w:r>
      <w:r w:rsidR="00122E46">
        <w:t xml:space="preserve">operate in two </w:t>
      </w:r>
      <w:r w:rsidR="00B17962">
        <w:t xml:space="preserve">other </w:t>
      </w:r>
      <w:r w:rsidR="00122E46">
        <w:t xml:space="preserve">states, and </w:t>
      </w:r>
      <w:r w:rsidR="00B17962">
        <w:t xml:space="preserve">one </w:t>
      </w:r>
      <w:r w:rsidR="00122E46">
        <w:t xml:space="preserve">operates in </w:t>
      </w:r>
      <w:r w:rsidR="007F0A72">
        <w:t xml:space="preserve">five </w:t>
      </w:r>
      <w:r w:rsidR="00122E46">
        <w:t>other states</w:t>
      </w:r>
      <w:r w:rsidR="00B17962">
        <w:t xml:space="preserve">. Because </w:t>
      </w:r>
      <w:r w:rsidR="00323227">
        <w:t>eac</w:t>
      </w:r>
      <w:r w:rsidR="00122E46">
        <w:t xml:space="preserve">h </w:t>
      </w:r>
      <w:r w:rsidR="00B17962">
        <w:t>state</w:t>
      </w:r>
      <w:r w:rsidR="00122E46">
        <w:t xml:space="preserve"> maintains its own independent environmental policy that can shape firm action, changes </w:t>
      </w:r>
      <w:r w:rsidR="00B17962">
        <w:t xml:space="preserve">in </w:t>
      </w:r>
      <w:r w:rsidR="00122E46">
        <w:t xml:space="preserve">regulatory obligations </w:t>
      </w:r>
      <w:r w:rsidR="00323227">
        <w:t xml:space="preserve">faced by the firms </w:t>
      </w:r>
      <w:r w:rsidR="00CF4B8B">
        <w:t xml:space="preserve">operating </w:t>
      </w:r>
      <w:r w:rsidR="00323227">
        <w:t xml:space="preserve">in multiple states might influence </w:t>
      </w:r>
      <w:r w:rsidR="006213FA">
        <w:t xml:space="preserve">those firms’ </w:t>
      </w:r>
      <w:r w:rsidR="00323227">
        <w:t>actions in</w:t>
      </w:r>
      <w:r w:rsidR="00C73BA1">
        <w:t xml:space="preserve"> </w:t>
      </w:r>
      <w:r w:rsidR="001C219C">
        <w:t>Minnesota</w:t>
      </w:r>
      <w:r w:rsidR="00323227">
        <w:t xml:space="preserve">. </w:t>
      </w:r>
      <w:r w:rsidR="006213FA">
        <w:t>Any such changes in the firms’ actions</w:t>
      </w:r>
      <w:r w:rsidR="00B17962">
        <w:t>,</w:t>
      </w:r>
      <w:r w:rsidR="00323227">
        <w:t xml:space="preserve"> in turn</w:t>
      </w:r>
      <w:r w:rsidR="00B17962">
        <w:t>,</w:t>
      </w:r>
      <w:r w:rsidR="00323227">
        <w:t xml:space="preserve"> </w:t>
      </w:r>
      <w:r w:rsidR="00122E46">
        <w:t xml:space="preserve">can shape the practices </w:t>
      </w:r>
      <w:r w:rsidR="001C219C">
        <w:t xml:space="preserve">adopted by peer </w:t>
      </w:r>
      <w:r w:rsidR="00122E46">
        <w:t xml:space="preserve">firms </w:t>
      </w:r>
      <w:r w:rsidR="00323227">
        <w:t xml:space="preserve">in </w:t>
      </w:r>
      <w:r w:rsidR="001C219C">
        <w:t>Minnesota</w:t>
      </w:r>
      <w:r w:rsidR="006213FA">
        <w:t>,</w:t>
      </w:r>
      <w:r w:rsidR="001C219C">
        <w:t xml:space="preserve"> </w:t>
      </w:r>
      <w:r w:rsidR="006213FA">
        <w:t>which</w:t>
      </w:r>
      <w:r w:rsidR="00122E46">
        <w:t xml:space="preserve"> </w:t>
      </w:r>
      <w:r w:rsidR="00CF4B8B">
        <w:t xml:space="preserve">may </w:t>
      </w:r>
      <w:r w:rsidR="00122E46">
        <w:t xml:space="preserve">face greater external pressure to change </w:t>
      </w:r>
      <w:r w:rsidR="009D27E3">
        <w:t xml:space="preserve">their </w:t>
      </w:r>
      <w:r w:rsidR="00122E46">
        <w:t>environmental</w:t>
      </w:r>
      <w:r w:rsidR="009D27E3">
        <w:t xml:space="preserve"> activities if some </w:t>
      </w:r>
      <w:r w:rsidR="006213FA">
        <w:t>firms</w:t>
      </w:r>
      <w:r w:rsidR="00CF4B8B">
        <w:t xml:space="preserve"> have</w:t>
      </w:r>
      <w:r w:rsidR="009E6C0D">
        <w:t xml:space="preserve"> </w:t>
      </w:r>
      <w:r w:rsidR="009D27E3">
        <w:t>adopt</w:t>
      </w:r>
      <w:r w:rsidR="00CF4B8B">
        <w:t>ed</w:t>
      </w:r>
      <w:r w:rsidR="009D27E3">
        <w:t xml:space="preserve"> different environmental standards</w:t>
      </w:r>
      <w:r w:rsidR="001C219C">
        <w:t xml:space="preserve"> to meet regulations set in other states</w:t>
      </w:r>
      <w:r w:rsidR="00122E46">
        <w:t>.</w:t>
      </w:r>
    </w:p>
    <w:p w:rsidR="00DC49D5" w:rsidRDefault="00DC49D5" w:rsidP="00BF079C">
      <w:pPr>
        <w:pStyle w:val="NoSpacing"/>
        <w:spacing w:line="480" w:lineRule="auto"/>
        <w:ind w:firstLine="720"/>
      </w:pPr>
      <w:r w:rsidRPr="00A0021B">
        <w:t>Our</w:t>
      </w:r>
      <w:r>
        <w:t xml:space="preserve"> </w:t>
      </w:r>
      <w:r w:rsidR="00E1477F">
        <w:t xml:space="preserve">empirical examination focuses on renewable energy use by investor-owned utilities (IOUs) in the United States between 2001 and 2006. </w:t>
      </w:r>
      <w:r w:rsidR="001C219C">
        <w:t xml:space="preserve">The </w:t>
      </w:r>
      <w:r w:rsidR="00BD7774">
        <w:t xml:space="preserve">U.S. </w:t>
      </w:r>
      <w:r w:rsidR="001C219C">
        <w:t xml:space="preserve">electric utility </w:t>
      </w:r>
      <w:r w:rsidR="00BD7774">
        <w:t>sector</w:t>
      </w:r>
      <w:r w:rsidR="003318DF">
        <w:t>,</w:t>
      </w:r>
      <w:r w:rsidR="00BD7774">
        <w:t xml:space="preserve"> </w:t>
      </w:r>
      <w:r w:rsidR="00A0021B">
        <w:t xml:space="preserve">which </w:t>
      </w:r>
      <w:r w:rsidR="001C219C">
        <w:t xml:space="preserve">represents </w:t>
      </w:r>
      <w:r w:rsidR="00BD7774">
        <w:t>one of the largest emitters of carbon dioxide</w:t>
      </w:r>
      <w:r w:rsidR="003318DF">
        <w:t>,</w:t>
      </w:r>
      <w:r w:rsidR="00BD7774">
        <w:t xml:space="preserve"> has faced mounting pressure </w:t>
      </w:r>
      <w:r w:rsidR="00F53769">
        <w:t>from state</w:t>
      </w:r>
      <w:r w:rsidR="006213FA">
        <w:t>-</w:t>
      </w:r>
      <w:r w:rsidR="00F53769">
        <w:t xml:space="preserve"> and federal</w:t>
      </w:r>
      <w:r w:rsidR="006213FA">
        <w:t>-</w:t>
      </w:r>
      <w:r w:rsidR="00F53769">
        <w:t xml:space="preserve">level policy makers </w:t>
      </w:r>
      <w:r w:rsidR="00BD7774">
        <w:t xml:space="preserve">to adopt new power generation technologies. </w:t>
      </w:r>
      <w:r w:rsidR="00F53769">
        <w:t xml:space="preserve">Over the period of our study, renewable power generation had grown by </w:t>
      </w:r>
      <w:r w:rsidR="003318DF">
        <w:t xml:space="preserve">more than </w:t>
      </w:r>
      <w:r w:rsidR="00F53769">
        <w:t xml:space="preserve">12%. </w:t>
      </w:r>
      <w:r w:rsidR="006213FA">
        <w:t>P</w:t>
      </w:r>
      <w:r w:rsidR="00E1477F">
        <w:t>revious research ha</w:t>
      </w:r>
      <w:r w:rsidR="00644B1D">
        <w:t>s</w:t>
      </w:r>
      <w:r w:rsidR="00E1477F">
        <w:t xml:space="preserve"> identified </w:t>
      </w:r>
      <w:r w:rsidR="006213FA">
        <w:t xml:space="preserve">the effects of </w:t>
      </w:r>
      <w:r w:rsidR="00E1477F">
        <w:t xml:space="preserve">firm and institutional factors </w:t>
      </w:r>
      <w:r w:rsidR="006213FA">
        <w:t xml:space="preserve">on </w:t>
      </w:r>
      <w:r w:rsidR="00E1477F">
        <w:t>renewable energy generation by IOUs</w:t>
      </w:r>
      <w:r w:rsidR="007B54A2">
        <w:t xml:space="preserve"> (Delmas </w:t>
      </w:r>
      <w:r w:rsidR="006331AC" w:rsidRPr="006331AC">
        <w:rPr>
          <w:i/>
        </w:rPr>
        <w:t>et al.</w:t>
      </w:r>
      <w:r w:rsidR="007B54A2">
        <w:t xml:space="preserve">, 2007; Sine </w:t>
      </w:r>
      <w:r w:rsidR="003318DF">
        <w:t>and</w:t>
      </w:r>
      <w:r w:rsidR="007B54A2">
        <w:t xml:space="preserve"> Lee, 2009)</w:t>
      </w:r>
      <w:r w:rsidR="00E1477F">
        <w:t xml:space="preserve">. The </w:t>
      </w:r>
      <w:r w:rsidR="00644B1D">
        <w:t xml:space="preserve">regulatory </w:t>
      </w:r>
      <w:r w:rsidR="00E1477F">
        <w:t xml:space="preserve">policy that we observe is </w:t>
      </w:r>
      <w:r w:rsidR="002F4BF0">
        <w:t xml:space="preserve">the </w:t>
      </w:r>
      <w:r w:rsidR="00E1477F">
        <w:t xml:space="preserve">state-level RPS that </w:t>
      </w:r>
      <w:r w:rsidR="000D3328">
        <w:t>mandates</w:t>
      </w:r>
      <w:r w:rsidR="00E1477F">
        <w:t xml:space="preserve"> the use of renewable power by IOUs. </w:t>
      </w:r>
      <w:r w:rsidR="0077098D">
        <w:t>T</w:t>
      </w:r>
      <w:r w:rsidR="00E1477F">
        <w:t xml:space="preserve">hese policies vary widely </w:t>
      </w:r>
      <w:r w:rsidR="00D25E8C">
        <w:t>across states</w:t>
      </w:r>
      <w:r w:rsidR="00E1477F">
        <w:t xml:space="preserve"> and, in some cases, vary within a state as regulators have chosen to intensify the demands on utility firms. </w:t>
      </w:r>
      <w:r w:rsidR="00D25E8C">
        <w:t xml:space="preserve">Moreover, </w:t>
      </w:r>
      <w:r w:rsidR="008F6AF7">
        <w:t xml:space="preserve">the electric utility sector </w:t>
      </w:r>
      <w:r w:rsidR="002F4BF0">
        <w:t>comprises</w:t>
      </w:r>
      <w:r w:rsidR="00D25E8C">
        <w:t xml:space="preserve"> many firms with single-state operations and other firms with operations that span multiple states.</w:t>
      </w:r>
    </w:p>
    <w:p w:rsidR="00E1477F" w:rsidRDefault="00DC49D5" w:rsidP="00BF079C">
      <w:pPr>
        <w:pStyle w:val="NoSpacing"/>
        <w:spacing w:line="480" w:lineRule="auto"/>
        <w:ind w:firstLine="720"/>
      </w:pPr>
      <w:r>
        <w:t xml:space="preserve">As </w:t>
      </w:r>
      <w:r w:rsidR="00644B1D">
        <w:t>predicted</w:t>
      </w:r>
      <w:r>
        <w:t>, w</w:t>
      </w:r>
      <w:r w:rsidR="00E1477F">
        <w:t xml:space="preserve">e find that as </w:t>
      </w:r>
      <w:r w:rsidR="0052579E">
        <w:t xml:space="preserve">peer </w:t>
      </w:r>
      <w:r w:rsidR="00CC4C4E">
        <w:t>firms</w:t>
      </w:r>
      <w:r w:rsidR="009D6FEF">
        <w:t>’</w:t>
      </w:r>
      <w:r w:rsidR="00CC4C4E">
        <w:t xml:space="preserve"> </w:t>
      </w:r>
      <w:r w:rsidR="00E1477F">
        <w:t xml:space="preserve">exposure to </w:t>
      </w:r>
      <w:r w:rsidR="0052579E">
        <w:t xml:space="preserve">stringent </w:t>
      </w:r>
      <w:r w:rsidR="00E1477F">
        <w:t>environmental policy increase</w:t>
      </w:r>
      <w:r w:rsidR="00CC4C4E">
        <w:t>s</w:t>
      </w:r>
      <w:r w:rsidR="00E1477F">
        <w:t>, a focal firm increase</w:t>
      </w:r>
      <w:r w:rsidR="0052579E">
        <w:t>s</w:t>
      </w:r>
      <w:r w:rsidR="00E1477F">
        <w:t xml:space="preserve"> its use of renewable power. However, </w:t>
      </w:r>
      <w:r>
        <w:t xml:space="preserve">we find that </w:t>
      </w:r>
      <w:r w:rsidR="00E1477F">
        <w:t xml:space="preserve">when </w:t>
      </w:r>
      <w:r w:rsidR="00E3008D">
        <w:t xml:space="preserve">neighboring </w:t>
      </w:r>
      <w:r w:rsidR="00E1477F">
        <w:t>state</w:t>
      </w:r>
      <w:r w:rsidR="00E3008D">
        <w:t>s</w:t>
      </w:r>
      <w:r w:rsidR="00E1477F">
        <w:t xml:space="preserve"> adopt </w:t>
      </w:r>
      <w:r w:rsidR="002F4BF0">
        <w:t xml:space="preserve">a </w:t>
      </w:r>
      <w:r w:rsidR="00E3008D">
        <w:t xml:space="preserve">more stringent </w:t>
      </w:r>
      <w:r w:rsidR="00E1477F">
        <w:t>RPS</w:t>
      </w:r>
      <w:r w:rsidR="00E3008D">
        <w:t xml:space="preserve">, firms </w:t>
      </w:r>
      <w:r w:rsidR="00E1477F">
        <w:t xml:space="preserve">reduce </w:t>
      </w:r>
      <w:r w:rsidR="002F4BF0">
        <w:t xml:space="preserve">their </w:t>
      </w:r>
      <w:r w:rsidR="00E1477F">
        <w:t xml:space="preserve">renewable energy use. </w:t>
      </w:r>
      <w:r w:rsidR="00FB7545">
        <w:t xml:space="preserve">Our </w:t>
      </w:r>
      <w:r w:rsidR="00FB7545">
        <w:lastRenderedPageBreak/>
        <w:t xml:space="preserve">results not only highlight that </w:t>
      </w:r>
      <w:r w:rsidR="00E1477F">
        <w:t>firms</w:t>
      </w:r>
      <w:r w:rsidR="00D25E8C">
        <w:t>’</w:t>
      </w:r>
      <w:r w:rsidR="00E1477F">
        <w:t xml:space="preserve"> environmental </w:t>
      </w:r>
      <w:r w:rsidR="00FB7545">
        <w:t xml:space="preserve">actions </w:t>
      </w:r>
      <w:r w:rsidR="00E1477F">
        <w:t xml:space="preserve">are sensitive to the </w:t>
      </w:r>
      <w:r w:rsidR="00FB7545">
        <w:t xml:space="preserve">regulatory </w:t>
      </w:r>
      <w:r w:rsidR="00E1477F">
        <w:t xml:space="preserve">policies </w:t>
      </w:r>
      <w:r w:rsidR="00FB7545">
        <w:t xml:space="preserve">outside their jurisdictions, they suggest that </w:t>
      </w:r>
      <w:r w:rsidR="0052579E">
        <w:t>peer firms are an</w:t>
      </w:r>
      <w:r w:rsidR="00FB7545">
        <w:t xml:space="preserve"> important conduit for </w:t>
      </w:r>
      <w:r w:rsidR="0052579E">
        <w:t xml:space="preserve">the dissemination of environmental actions across jurisdictions. We demonstrate these effects while </w:t>
      </w:r>
      <w:r w:rsidR="007A7E69">
        <w:t>reconfirm</w:t>
      </w:r>
      <w:r w:rsidR="0052579E">
        <w:t>ing</w:t>
      </w:r>
      <w:r w:rsidR="007A7E69">
        <w:t xml:space="preserve"> previous findings that state RPS policies and firm capabilities affect the use of renewable power</w:t>
      </w:r>
      <w:r w:rsidR="000A5778">
        <w:t xml:space="preserve"> (</w:t>
      </w:r>
      <w:r w:rsidR="005F315F" w:rsidRPr="00A0021B">
        <w:t xml:space="preserve">Yin </w:t>
      </w:r>
      <w:r w:rsidR="00A0021B">
        <w:t>and</w:t>
      </w:r>
      <w:r w:rsidR="005F315F" w:rsidRPr="00A0021B">
        <w:t xml:space="preserve"> Powers</w:t>
      </w:r>
      <w:r w:rsidR="0098569B">
        <w:t xml:space="preserve">, 2010; Delmas </w:t>
      </w:r>
      <w:r w:rsidR="006331AC" w:rsidRPr="006331AC">
        <w:rPr>
          <w:i/>
        </w:rPr>
        <w:t>et al.</w:t>
      </w:r>
      <w:r w:rsidR="0098569B">
        <w:t xml:space="preserve">, 2007; </w:t>
      </w:r>
      <w:r w:rsidR="00111335">
        <w:t xml:space="preserve">Lyon </w:t>
      </w:r>
      <w:r w:rsidR="00A0021B">
        <w:t>and</w:t>
      </w:r>
      <w:r w:rsidR="00111335">
        <w:t xml:space="preserve"> Yin, 2007</w:t>
      </w:r>
      <w:r w:rsidR="000A5778">
        <w:t>)</w:t>
      </w:r>
      <w:r w:rsidR="007A7E69">
        <w:t>.</w:t>
      </w:r>
    </w:p>
    <w:p w:rsidR="00E1477F" w:rsidRDefault="00E1477F" w:rsidP="00BF079C">
      <w:pPr>
        <w:pStyle w:val="NoSpacing"/>
        <w:spacing w:line="480" w:lineRule="auto"/>
        <w:ind w:firstLine="720"/>
      </w:pPr>
      <w:r>
        <w:t>The next section provide</w:t>
      </w:r>
      <w:r w:rsidR="0052579E">
        <w:t>s</w:t>
      </w:r>
      <w:r>
        <w:t xml:space="preserve"> background </w:t>
      </w:r>
      <w:r w:rsidR="002105B3">
        <w:t>and develop</w:t>
      </w:r>
      <w:r w:rsidR="0052579E">
        <w:t>s</w:t>
      </w:r>
      <w:r w:rsidR="002105B3">
        <w:t xml:space="preserve"> our </w:t>
      </w:r>
      <w:r w:rsidR="0052579E">
        <w:t>hypotheses</w:t>
      </w:r>
      <w:r w:rsidR="002105B3">
        <w:t xml:space="preserve">. </w:t>
      </w:r>
      <w:r>
        <w:t xml:space="preserve">We then discuss the sample, </w:t>
      </w:r>
      <w:r w:rsidR="00A0021B">
        <w:t xml:space="preserve">describe </w:t>
      </w:r>
      <w:r>
        <w:t>the empirical approach, and interpret the results. The final section offers implications for firm strategy and public policy.</w:t>
      </w:r>
    </w:p>
    <w:p w:rsidR="003504AB" w:rsidRDefault="003504AB" w:rsidP="00BF079C">
      <w:pPr>
        <w:pStyle w:val="NoSpacing"/>
        <w:spacing w:line="480" w:lineRule="auto"/>
        <w:ind w:firstLine="720"/>
      </w:pPr>
    </w:p>
    <w:p w:rsidR="00435BA9" w:rsidRDefault="00811F5B" w:rsidP="00BF079C">
      <w:pPr>
        <w:pStyle w:val="NoSpacing"/>
        <w:keepNext/>
        <w:spacing w:line="480" w:lineRule="auto"/>
        <w:rPr>
          <w:b/>
        </w:rPr>
      </w:pPr>
      <w:r w:rsidRPr="00283BE3">
        <w:rPr>
          <w:b/>
        </w:rPr>
        <w:t>Regulatory</w:t>
      </w:r>
      <w:r>
        <w:rPr>
          <w:b/>
        </w:rPr>
        <w:t xml:space="preserve"> </w:t>
      </w:r>
      <w:r w:rsidR="00C73B14">
        <w:rPr>
          <w:b/>
        </w:rPr>
        <w:t xml:space="preserve">externalities </w:t>
      </w:r>
    </w:p>
    <w:p w:rsidR="006331AC" w:rsidRDefault="00487315" w:rsidP="006331AC">
      <w:pPr>
        <w:pStyle w:val="NoSpacing"/>
        <w:spacing w:line="480" w:lineRule="auto"/>
      </w:pPr>
      <w:r>
        <w:t>A</w:t>
      </w:r>
      <w:r w:rsidR="00F53769">
        <w:t xml:space="preserve"> </w:t>
      </w:r>
      <w:r w:rsidR="00FB7C05">
        <w:t>complication when</w:t>
      </w:r>
      <w:r w:rsidR="00C607C7">
        <w:t xml:space="preserve"> assess</w:t>
      </w:r>
      <w:r w:rsidR="002F4BF0">
        <w:t>ing</w:t>
      </w:r>
      <w:r w:rsidR="00C607C7">
        <w:t xml:space="preserve"> </w:t>
      </w:r>
      <w:r>
        <w:t xml:space="preserve">the impact of public policy on corporate environmental actions is </w:t>
      </w:r>
      <w:r w:rsidR="00C607C7">
        <w:t xml:space="preserve">that policies </w:t>
      </w:r>
      <w:r>
        <w:t xml:space="preserve">often differ across </w:t>
      </w:r>
      <w:r w:rsidR="00C607C7">
        <w:t xml:space="preserve">jurisdictions. </w:t>
      </w:r>
      <w:r>
        <w:t>J</w:t>
      </w:r>
      <w:r w:rsidR="00C607C7">
        <w:t xml:space="preserve">urisdictions exist not only at the national but also </w:t>
      </w:r>
      <w:r w:rsidR="002F4BF0">
        <w:t xml:space="preserve">at the </w:t>
      </w:r>
      <w:r w:rsidR="00C607C7">
        <w:t>sub-national level.</w:t>
      </w:r>
      <w:r w:rsidR="00D51B93">
        <w:t xml:space="preserve"> </w:t>
      </w:r>
      <w:r>
        <w:t xml:space="preserve">We argue that </w:t>
      </w:r>
      <w:r w:rsidR="00D51B93">
        <w:t>regulations in one jurisdiction have the potential to affect firms in other jurisdictions</w:t>
      </w:r>
      <w:r w:rsidR="002F4BF0">
        <w:t>,</w:t>
      </w:r>
      <w:r w:rsidR="00D51B93">
        <w:t xml:space="preserve"> thus creating a regulatory externality.</w:t>
      </w:r>
    </w:p>
    <w:p w:rsidR="00D51B93" w:rsidRDefault="00A31F58" w:rsidP="00BF079C">
      <w:pPr>
        <w:pStyle w:val="NoSpacing"/>
        <w:spacing w:line="480" w:lineRule="auto"/>
        <w:ind w:firstLine="720"/>
      </w:pPr>
      <w:r>
        <w:t xml:space="preserve">Existing research recognizes </w:t>
      </w:r>
      <w:r w:rsidR="00C76C9B">
        <w:t xml:space="preserve">the possibility of </w:t>
      </w:r>
      <w:r w:rsidR="00BC04D2">
        <w:t xml:space="preserve">regulatory externalities. </w:t>
      </w:r>
      <w:r w:rsidR="00D51B93">
        <w:t xml:space="preserve">The pollution haven hypothesis is a much deliberated case of such an externality that </w:t>
      </w:r>
      <w:r w:rsidR="002F4BF0">
        <w:t xml:space="preserve">influences </w:t>
      </w:r>
      <w:r w:rsidR="00D51B93">
        <w:t xml:space="preserve">corporate environmental performance (Copeland </w:t>
      </w:r>
      <w:r w:rsidR="000C6784">
        <w:t>and</w:t>
      </w:r>
      <w:r w:rsidR="00D51B93">
        <w:t xml:space="preserve"> Taylor, 1994; </w:t>
      </w:r>
      <w:proofErr w:type="spellStart"/>
      <w:r w:rsidR="00D51B93">
        <w:t>Rugman</w:t>
      </w:r>
      <w:proofErr w:type="spellEnd"/>
      <w:r w:rsidR="00D51B93">
        <w:t xml:space="preserve"> </w:t>
      </w:r>
      <w:r w:rsidR="000C6784">
        <w:t>and</w:t>
      </w:r>
      <w:r w:rsidR="00D51B93">
        <w:t xml:space="preserve"> </w:t>
      </w:r>
      <w:proofErr w:type="spellStart"/>
      <w:r w:rsidR="00D51B93">
        <w:t>Verbeke</w:t>
      </w:r>
      <w:proofErr w:type="spellEnd"/>
      <w:r w:rsidR="00D51B93">
        <w:t xml:space="preserve">, 1998; </w:t>
      </w:r>
      <w:proofErr w:type="spellStart"/>
      <w:r w:rsidR="00D51B93">
        <w:t>Revesz</w:t>
      </w:r>
      <w:proofErr w:type="spellEnd"/>
      <w:r w:rsidR="00D51B93">
        <w:t xml:space="preserve">, 1992; </w:t>
      </w:r>
      <w:proofErr w:type="spellStart"/>
      <w:r w:rsidR="002F4BF0">
        <w:t>Christmann</w:t>
      </w:r>
      <w:proofErr w:type="spellEnd"/>
      <w:r w:rsidR="002F4BF0">
        <w:t xml:space="preserve"> </w:t>
      </w:r>
      <w:r w:rsidR="000C6784">
        <w:t>and</w:t>
      </w:r>
      <w:r w:rsidR="00D51B93">
        <w:t xml:space="preserve"> Taylor, 2001). </w:t>
      </w:r>
      <w:r w:rsidR="003747BB">
        <w:t xml:space="preserve">According to this </w:t>
      </w:r>
      <w:r w:rsidR="00487315">
        <w:t>hypothesis</w:t>
      </w:r>
      <w:r w:rsidR="003747BB">
        <w:t>,</w:t>
      </w:r>
      <w:r w:rsidR="00487315">
        <w:t xml:space="preserve"> </w:t>
      </w:r>
      <w:r w:rsidR="00D51B93">
        <w:t>pollution</w:t>
      </w:r>
      <w:r w:rsidR="003747BB">
        <w:t>-</w:t>
      </w:r>
      <w:r w:rsidR="00D51B93">
        <w:t xml:space="preserve">intensive </w:t>
      </w:r>
      <w:r w:rsidR="00487315">
        <w:t xml:space="preserve">operations </w:t>
      </w:r>
      <w:r w:rsidR="00BC04D2">
        <w:t xml:space="preserve">will </w:t>
      </w:r>
      <w:r w:rsidR="00D51B93">
        <w:t xml:space="preserve">migrate to jurisdictions with lax environmental standards. Despite being cogently and persuasively argued, this </w:t>
      </w:r>
      <w:r w:rsidR="003747BB">
        <w:t>‘</w:t>
      </w:r>
      <w:r w:rsidR="00D51B93">
        <w:t>race</w:t>
      </w:r>
      <w:r w:rsidR="003747BB">
        <w:t>-</w:t>
      </w:r>
      <w:r w:rsidR="00D51B93">
        <w:t>to</w:t>
      </w:r>
      <w:r w:rsidR="003747BB">
        <w:t>-</w:t>
      </w:r>
      <w:r w:rsidR="00D51B93">
        <w:t>the</w:t>
      </w:r>
      <w:r w:rsidR="003747BB">
        <w:t>-</w:t>
      </w:r>
      <w:r w:rsidR="00D51B93">
        <w:t>bottom</w:t>
      </w:r>
      <w:r w:rsidR="003747BB">
        <w:t>’</w:t>
      </w:r>
      <w:r w:rsidR="00D51B93">
        <w:t xml:space="preserve"> argument has faced a mounting body of </w:t>
      </w:r>
      <w:r w:rsidR="00487315">
        <w:t xml:space="preserve">disconfirming </w:t>
      </w:r>
      <w:r w:rsidR="00D51B93">
        <w:t xml:space="preserve">empirical evidence </w:t>
      </w:r>
      <w:r w:rsidR="00D51B93" w:rsidRPr="00825970">
        <w:t>(Lucas, Wheeler</w:t>
      </w:r>
      <w:r w:rsidR="000C6784">
        <w:t>,</w:t>
      </w:r>
      <w:r w:rsidR="00D51B93" w:rsidRPr="00825970">
        <w:t xml:space="preserve"> </w:t>
      </w:r>
      <w:r w:rsidR="000C6784">
        <w:t>and</w:t>
      </w:r>
      <w:r w:rsidR="00D51B93" w:rsidRPr="00825970">
        <w:t xml:space="preserve"> </w:t>
      </w:r>
      <w:proofErr w:type="spellStart"/>
      <w:r w:rsidR="00D51B93" w:rsidRPr="00825970">
        <w:t>Hettige</w:t>
      </w:r>
      <w:proofErr w:type="spellEnd"/>
      <w:r w:rsidR="00D51B93" w:rsidRPr="00825970">
        <w:t xml:space="preserve">, 1992; </w:t>
      </w:r>
      <w:r w:rsidR="00D51B93">
        <w:t xml:space="preserve">Grossman </w:t>
      </w:r>
      <w:r w:rsidR="000C6784">
        <w:t>and</w:t>
      </w:r>
      <w:r w:rsidR="00D51B93">
        <w:t xml:space="preserve"> Krueger, 1993; </w:t>
      </w:r>
      <w:proofErr w:type="spellStart"/>
      <w:r w:rsidR="00D51B93" w:rsidRPr="00825970">
        <w:t>Rugman</w:t>
      </w:r>
      <w:proofErr w:type="spellEnd"/>
      <w:r w:rsidR="00D51B93" w:rsidRPr="00825970">
        <w:t xml:space="preserve">, </w:t>
      </w:r>
      <w:proofErr w:type="spellStart"/>
      <w:r w:rsidR="00D51B93" w:rsidRPr="00825970">
        <w:t>Kirton</w:t>
      </w:r>
      <w:proofErr w:type="spellEnd"/>
      <w:r w:rsidR="00D51B93" w:rsidRPr="00825970">
        <w:t xml:space="preserve">, </w:t>
      </w:r>
      <w:r w:rsidR="000C6784">
        <w:t>and</w:t>
      </w:r>
      <w:r w:rsidR="00D51B93" w:rsidRPr="00825970">
        <w:t xml:space="preserve"> </w:t>
      </w:r>
      <w:proofErr w:type="spellStart"/>
      <w:r w:rsidR="00D51B93" w:rsidRPr="00825970">
        <w:t>Soloway</w:t>
      </w:r>
      <w:proofErr w:type="spellEnd"/>
      <w:r w:rsidR="00D51B93" w:rsidRPr="00825970">
        <w:t>, 199</w:t>
      </w:r>
      <w:r w:rsidR="00505250">
        <w:t>9</w:t>
      </w:r>
      <w:r w:rsidR="00D51B93" w:rsidRPr="00825970">
        <w:t>;</w:t>
      </w:r>
      <w:r w:rsidR="00D51B93" w:rsidRPr="00825970">
        <w:rPr>
          <w:szCs w:val="24"/>
          <w:lang w:eastAsia="en-CA"/>
        </w:rPr>
        <w:t xml:space="preserve"> Levinson</w:t>
      </w:r>
      <w:r w:rsidR="00D51B93">
        <w:rPr>
          <w:szCs w:val="24"/>
          <w:lang w:eastAsia="en-CA"/>
        </w:rPr>
        <w:t xml:space="preserve"> </w:t>
      </w:r>
      <w:r w:rsidR="000C6784">
        <w:rPr>
          <w:szCs w:val="24"/>
          <w:lang w:eastAsia="en-CA"/>
        </w:rPr>
        <w:t>and</w:t>
      </w:r>
      <w:r w:rsidR="00D51B93" w:rsidRPr="00825970">
        <w:rPr>
          <w:szCs w:val="24"/>
          <w:lang w:eastAsia="en-CA"/>
        </w:rPr>
        <w:t xml:space="preserve"> Taylor</w:t>
      </w:r>
      <w:r w:rsidR="000C6784">
        <w:rPr>
          <w:szCs w:val="24"/>
          <w:lang w:eastAsia="en-CA"/>
        </w:rPr>
        <w:t>,</w:t>
      </w:r>
      <w:r w:rsidR="00D51B93" w:rsidRPr="00825970">
        <w:rPr>
          <w:szCs w:val="24"/>
          <w:lang w:eastAsia="en-CA"/>
        </w:rPr>
        <w:t xml:space="preserve"> 200</w:t>
      </w:r>
      <w:r w:rsidR="007B7B5E">
        <w:rPr>
          <w:szCs w:val="24"/>
          <w:lang w:eastAsia="en-CA"/>
        </w:rPr>
        <w:t>8</w:t>
      </w:r>
      <w:r w:rsidR="00D51B93">
        <w:rPr>
          <w:szCs w:val="24"/>
          <w:lang w:eastAsia="en-CA"/>
        </w:rPr>
        <w:t xml:space="preserve">). </w:t>
      </w:r>
    </w:p>
    <w:p w:rsidR="00ED70E4" w:rsidRDefault="003747BB" w:rsidP="006F29FC">
      <w:pPr>
        <w:pStyle w:val="NoSpacing"/>
        <w:spacing w:line="480" w:lineRule="auto"/>
        <w:ind w:firstLine="720"/>
      </w:pPr>
      <w:r>
        <w:lastRenderedPageBreak/>
        <w:t>According to a</w:t>
      </w:r>
      <w:r w:rsidR="00ED70E4">
        <w:t>nother body of work</w:t>
      </w:r>
      <w:r>
        <w:t>,</w:t>
      </w:r>
      <w:r w:rsidR="00ED70E4">
        <w:t xml:space="preserve"> </w:t>
      </w:r>
      <w:r w:rsidR="000C6784">
        <w:t xml:space="preserve">when </w:t>
      </w:r>
      <w:r w:rsidR="00BC04D2">
        <w:t xml:space="preserve">firms </w:t>
      </w:r>
      <w:r w:rsidR="00533DB4">
        <w:t>locate</w:t>
      </w:r>
      <w:r w:rsidR="00BC04D2">
        <w:t xml:space="preserve"> in areas with lax regulation, </w:t>
      </w:r>
      <w:r w:rsidR="000C6784">
        <w:t xml:space="preserve">the result </w:t>
      </w:r>
      <w:r w:rsidR="00BC04D2">
        <w:t xml:space="preserve">can </w:t>
      </w:r>
      <w:r w:rsidR="000C6784">
        <w:t>be</w:t>
      </w:r>
      <w:r w:rsidR="00BC04D2">
        <w:t xml:space="preserve"> regulatory competition </w:t>
      </w:r>
      <w:r w:rsidR="00ED70E4">
        <w:t xml:space="preserve">across </w:t>
      </w:r>
      <w:r w:rsidR="005F233D">
        <w:t>jurisdictions</w:t>
      </w:r>
      <w:r w:rsidR="00ED70E4">
        <w:t>. For example, t</w:t>
      </w:r>
      <w:r w:rsidR="00ED70E4">
        <w:rPr>
          <w:szCs w:val="24"/>
          <w:lang w:eastAsia="en-CA"/>
        </w:rPr>
        <w:t xml:space="preserve">he empirical finance and law literature has presented a similar argument concerning a </w:t>
      </w:r>
      <w:r>
        <w:rPr>
          <w:szCs w:val="24"/>
          <w:lang w:eastAsia="en-CA"/>
        </w:rPr>
        <w:t>‘</w:t>
      </w:r>
      <w:r w:rsidR="00ED70E4">
        <w:rPr>
          <w:szCs w:val="24"/>
          <w:lang w:eastAsia="en-CA"/>
        </w:rPr>
        <w:t>Delaware effect</w:t>
      </w:r>
      <w:r w:rsidR="006F29FC">
        <w:rPr>
          <w:szCs w:val="24"/>
          <w:lang w:eastAsia="en-CA"/>
        </w:rPr>
        <w:t>,</w:t>
      </w:r>
      <w:r>
        <w:rPr>
          <w:szCs w:val="24"/>
          <w:lang w:eastAsia="en-CA"/>
        </w:rPr>
        <w:t>’</w:t>
      </w:r>
      <w:r w:rsidR="00ED70E4">
        <w:rPr>
          <w:szCs w:val="24"/>
          <w:lang w:eastAsia="en-CA"/>
        </w:rPr>
        <w:t xml:space="preserve"> </w:t>
      </w:r>
      <w:r w:rsidR="006F29FC">
        <w:rPr>
          <w:szCs w:val="24"/>
          <w:lang w:eastAsia="en-CA"/>
        </w:rPr>
        <w:t xml:space="preserve">where competition between states for corporate chartering and tax revenue </w:t>
      </w:r>
      <w:r w:rsidR="00ED70E4">
        <w:rPr>
          <w:szCs w:val="24"/>
          <w:lang w:eastAsia="en-CA"/>
        </w:rPr>
        <w:t>lead</w:t>
      </w:r>
      <w:r w:rsidR="006F29FC">
        <w:rPr>
          <w:szCs w:val="24"/>
          <w:lang w:eastAsia="en-CA"/>
        </w:rPr>
        <w:t>s</w:t>
      </w:r>
      <w:r w:rsidR="00ED70E4">
        <w:rPr>
          <w:szCs w:val="24"/>
          <w:lang w:eastAsia="en-CA"/>
        </w:rPr>
        <w:t xml:space="preserve"> to deterioration in corporate standards (</w:t>
      </w:r>
      <w:proofErr w:type="spellStart"/>
      <w:r w:rsidR="00ED70E4">
        <w:rPr>
          <w:szCs w:val="24"/>
          <w:lang w:eastAsia="en-CA"/>
        </w:rPr>
        <w:t>Bebchuk</w:t>
      </w:r>
      <w:proofErr w:type="spellEnd"/>
      <w:r w:rsidR="00ED70E4">
        <w:rPr>
          <w:szCs w:val="24"/>
          <w:lang w:eastAsia="en-CA"/>
        </w:rPr>
        <w:t>, 1992</w:t>
      </w:r>
      <w:r w:rsidR="00ED70E4" w:rsidRPr="00304FCC">
        <w:rPr>
          <w:szCs w:val="24"/>
          <w:lang w:eastAsia="en-CA"/>
        </w:rPr>
        <w:t xml:space="preserve">). </w:t>
      </w:r>
      <w:proofErr w:type="spellStart"/>
      <w:r w:rsidR="00ED70E4" w:rsidRPr="00304FCC">
        <w:rPr>
          <w:szCs w:val="24"/>
          <w:lang w:eastAsia="en-CA"/>
        </w:rPr>
        <w:t>Bebchuk</w:t>
      </w:r>
      <w:proofErr w:type="spellEnd"/>
      <w:r w:rsidR="00ED70E4" w:rsidRPr="00304FCC">
        <w:rPr>
          <w:szCs w:val="24"/>
          <w:lang w:eastAsia="en-CA"/>
        </w:rPr>
        <w:t xml:space="preserve"> and Cohen (2003) find that a state’s decision </w:t>
      </w:r>
      <w:r w:rsidR="00ED70E4" w:rsidRPr="00304FCC">
        <w:rPr>
          <w:szCs w:val="24"/>
        </w:rPr>
        <w:t>to add an antitakeover statute</w:t>
      </w:r>
      <w:r>
        <w:rPr>
          <w:szCs w:val="24"/>
        </w:rPr>
        <w:t>—</w:t>
      </w:r>
      <w:r w:rsidR="00ED70E4">
        <w:rPr>
          <w:szCs w:val="24"/>
        </w:rPr>
        <w:t>a measure recognized as detrimental to shareholder value</w:t>
      </w:r>
      <w:r>
        <w:rPr>
          <w:szCs w:val="24"/>
        </w:rPr>
        <w:t>—</w:t>
      </w:r>
      <w:r w:rsidR="00ED70E4" w:rsidRPr="00304FCC">
        <w:rPr>
          <w:szCs w:val="24"/>
        </w:rPr>
        <w:t xml:space="preserve">can significantly increase </w:t>
      </w:r>
      <w:r>
        <w:rPr>
          <w:szCs w:val="24"/>
        </w:rPr>
        <w:t>a state’s</w:t>
      </w:r>
      <w:r w:rsidRPr="00304FCC">
        <w:rPr>
          <w:szCs w:val="24"/>
        </w:rPr>
        <w:t xml:space="preserve"> </w:t>
      </w:r>
      <w:r w:rsidR="00ED70E4" w:rsidRPr="00304FCC">
        <w:rPr>
          <w:szCs w:val="24"/>
        </w:rPr>
        <w:t>ability to retain local firms and attract out</w:t>
      </w:r>
      <w:r w:rsidR="00ED70E4" w:rsidRPr="00CF1962">
        <w:rPr>
          <w:rFonts w:ascii="Cambria Math" w:hAnsi="Cambria Math"/>
          <w:sz w:val="18"/>
          <w:szCs w:val="18"/>
        </w:rPr>
        <w:t>‐</w:t>
      </w:r>
      <w:r w:rsidR="00ED70E4" w:rsidRPr="00304FCC">
        <w:rPr>
          <w:szCs w:val="24"/>
        </w:rPr>
        <w:t>of</w:t>
      </w:r>
      <w:r w:rsidR="00ED70E4" w:rsidRPr="00304FCC">
        <w:rPr>
          <w:rFonts w:ascii="Cambria Math" w:hAnsi="Cambria Math"/>
          <w:szCs w:val="24"/>
        </w:rPr>
        <w:t>‐</w:t>
      </w:r>
      <w:r w:rsidR="00ED70E4" w:rsidRPr="00304FCC">
        <w:rPr>
          <w:szCs w:val="24"/>
        </w:rPr>
        <w:t>state incorporations.</w:t>
      </w:r>
      <w:r w:rsidR="00ED70E4">
        <w:rPr>
          <w:szCs w:val="24"/>
        </w:rPr>
        <w:t xml:space="preserve"> </w:t>
      </w:r>
    </w:p>
    <w:p w:rsidR="00E1477F" w:rsidRDefault="00612881" w:rsidP="00BF079C">
      <w:pPr>
        <w:pStyle w:val="NoSpacing"/>
        <w:spacing w:line="480" w:lineRule="auto"/>
        <w:ind w:firstLine="720"/>
      </w:pPr>
      <w:r>
        <w:t>Our focus</w:t>
      </w:r>
      <w:r w:rsidR="00BC04D2">
        <w:t xml:space="preserve"> </w:t>
      </w:r>
      <w:r w:rsidR="003747BB">
        <w:t xml:space="preserve">(although </w:t>
      </w:r>
      <w:r w:rsidR="00B042FA">
        <w:t>related</w:t>
      </w:r>
      <w:r w:rsidR="003747BB">
        <w:t>)</w:t>
      </w:r>
      <w:r w:rsidR="00B042FA">
        <w:t xml:space="preserve"> addresses</w:t>
      </w:r>
      <w:r>
        <w:t xml:space="preserve"> a different question. We examine how </w:t>
      </w:r>
      <w:r w:rsidR="00A31F58">
        <w:t xml:space="preserve">firm actions </w:t>
      </w:r>
      <w:r w:rsidR="00BC04D2">
        <w:t>with</w:t>
      </w:r>
      <w:r w:rsidR="00A31F58">
        <w:t>in a jurisdiction are affected by regulations in jurisdictions</w:t>
      </w:r>
      <w:r w:rsidR="009D6FEF">
        <w:t xml:space="preserve"> where </w:t>
      </w:r>
      <w:r w:rsidR="00800143">
        <w:t>a firm does</w:t>
      </w:r>
      <w:r w:rsidR="009D6FEF">
        <w:t xml:space="preserve"> not have operations</w:t>
      </w:r>
      <w:r w:rsidR="00A31F58">
        <w:t>.</w:t>
      </w:r>
      <w:r w:rsidR="00B042FA">
        <w:t xml:space="preserve"> </w:t>
      </w:r>
      <w:r w:rsidR="00800143">
        <w:t>We</w:t>
      </w:r>
      <w:r w:rsidR="00B042FA">
        <w:t xml:space="preserve"> </w:t>
      </w:r>
      <w:r w:rsidR="00BC04D2">
        <w:t xml:space="preserve">propose </w:t>
      </w:r>
      <w:r w:rsidR="00283BE3">
        <w:t xml:space="preserve">this influence is a result of </w:t>
      </w:r>
      <w:r w:rsidR="00BC04D2">
        <w:t xml:space="preserve">two </w:t>
      </w:r>
      <w:r w:rsidR="00283BE3">
        <w:t>effects</w:t>
      </w:r>
      <w:r w:rsidR="00B042FA">
        <w:t>.</w:t>
      </w:r>
    </w:p>
    <w:p w:rsidR="003017D7" w:rsidRDefault="003017D7" w:rsidP="00BF079C">
      <w:pPr>
        <w:pStyle w:val="NoSpacing"/>
        <w:keepNext/>
        <w:spacing w:line="480" w:lineRule="auto"/>
        <w:rPr>
          <w:b/>
          <w:i/>
        </w:rPr>
      </w:pPr>
    </w:p>
    <w:p w:rsidR="00307872" w:rsidRPr="003017D7" w:rsidRDefault="006331AC" w:rsidP="00BF079C">
      <w:pPr>
        <w:pStyle w:val="NoSpacing"/>
        <w:keepNext/>
        <w:spacing w:line="480" w:lineRule="auto"/>
        <w:rPr>
          <w:i/>
        </w:rPr>
      </w:pPr>
      <w:r w:rsidRPr="006331AC">
        <w:rPr>
          <w:i/>
        </w:rPr>
        <w:t>Neighboring jurisdiction effect</w:t>
      </w:r>
    </w:p>
    <w:p w:rsidR="006331AC" w:rsidRDefault="00BC04D2" w:rsidP="006331AC">
      <w:pPr>
        <w:pStyle w:val="NoteLevel21"/>
        <w:spacing w:line="480" w:lineRule="auto"/>
      </w:pPr>
      <w:r>
        <w:t>R</w:t>
      </w:r>
      <w:r w:rsidR="00B702DD">
        <w:t>egulatory policy adopted in nearby jurisdictions</w:t>
      </w:r>
      <w:r>
        <w:t xml:space="preserve"> can shape</w:t>
      </w:r>
      <w:r w:rsidR="003A140E">
        <w:t xml:space="preserve"> firm actions because e</w:t>
      </w:r>
      <w:r w:rsidR="00B702DD">
        <w:t xml:space="preserve">nvironmental concerns are </w:t>
      </w:r>
      <w:r w:rsidR="003A140E">
        <w:t>often geographically</w:t>
      </w:r>
      <w:r w:rsidR="003A140E" w:rsidDel="003A140E">
        <w:t xml:space="preserve"> </w:t>
      </w:r>
      <w:r w:rsidR="00B702DD">
        <w:t>shared</w:t>
      </w:r>
      <w:r w:rsidR="003A140E">
        <w:t xml:space="preserve"> and regional </w:t>
      </w:r>
      <w:r w:rsidR="00B702DD">
        <w:t xml:space="preserve">policy makers are likely to be associated with one another. A state’s membership in a regional organization or </w:t>
      </w:r>
      <w:r w:rsidR="00800143">
        <w:t xml:space="preserve">a state’s </w:t>
      </w:r>
      <w:r w:rsidR="009E7209">
        <w:t xml:space="preserve">geographic proximity </w:t>
      </w:r>
      <w:r w:rsidR="00B702DD">
        <w:t xml:space="preserve">can lead to expansive policy making where an initiative </w:t>
      </w:r>
      <w:r w:rsidR="009E7209">
        <w:t>spreads</w:t>
      </w:r>
      <w:r w:rsidR="00B702DD">
        <w:t xml:space="preserve"> throughout a region. </w:t>
      </w:r>
      <w:r w:rsidR="005C5CB7">
        <w:t>Therefore</w:t>
      </w:r>
      <w:r w:rsidR="00B702DD">
        <w:t xml:space="preserve">, environmental policy set in a nearby jurisdiction can have implications for the market for requisite resources to respond to that policy. </w:t>
      </w:r>
    </w:p>
    <w:p w:rsidR="000F6251" w:rsidRDefault="005C5CB7">
      <w:pPr>
        <w:pStyle w:val="NoteLevel21"/>
        <w:spacing w:line="480" w:lineRule="auto"/>
        <w:ind w:firstLine="720"/>
      </w:pPr>
      <w:r>
        <w:t xml:space="preserve">Firms that act on the presence of a regulatory externality from a neighboring jurisdiction can undertake efforts to preempt that policy by improving their environmental performance. </w:t>
      </w:r>
      <w:r w:rsidR="00F928BA">
        <w:t>Such as response is illustrated by</w:t>
      </w:r>
      <w:r w:rsidR="00B702DD">
        <w:t xml:space="preserve"> Idaho Power</w:t>
      </w:r>
      <w:r w:rsidR="00F928BA">
        <w:t>’s</w:t>
      </w:r>
      <w:r w:rsidR="00B702DD">
        <w:t xml:space="preserve"> 2010 update of its environmental initiatives</w:t>
      </w:r>
      <w:r w:rsidR="00F928BA">
        <w:t>.</w:t>
      </w:r>
      <w:r w:rsidR="00B702DD">
        <w:t xml:space="preserve"> Idaho Power cites how the </w:t>
      </w:r>
      <w:r w:rsidR="00625970">
        <w:t xml:space="preserve">proliferation of RPS policies in </w:t>
      </w:r>
      <w:r w:rsidR="00CF146E">
        <w:t xml:space="preserve">the </w:t>
      </w:r>
      <w:r w:rsidR="00625970">
        <w:t xml:space="preserve">region </w:t>
      </w:r>
      <w:r w:rsidR="00F928BA">
        <w:t>increased</w:t>
      </w:r>
      <w:r w:rsidR="00625970">
        <w:t xml:space="preserve"> the overall demand for renewable power in its neighboring states. </w:t>
      </w:r>
      <w:r w:rsidR="00CF146E">
        <w:t>D</w:t>
      </w:r>
      <w:r w:rsidR="00625970">
        <w:t xml:space="preserve">espite these concerns and </w:t>
      </w:r>
      <w:r w:rsidR="00F928BA">
        <w:t xml:space="preserve">despite </w:t>
      </w:r>
      <w:r w:rsidR="00625970">
        <w:t xml:space="preserve">not </w:t>
      </w:r>
      <w:r w:rsidR="00625970">
        <w:lastRenderedPageBreak/>
        <w:t xml:space="preserve">being </w:t>
      </w:r>
      <w:r w:rsidR="00B702DD">
        <w:t>statutorily required to do so, Idaho Power has active</w:t>
      </w:r>
      <w:r w:rsidR="00F928BA">
        <w:t>ly</w:t>
      </w:r>
      <w:r w:rsidR="00B702DD">
        <w:t xml:space="preserve"> </w:t>
      </w:r>
      <w:r w:rsidR="00F928BA">
        <w:t xml:space="preserve">pursued </w:t>
      </w:r>
      <w:r w:rsidR="00B702DD">
        <w:t>the renewable energy market</w:t>
      </w:r>
      <w:r w:rsidR="00F928BA">
        <w:t>,</w:t>
      </w:r>
      <w:r w:rsidR="00B702DD">
        <w:t xml:space="preserve"> </w:t>
      </w:r>
      <w:r w:rsidR="00F928BA">
        <w:t>by</w:t>
      </w:r>
      <w:r w:rsidR="00B702DD">
        <w:t xml:space="preserve"> </w:t>
      </w:r>
      <w:r w:rsidR="00F928BA">
        <w:t xml:space="preserve">securing </w:t>
      </w:r>
      <w:r w:rsidR="00B702DD">
        <w:t xml:space="preserve">wind power from six different projects in Idaho, Montana, and Oregon. </w:t>
      </w:r>
    </w:p>
    <w:p w:rsidR="00B1158D" w:rsidRDefault="00930B77" w:rsidP="00930B77">
      <w:pPr>
        <w:pStyle w:val="NoSpacing"/>
        <w:spacing w:line="480" w:lineRule="auto"/>
        <w:ind w:firstLine="720"/>
      </w:pPr>
      <w:r>
        <w:t xml:space="preserve">Acting </w:t>
      </w:r>
      <w:r w:rsidR="00F544EB">
        <w:t xml:space="preserve">on the expectation of </w:t>
      </w:r>
      <w:r>
        <w:t>policy reform in nearby jurisdictions is consistent with formal and anecdotal evidence o</w:t>
      </w:r>
      <w:r w:rsidR="00F544EB">
        <w:t>f</w:t>
      </w:r>
      <w:r>
        <w:t xml:space="preserve"> policy preemption (Maxwell </w:t>
      </w:r>
      <w:r w:rsidR="00C73B14">
        <w:t>and</w:t>
      </w:r>
      <w:r>
        <w:t xml:space="preserve"> Decker, 200</w:t>
      </w:r>
      <w:r w:rsidR="00484BDC">
        <w:t>6</w:t>
      </w:r>
      <w:r>
        <w:t xml:space="preserve">; Maxwell and Lyon, 2004). </w:t>
      </w:r>
      <w:r w:rsidR="00361829">
        <w:t xml:space="preserve">Firms may choose to enhance their environmental performance in an effort to </w:t>
      </w:r>
      <w:r w:rsidR="009E7209">
        <w:t>fore</w:t>
      </w:r>
      <w:r w:rsidR="00361829">
        <w:t>stall novel regulations</w:t>
      </w:r>
      <w:r w:rsidR="00F544EB">
        <w:t xml:space="preserve"> </w:t>
      </w:r>
      <w:r>
        <w:t xml:space="preserve">(King </w:t>
      </w:r>
      <w:r w:rsidR="00C73B14">
        <w:t>and</w:t>
      </w:r>
      <w:r>
        <w:t xml:space="preserve"> Lenox, 2000; Rivera </w:t>
      </w:r>
      <w:r w:rsidR="00C73B14">
        <w:t xml:space="preserve">and </w:t>
      </w:r>
      <w:r>
        <w:t>de Leon, 2004)</w:t>
      </w:r>
      <w:r w:rsidR="00F544EB">
        <w:t xml:space="preserve">. Moreover, </w:t>
      </w:r>
      <w:r>
        <w:t xml:space="preserve">preemption </w:t>
      </w:r>
      <w:r w:rsidR="00F544EB">
        <w:t xml:space="preserve">might </w:t>
      </w:r>
      <w:r>
        <w:t xml:space="preserve">not </w:t>
      </w:r>
      <w:r w:rsidR="00CA6646">
        <w:t>on</w:t>
      </w:r>
      <w:r>
        <w:t xml:space="preserve">ly displace more stringent policy types but </w:t>
      </w:r>
      <w:r w:rsidR="00CA6646">
        <w:t xml:space="preserve">also </w:t>
      </w:r>
      <w:r>
        <w:t xml:space="preserve">act as a market-based response to developments in nearby jurisdictions. </w:t>
      </w:r>
      <w:r w:rsidR="00F928BA">
        <w:t>By a</w:t>
      </w:r>
      <w:r w:rsidR="00F544EB">
        <w:t>dopting more stringent policies from neighboring jurisdictions</w:t>
      </w:r>
      <w:r w:rsidR="00F928BA">
        <w:t>,</w:t>
      </w:r>
      <w:r w:rsidR="00F544EB">
        <w:t xml:space="preserve"> </w:t>
      </w:r>
      <w:r w:rsidR="00B1158D">
        <w:t xml:space="preserve">a firm </w:t>
      </w:r>
      <w:r w:rsidR="00F928BA">
        <w:t xml:space="preserve">can </w:t>
      </w:r>
      <w:r w:rsidR="005163D9">
        <w:t xml:space="preserve">act as a supplier to customers or other firms in the </w:t>
      </w:r>
      <w:r w:rsidR="00F544EB">
        <w:t xml:space="preserve">neighboring </w:t>
      </w:r>
      <w:r w:rsidR="005163D9">
        <w:t>jurisdiction</w:t>
      </w:r>
      <w:r w:rsidR="00B1158D">
        <w:t xml:space="preserve"> that are statutorily required to source such goods</w:t>
      </w:r>
      <w:r w:rsidR="005163D9">
        <w:t xml:space="preserve">. </w:t>
      </w:r>
    </w:p>
    <w:p w:rsidR="000F6251" w:rsidRDefault="00F544EB">
      <w:pPr>
        <w:pStyle w:val="NoteLevel21"/>
        <w:spacing w:line="480" w:lineRule="auto"/>
        <w:ind w:firstLine="720"/>
      </w:pPr>
      <w:r>
        <w:t>For the above rea</w:t>
      </w:r>
      <w:r w:rsidR="000A59E2">
        <w:t>s</w:t>
      </w:r>
      <w:r>
        <w:t>ons, t</w:t>
      </w:r>
      <w:r w:rsidR="005C5CB7">
        <w:t>he neighboring jurisdiction effect leads to the following hypothesis.</w:t>
      </w:r>
    </w:p>
    <w:p w:rsidR="00B702DD" w:rsidRPr="00394676" w:rsidRDefault="00B702DD" w:rsidP="00BF079C">
      <w:pPr>
        <w:pStyle w:val="NoSpacing"/>
        <w:ind w:left="720" w:right="720"/>
      </w:pPr>
      <w:proofErr w:type="gramStart"/>
      <w:r w:rsidRPr="00DA06C3">
        <w:rPr>
          <w:i/>
        </w:rPr>
        <w:t>H</w:t>
      </w:r>
      <w:r>
        <w:rPr>
          <w:i/>
        </w:rPr>
        <w:t>1</w:t>
      </w:r>
      <w:r w:rsidRPr="00DA06C3">
        <w:rPr>
          <w:i/>
        </w:rPr>
        <w:t xml:space="preserve">: </w:t>
      </w:r>
      <w:r>
        <w:rPr>
          <w:i/>
        </w:rPr>
        <w:t>T</w:t>
      </w:r>
      <w:r w:rsidRPr="00DA06C3">
        <w:rPr>
          <w:i/>
        </w:rPr>
        <w:t xml:space="preserve">he </w:t>
      </w:r>
      <w:r w:rsidR="00011EF6">
        <w:rPr>
          <w:i/>
        </w:rPr>
        <w:t xml:space="preserve">more </w:t>
      </w:r>
      <w:r w:rsidR="00011EF6" w:rsidRPr="00DA06C3">
        <w:rPr>
          <w:i/>
        </w:rPr>
        <w:t>stringen</w:t>
      </w:r>
      <w:r w:rsidR="00011EF6">
        <w:rPr>
          <w:i/>
        </w:rPr>
        <w:t>t</w:t>
      </w:r>
      <w:r w:rsidR="00011EF6" w:rsidRPr="00DA06C3">
        <w:rPr>
          <w:i/>
        </w:rPr>
        <w:t xml:space="preserve"> </w:t>
      </w:r>
      <w:r w:rsidR="00F928BA">
        <w:rPr>
          <w:i/>
        </w:rPr>
        <w:t xml:space="preserve">the </w:t>
      </w:r>
      <w:r w:rsidRPr="00DA06C3">
        <w:rPr>
          <w:i/>
        </w:rPr>
        <w:t>environmental polic</w:t>
      </w:r>
      <w:r w:rsidR="00011EF6">
        <w:rPr>
          <w:i/>
        </w:rPr>
        <w:t>ies</w:t>
      </w:r>
      <w:r w:rsidRPr="00DA06C3">
        <w:rPr>
          <w:i/>
        </w:rPr>
        <w:t xml:space="preserve"> in </w:t>
      </w:r>
      <w:r w:rsidR="00011EF6" w:rsidRPr="00DA06C3">
        <w:rPr>
          <w:i/>
        </w:rPr>
        <w:t>state</w:t>
      </w:r>
      <w:r w:rsidR="00011EF6">
        <w:rPr>
          <w:i/>
        </w:rPr>
        <w:t>s</w:t>
      </w:r>
      <w:r w:rsidR="00011EF6" w:rsidRPr="00DA06C3">
        <w:rPr>
          <w:i/>
        </w:rPr>
        <w:t xml:space="preserve"> </w:t>
      </w:r>
      <w:r w:rsidRPr="00DA06C3">
        <w:rPr>
          <w:i/>
        </w:rPr>
        <w:t xml:space="preserve">contiguous </w:t>
      </w:r>
      <w:r w:rsidR="00011EF6">
        <w:rPr>
          <w:i/>
        </w:rPr>
        <w:t xml:space="preserve">to where a </w:t>
      </w:r>
      <w:r w:rsidRPr="00DA06C3">
        <w:rPr>
          <w:i/>
        </w:rPr>
        <w:t>firm operate</w:t>
      </w:r>
      <w:r w:rsidR="00011EF6">
        <w:rPr>
          <w:i/>
        </w:rPr>
        <w:t>s, the</w:t>
      </w:r>
      <w:r w:rsidRPr="00DA06C3">
        <w:rPr>
          <w:i/>
        </w:rPr>
        <w:t xml:space="preserve"> </w:t>
      </w:r>
      <w:r w:rsidR="00011EF6">
        <w:rPr>
          <w:i/>
        </w:rPr>
        <w:t xml:space="preserve">better </w:t>
      </w:r>
      <w:r w:rsidR="00941952">
        <w:rPr>
          <w:i/>
        </w:rPr>
        <w:t>a</w:t>
      </w:r>
      <w:r w:rsidR="00F928BA">
        <w:rPr>
          <w:i/>
        </w:rPr>
        <w:t xml:space="preserve"> firm’s </w:t>
      </w:r>
      <w:r w:rsidRPr="00DA06C3">
        <w:rPr>
          <w:i/>
        </w:rPr>
        <w:t>environmental performance.</w:t>
      </w:r>
      <w:proofErr w:type="gramEnd"/>
    </w:p>
    <w:p w:rsidR="009C34DB" w:rsidRPr="00394676" w:rsidRDefault="009C34DB" w:rsidP="00BF079C">
      <w:pPr>
        <w:pStyle w:val="NoSpacing"/>
        <w:ind w:left="720" w:right="720"/>
      </w:pPr>
    </w:p>
    <w:p w:rsidR="003017D7" w:rsidRDefault="003017D7" w:rsidP="00BF079C">
      <w:pPr>
        <w:pStyle w:val="NoSpacing"/>
        <w:keepNext/>
        <w:spacing w:line="480" w:lineRule="auto"/>
        <w:rPr>
          <w:b/>
          <w:i/>
        </w:rPr>
      </w:pPr>
    </w:p>
    <w:p w:rsidR="00E1477F" w:rsidRPr="003017D7" w:rsidRDefault="006331AC" w:rsidP="00BF079C">
      <w:pPr>
        <w:pStyle w:val="NoSpacing"/>
        <w:keepNext/>
        <w:spacing w:line="480" w:lineRule="auto"/>
        <w:rPr>
          <w:i/>
        </w:rPr>
      </w:pPr>
      <w:r w:rsidRPr="006331AC">
        <w:rPr>
          <w:i/>
        </w:rPr>
        <w:t>Peer effect</w:t>
      </w:r>
    </w:p>
    <w:p w:rsidR="006331AC" w:rsidRDefault="001633C2" w:rsidP="006331AC">
      <w:pPr>
        <w:pStyle w:val="NoSpacing"/>
        <w:spacing w:line="480" w:lineRule="auto"/>
      </w:pPr>
      <w:r>
        <w:t xml:space="preserve">We also expect that </w:t>
      </w:r>
      <w:r w:rsidR="000753C9">
        <w:t xml:space="preserve">firms’ environmental performance is heightened when peer firms (i.e., firms that operate in the same jurisdiction) operate in </w:t>
      </w:r>
      <w:r w:rsidR="00533DB4">
        <w:t xml:space="preserve">other </w:t>
      </w:r>
      <w:r w:rsidR="000753C9">
        <w:t xml:space="preserve">jurisdictions with more stringent environmental </w:t>
      </w:r>
      <w:r w:rsidR="00CC1DD8">
        <w:t>policies. Two arguments lead to this prediction.</w:t>
      </w:r>
    </w:p>
    <w:p w:rsidR="00CC1DD8" w:rsidRDefault="00CC1DD8" w:rsidP="00BF079C">
      <w:pPr>
        <w:pStyle w:val="NoSpacing"/>
        <w:spacing w:line="480" w:lineRule="auto"/>
        <w:ind w:firstLine="720"/>
      </w:pPr>
      <w:r>
        <w:t xml:space="preserve">First, firms that operate in </w:t>
      </w:r>
      <w:r w:rsidR="006B7A68">
        <w:t xml:space="preserve">multiple </w:t>
      </w:r>
      <w:r>
        <w:t xml:space="preserve">jurisdictions tend to adopt stringent operating procedures across their operations rather than </w:t>
      </w:r>
      <w:r w:rsidR="0004143C">
        <w:t xml:space="preserve">conforming to the standard in each jurisdiction. </w:t>
      </w:r>
      <w:proofErr w:type="spellStart"/>
      <w:r w:rsidR="0004143C">
        <w:t>Eskeland</w:t>
      </w:r>
      <w:proofErr w:type="spellEnd"/>
      <w:r w:rsidR="0004143C">
        <w:t xml:space="preserve"> and Harrison (2003) note that multinational firms</w:t>
      </w:r>
      <w:r w:rsidR="0051570A">
        <w:t xml:space="preserve"> in potential pollution havens are significantly more environmentally frie</w:t>
      </w:r>
      <w:r w:rsidR="006B7A68">
        <w:t>ndly than indigenous firms. This</w:t>
      </w:r>
      <w:r w:rsidR="0051570A">
        <w:t xml:space="preserve"> </w:t>
      </w:r>
      <w:r w:rsidR="00957EB7">
        <w:t xml:space="preserve">finding is </w:t>
      </w:r>
      <w:r w:rsidR="0051570A">
        <w:t xml:space="preserve">consistent with the technology transfer literature, which finds that multinationals tend to use </w:t>
      </w:r>
      <w:r w:rsidR="00957EB7">
        <w:t xml:space="preserve">the same or </w:t>
      </w:r>
      <w:r w:rsidR="00810FEA">
        <w:lastRenderedPageBreak/>
        <w:t xml:space="preserve">similar technologies in </w:t>
      </w:r>
      <w:r w:rsidR="00957EB7">
        <w:t xml:space="preserve">developing countries as in </w:t>
      </w:r>
      <w:r w:rsidR="00810FEA">
        <w:t>their home country (see Caves, 1996</w:t>
      </w:r>
      <w:r w:rsidR="00F928BA">
        <w:t>,</w:t>
      </w:r>
      <w:r w:rsidR="00810FEA">
        <w:t xml:space="preserve"> for a review).</w:t>
      </w:r>
      <w:r w:rsidR="00957EB7">
        <w:t xml:space="preserve"> </w:t>
      </w:r>
      <w:r w:rsidR="0089130F">
        <w:t xml:space="preserve">A key consideration is </w:t>
      </w:r>
      <w:r w:rsidR="00A80081">
        <w:t xml:space="preserve">the </w:t>
      </w:r>
      <w:r w:rsidR="0089130F">
        <w:t xml:space="preserve">difficulties of managing </w:t>
      </w:r>
      <w:r w:rsidR="00DA705C">
        <w:t>different</w:t>
      </w:r>
      <w:r w:rsidR="0089130F">
        <w:t xml:space="preserve"> </w:t>
      </w:r>
      <w:r w:rsidR="00DA705C">
        <w:t xml:space="preserve">technologies </w:t>
      </w:r>
      <w:r w:rsidR="0089130F">
        <w:t>across geographies (e.g., King and Shaver, 2001)</w:t>
      </w:r>
      <w:r w:rsidR="00F84E84">
        <w:t xml:space="preserve">; therefore, </w:t>
      </w:r>
      <w:r w:rsidR="00A80081">
        <w:t>a</w:t>
      </w:r>
      <w:r w:rsidR="00F84E84">
        <w:t xml:space="preserve"> more efficient </w:t>
      </w:r>
      <w:r w:rsidR="00A80081">
        <w:t xml:space="preserve">approach is </w:t>
      </w:r>
      <w:r w:rsidR="003017D7">
        <w:t xml:space="preserve">for firms </w:t>
      </w:r>
      <w:r w:rsidR="00F84E84">
        <w:t xml:space="preserve">to adopt </w:t>
      </w:r>
      <w:r w:rsidR="006B7A68">
        <w:t xml:space="preserve">a </w:t>
      </w:r>
      <w:r w:rsidR="00F84E84">
        <w:t>consistent stringent operating procedure rather than adapt</w:t>
      </w:r>
      <w:r w:rsidR="00C36C19">
        <w:t>ing</w:t>
      </w:r>
      <w:r w:rsidR="00F84E84">
        <w:t xml:space="preserve"> operating procedures to each jurisdiction</w:t>
      </w:r>
      <w:r w:rsidR="0089130F">
        <w:t xml:space="preserve">. </w:t>
      </w:r>
      <w:r w:rsidR="00ED461E">
        <w:t xml:space="preserve">For </w:t>
      </w:r>
      <w:r w:rsidR="00533DB4">
        <w:t>example</w:t>
      </w:r>
      <w:r w:rsidR="00ED461E">
        <w:t>, Northern States Power</w:t>
      </w:r>
      <w:r w:rsidR="00A80081">
        <w:t>,</w:t>
      </w:r>
      <w:r w:rsidR="00ED461E">
        <w:t xml:space="preserve"> </w:t>
      </w:r>
      <w:r w:rsidR="00B00A6F">
        <w:t xml:space="preserve">an electric utility that </w:t>
      </w:r>
      <w:r w:rsidR="00ED461E">
        <w:t xml:space="preserve">serves customers in five states in the upper </w:t>
      </w:r>
      <w:r w:rsidR="004225B5">
        <w:t>Midwest</w:t>
      </w:r>
      <w:r w:rsidR="00ED461E">
        <w:t xml:space="preserve"> U</w:t>
      </w:r>
      <w:r w:rsidR="00A80081">
        <w:t xml:space="preserve">nited </w:t>
      </w:r>
      <w:r w:rsidR="00ED461E">
        <w:t>S</w:t>
      </w:r>
      <w:r w:rsidR="00A80081">
        <w:t>tates,</w:t>
      </w:r>
      <w:r w:rsidR="00ED461E">
        <w:t xml:space="preserve"> </w:t>
      </w:r>
      <w:r w:rsidR="00B00A6F">
        <w:t>maintains a consistent operating procedure with respect to</w:t>
      </w:r>
      <w:r w:rsidR="00C84574">
        <w:t xml:space="preserve"> the provision of </w:t>
      </w:r>
      <w:r w:rsidR="00B00A6F">
        <w:t>renewable energy and energy</w:t>
      </w:r>
      <w:r w:rsidR="00A80081">
        <w:t>-</w:t>
      </w:r>
      <w:r w:rsidR="00B00A6F">
        <w:t>efficiency programs</w:t>
      </w:r>
      <w:r w:rsidR="00533DB4">
        <w:t>, despite significant variation in environmental requirements across jurisdictions</w:t>
      </w:r>
      <w:r w:rsidR="00ED461E">
        <w:t xml:space="preserve">. </w:t>
      </w:r>
      <w:r w:rsidR="00A80081">
        <w:t xml:space="preserve">This firm’s </w:t>
      </w:r>
      <w:r w:rsidR="00A83991">
        <w:t>efforts include</w:t>
      </w:r>
      <w:r w:rsidR="00A935E4">
        <w:t xml:space="preserve"> investment in a large-scale wind project in North Dakota</w:t>
      </w:r>
      <w:r w:rsidR="003017D7">
        <w:t>,</w:t>
      </w:r>
      <w:r w:rsidR="00A935E4">
        <w:t xml:space="preserve"> where the firm has no statutory responsibility to provide renewable power.</w:t>
      </w:r>
      <w:r w:rsidR="00A83991">
        <w:t xml:space="preserve"> </w:t>
      </w:r>
    </w:p>
    <w:p w:rsidR="00D33D7D" w:rsidRDefault="006B7A68" w:rsidP="00BF079C">
      <w:pPr>
        <w:pStyle w:val="NoSpacing"/>
        <w:spacing w:line="480" w:lineRule="auto"/>
        <w:ind w:firstLine="720"/>
      </w:pPr>
      <w:r>
        <w:t xml:space="preserve">Second, </w:t>
      </w:r>
      <w:r w:rsidR="00DA705C">
        <w:t xml:space="preserve">firms </w:t>
      </w:r>
      <w:r w:rsidR="008536C6">
        <w:t xml:space="preserve">face pressures to increase their environmental performance when </w:t>
      </w:r>
      <w:r w:rsidR="00A80081">
        <w:t>their</w:t>
      </w:r>
      <w:r w:rsidR="00DA705C">
        <w:t xml:space="preserve"> </w:t>
      </w:r>
      <w:r w:rsidR="008536C6">
        <w:t xml:space="preserve">peer firms operate in jurisdictions with more stringent environmental policies. </w:t>
      </w:r>
      <w:r w:rsidR="00DA705C">
        <w:t>As we noted above, these peer firm</w:t>
      </w:r>
      <w:r w:rsidR="00A80081">
        <w:t>s</w:t>
      </w:r>
      <w:r w:rsidR="00DA705C">
        <w:t xml:space="preserve"> likely adopt more stringent environmental standards than required within the jurisdiction. </w:t>
      </w:r>
      <w:r w:rsidR="00A80081">
        <w:t>A</w:t>
      </w:r>
      <w:r w:rsidR="00300109">
        <w:t xml:space="preserve"> firm </w:t>
      </w:r>
      <w:r w:rsidR="00A80081">
        <w:t xml:space="preserve">that </w:t>
      </w:r>
      <w:r w:rsidR="00300109">
        <w:t>does not match this higher performance</w:t>
      </w:r>
      <w:r w:rsidR="008536C6">
        <w:t xml:space="preserve"> </w:t>
      </w:r>
      <w:r w:rsidR="00046579">
        <w:t xml:space="preserve">can be exposed as </w:t>
      </w:r>
      <w:r w:rsidR="00F9719B">
        <w:t>having inferior performance</w:t>
      </w:r>
      <w:r w:rsidR="00300109">
        <w:t xml:space="preserve">, </w:t>
      </w:r>
      <w:r w:rsidR="00A80081">
        <w:t>thereby</w:t>
      </w:r>
      <w:r w:rsidR="00300109">
        <w:t xml:space="preserve"> </w:t>
      </w:r>
      <w:r w:rsidR="009E070D">
        <w:t>subject</w:t>
      </w:r>
      <w:r w:rsidR="00A80081">
        <w:t>ing</w:t>
      </w:r>
      <w:r w:rsidR="009E070D">
        <w:t xml:space="preserve"> </w:t>
      </w:r>
      <w:r w:rsidR="00300109">
        <w:t xml:space="preserve">it </w:t>
      </w:r>
      <w:r w:rsidR="009E070D">
        <w:t>to pressure from various stakeholders</w:t>
      </w:r>
      <w:r w:rsidR="00890C8E">
        <w:t xml:space="preserve"> (</w:t>
      </w:r>
      <w:proofErr w:type="spellStart"/>
      <w:r w:rsidR="00890C8E">
        <w:t>Henriques</w:t>
      </w:r>
      <w:proofErr w:type="spellEnd"/>
      <w:r w:rsidR="00890C8E">
        <w:t xml:space="preserve"> and Sadorsky, 199</w:t>
      </w:r>
      <w:r w:rsidR="001E7F11">
        <w:t>9</w:t>
      </w:r>
      <w:r w:rsidR="00890C8E">
        <w:t xml:space="preserve">; Bansal and </w:t>
      </w:r>
      <w:r w:rsidR="001E7F11">
        <w:t>Roth</w:t>
      </w:r>
      <w:r w:rsidR="00890C8E">
        <w:t>, 200</w:t>
      </w:r>
      <w:r w:rsidR="001E7F11">
        <w:t>0</w:t>
      </w:r>
      <w:r w:rsidR="00890C8E">
        <w:t>)</w:t>
      </w:r>
      <w:r w:rsidR="009E070D">
        <w:t xml:space="preserve">. </w:t>
      </w:r>
      <w:r w:rsidR="00890C8E">
        <w:t xml:space="preserve">Awareness </w:t>
      </w:r>
      <w:r w:rsidR="007F0A72">
        <w:t>of</w:t>
      </w:r>
      <w:r w:rsidR="00890C8E">
        <w:t xml:space="preserve"> variation </w:t>
      </w:r>
      <w:r w:rsidR="007F0A72">
        <w:t>in</w:t>
      </w:r>
      <w:r w:rsidR="00890C8E">
        <w:t xml:space="preserve"> regulatory obligations can drive interfirm rivalry in a manner analogous to changes </w:t>
      </w:r>
      <w:r w:rsidR="007F0A72">
        <w:t>to the</w:t>
      </w:r>
      <w:r w:rsidR="00890C8E">
        <w:t xml:space="preserve"> relative strength between firms or the introduction of new entrants </w:t>
      </w:r>
      <w:r w:rsidR="00C6701B">
        <w:t xml:space="preserve">to a market </w:t>
      </w:r>
      <w:r w:rsidR="00890C8E">
        <w:t>(Chen</w:t>
      </w:r>
      <w:r w:rsidR="00A80081">
        <w:t>,</w:t>
      </w:r>
      <w:r w:rsidR="00890C8E">
        <w:t xml:space="preserve"> </w:t>
      </w:r>
      <w:r w:rsidR="00A80081">
        <w:t>Su</w:t>
      </w:r>
      <w:r w:rsidR="00890C8E">
        <w:t>,</w:t>
      </w:r>
      <w:r w:rsidR="00A80081">
        <w:t xml:space="preserve"> </w:t>
      </w:r>
      <w:r w:rsidR="003017D7">
        <w:t>and</w:t>
      </w:r>
      <w:r w:rsidR="00A80081">
        <w:t xml:space="preserve"> Tsai,</w:t>
      </w:r>
      <w:r w:rsidR="00890C8E">
        <w:t xml:space="preserve"> 2007). </w:t>
      </w:r>
      <w:r w:rsidR="00300109">
        <w:t>Moreover</w:t>
      </w:r>
      <w:r w:rsidR="009E070D">
        <w:t xml:space="preserve">, </w:t>
      </w:r>
      <w:r w:rsidR="00D33D7D">
        <w:t xml:space="preserve">policy makers </w:t>
      </w:r>
      <w:r w:rsidR="008536C6">
        <w:t xml:space="preserve">within the jurisdiction </w:t>
      </w:r>
      <w:r w:rsidR="009E070D">
        <w:t xml:space="preserve">might be more willing to </w:t>
      </w:r>
      <w:r w:rsidR="00F9719B">
        <w:t xml:space="preserve">choose more </w:t>
      </w:r>
      <w:r w:rsidR="009E070D">
        <w:t>stringent standards because they know that the peer firms will be able to adapt and will not be out of compliance under more stringent standards (Fremeth, 2009).</w:t>
      </w:r>
      <w:r w:rsidR="007F0A72">
        <w:t xml:space="preserve"> </w:t>
      </w:r>
      <w:r w:rsidR="002E7DA2">
        <w:t xml:space="preserve">In Idaho, a state that has yet to adopt an RPS, the </w:t>
      </w:r>
      <w:r w:rsidR="00A81DFF">
        <w:t xml:space="preserve">policy </w:t>
      </w:r>
      <w:r w:rsidR="007B4183">
        <w:t xml:space="preserve">debate </w:t>
      </w:r>
      <w:r w:rsidR="002E7DA2">
        <w:t xml:space="preserve">has </w:t>
      </w:r>
      <w:r w:rsidR="00A81DFF">
        <w:t>consider</w:t>
      </w:r>
      <w:r w:rsidR="002E7DA2">
        <w:t xml:space="preserve">ed the relative </w:t>
      </w:r>
      <w:r w:rsidR="00A81DFF">
        <w:t xml:space="preserve">RPS </w:t>
      </w:r>
      <w:r w:rsidR="002E7DA2">
        <w:t xml:space="preserve">obligations faced by utilities that also operate in other </w:t>
      </w:r>
      <w:r w:rsidR="002E7DA2">
        <w:lastRenderedPageBreak/>
        <w:t>jurisdictions</w:t>
      </w:r>
      <w:r w:rsidR="00A81DFF">
        <w:t xml:space="preserve"> and the </w:t>
      </w:r>
      <w:r w:rsidR="00941952">
        <w:t xml:space="preserve">resulting </w:t>
      </w:r>
      <w:r w:rsidR="00A81DFF">
        <w:t xml:space="preserve">implications </w:t>
      </w:r>
      <w:r w:rsidR="00941952">
        <w:t xml:space="preserve">of these obligations </w:t>
      </w:r>
      <w:r w:rsidR="00A81DFF">
        <w:t xml:space="preserve">on </w:t>
      </w:r>
      <w:r w:rsidR="00941952">
        <w:t xml:space="preserve">Idaho’s </w:t>
      </w:r>
      <w:r w:rsidR="00A81DFF">
        <w:t>renewable energy market.</w:t>
      </w:r>
    </w:p>
    <w:p w:rsidR="00F9719B" w:rsidRDefault="00F9719B" w:rsidP="00BF079C">
      <w:pPr>
        <w:pStyle w:val="NoSpacing"/>
        <w:spacing w:line="480" w:lineRule="auto"/>
        <w:ind w:firstLine="720"/>
      </w:pPr>
      <w:r>
        <w:t>Combined, these arguments lead to the following hypothesis.</w:t>
      </w:r>
    </w:p>
    <w:p w:rsidR="001076F8" w:rsidRDefault="001076F8" w:rsidP="00BF079C">
      <w:pPr>
        <w:pStyle w:val="NoSpacing"/>
        <w:ind w:left="720" w:right="720"/>
        <w:rPr>
          <w:i/>
        </w:rPr>
      </w:pPr>
      <w:r w:rsidRPr="00DA06C3">
        <w:rPr>
          <w:i/>
        </w:rPr>
        <w:t>H</w:t>
      </w:r>
      <w:r w:rsidR="00B702DD">
        <w:rPr>
          <w:i/>
        </w:rPr>
        <w:t>2</w:t>
      </w:r>
      <w:r w:rsidRPr="00DA06C3">
        <w:rPr>
          <w:i/>
        </w:rPr>
        <w:t xml:space="preserve">: The </w:t>
      </w:r>
      <w:r w:rsidR="005C5CB7">
        <w:rPr>
          <w:i/>
        </w:rPr>
        <w:t xml:space="preserve">more </w:t>
      </w:r>
      <w:r w:rsidRPr="00DA06C3">
        <w:rPr>
          <w:i/>
        </w:rPr>
        <w:t>stringen</w:t>
      </w:r>
      <w:r w:rsidR="005C5CB7">
        <w:rPr>
          <w:i/>
        </w:rPr>
        <w:t>t</w:t>
      </w:r>
      <w:r w:rsidRPr="00DA06C3">
        <w:rPr>
          <w:i/>
        </w:rPr>
        <w:t xml:space="preserve"> </w:t>
      </w:r>
      <w:r w:rsidR="00941952">
        <w:rPr>
          <w:i/>
        </w:rPr>
        <w:t xml:space="preserve">the </w:t>
      </w:r>
      <w:r w:rsidRPr="00DA06C3">
        <w:rPr>
          <w:i/>
        </w:rPr>
        <w:t>environmental polic</w:t>
      </w:r>
      <w:r w:rsidR="005C5CB7">
        <w:rPr>
          <w:i/>
        </w:rPr>
        <w:t>ies</w:t>
      </w:r>
      <w:r w:rsidRPr="00DA06C3">
        <w:rPr>
          <w:i/>
        </w:rPr>
        <w:t xml:space="preserve"> faced </w:t>
      </w:r>
      <w:r w:rsidR="005C5CB7">
        <w:rPr>
          <w:i/>
        </w:rPr>
        <w:t xml:space="preserve">elsewhere </w:t>
      </w:r>
      <w:r w:rsidRPr="00DA06C3">
        <w:rPr>
          <w:i/>
        </w:rPr>
        <w:t xml:space="preserve">by </w:t>
      </w:r>
      <w:r w:rsidR="005C5CB7">
        <w:rPr>
          <w:i/>
        </w:rPr>
        <w:t>other firms</w:t>
      </w:r>
      <w:r w:rsidR="005C5CB7" w:rsidRPr="00DA06C3">
        <w:rPr>
          <w:i/>
        </w:rPr>
        <w:t xml:space="preserve"> </w:t>
      </w:r>
      <w:r w:rsidR="005C5CB7">
        <w:rPr>
          <w:i/>
        </w:rPr>
        <w:t>within a jurisdiction, the</w:t>
      </w:r>
      <w:r w:rsidR="005C5CB7" w:rsidRPr="00DA06C3">
        <w:rPr>
          <w:i/>
        </w:rPr>
        <w:t xml:space="preserve"> </w:t>
      </w:r>
      <w:r w:rsidR="005C5CB7">
        <w:rPr>
          <w:i/>
        </w:rPr>
        <w:t xml:space="preserve">better a firm’s </w:t>
      </w:r>
      <w:r w:rsidR="005C5CB7" w:rsidRPr="00DA06C3">
        <w:rPr>
          <w:i/>
        </w:rPr>
        <w:t>environmental performance</w:t>
      </w:r>
      <w:r w:rsidRPr="00DA06C3">
        <w:rPr>
          <w:i/>
        </w:rPr>
        <w:t>.</w:t>
      </w:r>
    </w:p>
    <w:p w:rsidR="005C5CB7" w:rsidRDefault="005C5CB7" w:rsidP="00BF079C">
      <w:pPr>
        <w:pStyle w:val="NoSpacing"/>
      </w:pPr>
    </w:p>
    <w:p w:rsidR="00297AAB" w:rsidRDefault="00297AAB" w:rsidP="00BF079C">
      <w:pPr>
        <w:pStyle w:val="NoteLevel21"/>
        <w:rPr>
          <w:b/>
        </w:rPr>
      </w:pPr>
      <w:r w:rsidRPr="0044029E">
        <w:rPr>
          <w:b/>
        </w:rPr>
        <w:t>METHODOLOGY</w:t>
      </w:r>
    </w:p>
    <w:p w:rsidR="00297AAB" w:rsidRDefault="00297AAB" w:rsidP="00BF079C">
      <w:pPr>
        <w:pStyle w:val="NoteLevel21"/>
        <w:rPr>
          <w:b/>
        </w:rPr>
      </w:pPr>
    </w:p>
    <w:p w:rsidR="00297AAB" w:rsidRDefault="0028706B" w:rsidP="00BF079C">
      <w:pPr>
        <w:pStyle w:val="NoteLevel21"/>
        <w:spacing w:line="480" w:lineRule="auto"/>
        <w:rPr>
          <w:b/>
        </w:rPr>
      </w:pPr>
      <w:r>
        <w:rPr>
          <w:b/>
        </w:rPr>
        <w:t>Empirical context and data</w:t>
      </w:r>
    </w:p>
    <w:p w:rsidR="006331AC" w:rsidRDefault="00297AAB" w:rsidP="00ED2768">
      <w:pPr>
        <w:pStyle w:val="NoSpacing"/>
        <w:spacing w:line="480" w:lineRule="auto"/>
        <w:ind w:firstLine="720"/>
      </w:pPr>
      <w:r>
        <w:t xml:space="preserve">The empirical setting for our analysis is the U.S. electric utility sector. </w:t>
      </w:r>
      <w:r w:rsidR="00853118">
        <w:t>F</w:t>
      </w:r>
      <w:r>
        <w:t xml:space="preserve">irms within this industry represent some of the country’s </w:t>
      </w:r>
      <w:r w:rsidR="00ED100D">
        <w:t xml:space="preserve">biggest </w:t>
      </w:r>
      <w:r>
        <w:t>polluters</w:t>
      </w:r>
      <w:r w:rsidR="00941952">
        <w:t>,</w:t>
      </w:r>
      <w:r w:rsidR="00533DB4">
        <w:t xml:space="preserve"> </w:t>
      </w:r>
      <w:r w:rsidR="00941952">
        <w:t xml:space="preserve">which </w:t>
      </w:r>
      <w:r w:rsidR="00C05641">
        <w:t xml:space="preserve">contributed </w:t>
      </w:r>
      <w:r w:rsidR="00941952">
        <w:t xml:space="preserve">approximately </w:t>
      </w:r>
      <w:r w:rsidR="004E5873">
        <w:t>40</w:t>
      </w:r>
      <w:r w:rsidR="00C05641">
        <w:t xml:space="preserve">% </w:t>
      </w:r>
      <w:r w:rsidR="004E5873">
        <w:t>of</w:t>
      </w:r>
      <w:r w:rsidR="00C05641">
        <w:t xml:space="preserve"> the country’s </w:t>
      </w:r>
      <w:r w:rsidR="004E5873">
        <w:t xml:space="preserve">total </w:t>
      </w:r>
      <w:r w:rsidR="00C05641">
        <w:t>carbon dioxide emissions</w:t>
      </w:r>
      <w:r w:rsidR="00941952">
        <w:t xml:space="preserve"> in 2008</w:t>
      </w:r>
      <w:r w:rsidR="00595676" w:rsidRPr="00595676">
        <w:t xml:space="preserve"> (</w:t>
      </w:r>
      <w:r w:rsidR="00595676" w:rsidRPr="00B67279">
        <w:rPr>
          <w:lang w:val="en-CA" w:eastAsia="en-CA"/>
        </w:rPr>
        <w:t>Energy Information Administration, 2011)</w:t>
      </w:r>
      <w:r w:rsidR="004E5873" w:rsidRPr="00595676">
        <w:t>.</w:t>
      </w:r>
      <w:r w:rsidR="004E5873">
        <w:t xml:space="preserve"> </w:t>
      </w:r>
      <w:r w:rsidR="00B45CAB">
        <w:t>We</w:t>
      </w:r>
      <w:r>
        <w:t xml:space="preserve"> focus on the </w:t>
      </w:r>
      <w:r w:rsidR="00B45CAB">
        <w:t>choice</w:t>
      </w:r>
      <w:r>
        <w:t xml:space="preserve"> by </w:t>
      </w:r>
      <w:r w:rsidR="00941952">
        <w:t>i</w:t>
      </w:r>
      <w:r>
        <w:t>nvestor</w:t>
      </w:r>
      <w:r w:rsidR="00941952">
        <w:t>-o</w:t>
      </w:r>
      <w:r>
        <w:t xml:space="preserve">wned </w:t>
      </w:r>
      <w:r w:rsidR="00941952">
        <w:t>u</w:t>
      </w:r>
      <w:r>
        <w:t xml:space="preserve">tilities </w:t>
      </w:r>
      <w:r w:rsidR="004E5873">
        <w:t xml:space="preserve">(IOUs) </w:t>
      </w:r>
      <w:r w:rsidR="00941952">
        <w:t xml:space="preserve">between 2001 and 2006 </w:t>
      </w:r>
      <w:r>
        <w:t xml:space="preserve">to </w:t>
      </w:r>
      <w:r w:rsidR="00C31D57">
        <w:t xml:space="preserve">source </w:t>
      </w:r>
      <w:r w:rsidR="00941952">
        <w:t xml:space="preserve">renewable </w:t>
      </w:r>
      <w:r w:rsidR="00C31D57">
        <w:t xml:space="preserve">power </w:t>
      </w:r>
      <w:r w:rsidR="00941952">
        <w:t>(i.e., biomass, waste, geothermal, tidal, hydroelectric, solar, and wind power)</w:t>
      </w:r>
      <w:r w:rsidR="00C31D57">
        <w:t xml:space="preserve"> </w:t>
      </w:r>
      <w:r w:rsidR="00941952">
        <w:t xml:space="preserve">to </w:t>
      </w:r>
      <w:r w:rsidR="00C31D57">
        <w:t>distribute to customers</w:t>
      </w:r>
      <w:r>
        <w:t xml:space="preserve">. </w:t>
      </w:r>
      <w:r w:rsidR="004E5873">
        <w:t xml:space="preserve">IOUs are the largest players in </w:t>
      </w:r>
      <w:r w:rsidR="00B65C80">
        <w:t xml:space="preserve">the U.S. electrical utility </w:t>
      </w:r>
      <w:r w:rsidR="004E5873">
        <w:t xml:space="preserve">industry and have discretion over </w:t>
      </w:r>
      <w:r w:rsidR="00310DCE">
        <w:t>of the source of</w:t>
      </w:r>
      <w:r w:rsidR="004E5873">
        <w:t xml:space="preserve"> </w:t>
      </w:r>
      <w:r w:rsidR="0044029E">
        <w:t xml:space="preserve">the </w:t>
      </w:r>
      <w:r w:rsidR="004E5873">
        <w:t>electricity</w:t>
      </w:r>
      <w:r w:rsidR="006D28B1">
        <w:t xml:space="preserve"> they sell to final customer</w:t>
      </w:r>
      <w:r w:rsidR="00310DCE">
        <w:t>s</w:t>
      </w:r>
      <w:r w:rsidR="004E5873">
        <w:t xml:space="preserve">. </w:t>
      </w:r>
    </w:p>
    <w:p w:rsidR="003B67D1" w:rsidRDefault="00310DCE" w:rsidP="00BF079C">
      <w:pPr>
        <w:spacing w:after="0" w:line="480" w:lineRule="auto"/>
        <w:ind w:firstLine="720"/>
      </w:pPr>
      <w:r>
        <w:t>Within this industry, s</w:t>
      </w:r>
      <w:r w:rsidR="003B67D1">
        <w:t xml:space="preserve">tates have adopted regulatory policies of varying strengths to induce </w:t>
      </w:r>
      <w:r w:rsidR="00533DB4">
        <w:t>the use of renewable power</w:t>
      </w:r>
      <w:r w:rsidR="003B67D1">
        <w:t>. The polic</w:t>
      </w:r>
      <w:r w:rsidR="00533DB4">
        <w:t>ies</w:t>
      </w:r>
      <w:r w:rsidR="003B67D1">
        <w:t xml:space="preserve"> we focus on </w:t>
      </w:r>
      <w:r w:rsidR="00533DB4">
        <w:t xml:space="preserve">are </w:t>
      </w:r>
      <w:r w:rsidR="003B67D1">
        <w:t>RPS objective</w:t>
      </w:r>
      <w:r w:rsidR="00533DB4">
        <w:t>s</w:t>
      </w:r>
      <w:r w:rsidR="003B67D1">
        <w:t xml:space="preserve"> that compel IOUs to include a specified percentage of renewable power in the mix of energy </w:t>
      </w:r>
      <w:r>
        <w:t>they sell</w:t>
      </w:r>
      <w:r w:rsidR="003B67D1">
        <w:t xml:space="preserve">. </w:t>
      </w:r>
      <w:r>
        <w:t>T</w:t>
      </w:r>
      <w:r w:rsidR="003B67D1">
        <w:t xml:space="preserve">hese policies </w:t>
      </w:r>
      <w:r>
        <w:t xml:space="preserve">vary </w:t>
      </w:r>
      <w:r w:rsidR="003B67D1">
        <w:t xml:space="preserve">significantly </w:t>
      </w:r>
      <w:r>
        <w:t>across states.</w:t>
      </w:r>
      <w:r w:rsidR="00055AEF">
        <w:rPr>
          <w:rStyle w:val="FootnoteReference"/>
        </w:rPr>
        <w:footnoteReference w:id="1"/>
      </w:r>
      <w:r>
        <w:t xml:space="preserve"> For example, </w:t>
      </w:r>
      <w:r w:rsidR="003B67D1">
        <w:t>Arizona</w:t>
      </w:r>
      <w:r>
        <w:t>’s</w:t>
      </w:r>
      <w:r w:rsidR="003B67D1">
        <w:t xml:space="preserve"> </w:t>
      </w:r>
      <w:r>
        <w:t>RPS require</w:t>
      </w:r>
      <w:r w:rsidR="00F330FB">
        <w:t>s</w:t>
      </w:r>
      <w:r>
        <w:t xml:space="preserve"> </w:t>
      </w:r>
      <w:r w:rsidR="003B67D1">
        <w:t xml:space="preserve">1.1% </w:t>
      </w:r>
      <w:r w:rsidR="00941952">
        <w:t xml:space="preserve">of energy to be from </w:t>
      </w:r>
      <w:r w:rsidR="00F330FB">
        <w:t>renewable</w:t>
      </w:r>
      <w:r w:rsidR="00941952">
        <w:t xml:space="preserve"> sources</w:t>
      </w:r>
      <w:r w:rsidR="00F330FB">
        <w:t xml:space="preserve">, whereas </w:t>
      </w:r>
      <w:r w:rsidR="003B67D1">
        <w:t>Minnesota</w:t>
      </w:r>
      <w:r>
        <w:t>’s</w:t>
      </w:r>
      <w:r w:rsidR="003B67D1">
        <w:t xml:space="preserve"> </w:t>
      </w:r>
      <w:r w:rsidR="00F330FB">
        <w:t xml:space="preserve">requires </w:t>
      </w:r>
      <w:r w:rsidR="003B67D1">
        <w:t>30% for its largest IOU</w:t>
      </w:r>
      <w:r w:rsidR="00F330FB">
        <w:t>s</w:t>
      </w:r>
      <w:r w:rsidR="003B67D1">
        <w:t xml:space="preserve">. Furthermore, as of 2006, 29 states </w:t>
      </w:r>
      <w:r>
        <w:t xml:space="preserve">did not </w:t>
      </w:r>
      <w:r w:rsidR="003B67D1">
        <w:t xml:space="preserve">have </w:t>
      </w:r>
      <w:r w:rsidR="00F330FB">
        <w:t xml:space="preserve">an </w:t>
      </w:r>
      <w:r w:rsidR="003B67D1">
        <w:t>RPS policy</w:t>
      </w:r>
      <w:r w:rsidR="00323619">
        <w:t>.</w:t>
      </w:r>
      <w:r w:rsidR="00E54B01">
        <w:rPr>
          <w:rStyle w:val="FootnoteReference"/>
        </w:rPr>
        <w:footnoteReference w:id="2"/>
      </w:r>
    </w:p>
    <w:p w:rsidR="00297AAB" w:rsidRDefault="006A11E8" w:rsidP="00BF079C">
      <w:pPr>
        <w:spacing w:after="0" w:line="480" w:lineRule="auto"/>
        <w:ind w:firstLine="720"/>
      </w:pPr>
      <w:r>
        <w:lastRenderedPageBreak/>
        <w:t>O</w:t>
      </w:r>
      <w:r w:rsidR="00533B7A">
        <w:t xml:space="preserve">ur sample </w:t>
      </w:r>
      <w:r w:rsidR="00E54B01">
        <w:t>is based on</w:t>
      </w:r>
      <w:r w:rsidR="00533B7A">
        <w:t xml:space="preserve"> all IOUs in the U</w:t>
      </w:r>
      <w:r w:rsidR="002A7113">
        <w:t xml:space="preserve">nited </w:t>
      </w:r>
      <w:r w:rsidR="00533B7A">
        <w:t>S</w:t>
      </w:r>
      <w:r w:rsidR="002A7113">
        <w:t>tates</w:t>
      </w:r>
      <w:r>
        <w:t>, which consists of 132 firms operating in every state except Alaska and Nebraska</w:t>
      </w:r>
      <w:r w:rsidR="002A7113">
        <w:t>,</w:t>
      </w:r>
      <w:r>
        <w:t xml:space="preserve"> </w:t>
      </w:r>
      <w:r w:rsidR="002A7113">
        <w:t>where</w:t>
      </w:r>
      <w:r w:rsidR="007D581B">
        <w:t xml:space="preserve"> </w:t>
      </w:r>
      <w:r>
        <w:t xml:space="preserve">electricity is provided by public authorities and rural cooperatives. </w:t>
      </w:r>
      <w:r w:rsidR="00297AAB">
        <w:t xml:space="preserve">The electric utilities </w:t>
      </w:r>
      <w:r>
        <w:t xml:space="preserve">in our sample </w:t>
      </w:r>
      <w:r w:rsidR="00297AAB">
        <w:t xml:space="preserve">generate and/or purchase power that provides </w:t>
      </w:r>
      <w:r w:rsidR="002A7113">
        <w:t>approximately</w:t>
      </w:r>
      <w:r w:rsidR="00297AAB">
        <w:t xml:space="preserve"> 85% of </w:t>
      </w:r>
      <w:r w:rsidR="002A7113">
        <w:t xml:space="preserve">the country’s </w:t>
      </w:r>
      <w:r w:rsidR="00297AAB">
        <w:t xml:space="preserve">total electricity. This is a stable industry </w:t>
      </w:r>
      <w:r w:rsidR="0044029E">
        <w:t xml:space="preserve">that includes </w:t>
      </w:r>
      <w:r w:rsidR="00533DB4">
        <w:t xml:space="preserve">many </w:t>
      </w:r>
      <w:r w:rsidR="00297AAB">
        <w:t xml:space="preserve">firms </w:t>
      </w:r>
      <w:r w:rsidR="0044029E">
        <w:t xml:space="preserve">with </w:t>
      </w:r>
      <w:r w:rsidR="00297AAB">
        <w:t xml:space="preserve">historical roots </w:t>
      </w:r>
      <w:r w:rsidR="00E54B01">
        <w:t xml:space="preserve">dating to the </w:t>
      </w:r>
      <w:r w:rsidR="00297AAB">
        <w:t>electrification of the country during the late 19</w:t>
      </w:r>
      <w:r w:rsidR="00297AAB">
        <w:rPr>
          <w:vertAlign w:val="superscript"/>
        </w:rPr>
        <w:t>th</w:t>
      </w:r>
      <w:r w:rsidR="00297AAB">
        <w:t xml:space="preserve"> century. </w:t>
      </w:r>
      <w:r w:rsidR="00533B7A">
        <w:t xml:space="preserve">As a result, we do not observe </w:t>
      </w:r>
      <w:r w:rsidR="002A7113">
        <w:t xml:space="preserve">IOUs entering </w:t>
      </w:r>
      <w:r w:rsidR="00533B7A">
        <w:t>into new markets over the six</w:t>
      </w:r>
      <w:r w:rsidR="002A7113">
        <w:t>-</w:t>
      </w:r>
      <w:r w:rsidR="00533B7A">
        <w:t>year period</w:t>
      </w:r>
      <w:r w:rsidR="00E54B01">
        <w:t xml:space="preserve"> of our study</w:t>
      </w:r>
      <w:r w:rsidR="00533B7A">
        <w:t xml:space="preserve">. </w:t>
      </w:r>
      <w:r w:rsidR="002E4A43">
        <w:t xml:space="preserve">Nonetheless, </w:t>
      </w:r>
      <w:r w:rsidR="00E54B01">
        <w:t>IOUs have expanded their operational footprint into new states th</w:t>
      </w:r>
      <w:r w:rsidR="001D74A9">
        <w:t>r</w:t>
      </w:r>
      <w:r w:rsidR="00E54B01">
        <w:t xml:space="preserve">ough </w:t>
      </w:r>
      <w:r w:rsidR="002E4A43">
        <w:t>merger and acquisition activity.</w:t>
      </w:r>
      <w:r w:rsidR="002E4A43">
        <w:rPr>
          <w:rStyle w:val="FootnoteReference"/>
        </w:rPr>
        <w:footnoteReference w:id="3"/>
      </w:r>
      <w:r w:rsidR="002E4A43">
        <w:t xml:space="preserve"> </w:t>
      </w:r>
      <w:r>
        <w:t>From the population of 132 fi</w:t>
      </w:r>
      <w:r w:rsidR="00323619">
        <w:t>r</w:t>
      </w:r>
      <w:r>
        <w:t xml:space="preserve">ms, </w:t>
      </w:r>
      <w:r w:rsidR="00533B7A">
        <w:t>we</w:t>
      </w:r>
      <w:r w:rsidR="00297AAB">
        <w:t xml:space="preserve"> </w:t>
      </w:r>
      <w:r w:rsidR="00DA375A">
        <w:t>exclude</w:t>
      </w:r>
      <w:r w:rsidR="00E54B01">
        <w:t>d</w:t>
      </w:r>
      <w:r w:rsidR="00297AAB">
        <w:t xml:space="preserve"> </w:t>
      </w:r>
      <w:r w:rsidR="00533B7A">
        <w:t xml:space="preserve">five </w:t>
      </w:r>
      <w:r w:rsidR="00297AAB">
        <w:t>IOUs in Texas</w:t>
      </w:r>
      <w:r w:rsidR="00DA375A">
        <w:t xml:space="preserve"> </w:t>
      </w:r>
      <w:r>
        <w:t xml:space="preserve">because </w:t>
      </w:r>
      <w:r w:rsidR="00E54B01">
        <w:t xml:space="preserve">of our inability to assess </w:t>
      </w:r>
      <w:r w:rsidR="00297AAB">
        <w:t xml:space="preserve">their mix of energy types. </w:t>
      </w:r>
      <w:r w:rsidR="002A7113">
        <w:t xml:space="preserve">Omitting these five firms </w:t>
      </w:r>
      <w:r w:rsidR="002E4A43">
        <w:t xml:space="preserve">left a </w:t>
      </w:r>
      <w:r w:rsidR="00C62738">
        <w:t xml:space="preserve">usable </w:t>
      </w:r>
      <w:r w:rsidR="002E4A43">
        <w:t xml:space="preserve">sample of 127 </w:t>
      </w:r>
      <w:r w:rsidR="00C62738">
        <w:t>firms</w:t>
      </w:r>
      <w:r>
        <w:t>.</w:t>
      </w:r>
    </w:p>
    <w:p w:rsidR="00297AAB" w:rsidRDefault="00E54B01" w:rsidP="00BF079C">
      <w:pPr>
        <w:spacing w:after="0" w:line="480" w:lineRule="auto"/>
        <w:ind w:firstLine="720"/>
      </w:pPr>
      <w:r>
        <w:t>To construct the requisite variables, w</w:t>
      </w:r>
      <w:r w:rsidR="00DA375A">
        <w:t xml:space="preserve">e sourced information from </w:t>
      </w:r>
      <w:r w:rsidR="00297AAB">
        <w:t xml:space="preserve">a series of </w:t>
      </w:r>
      <w:r>
        <w:t xml:space="preserve">privately and publicly available </w:t>
      </w:r>
      <w:r w:rsidR="00297AAB">
        <w:t xml:space="preserve">databases. </w:t>
      </w:r>
      <w:r>
        <w:t xml:space="preserve">The </w:t>
      </w:r>
      <w:r w:rsidR="00297AAB">
        <w:t xml:space="preserve">primary source was a dataset provided by </w:t>
      </w:r>
      <w:proofErr w:type="spellStart"/>
      <w:r w:rsidR="00297AAB">
        <w:t>Platts</w:t>
      </w:r>
      <w:proofErr w:type="spellEnd"/>
      <w:r w:rsidR="00297AAB">
        <w:t xml:space="preserve">, an electric industry consulting </w:t>
      </w:r>
      <w:r w:rsidR="001D74A9">
        <w:t>firm, which</w:t>
      </w:r>
      <w:r>
        <w:t xml:space="preserve"> documented </w:t>
      </w:r>
      <w:r w:rsidR="00297AAB">
        <w:t>firm</w:t>
      </w:r>
      <w:r w:rsidR="002A7113">
        <w:t>s’</w:t>
      </w:r>
      <w:r w:rsidR="00297AAB">
        <w:t xml:space="preserve"> </w:t>
      </w:r>
      <w:r>
        <w:t>power</w:t>
      </w:r>
      <w:r w:rsidR="002A7113">
        <w:t>-</w:t>
      </w:r>
      <w:r w:rsidR="00297AAB">
        <w:t xml:space="preserve">generation statistics and purchase contracts with </w:t>
      </w:r>
      <w:r w:rsidR="002A7113">
        <w:t>i</w:t>
      </w:r>
      <w:r w:rsidR="006D2882">
        <w:t xml:space="preserve">ndependent </w:t>
      </w:r>
      <w:r w:rsidR="002A7113">
        <w:t>p</w:t>
      </w:r>
      <w:r w:rsidR="006D2882">
        <w:t xml:space="preserve">ower </w:t>
      </w:r>
      <w:r w:rsidR="002A7113">
        <w:t>p</w:t>
      </w:r>
      <w:r w:rsidR="006D2882">
        <w:t>roducers (</w:t>
      </w:r>
      <w:r w:rsidR="00297AAB">
        <w:t>IPPs</w:t>
      </w:r>
      <w:r w:rsidR="006D2882">
        <w:t>)</w:t>
      </w:r>
      <w:r w:rsidR="00297AAB">
        <w:t xml:space="preserve">. </w:t>
      </w:r>
      <w:proofErr w:type="spellStart"/>
      <w:r w:rsidR="00297AAB">
        <w:t>Platts</w:t>
      </w:r>
      <w:proofErr w:type="spellEnd"/>
      <w:r w:rsidR="00297AAB">
        <w:t xml:space="preserve"> is a leader in this industry and</w:t>
      </w:r>
      <w:r w:rsidR="00B45CAB">
        <w:t xml:space="preserve"> lists</w:t>
      </w:r>
      <w:r w:rsidR="00297AAB">
        <w:t xml:space="preserve"> </w:t>
      </w:r>
      <w:r w:rsidR="0044029E">
        <w:t>among its</w:t>
      </w:r>
      <w:r w:rsidR="002A7113">
        <w:t xml:space="preserve"> clients </w:t>
      </w:r>
      <w:r w:rsidR="00297AAB">
        <w:t xml:space="preserve">many IOUs, institutional investors, and banks. </w:t>
      </w:r>
      <w:r>
        <w:t xml:space="preserve">We gathered </w:t>
      </w:r>
      <w:r w:rsidR="00297AAB">
        <w:t>IPPs</w:t>
      </w:r>
      <w:r w:rsidR="002A7113">
        <w:t>’</w:t>
      </w:r>
      <w:r w:rsidR="00297AAB">
        <w:t xml:space="preserve"> </w:t>
      </w:r>
      <w:r>
        <w:t xml:space="preserve">data </w:t>
      </w:r>
      <w:r w:rsidR="00297AAB">
        <w:t xml:space="preserve">from the U.S. Environmental Information Administration, the </w:t>
      </w:r>
      <w:r w:rsidR="00652F21">
        <w:t>Federal Energy Regulatory Commission’s</w:t>
      </w:r>
      <w:r w:rsidR="00297AAB">
        <w:t xml:space="preserve"> Form 1 dataset, </w:t>
      </w:r>
      <w:proofErr w:type="spellStart"/>
      <w:r w:rsidR="00297AAB">
        <w:t>Utilipoint</w:t>
      </w:r>
      <w:proofErr w:type="spellEnd"/>
      <w:r w:rsidR="00297AAB">
        <w:t xml:space="preserve"> (</w:t>
      </w:r>
      <w:r w:rsidR="002A7113">
        <w:t xml:space="preserve">an </w:t>
      </w:r>
      <w:r w:rsidR="00297AAB">
        <w:t xml:space="preserve">electric industry consulting firm), </w:t>
      </w:r>
      <w:r>
        <w:t>Energy and Environmental Analysis (</w:t>
      </w:r>
      <w:r w:rsidR="002A7113">
        <w:t xml:space="preserve">a </w:t>
      </w:r>
      <w:r>
        <w:t>consulting company)</w:t>
      </w:r>
      <w:r w:rsidR="002A7113">
        <w:t>,</w:t>
      </w:r>
      <w:r>
        <w:t xml:space="preserve"> Combined Heat and Power sources </w:t>
      </w:r>
      <w:r w:rsidR="00297AAB">
        <w:t xml:space="preserve">database, </w:t>
      </w:r>
      <w:r w:rsidR="00522515">
        <w:t xml:space="preserve">and </w:t>
      </w:r>
      <w:r w:rsidR="00297AAB">
        <w:t xml:space="preserve">the American Wind Energy Association. </w:t>
      </w:r>
      <w:r>
        <w:t xml:space="preserve">The U.S. Department of Energy’s office of Energy Efficiency and Renewable Energy provided data on </w:t>
      </w:r>
      <w:r w:rsidR="00297AAB">
        <w:t xml:space="preserve">state renewable energy policies. </w:t>
      </w:r>
      <w:r>
        <w:t xml:space="preserve">We </w:t>
      </w:r>
      <w:r w:rsidR="00297AAB">
        <w:t xml:space="preserve">sourced </w:t>
      </w:r>
      <w:r>
        <w:lastRenderedPageBreak/>
        <w:t xml:space="preserve">other state variables </w:t>
      </w:r>
      <w:r w:rsidR="00297AAB">
        <w:t xml:space="preserve">from the </w:t>
      </w:r>
      <w:r w:rsidR="00B67269">
        <w:t xml:space="preserve">Congress of State Government’s </w:t>
      </w:r>
      <w:r w:rsidR="00297AAB">
        <w:t xml:space="preserve">Book of the States, the U.S. Bureau of Economic Analysis, the Sierra Club of America, and the Department of Energy. </w:t>
      </w:r>
    </w:p>
    <w:p w:rsidR="007F7DE1" w:rsidRDefault="007F7DE1">
      <w:pPr>
        <w:spacing w:after="0" w:line="480" w:lineRule="auto"/>
        <w:rPr>
          <w:b/>
        </w:rPr>
      </w:pPr>
    </w:p>
    <w:p w:rsidR="000F6251" w:rsidRDefault="006374C3">
      <w:pPr>
        <w:spacing w:after="0" w:line="480" w:lineRule="auto"/>
        <w:rPr>
          <w:b/>
        </w:rPr>
      </w:pPr>
      <w:r w:rsidRPr="007F7DE1">
        <w:rPr>
          <w:b/>
        </w:rPr>
        <w:t>Variable</w:t>
      </w:r>
      <w:r>
        <w:rPr>
          <w:b/>
        </w:rPr>
        <w:t xml:space="preserve"> definitions</w:t>
      </w:r>
    </w:p>
    <w:p w:rsidR="00BD3679" w:rsidRDefault="006374C3" w:rsidP="00BF079C">
      <w:pPr>
        <w:spacing w:after="0" w:line="480" w:lineRule="auto"/>
        <w:rPr>
          <w:i/>
        </w:rPr>
      </w:pPr>
      <w:r>
        <w:rPr>
          <w:i/>
        </w:rPr>
        <w:t xml:space="preserve">Dependent </w:t>
      </w:r>
      <w:r w:rsidR="0044029E">
        <w:rPr>
          <w:i/>
        </w:rPr>
        <w:t>v</w:t>
      </w:r>
      <w:r>
        <w:rPr>
          <w:i/>
        </w:rPr>
        <w:t>ariable</w:t>
      </w:r>
    </w:p>
    <w:p w:rsidR="006331AC" w:rsidRDefault="00DC6D23" w:rsidP="006331AC">
      <w:pPr>
        <w:spacing w:after="0" w:line="480" w:lineRule="auto"/>
      </w:pPr>
      <w:r>
        <w:t>W</w:t>
      </w:r>
      <w:r w:rsidR="00D105AC">
        <w:t xml:space="preserve">e examine the total renewable power </w:t>
      </w:r>
      <w:r w:rsidR="004C455B" w:rsidRPr="004C455B">
        <w:rPr>
          <w:i/>
        </w:rPr>
        <w:t>distributed</w:t>
      </w:r>
      <w:r w:rsidR="00D105AC">
        <w:t xml:space="preserve"> to the end consumer</w:t>
      </w:r>
      <w:r>
        <w:t>, which includes power generated by the IOU and purchased from IPPs</w:t>
      </w:r>
      <w:r w:rsidR="00D105AC">
        <w:t>. Although consistent</w:t>
      </w:r>
      <w:r w:rsidR="00BF079C">
        <w:t xml:space="preserve"> with the existing literature</w:t>
      </w:r>
      <w:r w:rsidR="00D105AC">
        <w:t xml:space="preserve">, </w:t>
      </w:r>
      <w:r w:rsidR="00C163C5">
        <w:t xml:space="preserve">the inclusion of IPP power </w:t>
      </w:r>
      <w:r w:rsidR="00D105AC">
        <w:t xml:space="preserve">deviates </w:t>
      </w:r>
      <w:r w:rsidR="00BF079C">
        <w:t xml:space="preserve">from the common approach of focusing </w:t>
      </w:r>
      <w:r w:rsidR="00D105AC">
        <w:t>on</w:t>
      </w:r>
      <w:r>
        <w:t>ly on</w:t>
      </w:r>
      <w:r w:rsidR="00D105AC">
        <w:t xml:space="preserve"> IOU </w:t>
      </w:r>
      <w:r>
        <w:t>renewable power</w:t>
      </w:r>
      <w:r w:rsidR="00C163C5">
        <w:t>-</w:t>
      </w:r>
      <w:r w:rsidR="00CF3EF1">
        <w:t>generating capacity</w:t>
      </w:r>
      <w:r w:rsidR="00297AAB">
        <w:t xml:space="preserve"> </w:t>
      </w:r>
      <w:r w:rsidR="00D32C52">
        <w:t xml:space="preserve">(Delmas </w:t>
      </w:r>
      <w:r w:rsidR="006331AC" w:rsidRPr="006331AC">
        <w:rPr>
          <w:i/>
        </w:rPr>
        <w:t>et al.</w:t>
      </w:r>
      <w:r w:rsidR="00D32C52">
        <w:t xml:space="preserve">, 2007; Sine </w:t>
      </w:r>
      <w:r w:rsidR="007F7DE1">
        <w:t xml:space="preserve">and </w:t>
      </w:r>
      <w:r w:rsidR="00D32C52">
        <w:t>Lee, 2009)</w:t>
      </w:r>
      <w:r w:rsidR="00323619">
        <w:t>.</w:t>
      </w:r>
      <w:r w:rsidR="00D32C52">
        <w:t xml:space="preserve"> </w:t>
      </w:r>
      <w:r w:rsidR="00BF079C">
        <w:t xml:space="preserve">We favor measuring total power distributed </w:t>
      </w:r>
      <w:r>
        <w:t xml:space="preserve">because </w:t>
      </w:r>
      <w:r w:rsidR="00D32C52">
        <w:t xml:space="preserve">our predictions concern </w:t>
      </w:r>
      <w:r w:rsidR="00D105AC">
        <w:t>firms</w:t>
      </w:r>
      <w:r w:rsidR="005D459F">
        <w:t>’</w:t>
      </w:r>
      <w:r w:rsidR="00D105AC">
        <w:t xml:space="preserve"> </w:t>
      </w:r>
      <w:r w:rsidR="00D32C52">
        <w:t xml:space="preserve">environmental performance, which </w:t>
      </w:r>
      <w:r w:rsidR="00CF7303">
        <w:t xml:space="preserve">is a function of both </w:t>
      </w:r>
      <w:r w:rsidR="003A4013">
        <w:t>what an IOU</w:t>
      </w:r>
      <w:r w:rsidR="00CF7303">
        <w:t xml:space="preserve"> generates and </w:t>
      </w:r>
      <w:r w:rsidR="00C163C5">
        <w:t xml:space="preserve">what it </w:t>
      </w:r>
      <w:r w:rsidR="00CF7303">
        <w:t xml:space="preserve">sources from IPPs. </w:t>
      </w:r>
      <w:r>
        <w:t>We calculate the variable</w:t>
      </w:r>
      <w:r w:rsidR="00297AAB">
        <w:t xml:space="preserve"> </w:t>
      </w:r>
      <w:proofErr w:type="spellStart"/>
      <w:r w:rsidR="00964D27">
        <w:t>PERCENT_RENEWABLES</w:t>
      </w:r>
      <w:r w:rsidR="00964D27">
        <w:rPr>
          <w:vertAlign w:val="subscript"/>
        </w:rPr>
        <w:t>it</w:t>
      </w:r>
      <w:proofErr w:type="spellEnd"/>
      <w:r w:rsidR="00CF7303">
        <w:t xml:space="preserve"> </w:t>
      </w:r>
      <w:r>
        <w:t>as</w:t>
      </w:r>
      <w:r w:rsidR="00964D27">
        <w:t xml:space="preserve"> the</w:t>
      </w:r>
      <w:r w:rsidR="00297AAB">
        <w:t xml:space="preserve"> </w:t>
      </w:r>
      <w:r w:rsidR="00964D27">
        <w:t xml:space="preserve">share of total power sold by IOU </w:t>
      </w:r>
      <w:r w:rsidR="00964D27" w:rsidRPr="00964D27">
        <w:rPr>
          <w:i/>
        </w:rPr>
        <w:t>i</w:t>
      </w:r>
      <w:r w:rsidR="00964D27">
        <w:t xml:space="preserve"> </w:t>
      </w:r>
      <w:r w:rsidR="00CF7303">
        <w:t xml:space="preserve">in year </w:t>
      </w:r>
      <w:r w:rsidR="00CF7303" w:rsidRPr="00964D27">
        <w:rPr>
          <w:i/>
        </w:rPr>
        <w:t>t</w:t>
      </w:r>
      <w:r w:rsidR="00CF7303">
        <w:t xml:space="preserve"> </w:t>
      </w:r>
      <w:r w:rsidR="00964D27">
        <w:t>from wind, solar, hydro, biomass, and geothermal generating sources.</w:t>
      </w:r>
    </w:p>
    <w:p w:rsidR="007F7DE1" w:rsidRDefault="007F7DE1">
      <w:pPr>
        <w:keepNext/>
        <w:spacing w:after="0" w:line="480" w:lineRule="auto"/>
        <w:rPr>
          <w:i/>
        </w:rPr>
      </w:pPr>
    </w:p>
    <w:p w:rsidR="000F6251" w:rsidRDefault="00297AAB">
      <w:pPr>
        <w:keepNext/>
        <w:spacing w:after="0" w:line="480" w:lineRule="auto"/>
        <w:rPr>
          <w:i/>
        </w:rPr>
      </w:pPr>
      <w:r w:rsidRPr="00D14485">
        <w:rPr>
          <w:i/>
        </w:rPr>
        <w:t xml:space="preserve">Independent </w:t>
      </w:r>
      <w:r w:rsidR="007F7DE1">
        <w:rPr>
          <w:i/>
        </w:rPr>
        <w:t>v</w:t>
      </w:r>
      <w:r w:rsidRPr="00D14485">
        <w:rPr>
          <w:i/>
        </w:rPr>
        <w:t>ariables</w:t>
      </w:r>
    </w:p>
    <w:p w:rsidR="006331AC" w:rsidRDefault="002C306D" w:rsidP="006331AC">
      <w:pPr>
        <w:spacing w:after="0" w:line="480" w:lineRule="auto"/>
      </w:pPr>
      <w:r>
        <w:rPr>
          <w:i/>
        </w:rPr>
        <w:t xml:space="preserve">Neighboring Jurisdiction Effect. </w:t>
      </w:r>
      <w:r>
        <w:t xml:space="preserve">We code a variable to identify the stringency of the RPS policies in states </w:t>
      </w:r>
      <w:r w:rsidR="007F7DE1">
        <w:t xml:space="preserve">contiguous </w:t>
      </w:r>
      <w:r>
        <w:t xml:space="preserve">to where a focal firm operates. </w:t>
      </w:r>
      <w:proofErr w:type="spellStart"/>
      <w:r>
        <w:t>NEIGHBOR_EFFECT</w:t>
      </w:r>
      <w:r>
        <w:rPr>
          <w:vertAlign w:val="subscript"/>
        </w:rPr>
        <w:t>it</w:t>
      </w:r>
      <w:proofErr w:type="spellEnd"/>
      <w:r>
        <w:t xml:space="preserve"> is the average RPS objective of the contiguous states where the focal firm does not have any operations. </w:t>
      </w:r>
      <w:r w:rsidR="00B034E9">
        <w:t>The average number of contiguous states for</w:t>
      </w:r>
      <w:r>
        <w:t xml:space="preserve"> multi-state utilit</w:t>
      </w:r>
      <w:r w:rsidR="00BF079C">
        <w:t>ies</w:t>
      </w:r>
      <w:r>
        <w:t xml:space="preserve"> </w:t>
      </w:r>
      <w:r w:rsidR="00BF079C">
        <w:t>i</w:t>
      </w:r>
      <w:r w:rsidR="00B034E9">
        <w:t>s 6.6 with a maximum of 11 states. The average for single-state utilit</w:t>
      </w:r>
      <w:r w:rsidR="00BF079C">
        <w:t>ies</w:t>
      </w:r>
      <w:r w:rsidR="00B034E9">
        <w:t xml:space="preserve"> </w:t>
      </w:r>
      <w:r w:rsidR="00BF079C">
        <w:t xml:space="preserve">is </w:t>
      </w:r>
      <w:r w:rsidR="00B034E9">
        <w:t xml:space="preserve">3.9 states </w:t>
      </w:r>
      <w:r w:rsidR="00BF079C">
        <w:t>with</w:t>
      </w:r>
      <w:r w:rsidR="00B034E9">
        <w:t xml:space="preserve"> a maximum of 7. </w:t>
      </w:r>
    </w:p>
    <w:p w:rsidR="006331AC" w:rsidRDefault="00D14485" w:rsidP="006331AC">
      <w:pPr>
        <w:spacing w:after="0" w:line="480" w:lineRule="auto"/>
      </w:pPr>
      <w:r>
        <w:rPr>
          <w:i/>
        </w:rPr>
        <w:t>Peer Effect</w:t>
      </w:r>
      <w:r w:rsidR="007435A4">
        <w:rPr>
          <w:i/>
        </w:rPr>
        <w:t>.</w:t>
      </w:r>
      <w:r>
        <w:rPr>
          <w:i/>
        </w:rPr>
        <w:t xml:space="preserve"> </w:t>
      </w:r>
      <w:r w:rsidR="00BF079C">
        <w:t>We calculate the variable</w:t>
      </w:r>
      <w:r w:rsidR="00297AAB">
        <w:t xml:space="preserve"> </w:t>
      </w:r>
      <w:proofErr w:type="spellStart"/>
      <w:r w:rsidR="002608FB">
        <w:t>PEER_EFECT</w:t>
      </w:r>
      <w:r w:rsidR="002608FB">
        <w:rPr>
          <w:vertAlign w:val="subscript"/>
        </w:rPr>
        <w:t>it</w:t>
      </w:r>
      <w:proofErr w:type="spellEnd"/>
      <w:r w:rsidR="002608FB">
        <w:t xml:space="preserve"> </w:t>
      </w:r>
      <w:r w:rsidR="00BF079C">
        <w:t xml:space="preserve">as </w:t>
      </w:r>
      <w:r w:rsidR="00297AAB">
        <w:t xml:space="preserve">the average RPS faced by </w:t>
      </w:r>
      <w:r w:rsidR="001B37E8">
        <w:t xml:space="preserve">all </w:t>
      </w:r>
      <w:r w:rsidR="00297AAB">
        <w:t xml:space="preserve">other </w:t>
      </w:r>
      <w:r>
        <w:t>IOUs</w:t>
      </w:r>
      <w:r w:rsidR="00297AAB">
        <w:t xml:space="preserve"> that operate in the same state(s) as a focal firm. </w:t>
      </w:r>
      <w:r>
        <w:t xml:space="preserve">For </w:t>
      </w:r>
      <w:r w:rsidR="009709B6">
        <w:t>example</w:t>
      </w:r>
      <w:r>
        <w:t xml:space="preserve">, </w:t>
      </w:r>
      <w:r w:rsidR="001B37E8">
        <w:t xml:space="preserve">Oklahoma Gas &amp; Electric operates in Oklahoma and Arkansas and has five peer firms in those two states that </w:t>
      </w:r>
      <w:r w:rsidR="001D322D">
        <w:t xml:space="preserve">also </w:t>
      </w:r>
      <w:r w:rsidR="001B37E8">
        <w:t xml:space="preserve">operate </w:t>
      </w:r>
      <w:r w:rsidR="001B37E8">
        <w:lastRenderedPageBreak/>
        <w:t>elsewhere</w:t>
      </w:r>
      <w:r w:rsidR="00CF2F83">
        <w:t xml:space="preserve">. </w:t>
      </w:r>
      <w:r w:rsidR="001B37E8">
        <w:t xml:space="preserve">We measure the </w:t>
      </w:r>
      <w:r w:rsidR="00CF2F83">
        <w:t xml:space="preserve">RPS </w:t>
      </w:r>
      <w:r w:rsidR="001B37E8">
        <w:t>objective</w:t>
      </w:r>
      <w:r w:rsidR="00CF2F83">
        <w:t xml:space="preserve"> that </w:t>
      </w:r>
      <w:r w:rsidR="001B37E8">
        <w:t>each peer is</w:t>
      </w:r>
      <w:r w:rsidR="00CF2F83">
        <w:t xml:space="preserve"> obligated to meet. When a peer is a multi-state utility, we measure its RPS objective as </w:t>
      </w:r>
      <w:r w:rsidR="002608FB">
        <w:t>the highest policy that it faces across its multiple states.</w:t>
      </w:r>
      <w:r w:rsidR="006D2882">
        <w:t xml:space="preserve"> </w:t>
      </w:r>
      <w:r w:rsidR="001B37E8">
        <w:t>We then take the average</w:t>
      </w:r>
      <w:r w:rsidR="001D322D">
        <w:t xml:space="preserve"> of the</w:t>
      </w:r>
      <w:r w:rsidR="001B37E8">
        <w:t xml:space="preserve"> RPS for all peers and assign that number to a focal IOU.</w:t>
      </w:r>
      <w:r w:rsidR="005942E9">
        <w:t xml:space="preserve"> </w:t>
      </w:r>
    </w:p>
    <w:p w:rsidR="007F7DE1" w:rsidRDefault="007F7DE1">
      <w:pPr>
        <w:spacing w:after="0" w:line="480" w:lineRule="auto"/>
        <w:rPr>
          <w:i/>
        </w:rPr>
      </w:pPr>
    </w:p>
    <w:p w:rsidR="000F6251" w:rsidRDefault="00297AAB">
      <w:pPr>
        <w:spacing w:after="0" w:line="480" w:lineRule="auto"/>
        <w:rPr>
          <w:i/>
        </w:rPr>
      </w:pPr>
      <w:r w:rsidRPr="00791FD8">
        <w:rPr>
          <w:i/>
        </w:rPr>
        <w:t>C</w:t>
      </w:r>
      <w:r w:rsidR="00D14485" w:rsidRPr="00791FD8">
        <w:rPr>
          <w:i/>
        </w:rPr>
        <w:t>ontrol</w:t>
      </w:r>
      <w:r w:rsidR="00D14485">
        <w:rPr>
          <w:i/>
        </w:rPr>
        <w:t xml:space="preserve"> Variables</w:t>
      </w:r>
    </w:p>
    <w:p w:rsidR="006331AC" w:rsidRDefault="00BF079C" w:rsidP="006331AC">
      <w:pPr>
        <w:spacing w:after="0" w:line="480" w:lineRule="auto"/>
      </w:pPr>
      <w:r>
        <w:t>M</w:t>
      </w:r>
      <w:r w:rsidR="000434E9">
        <w:t xml:space="preserve">any </w:t>
      </w:r>
      <w:r>
        <w:t xml:space="preserve">other </w:t>
      </w:r>
      <w:r w:rsidR="000434E9">
        <w:t xml:space="preserve">factors </w:t>
      </w:r>
      <w:r w:rsidR="00562013">
        <w:t xml:space="preserve">potentially </w:t>
      </w:r>
      <w:r w:rsidR="00B91818">
        <w:t xml:space="preserve">affect </w:t>
      </w:r>
      <w:r w:rsidR="00C31D57">
        <w:t xml:space="preserve">firms’ </w:t>
      </w:r>
      <w:r w:rsidR="00297AAB">
        <w:t>environmental performance</w:t>
      </w:r>
      <w:r>
        <w:t>. For this reason</w:t>
      </w:r>
      <w:r w:rsidR="00B91818">
        <w:t>,</w:t>
      </w:r>
      <w:r w:rsidR="00297AAB">
        <w:t xml:space="preserve"> </w:t>
      </w:r>
      <w:r w:rsidR="00B91818">
        <w:t xml:space="preserve">we include a number </w:t>
      </w:r>
      <w:r w:rsidR="00297AAB">
        <w:t xml:space="preserve">of </w:t>
      </w:r>
      <w:r>
        <w:t>firm and state</w:t>
      </w:r>
      <w:r w:rsidR="000434E9">
        <w:t xml:space="preserve"> </w:t>
      </w:r>
      <w:r>
        <w:t>controls</w:t>
      </w:r>
      <w:r w:rsidR="000434E9">
        <w:t>.</w:t>
      </w:r>
    </w:p>
    <w:p w:rsidR="006331AC" w:rsidRDefault="006331AC" w:rsidP="006331AC">
      <w:pPr>
        <w:spacing w:after="0" w:line="480" w:lineRule="auto"/>
        <w:rPr>
          <w:i/>
        </w:rPr>
      </w:pPr>
    </w:p>
    <w:p w:rsidR="006331AC" w:rsidRDefault="00E5076D" w:rsidP="006331AC">
      <w:pPr>
        <w:spacing w:after="0" w:line="480" w:lineRule="auto"/>
      </w:pPr>
      <w:r>
        <w:rPr>
          <w:i/>
        </w:rPr>
        <w:t xml:space="preserve">Firm </w:t>
      </w:r>
      <w:r w:rsidR="00BF079C">
        <w:rPr>
          <w:i/>
        </w:rPr>
        <w:t>controls</w:t>
      </w:r>
      <w:r>
        <w:rPr>
          <w:i/>
        </w:rPr>
        <w:t>.</w:t>
      </w:r>
      <w:r w:rsidR="000434E9">
        <w:rPr>
          <w:i/>
        </w:rPr>
        <w:t xml:space="preserve"> </w:t>
      </w:r>
      <w:r w:rsidR="00FB7FDE">
        <w:t xml:space="preserve">Many </w:t>
      </w:r>
      <w:r w:rsidR="00F57E30">
        <w:t xml:space="preserve">IOUs face statutory requirements </w:t>
      </w:r>
      <w:r w:rsidR="00791FD8">
        <w:t xml:space="preserve">for </w:t>
      </w:r>
      <w:r w:rsidR="00FB7FDE">
        <w:t>renewable energy in the states in which they operate</w:t>
      </w:r>
      <w:r w:rsidR="00F57E30">
        <w:t xml:space="preserve">. </w:t>
      </w:r>
      <w:proofErr w:type="spellStart"/>
      <w:r w:rsidR="00F57E30">
        <w:t>HOME_RPS</w:t>
      </w:r>
      <w:r w:rsidR="00F57E30">
        <w:rPr>
          <w:vertAlign w:val="subscript"/>
        </w:rPr>
        <w:t>it</w:t>
      </w:r>
      <w:proofErr w:type="spellEnd"/>
      <w:r w:rsidR="00F57E30">
        <w:t xml:space="preserve"> </w:t>
      </w:r>
      <w:r w:rsidR="00B91818">
        <w:t>measures</w:t>
      </w:r>
      <w:r w:rsidR="00F57E30">
        <w:t xml:space="preserve"> the percentage of renewable power required by RPS</w:t>
      </w:r>
      <w:r w:rsidR="00FB7FDE">
        <w:t xml:space="preserve"> </w:t>
      </w:r>
      <w:r w:rsidR="00F57E30">
        <w:t>objective</w:t>
      </w:r>
      <w:r w:rsidR="00FB7FDE">
        <w:t>s where a firm operates</w:t>
      </w:r>
      <w:r w:rsidR="00F57E30">
        <w:t xml:space="preserve">. For multi-state utilities, </w:t>
      </w:r>
      <w:r w:rsidR="00FB7FDE">
        <w:t xml:space="preserve">we calculate a weighted average </w:t>
      </w:r>
      <w:r w:rsidR="00A07051">
        <w:t xml:space="preserve">that is </w:t>
      </w:r>
      <w:r w:rsidR="00FB7FDE">
        <w:t xml:space="preserve">based on the </w:t>
      </w:r>
      <w:r w:rsidR="00F57E30">
        <w:t xml:space="preserve">electricity sold </w:t>
      </w:r>
      <w:r w:rsidR="00FB7FDE">
        <w:t xml:space="preserve">in each </w:t>
      </w:r>
      <w:r w:rsidR="00F57E30">
        <w:t xml:space="preserve">state. </w:t>
      </w:r>
      <w:r w:rsidR="00FB7FDE">
        <w:t xml:space="preserve">We assign this variable the value of zero for </w:t>
      </w:r>
      <w:r w:rsidR="000A3FD5">
        <w:t>IOUs</w:t>
      </w:r>
      <w:r w:rsidR="00F57E30">
        <w:t xml:space="preserve"> that face </w:t>
      </w:r>
      <w:r w:rsidR="00FB7FDE">
        <w:t>no RPS requirement</w:t>
      </w:r>
      <w:r w:rsidR="00F57E30">
        <w:t>.</w:t>
      </w:r>
    </w:p>
    <w:p w:rsidR="00663BA5" w:rsidRDefault="00FB7FDE" w:rsidP="00BF079C">
      <w:pPr>
        <w:spacing w:after="0" w:line="480" w:lineRule="auto"/>
        <w:ind w:firstLine="720"/>
      </w:pPr>
      <w:r>
        <w:t xml:space="preserve">We calculate the variable </w:t>
      </w:r>
      <w:proofErr w:type="spellStart"/>
      <w:r>
        <w:t>OPERATIONAL_CAPABILITY</w:t>
      </w:r>
      <w:r>
        <w:rPr>
          <w:vertAlign w:val="subscript"/>
        </w:rPr>
        <w:t>it</w:t>
      </w:r>
      <w:proofErr w:type="spellEnd"/>
      <w:r>
        <w:t xml:space="preserve"> to control for the possibility that firms differ in </w:t>
      </w:r>
      <w:r w:rsidR="00C163C5">
        <w:t xml:space="preserve">the </w:t>
      </w:r>
      <w:r w:rsidR="000A3FD5">
        <w:t xml:space="preserve">organizational systems required to meet regulatory demands. </w:t>
      </w:r>
      <w:r w:rsidR="00297AAB">
        <w:t xml:space="preserve">To capture the aptitude of </w:t>
      </w:r>
      <w:r w:rsidR="000A3FD5">
        <w:t>IOUs</w:t>
      </w:r>
      <w:r w:rsidR="00297AAB">
        <w:t xml:space="preserve"> in responding to a</w:t>
      </w:r>
      <w:r w:rsidR="000A3FD5">
        <w:t>n</w:t>
      </w:r>
      <w:r w:rsidR="00297AAB">
        <w:t xml:space="preserve"> RPS, </w:t>
      </w:r>
      <w:r w:rsidR="000A3FD5">
        <w:t>we</w:t>
      </w:r>
      <w:r w:rsidR="00297AAB">
        <w:t xml:space="preserve"> created a time-varying measure that represents the operational expertise of a firm to manage a diverse fuel mix</w:t>
      </w:r>
      <w:r>
        <w:t xml:space="preserve"> by </w:t>
      </w:r>
      <w:r w:rsidR="00297AAB">
        <w:t>calculat</w:t>
      </w:r>
      <w:r>
        <w:t>ing</w:t>
      </w:r>
      <w:r w:rsidR="00297AAB">
        <w:t xml:space="preserve"> a Hirschman-Herfindahl </w:t>
      </w:r>
      <w:r w:rsidR="00C163C5">
        <w:t>I</w:t>
      </w:r>
      <w:r w:rsidR="00297AAB">
        <w:t>ndex (HHI)</w:t>
      </w:r>
      <w:r w:rsidR="000A3FD5">
        <w:t xml:space="preserve"> </w:t>
      </w:r>
      <w:r>
        <w:t xml:space="preserve">of </w:t>
      </w:r>
      <w:r w:rsidR="000A3FD5">
        <w:t>the fuel mix</w:t>
      </w:r>
      <w:r w:rsidR="00C163C5">
        <w:t>–</w:t>
      </w:r>
      <w:r w:rsidR="000A3FD5">
        <w:t>diversity of an IOU</w:t>
      </w:r>
      <w:r>
        <w:t xml:space="preserve"> </w:t>
      </w:r>
      <w:r w:rsidR="002F28B1" w:rsidRPr="002F28B1">
        <w:rPr>
          <w:i/>
        </w:rPr>
        <w:t>i</w:t>
      </w:r>
      <w:r>
        <w:t xml:space="preserve"> in year </w:t>
      </w:r>
      <w:r w:rsidR="002F28B1" w:rsidRPr="002F28B1">
        <w:rPr>
          <w:i/>
        </w:rPr>
        <w:t>t</w:t>
      </w:r>
      <w:r w:rsidR="00297AAB">
        <w:t>.</w:t>
      </w:r>
      <w:r w:rsidR="00540596">
        <w:t xml:space="preserve"> </w:t>
      </w:r>
      <w:r>
        <w:t xml:space="preserve">We expect firms with </w:t>
      </w:r>
      <w:r w:rsidR="00562013">
        <w:t>greater fuel mix are better able to comply</w:t>
      </w:r>
      <w:r>
        <w:t xml:space="preserve"> with RPS standards (Fremeth, 2009)</w:t>
      </w:r>
      <w:r w:rsidR="00562013">
        <w:t>. Because lower concentration of fuel mix represents a greater HH</w:t>
      </w:r>
      <w:r w:rsidR="00323619">
        <w:t>I</w:t>
      </w:r>
      <w:r w:rsidR="00562013">
        <w:t xml:space="preserve">, we </w:t>
      </w:r>
      <w:r w:rsidR="00C82913">
        <w:t xml:space="preserve">multiplied this measure by negative one and </w:t>
      </w:r>
      <w:r w:rsidR="00562013">
        <w:t xml:space="preserve">expect OPERATIONAL_CAPABILITY to have a </w:t>
      </w:r>
      <w:r w:rsidR="00C82913">
        <w:t xml:space="preserve">positive </w:t>
      </w:r>
      <w:r w:rsidR="00562013">
        <w:t>effect</w:t>
      </w:r>
      <w:r w:rsidR="00323619">
        <w:t>.</w:t>
      </w:r>
    </w:p>
    <w:p w:rsidR="00041748" w:rsidRDefault="00FB7FDE" w:rsidP="00BF079C">
      <w:pPr>
        <w:spacing w:after="0" w:line="480" w:lineRule="auto"/>
        <w:ind w:firstLine="720"/>
      </w:pPr>
      <w:r>
        <w:lastRenderedPageBreak/>
        <w:t>We also controlled for firm size with the expectation that l</w:t>
      </w:r>
      <w:r w:rsidR="00C944C9">
        <w:t xml:space="preserve">arger IOUs </w:t>
      </w:r>
      <w:r w:rsidR="00562013">
        <w:t xml:space="preserve">might also </w:t>
      </w:r>
      <w:r w:rsidR="00C944C9">
        <w:t>have more</w:t>
      </w:r>
      <w:r w:rsidR="00041748">
        <w:t xml:space="preserve"> </w:t>
      </w:r>
      <w:r w:rsidR="00C944C9">
        <w:t xml:space="preserve">technology </w:t>
      </w:r>
      <w:r w:rsidR="00C163C5">
        <w:t xml:space="preserve">options </w:t>
      </w:r>
      <w:r w:rsidR="00041748">
        <w:t xml:space="preserve">available </w:t>
      </w:r>
      <w:r>
        <w:t xml:space="preserve">because </w:t>
      </w:r>
      <w:r w:rsidR="00C944C9">
        <w:t>they tend to have sophisticated operations and are required to meet growing demand</w:t>
      </w:r>
      <w:r w:rsidR="00041748">
        <w:t xml:space="preserve">. </w:t>
      </w:r>
      <w:r>
        <w:t xml:space="preserve">The variable </w:t>
      </w:r>
      <w:proofErr w:type="spellStart"/>
      <w:r>
        <w:t>FIRM_SIZE</w:t>
      </w:r>
      <w:r w:rsidRPr="00C944C9">
        <w:rPr>
          <w:vertAlign w:val="subscript"/>
        </w:rPr>
        <w:t>it</w:t>
      </w:r>
      <w:proofErr w:type="spellEnd"/>
      <w:r w:rsidDel="00FB7FDE">
        <w:t xml:space="preserve"> </w:t>
      </w:r>
      <w:r>
        <w:t xml:space="preserve">measures a firm’s </w:t>
      </w:r>
      <w:r w:rsidR="00041748">
        <w:t xml:space="preserve">total </w:t>
      </w:r>
      <w:r>
        <w:t xml:space="preserve">electricity </w:t>
      </w:r>
      <w:r w:rsidR="00041748">
        <w:t xml:space="preserve">sales in </w:t>
      </w:r>
      <w:r w:rsidR="00C163C5">
        <w:t>m</w:t>
      </w:r>
      <w:r w:rsidR="00041748">
        <w:t>egawatt</w:t>
      </w:r>
      <w:r w:rsidR="00C944C9">
        <w:t xml:space="preserve"> </w:t>
      </w:r>
      <w:r w:rsidR="00C163C5">
        <w:t>h</w:t>
      </w:r>
      <w:r w:rsidR="00041748">
        <w:t xml:space="preserve">ours </w:t>
      </w:r>
      <w:r w:rsidR="00C163C5">
        <w:t>(</w:t>
      </w:r>
      <w:proofErr w:type="spellStart"/>
      <w:r w:rsidR="00C163C5">
        <w:t>MWh</w:t>
      </w:r>
      <w:proofErr w:type="spellEnd"/>
      <w:r w:rsidR="00C163C5">
        <w:t xml:space="preserve">) </w:t>
      </w:r>
      <w:r>
        <w:t>in a given year</w:t>
      </w:r>
      <w:r w:rsidR="006E0092">
        <w:t>.</w:t>
      </w:r>
    </w:p>
    <w:p w:rsidR="00297AAB" w:rsidRDefault="00E5076D" w:rsidP="00BF079C">
      <w:pPr>
        <w:spacing w:after="0" w:line="480" w:lineRule="auto"/>
      </w:pPr>
      <w:r>
        <w:rPr>
          <w:i/>
        </w:rPr>
        <w:tab/>
      </w:r>
      <w:r w:rsidR="007B3801">
        <w:t>Because c</w:t>
      </w:r>
      <w:r w:rsidR="000E3892">
        <w:t xml:space="preserve">onsumers can be an important </w:t>
      </w:r>
      <w:r w:rsidR="005273A5">
        <w:t>driver</w:t>
      </w:r>
      <w:r w:rsidR="000E3892">
        <w:t xml:space="preserve"> of whether a firm chooses to improve its environmental performance</w:t>
      </w:r>
      <w:r w:rsidR="00C163C5">
        <w:t>,</w:t>
      </w:r>
      <w:r w:rsidR="006E0092">
        <w:t xml:space="preserve"> we include the variable </w:t>
      </w:r>
      <w:proofErr w:type="spellStart"/>
      <w:r w:rsidR="00297AAB">
        <w:t>RESIDENTIAL</w:t>
      </w:r>
      <w:r w:rsidR="005273A5">
        <w:t>_</w:t>
      </w:r>
      <w:r w:rsidR="00297AAB">
        <w:t>SALES</w:t>
      </w:r>
      <w:r w:rsidR="005273A5">
        <w:rPr>
          <w:vertAlign w:val="subscript"/>
        </w:rPr>
        <w:t>it</w:t>
      </w:r>
      <w:proofErr w:type="spellEnd"/>
      <w:r w:rsidR="006E0092">
        <w:t>, which we define a</w:t>
      </w:r>
      <w:r w:rsidR="00297AAB">
        <w:t>s the percentage of a</w:t>
      </w:r>
      <w:r w:rsidR="005273A5">
        <w:t>n IOU’</w:t>
      </w:r>
      <w:r w:rsidR="00297AAB">
        <w:t>s sales that are made to residential customers</w:t>
      </w:r>
      <w:r w:rsidR="006E0092">
        <w:t>.</w:t>
      </w:r>
      <w:r w:rsidR="00297AAB">
        <w:t xml:space="preserve"> </w:t>
      </w:r>
      <w:r w:rsidR="00BB1536">
        <w:t xml:space="preserve">We </w:t>
      </w:r>
      <w:r w:rsidR="006E0092">
        <w:t xml:space="preserve">also control for </w:t>
      </w:r>
      <w:proofErr w:type="spellStart"/>
      <w:r w:rsidR="00297AAB">
        <w:t>INDUSTRIAL</w:t>
      </w:r>
      <w:r w:rsidR="00BB1536">
        <w:t>_</w:t>
      </w:r>
      <w:r w:rsidR="00297AAB">
        <w:t>SALES</w:t>
      </w:r>
      <w:r w:rsidR="00BB1536">
        <w:rPr>
          <w:vertAlign w:val="subscript"/>
        </w:rPr>
        <w:t>it</w:t>
      </w:r>
      <w:proofErr w:type="spellEnd"/>
      <w:r w:rsidR="00297AAB">
        <w:t xml:space="preserve">, </w:t>
      </w:r>
      <w:r w:rsidR="00BB1536">
        <w:t xml:space="preserve">which </w:t>
      </w:r>
      <w:r w:rsidR="006E0092">
        <w:t xml:space="preserve">we define </w:t>
      </w:r>
      <w:r w:rsidR="00C163C5">
        <w:t xml:space="preserve">as </w:t>
      </w:r>
      <w:r w:rsidR="00BB1536">
        <w:t xml:space="preserve">the percentage of an IOU’s </w:t>
      </w:r>
      <w:r w:rsidR="00297AAB">
        <w:t xml:space="preserve">sales that are made to industrial customers as a percentage of the firm’s total sales. </w:t>
      </w:r>
      <w:r w:rsidR="003A739D">
        <w:t>Industrial consumers are particularly sensitive to increases in electricity pricing that are likely to result from the adoption of renewable power.</w:t>
      </w:r>
      <w:r w:rsidR="004B05E7">
        <w:rPr>
          <w:rStyle w:val="FootnoteReference"/>
        </w:rPr>
        <w:footnoteReference w:id="4"/>
      </w:r>
      <w:r w:rsidR="003A739D">
        <w:t xml:space="preserve"> </w:t>
      </w:r>
    </w:p>
    <w:p w:rsidR="00E5076D" w:rsidRDefault="00E10EC6" w:rsidP="00BF079C">
      <w:pPr>
        <w:spacing w:after="0" w:line="480" w:lineRule="auto"/>
        <w:ind w:firstLine="720"/>
      </w:pPr>
      <w:r>
        <w:t>Because i</w:t>
      </w:r>
      <w:r w:rsidR="00162F22">
        <w:t xml:space="preserve">nformation </w:t>
      </w:r>
      <w:r w:rsidR="00E5076D">
        <w:t xml:space="preserve">can embolden opposing groups </w:t>
      </w:r>
      <w:r w:rsidR="00162F22">
        <w:t xml:space="preserve">or </w:t>
      </w:r>
      <w:r w:rsidR="00E5076D">
        <w:t>provide public relations opportunit</w:t>
      </w:r>
      <w:r w:rsidR="00162F22">
        <w:t xml:space="preserve">ies, we </w:t>
      </w:r>
      <w:r w:rsidR="0016091D">
        <w:t xml:space="preserve">capture differences in firms’ reporting of their environmental performance. </w:t>
      </w:r>
      <w:proofErr w:type="spellStart"/>
      <w:r w:rsidR="00AA3D86">
        <w:t>VOLUNTARY_REPORTING</w:t>
      </w:r>
      <w:r w:rsidR="00AA3D86" w:rsidRPr="007B2414">
        <w:rPr>
          <w:vertAlign w:val="subscript"/>
        </w:rPr>
        <w:t>i</w:t>
      </w:r>
      <w:r w:rsidR="00AA3D86">
        <w:rPr>
          <w:vertAlign w:val="subscript"/>
        </w:rPr>
        <w:t>t</w:t>
      </w:r>
      <w:proofErr w:type="spellEnd"/>
      <w:r w:rsidR="00AA3D86">
        <w:t xml:space="preserve"> </w:t>
      </w:r>
      <w:r w:rsidR="0016091D">
        <w:t xml:space="preserve">is a dummy variable </w:t>
      </w:r>
      <w:r w:rsidR="00AA3D86">
        <w:t>identify</w:t>
      </w:r>
      <w:r w:rsidR="0016091D">
        <w:t>ing</w:t>
      </w:r>
      <w:r w:rsidR="00AA3D86">
        <w:t xml:space="preserve"> firms that participated in </w:t>
      </w:r>
      <w:r w:rsidR="0016091D">
        <w:t xml:space="preserve">the </w:t>
      </w:r>
      <w:r w:rsidR="00E5076D">
        <w:t>U.S. D</w:t>
      </w:r>
      <w:r>
        <w:t xml:space="preserve">epartment of Environment’s </w:t>
      </w:r>
      <w:r w:rsidR="00E5076D">
        <w:t>1605</w:t>
      </w:r>
      <w:r>
        <w:t>(</w:t>
      </w:r>
      <w:r w:rsidR="00E5076D">
        <w:t>b</w:t>
      </w:r>
      <w:r>
        <w:t>)</w:t>
      </w:r>
      <w:r w:rsidR="00E5076D">
        <w:t xml:space="preserve"> program </w:t>
      </w:r>
      <w:r w:rsidR="00AA3D86">
        <w:t xml:space="preserve">of </w:t>
      </w:r>
      <w:r w:rsidR="00E5076D">
        <w:t xml:space="preserve">voluntarily </w:t>
      </w:r>
      <w:r w:rsidR="0054617D">
        <w:t xml:space="preserve">reporting </w:t>
      </w:r>
      <w:r>
        <w:t>greenhouse gas (</w:t>
      </w:r>
      <w:r w:rsidR="00E5076D">
        <w:t>GHG</w:t>
      </w:r>
      <w:r>
        <w:t>)</w:t>
      </w:r>
      <w:r w:rsidR="00E5076D">
        <w:t xml:space="preserve"> emissions. </w:t>
      </w:r>
      <w:r w:rsidR="00FA5FF8">
        <w:t xml:space="preserve">This federal program provided utility firms the option to self-disclose estimates of their emissions. </w:t>
      </w:r>
      <w:proofErr w:type="spellStart"/>
      <w:r w:rsidR="00AA3D86">
        <w:t>INVOLUNTARY_REPORTING</w:t>
      </w:r>
      <w:r w:rsidR="00AA3D86" w:rsidRPr="00834677">
        <w:rPr>
          <w:vertAlign w:val="subscript"/>
        </w:rPr>
        <w:t>it</w:t>
      </w:r>
      <w:proofErr w:type="spellEnd"/>
      <w:r w:rsidR="00AA3D86">
        <w:t xml:space="preserve"> </w:t>
      </w:r>
      <w:r w:rsidR="0016091D">
        <w:t xml:space="preserve">is a dummy variable </w:t>
      </w:r>
      <w:r w:rsidR="00AA3D86">
        <w:t>identify</w:t>
      </w:r>
      <w:r w:rsidR="0016091D">
        <w:t>ing</w:t>
      </w:r>
      <w:r w:rsidR="00AA3D86">
        <w:t xml:space="preserve"> firms required to </w:t>
      </w:r>
      <w:r w:rsidR="00E5076D">
        <w:t xml:space="preserve">reveal generating technologies </w:t>
      </w:r>
      <w:r w:rsidR="00AA3D86">
        <w:t>due to state mandates.</w:t>
      </w:r>
      <w:r w:rsidR="00FA5FF8">
        <w:t xml:space="preserve"> This information </w:t>
      </w:r>
      <w:r w:rsidR="0054617D">
        <w:t>is</w:t>
      </w:r>
      <w:r w:rsidR="00FA5FF8">
        <w:t xml:space="preserve"> disclosed periodically on websites, </w:t>
      </w:r>
      <w:r>
        <w:t xml:space="preserve">in </w:t>
      </w:r>
      <w:r w:rsidR="00FA5FF8">
        <w:t xml:space="preserve">annual reports, and </w:t>
      </w:r>
      <w:r>
        <w:t xml:space="preserve">in notices </w:t>
      </w:r>
      <w:r w:rsidR="00FA5FF8">
        <w:t>enclosed with monthly utility bills.</w:t>
      </w:r>
    </w:p>
    <w:p w:rsidR="00A07051" w:rsidRDefault="00A07051" w:rsidP="00BF079C">
      <w:pPr>
        <w:spacing w:after="0" w:line="480" w:lineRule="auto"/>
        <w:ind w:firstLine="720"/>
      </w:pPr>
    </w:p>
    <w:p w:rsidR="006331AC" w:rsidRDefault="007A1593" w:rsidP="006331AC">
      <w:pPr>
        <w:spacing w:after="0" w:line="480" w:lineRule="auto"/>
      </w:pPr>
      <w:r w:rsidRPr="007A1593">
        <w:rPr>
          <w:i/>
        </w:rPr>
        <w:lastRenderedPageBreak/>
        <w:t>State</w:t>
      </w:r>
      <w:r>
        <w:rPr>
          <w:i/>
        </w:rPr>
        <w:t xml:space="preserve"> </w:t>
      </w:r>
      <w:r w:rsidR="00BF079C">
        <w:rPr>
          <w:i/>
        </w:rPr>
        <w:t>controls</w:t>
      </w:r>
      <w:r>
        <w:rPr>
          <w:i/>
        </w:rPr>
        <w:t xml:space="preserve">. </w:t>
      </w:r>
      <w:r w:rsidR="004C1538">
        <w:t xml:space="preserve">We include </w:t>
      </w:r>
      <w:r w:rsidR="00AA5203">
        <w:t xml:space="preserve">the </w:t>
      </w:r>
      <w:r w:rsidR="004C1538">
        <w:t xml:space="preserve">variable </w:t>
      </w:r>
      <w:proofErr w:type="spellStart"/>
      <w:r w:rsidR="004C1538">
        <w:t>DEREGULATION</w:t>
      </w:r>
      <w:r w:rsidR="004C1538" w:rsidRPr="004C1538">
        <w:rPr>
          <w:vertAlign w:val="subscript"/>
        </w:rPr>
        <w:t>it</w:t>
      </w:r>
      <w:proofErr w:type="spellEnd"/>
      <w:r w:rsidR="004C1538">
        <w:t xml:space="preserve"> to account for whether an IOU operates in a state that has undergone market deregulation. </w:t>
      </w:r>
      <w:r w:rsidR="00AE3EC8">
        <w:t xml:space="preserve">We </w:t>
      </w:r>
      <w:r w:rsidR="00AA5203">
        <w:t xml:space="preserve">also </w:t>
      </w:r>
      <w:r w:rsidR="00AE3EC8">
        <w:t xml:space="preserve">include the variable </w:t>
      </w:r>
      <w:proofErr w:type="spellStart"/>
      <w:r w:rsidR="00AE3EC8">
        <w:t>NUCLEAR_MORATORIUM</w:t>
      </w:r>
      <w:r w:rsidR="00AE3EC8">
        <w:rPr>
          <w:vertAlign w:val="subscript"/>
        </w:rPr>
        <w:t>it</w:t>
      </w:r>
      <w:proofErr w:type="spellEnd"/>
      <w:r w:rsidR="00AE3EC8">
        <w:t xml:space="preserve"> to capture </w:t>
      </w:r>
      <w:r w:rsidR="00AA5203">
        <w:t>states that have a moratorium on new nuclear</w:t>
      </w:r>
      <w:r w:rsidR="00E10EC6">
        <w:t>-</w:t>
      </w:r>
      <w:r w:rsidR="00AA5203">
        <w:t>generating plants.</w:t>
      </w:r>
      <w:r w:rsidR="00AE3EC8">
        <w:t xml:space="preserve"> </w:t>
      </w:r>
      <w:r w:rsidR="00A21CC7">
        <w:t>For multi-state utilities, we weight b</w:t>
      </w:r>
      <w:r w:rsidR="004C1538">
        <w:t xml:space="preserve">oth variables </w:t>
      </w:r>
      <w:r w:rsidR="00A21CC7">
        <w:t xml:space="preserve">by </w:t>
      </w:r>
      <w:r w:rsidR="004C1538">
        <w:t>the percentage of sales in each state.</w:t>
      </w:r>
      <w:r w:rsidR="009113A2" w:rsidRPr="009113A2">
        <w:t xml:space="preserve"> </w:t>
      </w:r>
      <w:r w:rsidR="009113A2">
        <w:t xml:space="preserve">We expect both </w:t>
      </w:r>
      <w:r w:rsidR="00AA5203">
        <w:t xml:space="preserve">variables </w:t>
      </w:r>
      <w:r w:rsidR="009113A2">
        <w:t>to be positively related to an IOU’s use of renewable power</w:t>
      </w:r>
      <w:r w:rsidR="00E12C49">
        <w:t xml:space="preserve"> </w:t>
      </w:r>
      <w:r w:rsidR="00A07051">
        <w:t>because these variables</w:t>
      </w:r>
      <w:r w:rsidR="00E12C49">
        <w:t xml:space="preserve"> shape the choices of </w:t>
      </w:r>
      <w:r w:rsidR="00A07051">
        <w:t xml:space="preserve">energy </w:t>
      </w:r>
      <w:r w:rsidR="00E12C49">
        <w:t>generation technologies available to IOUs.</w:t>
      </w:r>
    </w:p>
    <w:p w:rsidR="003611F2" w:rsidRDefault="00A21CC7" w:rsidP="00BF079C">
      <w:pPr>
        <w:spacing w:after="0" w:line="480" w:lineRule="auto"/>
        <w:ind w:firstLine="720"/>
      </w:pPr>
      <w:r>
        <w:t xml:space="preserve">We </w:t>
      </w:r>
      <w:r w:rsidR="00CC2B3C">
        <w:t xml:space="preserve">also control for the state operating environment in two ways. First, </w:t>
      </w:r>
      <w:r w:rsidR="00457F7A">
        <w:t xml:space="preserve">we </w:t>
      </w:r>
      <w:r>
        <w:t xml:space="preserve">include </w:t>
      </w:r>
      <w:r w:rsidR="00CC2B3C">
        <w:t xml:space="preserve">state </w:t>
      </w:r>
      <w:r>
        <w:t>carbon dioxide emissions in metric tons per state capita</w:t>
      </w:r>
      <w:r w:rsidR="00CC2B3C">
        <w:t xml:space="preserve"> (</w:t>
      </w:r>
      <w:r>
        <w:t>CO2_EMISSIONS</w:t>
      </w:r>
      <w:r w:rsidRPr="007A1593">
        <w:rPr>
          <w:vertAlign w:val="subscript"/>
        </w:rPr>
        <w:t>it</w:t>
      </w:r>
      <w:r w:rsidR="00CC2B3C">
        <w:t xml:space="preserve">). </w:t>
      </w:r>
      <w:r>
        <w:t xml:space="preserve">To further evaluate the industrial concern with renewably generated, higher priced power, we include </w:t>
      </w:r>
      <w:proofErr w:type="spellStart"/>
      <w:r>
        <w:t>MANUFACTURERS</w:t>
      </w:r>
      <w:r w:rsidRPr="00BB1536">
        <w:rPr>
          <w:vertAlign w:val="subscript"/>
        </w:rPr>
        <w:t>it</w:t>
      </w:r>
      <w:proofErr w:type="spellEnd"/>
      <w:r w:rsidR="00CC2B3C">
        <w:t xml:space="preserve">, </w:t>
      </w:r>
      <w:r>
        <w:t xml:space="preserve">which is the percentage of the state </w:t>
      </w:r>
      <w:r w:rsidR="00E10EC6">
        <w:t>g</w:t>
      </w:r>
      <w:r>
        <w:t xml:space="preserve">ross </w:t>
      </w:r>
      <w:r w:rsidR="00E10EC6">
        <w:t>s</w:t>
      </w:r>
      <w:r>
        <w:t xml:space="preserve">tate </w:t>
      </w:r>
      <w:r w:rsidR="00E10EC6">
        <w:t>p</w:t>
      </w:r>
      <w:r>
        <w:t xml:space="preserve">roduct (GSP) from the manufacturing sector. </w:t>
      </w:r>
      <w:r w:rsidR="00CC2B3C">
        <w:t>In both cases</w:t>
      </w:r>
      <w:r w:rsidR="00E10EC6">
        <w:t>,</w:t>
      </w:r>
      <w:r w:rsidR="00CC2B3C">
        <w:t xml:space="preserve"> we calculate weighted averages on </w:t>
      </w:r>
      <w:r w:rsidR="00E10EC6">
        <w:t xml:space="preserve">the basis of the </w:t>
      </w:r>
      <w:r>
        <w:t>fir</w:t>
      </w:r>
      <w:r w:rsidR="00CC2B3C">
        <w:t>m</w:t>
      </w:r>
      <w:r>
        <w:t>s</w:t>
      </w:r>
      <w:r w:rsidR="00CC2B3C">
        <w:t>’</w:t>
      </w:r>
      <w:r>
        <w:t xml:space="preserve"> state sales</w:t>
      </w:r>
      <w:r w:rsidR="00CC2B3C">
        <w:t xml:space="preserve"> for multi-state utilities</w:t>
      </w:r>
      <w:r>
        <w:t xml:space="preserve">. </w:t>
      </w:r>
    </w:p>
    <w:p w:rsidR="009113A2" w:rsidRDefault="00AE3EC8" w:rsidP="00BF079C">
      <w:pPr>
        <w:spacing w:after="0" w:line="480" w:lineRule="auto"/>
        <w:ind w:firstLine="720"/>
      </w:pPr>
      <w:r>
        <w:t xml:space="preserve">We include </w:t>
      </w:r>
      <w:r w:rsidR="003611F2">
        <w:t xml:space="preserve">the variable </w:t>
      </w:r>
      <w:proofErr w:type="spellStart"/>
      <w:r>
        <w:t>DEMOCRATS</w:t>
      </w:r>
      <w:r w:rsidRPr="00AE3EC8">
        <w:rPr>
          <w:vertAlign w:val="subscript"/>
        </w:rPr>
        <w:t>it</w:t>
      </w:r>
      <w:proofErr w:type="spellEnd"/>
      <w:r>
        <w:t xml:space="preserve"> to capture the political leaning of a state </w:t>
      </w:r>
      <w:r w:rsidR="00CC2B3C">
        <w:t xml:space="preserve">in which an </w:t>
      </w:r>
      <w:r>
        <w:t xml:space="preserve">IOU operates. </w:t>
      </w:r>
      <w:r w:rsidR="00CC2B3C">
        <w:t xml:space="preserve">The variables take the value </w:t>
      </w:r>
      <w:r>
        <w:t xml:space="preserve">1 if the Democratic Party </w:t>
      </w:r>
      <w:r w:rsidR="00791FD8">
        <w:t xml:space="preserve">both </w:t>
      </w:r>
      <w:r>
        <w:t>holds a majority in the state legislature and controls the governor’s office. We include the state budget in millions per capita</w:t>
      </w:r>
      <w:r w:rsidR="00041748">
        <w:t xml:space="preserve"> </w:t>
      </w:r>
      <w:r w:rsidR="00E10EC6">
        <w:t xml:space="preserve">in the variable </w:t>
      </w:r>
      <w:proofErr w:type="spellStart"/>
      <w:r w:rsidR="00041748">
        <w:t>BUDGET</w:t>
      </w:r>
      <w:r w:rsidR="00041748" w:rsidRPr="00041748">
        <w:rPr>
          <w:vertAlign w:val="subscript"/>
        </w:rPr>
        <w:t>it</w:t>
      </w:r>
      <w:proofErr w:type="spellEnd"/>
      <w:r>
        <w:t xml:space="preserve"> to </w:t>
      </w:r>
      <w:r w:rsidR="00AA5203">
        <w:t xml:space="preserve">control for the possibility that </w:t>
      </w:r>
      <w:r w:rsidR="00041748">
        <w:t xml:space="preserve">affluent states </w:t>
      </w:r>
      <w:r w:rsidR="00AA5203">
        <w:t xml:space="preserve">are better </w:t>
      </w:r>
      <w:r w:rsidR="00041748">
        <w:t xml:space="preserve">able to afford to make more stringent renewable energy policy and pay the premium for such power. </w:t>
      </w:r>
    </w:p>
    <w:p w:rsidR="00E5076D" w:rsidRDefault="00E5076D" w:rsidP="00BF079C">
      <w:pPr>
        <w:spacing w:after="0" w:line="480" w:lineRule="auto"/>
        <w:ind w:firstLine="720"/>
      </w:pPr>
      <w:r>
        <w:t xml:space="preserve">The presence of environmentalist groups in a state can also shape firm behavior. We include </w:t>
      </w:r>
      <w:proofErr w:type="spellStart"/>
      <w:r>
        <w:t>SIERRA_CLUB</w:t>
      </w:r>
      <w:r>
        <w:rPr>
          <w:vertAlign w:val="subscript"/>
        </w:rPr>
        <w:t>it</w:t>
      </w:r>
      <w:proofErr w:type="spellEnd"/>
      <w:r>
        <w:t xml:space="preserve"> which is the </w:t>
      </w:r>
      <w:r w:rsidR="00E10EC6">
        <w:t xml:space="preserve">per capita state </w:t>
      </w:r>
      <w:r>
        <w:t xml:space="preserve">membership in the Sierra Club to operationalize the influence of the environmental lobby. </w:t>
      </w:r>
    </w:p>
    <w:p w:rsidR="00041748" w:rsidRDefault="006D7C83" w:rsidP="00BF079C">
      <w:pPr>
        <w:spacing w:after="0" w:line="480" w:lineRule="auto"/>
        <w:ind w:firstLine="720"/>
      </w:pPr>
      <w:r>
        <w:t xml:space="preserve">Finally, we include </w:t>
      </w:r>
      <w:r w:rsidR="00AE3EC8">
        <w:t>two variables that capture the preferences and competences</w:t>
      </w:r>
      <w:r w:rsidR="00041748">
        <w:t xml:space="preserve"> of </w:t>
      </w:r>
      <w:r>
        <w:t xml:space="preserve">state </w:t>
      </w:r>
      <w:r w:rsidR="00E10EC6">
        <w:t>p</w:t>
      </w:r>
      <w:r>
        <w:t xml:space="preserve">ublic </w:t>
      </w:r>
      <w:r w:rsidR="00E10EC6">
        <w:t>u</w:t>
      </w:r>
      <w:r>
        <w:t xml:space="preserve">tility </w:t>
      </w:r>
      <w:r w:rsidR="00E10EC6">
        <w:t>c</w:t>
      </w:r>
      <w:r>
        <w:t>ommissions (PUCs)</w:t>
      </w:r>
      <w:r w:rsidR="00AE3EC8">
        <w:t xml:space="preserve">. </w:t>
      </w:r>
      <w:proofErr w:type="spellStart"/>
      <w:r w:rsidR="00041748">
        <w:t>PUC_TENURE</w:t>
      </w:r>
      <w:r w:rsidR="00041748" w:rsidRPr="00041748">
        <w:rPr>
          <w:vertAlign w:val="subscript"/>
        </w:rPr>
        <w:t>it</w:t>
      </w:r>
      <w:proofErr w:type="spellEnd"/>
      <w:r w:rsidR="00AE3EC8">
        <w:t xml:space="preserve"> </w:t>
      </w:r>
      <w:r w:rsidR="00041748">
        <w:t>captures</w:t>
      </w:r>
      <w:r w:rsidR="00AE3EC8">
        <w:t xml:space="preserve"> the average years of experience of </w:t>
      </w:r>
      <w:r w:rsidR="00AE3EC8">
        <w:lastRenderedPageBreak/>
        <w:t>the commissions that a</w:t>
      </w:r>
      <w:r w:rsidR="00041748">
        <w:t>n IOU</w:t>
      </w:r>
      <w:r w:rsidR="00AE3EC8">
        <w:t xml:space="preserve"> interact</w:t>
      </w:r>
      <w:r w:rsidR="00041748">
        <w:t>s</w:t>
      </w:r>
      <w:r w:rsidR="00AE3EC8">
        <w:t xml:space="preserve"> with. </w:t>
      </w:r>
      <w:r w:rsidR="00E12C49">
        <w:t xml:space="preserve">More experienced commissions hold greater tacit knowledge of the operational competences of the firms that they regulate and tend to provide more consumer friendly policies (Fremeth </w:t>
      </w:r>
      <w:r w:rsidR="00791FD8">
        <w:t xml:space="preserve">and </w:t>
      </w:r>
      <w:r w:rsidR="00E12C49">
        <w:t>Holburn, forthcoming).</w:t>
      </w:r>
      <w:r w:rsidR="005942E9">
        <w:t xml:space="preserve"> </w:t>
      </w:r>
      <w:proofErr w:type="spellStart"/>
      <w:r w:rsidR="00041748">
        <w:t>ELECT_PUC</w:t>
      </w:r>
      <w:r w:rsidR="00041748" w:rsidRPr="00041748">
        <w:rPr>
          <w:vertAlign w:val="subscript"/>
        </w:rPr>
        <w:t>it</w:t>
      </w:r>
      <w:proofErr w:type="spellEnd"/>
      <w:r w:rsidR="00041748">
        <w:t xml:space="preserve"> </w:t>
      </w:r>
      <w:r w:rsidR="00AE3EC8">
        <w:t xml:space="preserve">identifies PUCs that are directly elected by the public. PUCs that are directly elected are more responsive to consumer interests </w:t>
      </w:r>
      <w:r w:rsidR="00BA63A5">
        <w:t>because of their</w:t>
      </w:r>
      <w:r w:rsidR="00041748">
        <w:t xml:space="preserve"> concern with re-election </w:t>
      </w:r>
      <w:r w:rsidR="00AE3EC8">
        <w:t>(</w:t>
      </w:r>
      <w:proofErr w:type="spellStart"/>
      <w:r w:rsidR="00AE3EC8">
        <w:t>Zelner</w:t>
      </w:r>
      <w:proofErr w:type="spellEnd"/>
      <w:r w:rsidR="00AE3EC8">
        <w:t xml:space="preserve">, 2001; </w:t>
      </w:r>
      <w:proofErr w:type="spellStart"/>
      <w:r w:rsidR="00AE3EC8">
        <w:t>Bonardi</w:t>
      </w:r>
      <w:proofErr w:type="spellEnd"/>
      <w:r w:rsidR="00AE3EC8">
        <w:t>,</w:t>
      </w:r>
      <w:r w:rsidR="00041748">
        <w:t xml:space="preserve"> Holburn, </w:t>
      </w:r>
      <w:r w:rsidR="00791FD8">
        <w:t xml:space="preserve">and </w:t>
      </w:r>
      <w:r w:rsidR="00041748">
        <w:t>Vanden Bergh, 2006).</w:t>
      </w:r>
      <w:r w:rsidR="00041748" w:rsidRPr="00041748">
        <w:t xml:space="preserve"> </w:t>
      </w:r>
      <w:r w:rsidR="00041748">
        <w:t>These state-specific variables are weighted by an IOU’s state sales to account for multi-state utilities.</w:t>
      </w:r>
    </w:p>
    <w:p w:rsidR="00BB1536" w:rsidRDefault="00AE3EC8" w:rsidP="00BF079C">
      <w:pPr>
        <w:spacing w:after="0" w:line="480" w:lineRule="auto"/>
        <w:ind w:firstLine="720"/>
      </w:pPr>
      <w:r>
        <w:t xml:space="preserve">Table </w:t>
      </w:r>
      <w:r w:rsidR="00657069">
        <w:t>1</w:t>
      </w:r>
      <w:r>
        <w:t xml:space="preserve"> </w:t>
      </w:r>
      <w:r w:rsidR="00CC2B3C">
        <w:t xml:space="preserve">presents </w:t>
      </w:r>
      <w:r>
        <w:t xml:space="preserve">descriptive statistics and Table </w:t>
      </w:r>
      <w:r w:rsidR="00657069">
        <w:t>2</w:t>
      </w:r>
      <w:r>
        <w:t xml:space="preserve"> provides the correlation matrix for these variables.</w:t>
      </w:r>
    </w:p>
    <w:p w:rsidR="006331AC" w:rsidRDefault="00BA63A5" w:rsidP="006331AC">
      <w:pPr>
        <w:spacing w:after="0" w:line="480" w:lineRule="auto"/>
        <w:ind w:firstLine="720"/>
        <w:jc w:val="center"/>
      </w:pPr>
      <w:r>
        <w:t>[Place Table 1 about here.]</w:t>
      </w:r>
    </w:p>
    <w:p w:rsidR="006331AC" w:rsidRDefault="00BA63A5" w:rsidP="006331AC">
      <w:pPr>
        <w:spacing w:after="0" w:line="480" w:lineRule="auto"/>
        <w:ind w:firstLine="720"/>
        <w:jc w:val="center"/>
      </w:pPr>
      <w:r>
        <w:t>[Place Table 2 about here.]</w:t>
      </w:r>
    </w:p>
    <w:p w:rsidR="00297AAB" w:rsidRPr="00347EEC" w:rsidRDefault="00297AAB" w:rsidP="005D459F">
      <w:pPr>
        <w:keepNext/>
        <w:spacing w:after="0" w:line="480" w:lineRule="auto"/>
        <w:rPr>
          <w:b/>
        </w:rPr>
      </w:pPr>
      <w:r w:rsidRPr="00753E84">
        <w:rPr>
          <w:b/>
        </w:rPr>
        <w:t>Estimation</w:t>
      </w:r>
      <w:r w:rsidRPr="00347EEC">
        <w:rPr>
          <w:b/>
        </w:rPr>
        <w:t xml:space="preserve"> </w:t>
      </w:r>
    </w:p>
    <w:p w:rsidR="00F544EB" w:rsidRDefault="00DE7367" w:rsidP="00BF079C">
      <w:pPr>
        <w:spacing w:after="0" w:line="480" w:lineRule="auto"/>
        <w:ind w:firstLine="720"/>
      </w:pPr>
      <w:r>
        <w:t>We test o</w:t>
      </w:r>
      <w:r w:rsidR="00BC0290">
        <w:t xml:space="preserve">ur predictions </w:t>
      </w:r>
      <w:r w:rsidR="00297AAB">
        <w:t xml:space="preserve">using a dynamic panel estimator. </w:t>
      </w:r>
      <w:r w:rsidR="00BC0290">
        <w:t>We</w:t>
      </w:r>
      <w:r w:rsidR="00297AAB">
        <w:t xml:space="preserve"> chose this approach </w:t>
      </w:r>
      <w:r w:rsidR="00753E84">
        <w:t xml:space="preserve">for the following reasons: </w:t>
      </w:r>
      <w:r w:rsidR="00BA63A5">
        <w:t xml:space="preserve">the </w:t>
      </w:r>
      <w:r w:rsidR="00297AAB">
        <w:t xml:space="preserve">panel </w:t>
      </w:r>
      <w:r w:rsidR="00CC2B3C">
        <w:t xml:space="preserve">data </w:t>
      </w:r>
      <w:r w:rsidR="00BA63A5">
        <w:t xml:space="preserve">has </w:t>
      </w:r>
      <w:r w:rsidR="00297AAB">
        <w:t>few ye</w:t>
      </w:r>
      <w:r w:rsidR="00BC0290">
        <w:t xml:space="preserve">ars (6 years) </w:t>
      </w:r>
      <w:r w:rsidR="006B4629">
        <w:t>and</w:t>
      </w:r>
      <w:r w:rsidR="00BC0290">
        <w:t xml:space="preserve"> many firms (12</w:t>
      </w:r>
      <w:r w:rsidR="00297AAB">
        <w:t xml:space="preserve">7 firms), </w:t>
      </w:r>
      <w:r w:rsidR="00BA63A5">
        <w:t xml:space="preserve">we </w:t>
      </w:r>
      <w:r w:rsidR="00297AAB">
        <w:t xml:space="preserve">predict linear relationships, </w:t>
      </w:r>
      <w:r w:rsidR="00BA63A5">
        <w:t>the</w:t>
      </w:r>
      <w:r w:rsidR="00297AAB">
        <w:t xml:space="preserve"> dependent variable is </w:t>
      </w:r>
      <w:r w:rsidR="00A21CC7">
        <w:t xml:space="preserve">likely </w:t>
      </w:r>
      <w:r w:rsidR="00297AAB">
        <w:t>dependent on its past realizations (i</w:t>
      </w:r>
      <w:r w:rsidR="00BA63A5">
        <w:t>.</w:t>
      </w:r>
      <w:r w:rsidR="00297AAB">
        <w:t>e.</w:t>
      </w:r>
      <w:r w:rsidR="00BA63A5">
        <w:t>,</w:t>
      </w:r>
      <w:r w:rsidR="00297AAB">
        <w:t xml:space="preserve"> </w:t>
      </w:r>
      <w:r w:rsidR="00BA63A5">
        <w:t xml:space="preserve">the </w:t>
      </w:r>
      <w:r w:rsidR="00297AAB">
        <w:t xml:space="preserve">current proportion of renewable power is contingent on </w:t>
      </w:r>
      <w:r w:rsidR="00BA63A5">
        <w:t xml:space="preserve">the </w:t>
      </w:r>
      <w:r w:rsidR="00297AAB">
        <w:t xml:space="preserve">past proportion of renewable power), </w:t>
      </w:r>
      <w:r w:rsidR="00BA63A5">
        <w:t xml:space="preserve">the </w:t>
      </w:r>
      <w:r w:rsidR="00297AAB">
        <w:t>independent variables are possibly correlated with past and current realizations of the error term (i</w:t>
      </w:r>
      <w:r w:rsidR="00BA63A5">
        <w:t>.</w:t>
      </w:r>
      <w:r w:rsidR="00297AAB">
        <w:t>e.</w:t>
      </w:r>
      <w:r w:rsidR="00BA63A5">
        <w:t>,</w:t>
      </w:r>
      <w:r w:rsidR="00297AAB">
        <w:t xml:space="preserve"> </w:t>
      </w:r>
      <w:r w:rsidR="00BA63A5">
        <w:t xml:space="preserve">the </w:t>
      </w:r>
      <w:r w:rsidR="00297AAB">
        <w:t xml:space="preserve">fuel mix diversity is predetermined and not strictly exogenous), </w:t>
      </w:r>
      <w:r w:rsidR="00BA63A5">
        <w:t xml:space="preserve">we </w:t>
      </w:r>
      <w:r w:rsidR="00FF122A">
        <w:t xml:space="preserve">want to control for potential unobserved </w:t>
      </w:r>
      <w:r w:rsidR="00297AAB">
        <w:t xml:space="preserve">firm effects, and </w:t>
      </w:r>
      <w:r w:rsidR="00BA63A5">
        <w:t xml:space="preserve">we </w:t>
      </w:r>
      <w:r w:rsidR="00297AAB">
        <w:t xml:space="preserve">are concerned with </w:t>
      </w:r>
      <w:proofErr w:type="spellStart"/>
      <w:r w:rsidR="00297AAB">
        <w:t>heteroscedasticity</w:t>
      </w:r>
      <w:proofErr w:type="spellEnd"/>
      <w:r w:rsidR="00297AAB">
        <w:t xml:space="preserve"> and autocorrelation in the panel.</w:t>
      </w:r>
    </w:p>
    <w:p w:rsidR="00297AAB" w:rsidRDefault="00297AAB" w:rsidP="00BF079C">
      <w:pPr>
        <w:spacing w:after="0" w:line="480" w:lineRule="auto"/>
        <w:ind w:firstLine="720"/>
      </w:pPr>
      <w:r>
        <w:t xml:space="preserve"> These econometric issues are addressed by the Arellano-Bond (</w:t>
      </w:r>
      <w:r w:rsidR="00BA63A5">
        <w:t xml:space="preserve">Arellano </w:t>
      </w:r>
      <w:r w:rsidR="00753E84">
        <w:t>and</w:t>
      </w:r>
      <w:r w:rsidR="00BA63A5">
        <w:t xml:space="preserve"> Bond, </w:t>
      </w:r>
      <w:r w:rsidR="00211C69">
        <w:t>1991) general method</w:t>
      </w:r>
      <w:r>
        <w:t xml:space="preserve"> of moments (GMM) estimator. </w:t>
      </w:r>
      <w:r w:rsidR="00BA63A5">
        <w:t>W</w:t>
      </w:r>
      <w:r w:rsidR="00DE7367">
        <w:t>e estimate</w:t>
      </w:r>
      <w:r w:rsidR="00BA63A5">
        <w:t xml:space="preserve"> the following </w:t>
      </w:r>
      <w:r w:rsidR="00753E84">
        <w:t xml:space="preserve">two </w:t>
      </w:r>
      <w:r w:rsidR="00BA63A5">
        <w:t>equation</w:t>
      </w:r>
      <w:r w:rsidR="00161FDD">
        <w:t>s</w:t>
      </w:r>
      <w:r w:rsidR="00BA63A5">
        <w:t>:</w:t>
      </w:r>
    </w:p>
    <w:p w:rsidR="000F6251" w:rsidRDefault="00EF0019">
      <w:pPr>
        <w:spacing w:after="0"/>
        <w:ind w:left="720" w:hanging="720"/>
        <w:jc w:val="right"/>
      </w:pPr>
      <w:proofErr w:type="spellStart"/>
      <w:r>
        <w:t>PERCENT_RENEWABLES</w:t>
      </w:r>
      <w:r w:rsidR="00297AAB">
        <w:rPr>
          <w:vertAlign w:val="subscript"/>
        </w:rPr>
        <w:t>it</w:t>
      </w:r>
      <w:proofErr w:type="spellEnd"/>
      <w:r w:rsidR="00297AAB">
        <w:t>=β</w:t>
      </w:r>
      <w:r w:rsidR="00297AAB">
        <w:rPr>
          <w:vertAlign w:val="subscript"/>
        </w:rPr>
        <w:t>1</w:t>
      </w:r>
      <w:r>
        <w:t>PERCENT_RENEWABLES</w:t>
      </w:r>
      <w:r w:rsidR="00297AAB">
        <w:rPr>
          <w:vertAlign w:val="subscript"/>
        </w:rPr>
        <w:t>it-1</w:t>
      </w:r>
      <w:r w:rsidR="00297AAB">
        <w:t xml:space="preserve">+ </w:t>
      </w:r>
      <w:r w:rsidR="00F45226">
        <w:t>β</w:t>
      </w:r>
      <w:r w:rsidR="00F45226">
        <w:rPr>
          <w:vertAlign w:val="subscript"/>
        </w:rPr>
        <w:t>2</w:t>
      </w:r>
      <w:r w:rsidR="00F45226">
        <w:t>NEIGHBOR _</w:t>
      </w:r>
      <w:proofErr w:type="spellStart"/>
      <w:r w:rsidR="00F45226">
        <w:t>EFFECT</w:t>
      </w:r>
      <w:r w:rsidR="00F45226">
        <w:rPr>
          <w:vertAlign w:val="subscript"/>
        </w:rPr>
        <w:t>it</w:t>
      </w:r>
      <w:proofErr w:type="spellEnd"/>
      <w:r w:rsidR="00F45226">
        <w:t xml:space="preserve"> </w:t>
      </w:r>
      <w:r w:rsidR="00297AAB">
        <w:t xml:space="preserve">+ </w:t>
      </w:r>
      <w:r w:rsidR="00F45226">
        <w:t>β</w:t>
      </w:r>
      <w:r w:rsidR="00F45226">
        <w:rPr>
          <w:vertAlign w:val="subscript"/>
        </w:rPr>
        <w:t>3</w:t>
      </w:r>
      <w:r w:rsidR="00F45226">
        <w:t>PEER _</w:t>
      </w:r>
      <w:proofErr w:type="spellStart"/>
      <w:r w:rsidR="00F45226">
        <w:t>EFFECT</w:t>
      </w:r>
      <w:r w:rsidR="00F45226">
        <w:rPr>
          <w:vertAlign w:val="subscript"/>
        </w:rPr>
        <w:t>it</w:t>
      </w:r>
      <w:proofErr w:type="spellEnd"/>
      <w:r w:rsidR="00F45226">
        <w:t xml:space="preserve"> + </w:t>
      </w:r>
      <w:proofErr w:type="spellStart"/>
      <w:r w:rsidR="00297AAB">
        <w:t>X</w:t>
      </w:r>
      <w:r w:rsidR="00297AAB">
        <w:rPr>
          <w:vertAlign w:val="subscript"/>
        </w:rPr>
        <w:t>it</w:t>
      </w:r>
      <w:proofErr w:type="spellEnd"/>
      <w:r w:rsidR="00297AAB">
        <w:t xml:space="preserve"> + </w:t>
      </w:r>
      <w:r w:rsidR="00297AAB">
        <w:rPr>
          <w:sz w:val="28"/>
        </w:rPr>
        <w:t>µ</w:t>
      </w:r>
      <w:r w:rsidR="00297AAB">
        <w:rPr>
          <w:vertAlign w:val="subscript"/>
        </w:rPr>
        <w:t>it</w:t>
      </w:r>
      <w:r w:rsidR="00297AAB">
        <w:rPr>
          <w:vertAlign w:val="subscript"/>
        </w:rPr>
        <w:tab/>
      </w:r>
      <w:r w:rsidR="00297AAB">
        <w:rPr>
          <w:vertAlign w:val="subscript"/>
        </w:rPr>
        <w:tab/>
      </w:r>
      <w:r w:rsidR="00297AAB">
        <w:rPr>
          <w:vertAlign w:val="subscript"/>
        </w:rPr>
        <w:tab/>
      </w:r>
      <w:r w:rsidR="00297AAB">
        <w:t>(1)</w:t>
      </w:r>
    </w:p>
    <w:p w:rsidR="009F0493" w:rsidRDefault="009F0493" w:rsidP="009F0493">
      <w:pPr>
        <w:spacing w:after="0"/>
        <w:ind w:left="2160" w:firstLine="720"/>
        <w:jc w:val="right"/>
      </w:pPr>
      <w:r w:rsidRPr="009F0493">
        <w:rPr>
          <w:sz w:val="28"/>
        </w:rPr>
        <w:lastRenderedPageBreak/>
        <w:t xml:space="preserve"> </w:t>
      </w:r>
      <w:r>
        <w:rPr>
          <w:sz w:val="28"/>
        </w:rPr>
        <w:t>µ</w:t>
      </w:r>
      <w:proofErr w:type="gramStart"/>
      <w:r>
        <w:rPr>
          <w:vertAlign w:val="subscript"/>
        </w:rPr>
        <w:t>it</w:t>
      </w:r>
      <w:proofErr w:type="gramEnd"/>
      <w:r>
        <w:rPr>
          <w:vertAlign w:val="subscript"/>
        </w:rPr>
        <w:t xml:space="preserve"> </w:t>
      </w:r>
      <w:r>
        <w:t>= v</w:t>
      </w:r>
      <w:r>
        <w:rPr>
          <w:vertAlign w:val="subscript"/>
        </w:rPr>
        <w:t>i</w:t>
      </w:r>
      <w:r>
        <w:t xml:space="preserve"> +</w:t>
      </w:r>
      <w:proofErr w:type="spellStart"/>
      <w:r>
        <w:t>e</w:t>
      </w:r>
      <w:r>
        <w:rPr>
          <w:vertAlign w:val="subscript"/>
        </w:rPr>
        <w:t>it</w:t>
      </w:r>
      <w:proofErr w:type="spellEnd"/>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(2)</w:t>
      </w:r>
    </w:p>
    <w:p w:rsidR="00CC2B3C" w:rsidRDefault="00CC2B3C" w:rsidP="00BF079C">
      <w:pPr>
        <w:spacing w:after="0"/>
        <w:jc w:val="right"/>
        <w:rPr>
          <w:rFonts w:eastAsia="Times New Roman"/>
        </w:rPr>
      </w:pPr>
    </w:p>
    <w:p w:rsidR="000A59E2" w:rsidRDefault="009F0493">
      <w:pPr>
        <w:spacing w:after="0" w:line="480" w:lineRule="auto"/>
      </w:pPr>
      <w:r>
        <w:t xml:space="preserve">As represented in equation 1, </w:t>
      </w:r>
      <w:r w:rsidR="00C9226B">
        <w:t>in addition to the hypothesized effects</w:t>
      </w:r>
      <w:r w:rsidR="00753E84">
        <w:t>,</w:t>
      </w:r>
      <w:r w:rsidR="00C9226B">
        <w:t xml:space="preserve"> </w:t>
      </w:r>
      <w:r>
        <w:t xml:space="preserve">we include a one-year lag of the dependent variable because prior adoption of renewable energy can be an important driver of future dependence on such technologies. These prior choices may be realized </w:t>
      </w:r>
      <w:r w:rsidR="00161FDD">
        <w:t xml:space="preserve">only </w:t>
      </w:r>
      <w:r>
        <w:t xml:space="preserve">in future time periods when utility firms improve their productivity, embrace </w:t>
      </w:r>
      <w:r w:rsidR="00161FDD">
        <w:t xml:space="preserve">the choices </w:t>
      </w:r>
      <w:r>
        <w:t>with greater commitment, or complete multi-stage investment projects.</w:t>
      </w:r>
      <w:r>
        <w:rPr>
          <w:rStyle w:val="FootnoteReference"/>
        </w:rPr>
        <w:footnoteReference w:id="5"/>
      </w:r>
      <w:r>
        <w:t xml:space="preserve"> </w:t>
      </w:r>
      <w:r w:rsidR="00C9226B">
        <w:t xml:space="preserve">In this equation, </w:t>
      </w:r>
      <w:proofErr w:type="spellStart"/>
      <w:r w:rsidR="00C9226B">
        <w:t>X</w:t>
      </w:r>
      <w:r w:rsidR="00C9226B">
        <w:rPr>
          <w:vertAlign w:val="subscript"/>
        </w:rPr>
        <w:t>it</w:t>
      </w:r>
      <w:proofErr w:type="spellEnd"/>
      <w:r w:rsidR="00C9226B">
        <w:t xml:space="preserve"> represents the remaining control variables that are included in the model. W</w:t>
      </w:r>
      <w:r>
        <w:t xml:space="preserve">e </w:t>
      </w:r>
      <w:r w:rsidR="006B4629">
        <w:t>include</w:t>
      </w:r>
      <w:r>
        <w:t xml:space="preserve"> all </w:t>
      </w:r>
      <w:r w:rsidR="006B4629">
        <w:t xml:space="preserve">previously described </w:t>
      </w:r>
      <w:r>
        <w:t xml:space="preserve">control variables and the interaction of </w:t>
      </w:r>
      <w:proofErr w:type="spellStart"/>
      <w:r>
        <w:t>HOME_RPS</w:t>
      </w:r>
      <w:r>
        <w:rPr>
          <w:vertAlign w:val="subscript"/>
        </w:rPr>
        <w:t>it</w:t>
      </w:r>
      <w:proofErr w:type="spellEnd"/>
      <w:r>
        <w:rPr>
          <w:vertAlign w:val="subscript"/>
        </w:rPr>
        <w:t xml:space="preserve"> </w:t>
      </w:r>
      <w:r>
        <w:t>and</w:t>
      </w:r>
      <w:r w:rsidRPr="00043E85">
        <w:t xml:space="preserve"> </w:t>
      </w:r>
      <w:proofErr w:type="spellStart"/>
      <w:r>
        <w:t>OPERATIONAL_CAPABILITY</w:t>
      </w:r>
      <w:r>
        <w:rPr>
          <w:vertAlign w:val="subscript"/>
        </w:rPr>
        <w:t>it</w:t>
      </w:r>
      <w:proofErr w:type="spellEnd"/>
      <w:r>
        <w:t xml:space="preserve"> </w:t>
      </w:r>
      <w:r w:rsidR="00C9226B">
        <w:t xml:space="preserve">because </w:t>
      </w:r>
      <w:r>
        <w:t>an IOU</w:t>
      </w:r>
      <w:r w:rsidR="006B4629">
        <w:t>’</w:t>
      </w:r>
      <w:r>
        <w:t xml:space="preserve">s choice to improve its environmental performance may be jointly determined by environmental policy and operational competence </w:t>
      </w:r>
      <w:r w:rsidR="00C9226B">
        <w:t>(Fremeth, 2009)</w:t>
      </w:r>
      <w:r>
        <w:t>.</w:t>
      </w:r>
      <w:r w:rsidR="00C9226B">
        <w:t xml:space="preserve"> </w:t>
      </w:r>
      <w:r>
        <w:t xml:space="preserve">As noted in equation 2, the error term </w:t>
      </w:r>
      <w:r w:rsidR="00C9226B">
        <w:t xml:space="preserve">in equation 1, </w:t>
      </w:r>
      <w:r w:rsidR="00297AAB">
        <w:rPr>
          <w:sz w:val="28"/>
        </w:rPr>
        <w:t>µ</w:t>
      </w:r>
      <w:r w:rsidR="00297AAB">
        <w:rPr>
          <w:vertAlign w:val="subscript"/>
        </w:rPr>
        <w:t>it</w:t>
      </w:r>
      <w:r w:rsidR="00C9226B">
        <w:rPr>
          <w:b/>
        </w:rPr>
        <w:t xml:space="preserve">, </w:t>
      </w:r>
      <w:r w:rsidR="00CA6B93">
        <w:t>can be decomposed into</w:t>
      </w:r>
      <w:r w:rsidR="00297AAB">
        <w:t xml:space="preserve"> the unobserved firm-specific effects, </w:t>
      </w:r>
      <w:proofErr w:type="gramStart"/>
      <w:r w:rsidR="00297AAB">
        <w:t>v</w:t>
      </w:r>
      <w:r w:rsidR="00297AAB">
        <w:rPr>
          <w:vertAlign w:val="subscript"/>
        </w:rPr>
        <w:t>i</w:t>
      </w:r>
      <w:proofErr w:type="gramEnd"/>
      <w:r w:rsidR="00297AAB">
        <w:t xml:space="preserve">, and the observation specific error, </w:t>
      </w:r>
      <w:proofErr w:type="spellStart"/>
      <w:r w:rsidR="00297AAB">
        <w:t>e</w:t>
      </w:r>
      <w:r w:rsidR="00297AAB">
        <w:rPr>
          <w:vertAlign w:val="subscript"/>
        </w:rPr>
        <w:t>it</w:t>
      </w:r>
      <w:proofErr w:type="spellEnd"/>
      <w:r w:rsidR="00297AAB">
        <w:t xml:space="preserve">. </w:t>
      </w:r>
    </w:p>
    <w:p w:rsidR="009F0493" w:rsidRDefault="00DE630F" w:rsidP="00BF079C">
      <w:pPr>
        <w:spacing w:after="0" w:line="480" w:lineRule="auto"/>
        <w:ind w:firstLine="720"/>
      </w:pPr>
      <w:r>
        <w:t xml:space="preserve">We employ the </w:t>
      </w:r>
      <w:r w:rsidR="00161FDD">
        <w:t>‘</w:t>
      </w:r>
      <w:r>
        <w:t>difference</w:t>
      </w:r>
      <w:r w:rsidR="00161FDD">
        <w:t>’</w:t>
      </w:r>
      <w:r>
        <w:t xml:space="preserve"> variant of the GMM estimator that uses internal instruments in estimation following a first differencing of the data (Holtz-</w:t>
      </w:r>
      <w:proofErr w:type="spellStart"/>
      <w:r>
        <w:t>Eakin</w:t>
      </w:r>
      <w:proofErr w:type="spellEnd"/>
      <w:r>
        <w:t xml:space="preserve">, </w:t>
      </w:r>
      <w:proofErr w:type="spellStart"/>
      <w:r>
        <w:t>Newey</w:t>
      </w:r>
      <w:proofErr w:type="spellEnd"/>
      <w:r>
        <w:t xml:space="preserve">, and Rosen, 1988). These internal instruments are built from past observations of the variables and are valid when uncorrelated with future error terms but highly correlated with the variable that is being instrumented. </w:t>
      </w:r>
      <w:r w:rsidR="00753E84">
        <w:t>The result is</w:t>
      </w:r>
      <w:r>
        <w:t xml:space="preserve"> a series of moment conditions that are met when a zero correlation </w:t>
      </w:r>
      <w:r w:rsidR="00161FDD">
        <w:t xml:space="preserve">exists </w:t>
      </w:r>
      <w:r>
        <w:t xml:space="preserve">between the instrumenting variables and the </w:t>
      </w:r>
      <w:r w:rsidR="00093962">
        <w:t>error term</w:t>
      </w:r>
      <w:r>
        <w:t xml:space="preserve">. </w:t>
      </w:r>
      <w:r w:rsidR="00BC2C02">
        <w:t>Two moment conditions are listed in equations (3) and (4).</w:t>
      </w:r>
      <w:r w:rsidR="00540596">
        <w:t xml:space="preserve"> </w:t>
      </w:r>
    </w:p>
    <w:p w:rsidR="009F0493" w:rsidRDefault="009F0493" w:rsidP="009F0493">
      <w:pPr>
        <w:spacing w:after="0"/>
        <w:jc w:val="right"/>
        <w:rPr>
          <w:rFonts w:eastAsia="Times New Roman"/>
        </w:rPr>
      </w:pPr>
      <m:oMath>
        <m:r>
          <w:rPr>
            <w:rFonts w:ascii="Cambria Math" w:eastAsia="Times New Roman" w:hAnsi="Cambria Math"/>
          </w:rPr>
          <m:t>E</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i, t-s</m:t>
                </m:r>
              </m:sub>
            </m:sSub>
            <m:r>
              <w:rPr>
                <w:rFonts w:ascii="Cambria Math" w:eastAsia="Times New Roman" w:hAnsi="Cambria Math"/>
              </w:rPr>
              <m:t xml:space="preserve"> ∆</m:t>
            </m:r>
            <m:sSub>
              <m:sSubPr>
                <m:ctrlPr>
                  <w:rPr>
                    <w:rFonts w:ascii="Cambria Math" w:eastAsia="Times New Roman" w:hAnsi="Cambria Math"/>
                    <w:i/>
                  </w:rPr>
                </m:ctrlPr>
              </m:sSubPr>
              <m:e>
                <m:r>
                  <m:rPr>
                    <m:sty m:val="p"/>
                  </m:rPr>
                  <w:rPr>
                    <w:rFonts w:ascii="Cambria Math" w:eastAsia="Times New Roman" w:hAnsi="Cambria Math"/>
                    <w:sz w:val="28"/>
                  </w:rPr>
                  <m:t>µ</m:t>
                </m:r>
              </m:e>
              <m:sub>
                <m:r>
                  <w:rPr>
                    <w:rFonts w:ascii="Cambria Math" w:eastAsia="Times New Roman" w:hAnsi="Cambria Math"/>
                  </w:rPr>
                  <m:t>it</m:t>
                </m:r>
              </m:sub>
            </m:sSub>
          </m:e>
        </m:d>
        <m:r>
          <w:rPr>
            <w:rFonts w:ascii="Cambria Math" w:eastAsia="Times New Roman" w:hAnsi="Cambria Math"/>
          </w:rPr>
          <m:t>=0 for s≥2;t=3,…..T</m:t>
        </m:r>
      </m:oMath>
      <w:r>
        <w:rPr>
          <w:rFonts w:eastAsia="Times New Roman"/>
        </w:rPr>
        <w:tab/>
      </w:r>
      <w:r>
        <w:rPr>
          <w:rFonts w:eastAsia="Times New Roman"/>
        </w:rPr>
        <w:tab/>
        <w:t>(3)</w:t>
      </w:r>
    </w:p>
    <w:p w:rsidR="009F0493" w:rsidRDefault="009F0493" w:rsidP="009F0493">
      <w:pPr>
        <w:spacing w:after="0"/>
        <w:jc w:val="right"/>
        <w:rPr>
          <w:rFonts w:eastAsia="Times New Roman"/>
        </w:rPr>
      </w:pPr>
      <m:oMath>
        <m:r>
          <w:rPr>
            <w:rFonts w:ascii="Cambria Math" w:eastAsia="Times New Roman" w:hAnsi="Cambria Math"/>
          </w:rPr>
          <m:t>E</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i, t-s</m:t>
                </m:r>
              </m:sub>
            </m:sSub>
            <m:r>
              <w:rPr>
                <w:rFonts w:ascii="Cambria Math" w:eastAsia="Times New Roman" w:hAnsi="Cambria Math"/>
              </w:rPr>
              <m:t xml:space="preserve"> ∆</m:t>
            </m:r>
            <m:sSub>
              <m:sSubPr>
                <m:ctrlPr>
                  <w:rPr>
                    <w:rFonts w:ascii="Cambria Math" w:eastAsia="Times New Roman" w:hAnsi="Cambria Math"/>
                    <w:i/>
                  </w:rPr>
                </m:ctrlPr>
              </m:sSubPr>
              <m:e>
                <m:r>
                  <m:rPr>
                    <m:sty m:val="p"/>
                  </m:rPr>
                  <w:rPr>
                    <w:rFonts w:ascii="Cambria Math" w:eastAsia="Times New Roman" w:hAnsi="Cambria Math"/>
                    <w:sz w:val="28"/>
                  </w:rPr>
                  <m:t>µ</m:t>
                </m:r>
              </m:e>
              <m:sub>
                <m:r>
                  <w:rPr>
                    <w:rFonts w:ascii="Cambria Math" w:eastAsia="Times New Roman" w:hAnsi="Cambria Math"/>
                  </w:rPr>
                  <m:t>it</m:t>
                </m:r>
              </m:sub>
            </m:sSub>
          </m:e>
        </m:d>
        <m:r>
          <w:rPr>
            <w:rFonts w:ascii="Cambria Math" w:eastAsia="Times New Roman" w:hAnsi="Cambria Math"/>
          </w:rPr>
          <m:t>=0 for s≥2;t=3,…..T</m:t>
        </m:r>
      </m:oMath>
      <w:r>
        <w:rPr>
          <w:rFonts w:eastAsia="Times New Roman"/>
        </w:rPr>
        <w:tab/>
      </w:r>
      <w:r>
        <w:rPr>
          <w:rFonts w:eastAsia="Times New Roman"/>
        </w:rPr>
        <w:tab/>
        <w:t>(4)</w:t>
      </w:r>
    </w:p>
    <w:p w:rsidR="009F0493" w:rsidRDefault="009F0493" w:rsidP="009F0493">
      <w:pPr>
        <w:spacing w:after="0"/>
        <w:jc w:val="right"/>
        <w:rPr>
          <w:rFonts w:eastAsia="Times New Roman"/>
        </w:rPr>
      </w:pPr>
    </w:p>
    <w:p w:rsidR="009F0493" w:rsidRDefault="00161FDD" w:rsidP="00C9226B">
      <w:pPr>
        <w:spacing w:after="0" w:line="480" w:lineRule="auto"/>
        <w:ind w:firstLine="720"/>
      </w:pPr>
      <w:r>
        <w:lastRenderedPageBreak/>
        <w:t>In our model, w</w:t>
      </w:r>
      <w:r w:rsidR="00BC0290">
        <w:t xml:space="preserve">e </w:t>
      </w:r>
      <w:r w:rsidR="00C9226B">
        <w:t xml:space="preserve">considered </w:t>
      </w:r>
      <w:r w:rsidR="00BC0290">
        <w:t xml:space="preserve">all </w:t>
      </w:r>
      <w:r w:rsidR="00297AAB">
        <w:t xml:space="preserve">firm-specific variables as endogenous </w:t>
      </w:r>
      <w:r>
        <w:t xml:space="preserve">and </w:t>
      </w:r>
      <w:r w:rsidR="00753E84">
        <w:t xml:space="preserve">all </w:t>
      </w:r>
      <w:r w:rsidR="00297AAB">
        <w:t xml:space="preserve">state-specific </w:t>
      </w:r>
      <w:r w:rsidR="00BC0290">
        <w:t xml:space="preserve">factors </w:t>
      </w:r>
      <w:r w:rsidR="00297AAB">
        <w:t>as exogenous. The instruments used are the second lag of the endogenous variables and the</w:t>
      </w:r>
      <w:r>
        <w:t>ir</w:t>
      </w:r>
      <w:r w:rsidR="00297AAB">
        <w:t xml:space="preserve"> own values for the exogenous variables. </w:t>
      </w:r>
      <w:r w:rsidR="002C1471">
        <w:t xml:space="preserve">The endogenous variables are instrumented in this manner </w:t>
      </w:r>
      <w:r>
        <w:t xml:space="preserve">because </w:t>
      </w:r>
      <w:r w:rsidR="002C1471">
        <w:t xml:space="preserve">the second lag is not correlated with the current error term, </w:t>
      </w:r>
      <w:r>
        <w:t xml:space="preserve">whereas </w:t>
      </w:r>
      <w:r w:rsidR="002C1471">
        <w:t xml:space="preserve">the first lag is. </w:t>
      </w:r>
      <w:r w:rsidR="00297AAB">
        <w:t xml:space="preserve">According </w:t>
      </w:r>
      <w:proofErr w:type="spellStart"/>
      <w:r w:rsidR="00297AAB">
        <w:t>Roodman</w:t>
      </w:r>
      <w:proofErr w:type="spellEnd"/>
      <w:r w:rsidR="00297AAB">
        <w:t xml:space="preserve"> (2009)</w:t>
      </w:r>
      <w:r>
        <w:t>,</w:t>
      </w:r>
      <w:r w:rsidR="00297AAB">
        <w:t xml:space="preserve"> this </w:t>
      </w:r>
      <w:r>
        <w:t xml:space="preserve">treatment </w:t>
      </w:r>
      <w:r w:rsidR="00297AAB">
        <w:t>is the standard for instrumental variables in the difference GMM approach. The number of instruments used is listed with the results. Year dummies are included to control for temporal effect</w:t>
      </w:r>
      <w:r w:rsidR="00BB0CFA">
        <w:t>s</w:t>
      </w:r>
      <w:r w:rsidR="00297AAB">
        <w:t xml:space="preserve"> </w:t>
      </w:r>
      <w:r w:rsidR="00BB0CFA">
        <w:t xml:space="preserve">and </w:t>
      </w:r>
      <w:r>
        <w:t xml:space="preserve">to </w:t>
      </w:r>
      <w:r w:rsidR="00297AAB">
        <w:t>ensure no correlation across firms in the error term, which is necessary for the autocorrelation test (</w:t>
      </w:r>
      <w:proofErr w:type="spellStart"/>
      <w:r w:rsidR="00297AAB">
        <w:t>Roodman</w:t>
      </w:r>
      <w:proofErr w:type="spellEnd"/>
      <w:r w:rsidR="00297AAB">
        <w:t xml:space="preserve">, 2009). Further, </w:t>
      </w:r>
      <w:r w:rsidR="005423EC">
        <w:t xml:space="preserve">we </w:t>
      </w:r>
      <w:r w:rsidR="00297AAB">
        <w:t xml:space="preserve">focus on the results using the two-step robust estimator that corrects panel-specific autocorrelation and </w:t>
      </w:r>
      <w:proofErr w:type="spellStart"/>
      <w:r w:rsidR="00297AAB">
        <w:t>heteroscedasticity</w:t>
      </w:r>
      <w:proofErr w:type="spellEnd"/>
      <w:r w:rsidR="00753E84">
        <w:t>,</w:t>
      </w:r>
      <w:r w:rsidR="00297AAB">
        <w:t xml:space="preserve"> as developed by </w:t>
      </w:r>
      <w:proofErr w:type="spellStart"/>
      <w:r w:rsidR="00297AAB">
        <w:t>Windmeijer</w:t>
      </w:r>
      <w:proofErr w:type="spellEnd"/>
      <w:r w:rsidR="00297AAB">
        <w:t xml:space="preserve"> (2005).</w:t>
      </w:r>
      <w:r w:rsidR="005942E9">
        <w:t xml:space="preserve"> </w:t>
      </w:r>
      <w:r w:rsidR="00C9226B">
        <w:t>T</w:t>
      </w:r>
      <w:r w:rsidR="009F0493">
        <w:t xml:space="preserve">o assess whether the instruments are exogenous </w:t>
      </w:r>
      <w:r w:rsidR="00C9226B">
        <w:t xml:space="preserve">and </w:t>
      </w:r>
      <w:r w:rsidR="009F0493">
        <w:t>to ensure the validity of the GMM estimates</w:t>
      </w:r>
      <w:r w:rsidR="00753E84">
        <w:t>,</w:t>
      </w:r>
      <w:r w:rsidR="00C9226B">
        <w:t xml:space="preserve"> we rely on the</w:t>
      </w:r>
      <w:r w:rsidR="009F0493">
        <w:t xml:space="preserve"> Hansen J</w:t>
      </w:r>
      <w:r>
        <w:t>-</w:t>
      </w:r>
      <w:r w:rsidR="009F0493">
        <w:t>test.</w:t>
      </w:r>
    </w:p>
    <w:p w:rsidR="0008433F" w:rsidRDefault="0008433F" w:rsidP="006B4629">
      <w:pPr>
        <w:keepNext/>
        <w:spacing w:after="0" w:line="480" w:lineRule="auto"/>
        <w:rPr>
          <w:b/>
        </w:rPr>
      </w:pPr>
    </w:p>
    <w:p w:rsidR="00D77A4C" w:rsidRDefault="00D77A4C" w:rsidP="006B4629">
      <w:pPr>
        <w:keepNext/>
        <w:spacing w:after="0" w:line="480" w:lineRule="auto"/>
        <w:rPr>
          <w:b/>
        </w:rPr>
      </w:pPr>
      <w:r w:rsidRPr="0008433F">
        <w:rPr>
          <w:b/>
        </w:rPr>
        <w:t>RESULTS</w:t>
      </w:r>
    </w:p>
    <w:p w:rsidR="006331AC" w:rsidRDefault="000D6590" w:rsidP="006331AC">
      <w:pPr>
        <w:spacing w:after="0" w:line="480" w:lineRule="auto"/>
      </w:pPr>
      <w:r>
        <w:t xml:space="preserve">Table </w:t>
      </w:r>
      <w:r w:rsidR="00657069">
        <w:t xml:space="preserve">3 </w:t>
      </w:r>
      <w:r w:rsidR="00A411C0">
        <w:t>presents the results of the GMM regressions that assess renewable power use by IOUs between 2001 and 2006</w:t>
      </w:r>
      <w:r w:rsidR="00A7787C">
        <w:t xml:space="preserve">. </w:t>
      </w:r>
      <w:r w:rsidR="00C9226B">
        <w:t>The Hansen J</w:t>
      </w:r>
      <w:r w:rsidR="00161FDD">
        <w:t>-</w:t>
      </w:r>
      <w:r w:rsidR="00C9226B">
        <w:t xml:space="preserve">test statistic for </w:t>
      </w:r>
      <w:proofErr w:type="spellStart"/>
      <w:r w:rsidR="00C9226B">
        <w:t>overidentifying</w:t>
      </w:r>
      <w:proofErr w:type="spellEnd"/>
      <w:r w:rsidR="00C9226B">
        <w:t xml:space="preserve"> restrictions is not significant for all models. As a result, we cannot reject the null hypothesis that the </w:t>
      </w:r>
      <w:proofErr w:type="spellStart"/>
      <w:r w:rsidR="00C9226B">
        <w:t>overidentifying</w:t>
      </w:r>
      <w:proofErr w:type="spellEnd"/>
      <w:r w:rsidR="00C9226B">
        <w:t xml:space="preserve"> restrictions are valid and</w:t>
      </w:r>
      <w:r w:rsidR="00DB0915">
        <w:t>, thus,</w:t>
      </w:r>
      <w:r w:rsidR="00C9226B">
        <w:t xml:space="preserve"> conclude that the instrumental variables are not correlated with the error term. Further, the difference in Hansen tests of exogeneity</w:t>
      </w:r>
      <w:r w:rsidR="005F5D3B">
        <w:t xml:space="preserve"> (which compares full and restricted models to assess the orthogonality of the instruments)</w:t>
      </w:r>
      <w:r w:rsidR="00C9226B">
        <w:t>, also referred to as the C statistic, was not significant. This result further supports the adopted approach. Finally, the test for autocorrelation in the error structure is not significant for either first</w:t>
      </w:r>
      <w:r w:rsidR="00764059">
        <w:t>-</w:t>
      </w:r>
      <w:r w:rsidR="00C9226B">
        <w:t xml:space="preserve"> or second-order autocorrelation</w:t>
      </w:r>
      <w:r w:rsidR="00DB0915">
        <w:t>,</w:t>
      </w:r>
      <w:r w:rsidR="00C9226B">
        <w:t xml:space="preserve"> </w:t>
      </w:r>
      <w:r w:rsidR="00DB0915">
        <w:t xml:space="preserve">a finding </w:t>
      </w:r>
      <w:r w:rsidR="00C9226B">
        <w:t>consistent with the model</w:t>
      </w:r>
      <w:r w:rsidR="00764059">
        <w:t>’</w:t>
      </w:r>
      <w:r w:rsidR="00C9226B">
        <w:t>s assumption of no second-</w:t>
      </w:r>
      <w:r w:rsidR="00C9226B">
        <w:lastRenderedPageBreak/>
        <w:t xml:space="preserve">order autocorrelation, which may otherwise invalidate some lags as instruments. Together, the results of these </w:t>
      </w:r>
      <w:r w:rsidR="00C31D57">
        <w:t xml:space="preserve">specification </w:t>
      </w:r>
      <w:r w:rsidR="00C9226B">
        <w:t>tests lend confidence to our use of the GMM difference estimation approach.</w:t>
      </w:r>
    </w:p>
    <w:p w:rsidR="006331AC" w:rsidRDefault="00753E84" w:rsidP="006331AC">
      <w:pPr>
        <w:spacing w:after="0" w:line="480" w:lineRule="auto"/>
        <w:jc w:val="center"/>
      </w:pPr>
      <w:r>
        <w:t>[Place Table 3 about here.]</w:t>
      </w:r>
    </w:p>
    <w:p w:rsidR="00854697" w:rsidRDefault="00C9226B" w:rsidP="00BF079C">
      <w:pPr>
        <w:spacing w:after="0" w:line="480" w:lineRule="auto"/>
        <w:ind w:firstLine="720"/>
      </w:pPr>
      <w:r>
        <w:t>Before, interpreting the hypothesis tests</w:t>
      </w:r>
      <w:r w:rsidR="00764059">
        <w:t>,</w:t>
      </w:r>
      <w:r>
        <w:t xml:space="preserve"> we wanted to</w:t>
      </w:r>
      <w:r w:rsidR="00F863D5">
        <w:t xml:space="preserve"> confirm that capabilities and </w:t>
      </w:r>
      <w:r w:rsidR="0096000E">
        <w:t>environmental</w:t>
      </w:r>
      <w:r w:rsidR="00F863D5">
        <w:t xml:space="preserve"> policies </w:t>
      </w:r>
      <w:r w:rsidR="00460A88">
        <w:t>affect firms’</w:t>
      </w:r>
      <w:r w:rsidR="00FF4EA0">
        <w:t xml:space="preserve"> environmental performance</w:t>
      </w:r>
      <w:r w:rsidR="00764059">
        <w:t>,</w:t>
      </w:r>
      <w:r w:rsidR="00FF4EA0">
        <w:t xml:space="preserve"> </w:t>
      </w:r>
      <w:r w:rsidR="00764059">
        <w:t xml:space="preserve">which </w:t>
      </w:r>
      <w:r w:rsidR="00FF4EA0">
        <w:t xml:space="preserve">allows us to verify the consistency of our data </w:t>
      </w:r>
      <w:r w:rsidR="00C31D57">
        <w:t xml:space="preserve">with existing research </w:t>
      </w:r>
      <w:r w:rsidR="00FF4EA0">
        <w:t xml:space="preserve">and </w:t>
      </w:r>
      <w:r w:rsidR="00494150">
        <w:t>form</w:t>
      </w:r>
      <w:r w:rsidR="00A6342E">
        <w:t>s</w:t>
      </w:r>
      <w:r w:rsidR="00494150">
        <w:t xml:space="preserve"> </w:t>
      </w:r>
      <w:r w:rsidR="00FF4EA0">
        <w:t xml:space="preserve">a basis </w:t>
      </w:r>
      <w:r w:rsidR="00494150">
        <w:t xml:space="preserve">from which </w:t>
      </w:r>
      <w:r w:rsidR="000C10CB">
        <w:t xml:space="preserve">to </w:t>
      </w:r>
      <w:r w:rsidR="00494150">
        <w:t xml:space="preserve">examine </w:t>
      </w:r>
      <w:r w:rsidR="00FF4EA0">
        <w:t xml:space="preserve">the </w:t>
      </w:r>
      <w:r w:rsidR="00A6342E">
        <w:t xml:space="preserve">effects of </w:t>
      </w:r>
      <w:r w:rsidR="00FF4EA0">
        <w:t>regulatory externalities</w:t>
      </w:r>
      <w:r w:rsidR="00494150">
        <w:t xml:space="preserve">. </w:t>
      </w:r>
      <w:r w:rsidR="00A47680">
        <w:t>Model</w:t>
      </w:r>
      <w:r w:rsidR="00A6342E">
        <w:t xml:space="preserve"> 1 i</w:t>
      </w:r>
      <w:r w:rsidR="00A47680">
        <w:t xml:space="preserve">n </w:t>
      </w:r>
      <w:r w:rsidR="00A6342E">
        <w:t>T</w:t>
      </w:r>
      <w:r w:rsidR="00A47680">
        <w:t xml:space="preserve">able 3 confirms </w:t>
      </w:r>
      <w:r w:rsidR="000C2E9A">
        <w:t>this expectation</w:t>
      </w:r>
      <w:r w:rsidR="00A47680">
        <w:t xml:space="preserve">. </w:t>
      </w:r>
      <w:r w:rsidR="000C2E9A">
        <w:t xml:space="preserve">The coefficient estimates of </w:t>
      </w:r>
      <w:r w:rsidR="00A47680">
        <w:t>OPERATIONAL_CAPABILITY</w:t>
      </w:r>
      <w:r w:rsidR="00850698">
        <w:t xml:space="preserve">, </w:t>
      </w:r>
      <w:r w:rsidR="00A47680">
        <w:t>HOME_RPS</w:t>
      </w:r>
      <w:r w:rsidR="00850698">
        <w:t xml:space="preserve"> and their interaction a</w:t>
      </w:r>
      <w:r w:rsidR="00A47680">
        <w:t>re positive and statistically significant (</w:t>
      </w:r>
      <w:r w:rsidR="00D429D1">
        <w:rPr>
          <w:i/>
        </w:rPr>
        <w:t xml:space="preserve">p </w:t>
      </w:r>
      <w:r w:rsidR="00A47680">
        <w:t>&lt; 0.01</w:t>
      </w:r>
      <w:r w:rsidR="00850698">
        <w:t xml:space="preserve">). </w:t>
      </w:r>
      <w:r w:rsidR="00854697">
        <w:t xml:space="preserve">The marginal effect of an RPS policy on </w:t>
      </w:r>
      <w:r w:rsidR="009422A0">
        <w:t xml:space="preserve">changes to </w:t>
      </w:r>
      <w:r w:rsidR="00854697">
        <w:t xml:space="preserve">renewable power ranges from </w:t>
      </w:r>
      <w:r w:rsidR="00764059">
        <w:t>–</w:t>
      </w:r>
      <w:r w:rsidR="009422A0">
        <w:t>0</w:t>
      </w:r>
      <w:r w:rsidR="00854697">
        <w:t>.09% when the compliance capability measure is at the minimum (i</w:t>
      </w:r>
      <w:r w:rsidR="00764059">
        <w:t>.</w:t>
      </w:r>
      <w:r w:rsidR="00854697">
        <w:t>e.</w:t>
      </w:r>
      <w:r w:rsidR="00764059">
        <w:t>,</w:t>
      </w:r>
      <w:r w:rsidR="00854697">
        <w:t xml:space="preserve"> least fuel diversity) to 1.04% when at its maximum.</w:t>
      </w:r>
      <w:r w:rsidR="00DA5867">
        <w:rPr>
          <w:rStyle w:val="FootnoteReference"/>
        </w:rPr>
        <w:footnoteReference w:id="6"/>
      </w:r>
      <w:r w:rsidR="00854697">
        <w:t xml:space="preserve"> </w:t>
      </w:r>
      <w:r w:rsidR="00DA5867">
        <w:t xml:space="preserve">The </w:t>
      </w:r>
      <w:r w:rsidR="00540CA8">
        <w:t xml:space="preserve">marginal </w:t>
      </w:r>
      <w:r w:rsidR="00DA5867">
        <w:t xml:space="preserve">effect for the average firm (OPERATIONAL_CAPABILITY = </w:t>
      </w:r>
      <w:r w:rsidR="00764059">
        <w:t>–</w:t>
      </w:r>
      <w:r w:rsidR="00DA5867">
        <w:t xml:space="preserve">9.02) is 0.09. </w:t>
      </w:r>
    </w:p>
    <w:p w:rsidR="00C9226B" w:rsidRDefault="00221B65" w:rsidP="00C9226B">
      <w:pPr>
        <w:spacing w:after="0" w:line="480" w:lineRule="auto"/>
        <w:ind w:firstLine="720"/>
      </w:pPr>
      <w:r>
        <w:t xml:space="preserve">Turning to the hypothesis tests, </w:t>
      </w:r>
      <w:r w:rsidR="00C9226B">
        <w:t>we chose to initially present the results of NEIGHBOR_EFFECT and PEER_EFFECT separately because these variables are moderately correlated. Model 2 presents results from a specification that includes NEIGHBOR_EFFECT. Model 3 presents results from a specification that includes PEER_EFFECT. Model 4 presents results from a specification with both NEIGHBOR_EFFECT and PEER_EFFECT.</w:t>
      </w:r>
    </w:p>
    <w:p w:rsidR="00A3685D" w:rsidRDefault="00C9226B" w:rsidP="00BF079C">
      <w:pPr>
        <w:spacing w:after="0" w:line="480" w:lineRule="auto"/>
        <w:ind w:firstLine="720"/>
      </w:pPr>
      <w:r>
        <w:t>I</w:t>
      </w:r>
      <w:r w:rsidR="00221B65">
        <w:t>n model 2</w:t>
      </w:r>
      <w:r w:rsidR="00764059">
        <w:t>,</w:t>
      </w:r>
      <w:r w:rsidR="00221B65">
        <w:t xml:space="preserve"> we do not find support for hypothesis 1</w:t>
      </w:r>
      <w:r w:rsidR="0096000E">
        <w:t xml:space="preserve">, which considered a firm’s sensitivity to policies set in </w:t>
      </w:r>
      <w:r w:rsidR="00A6342E">
        <w:t>neighboring jurisdictions</w:t>
      </w:r>
      <w:r w:rsidR="00221B65">
        <w:t xml:space="preserve">. </w:t>
      </w:r>
      <w:r w:rsidR="008242F6">
        <w:t xml:space="preserve">The estimate of </w:t>
      </w:r>
      <w:r w:rsidR="00221B65">
        <w:t xml:space="preserve">NEIGHBOR_EFFECT </w:t>
      </w:r>
      <w:r w:rsidR="008242F6">
        <w:t>does not test different</w:t>
      </w:r>
      <w:r w:rsidR="00764059">
        <w:t>ly</w:t>
      </w:r>
      <w:r w:rsidR="008242F6">
        <w:t xml:space="preserve"> from zero</w:t>
      </w:r>
      <w:r w:rsidR="00221B65">
        <w:t xml:space="preserve">. </w:t>
      </w:r>
      <w:r w:rsidR="008242F6">
        <w:t>U</w:t>
      </w:r>
      <w:r w:rsidR="00221B65">
        <w:t xml:space="preserve">tility firms do not appear to alter their use of renewable power when neighboring jurisdictions </w:t>
      </w:r>
      <w:r w:rsidR="00A3685D">
        <w:t xml:space="preserve">increase </w:t>
      </w:r>
      <w:r w:rsidR="00221B65">
        <w:t xml:space="preserve">RPS </w:t>
      </w:r>
      <w:r w:rsidR="00A3685D">
        <w:t>requirements</w:t>
      </w:r>
      <w:r w:rsidR="00221B65">
        <w:t xml:space="preserve">. </w:t>
      </w:r>
    </w:p>
    <w:p w:rsidR="0096000E" w:rsidRDefault="00087B1F" w:rsidP="00BF079C">
      <w:pPr>
        <w:spacing w:after="0" w:line="480" w:lineRule="auto"/>
        <w:ind w:firstLine="720"/>
      </w:pPr>
      <w:r>
        <w:lastRenderedPageBreak/>
        <w:t>Model 3</w:t>
      </w:r>
      <w:r w:rsidR="0096000E">
        <w:t xml:space="preserve">, however, </w:t>
      </w:r>
      <w:r>
        <w:t xml:space="preserve">shows </w:t>
      </w:r>
      <w:r w:rsidR="0096000E">
        <w:t>support for hypothesis 2</w:t>
      </w:r>
      <w:r>
        <w:t>. T</w:t>
      </w:r>
      <w:r w:rsidR="0096000E">
        <w:t xml:space="preserve">he </w:t>
      </w:r>
      <w:r>
        <w:t>positive and statistically significant (</w:t>
      </w:r>
      <w:r w:rsidRPr="00795994">
        <w:rPr>
          <w:i/>
        </w:rPr>
        <w:t>p</w:t>
      </w:r>
      <w:r>
        <w:t xml:space="preserve"> &lt; 0.01) </w:t>
      </w:r>
      <w:r w:rsidR="0096000E">
        <w:t xml:space="preserve">coefficient of PEER_EFFECT </w:t>
      </w:r>
      <w:r>
        <w:t>demonstrates that f</w:t>
      </w:r>
      <w:r w:rsidR="0096000E">
        <w:t>irms increase their use of renewable power as their peers are subject to increasingly stringent RPS policies</w:t>
      </w:r>
      <w:r w:rsidR="00A06CC4">
        <w:t xml:space="preserve"> elsewhere</w:t>
      </w:r>
      <w:r w:rsidR="0096000E">
        <w:t xml:space="preserve">. This </w:t>
      </w:r>
      <w:r w:rsidR="00764059">
        <w:t xml:space="preserve">finding </w:t>
      </w:r>
      <w:r w:rsidR="0096000E">
        <w:t xml:space="preserve">is consistent with the </w:t>
      </w:r>
      <w:r w:rsidR="00A06CC4">
        <w:t xml:space="preserve">existence </w:t>
      </w:r>
      <w:r w:rsidR="0096000E">
        <w:t>of a regulatory</w:t>
      </w:r>
      <w:r w:rsidR="00A06CC4">
        <w:t xml:space="preserve"> externality</w:t>
      </w:r>
      <w:r w:rsidR="0096000E">
        <w:t xml:space="preserve">. </w:t>
      </w:r>
    </w:p>
    <w:p w:rsidR="00A560F8" w:rsidRDefault="00087B1F" w:rsidP="00BF079C">
      <w:pPr>
        <w:spacing w:after="0" w:line="480" w:lineRule="auto"/>
        <w:ind w:firstLine="720"/>
      </w:pPr>
      <w:r>
        <w:t>Model 4</w:t>
      </w:r>
      <w:r w:rsidR="00FA4F93">
        <w:t xml:space="preserve"> </w:t>
      </w:r>
      <w:r w:rsidR="0096000E">
        <w:t>include</w:t>
      </w:r>
      <w:r>
        <w:t>s</w:t>
      </w:r>
      <w:r w:rsidR="0096000E">
        <w:t xml:space="preserve"> NEIGHBOR_EFFECT and PEER_EFFECT in the same </w:t>
      </w:r>
      <w:r>
        <w:t>specification</w:t>
      </w:r>
      <w:r w:rsidR="0096000E">
        <w:t xml:space="preserve">. </w:t>
      </w:r>
      <w:r w:rsidR="00540CA8">
        <w:t xml:space="preserve">We find </w:t>
      </w:r>
      <w:r w:rsidR="00FA4F93">
        <w:t xml:space="preserve">that </w:t>
      </w:r>
      <w:r w:rsidR="0096000E">
        <w:t>PEER_EFFECT remains positive and significant (</w:t>
      </w:r>
      <w:r w:rsidR="0096000E" w:rsidRPr="00795994">
        <w:rPr>
          <w:i/>
        </w:rPr>
        <w:t>p</w:t>
      </w:r>
      <w:r w:rsidR="0096000E">
        <w:t xml:space="preserve"> &lt; 0.01). However, </w:t>
      </w:r>
      <w:r w:rsidR="00957F26">
        <w:t xml:space="preserve">when </w:t>
      </w:r>
      <w:r w:rsidR="0096000E">
        <w:t>controlling for the PEER_EFFECT, we find that the coefficient estimate of NEIGHBOR_EFFECT is negative and statistically significant (</w:t>
      </w:r>
      <w:r w:rsidR="0096000E" w:rsidRPr="00795994">
        <w:rPr>
          <w:i/>
        </w:rPr>
        <w:t xml:space="preserve">p </w:t>
      </w:r>
      <w:r w:rsidR="0096000E">
        <w:t xml:space="preserve">&lt; 0.05). </w:t>
      </w:r>
      <w:r w:rsidR="005614D5">
        <w:t xml:space="preserve">Therefore, </w:t>
      </w:r>
      <w:r w:rsidR="00150C4C">
        <w:t>beyond</w:t>
      </w:r>
      <w:r w:rsidR="005614D5">
        <w:t xml:space="preserve"> </w:t>
      </w:r>
      <w:r w:rsidR="00DB0915">
        <w:t xml:space="preserve">utility firms </w:t>
      </w:r>
      <w:r w:rsidR="005614D5">
        <w:t xml:space="preserve">improving </w:t>
      </w:r>
      <w:r w:rsidR="00DB0915">
        <w:t xml:space="preserve">their </w:t>
      </w:r>
      <w:r w:rsidR="005614D5">
        <w:t xml:space="preserve">environmental performance </w:t>
      </w:r>
      <w:r w:rsidR="00150C4C">
        <w:t xml:space="preserve">in response to the regulatory externality induced by peers, </w:t>
      </w:r>
      <w:r w:rsidR="00DB0915">
        <w:t xml:space="preserve">these </w:t>
      </w:r>
      <w:r w:rsidR="00150C4C">
        <w:t xml:space="preserve">firms appear to curb such actions when pressure emanates from neighboring jurisdictions. </w:t>
      </w:r>
    </w:p>
    <w:p w:rsidR="00A560F8" w:rsidRDefault="00764059" w:rsidP="00BF079C">
      <w:pPr>
        <w:spacing w:after="0" w:line="480" w:lineRule="auto"/>
        <w:ind w:firstLine="720"/>
      </w:pPr>
      <w:r>
        <w:t xml:space="preserve">Because </w:t>
      </w:r>
      <w:r w:rsidR="000C3C46">
        <w:t>previous studies have identified the importance of regulation and competence at improving environmental performance</w:t>
      </w:r>
      <w:r>
        <w:t>,</w:t>
      </w:r>
      <w:r w:rsidR="000C3C46">
        <w:t xml:space="preserve"> it is worth</w:t>
      </w:r>
      <w:r w:rsidR="00540CA8">
        <w:t>while</w:t>
      </w:r>
      <w:r w:rsidR="000C3C46">
        <w:t xml:space="preserve"> interpreting the </w:t>
      </w:r>
      <w:r w:rsidR="00540CA8">
        <w:t xml:space="preserve">effect </w:t>
      </w:r>
      <w:r w:rsidR="000C3C46">
        <w:t xml:space="preserve">of regulatory externalities vis-à-vis these established relationships. </w:t>
      </w:r>
      <w:r w:rsidR="00A560F8">
        <w:t xml:space="preserve">The economic significance of </w:t>
      </w:r>
      <w:r w:rsidR="00E67477">
        <w:t>PEER_EFFECT</w:t>
      </w:r>
      <w:r w:rsidR="000C3C46">
        <w:t xml:space="preserve"> </w:t>
      </w:r>
      <w:r w:rsidR="00A560F8">
        <w:t xml:space="preserve">is considerable. </w:t>
      </w:r>
      <w:r w:rsidR="00DA5867">
        <w:t xml:space="preserve">The coefficient of peer effect indicates that a </w:t>
      </w:r>
      <w:r>
        <w:t>1%</w:t>
      </w:r>
      <w:r w:rsidR="00DA5867">
        <w:t xml:space="preserve"> increase in RPS faced by </w:t>
      </w:r>
      <w:r w:rsidR="00CC0CE1">
        <w:t>peers increases a focal firm’s use of renewable power by 0.24</w:t>
      </w:r>
      <w:r>
        <w:t>%</w:t>
      </w:r>
      <w:r w:rsidR="00CC0CE1">
        <w:t>. Recall, when a state</w:t>
      </w:r>
      <w:r w:rsidR="00DB0915">
        <w:t>’s RPS</w:t>
      </w:r>
      <w:r w:rsidR="00CC0CE1">
        <w:t xml:space="preserve"> increases by </w:t>
      </w:r>
      <w:r>
        <w:t>1%</w:t>
      </w:r>
      <w:r w:rsidR="00CC0CE1">
        <w:t xml:space="preserve">, a firm of average compliance capability increases renewable power generation by </w:t>
      </w:r>
      <w:r>
        <w:t xml:space="preserve">only </w:t>
      </w:r>
      <w:r w:rsidR="00494383">
        <w:t>0.</w:t>
      </w:r>
      <w:r w:rsidR="008A2AD5">
        <w:t>0</w:t>
      </w:r>
      <w:r w:rsidR="00494383">
        <w:t>9</w:t>
      </w:r>
      <w:r>
        <w:t>%</w:t>
      </w:r>
      <w:r w:rsidR="00494383">
        <w:t>, or one-third the magnitude. For the most capable firms, the effect of the focal state</w:t>
      </w:r>
      <w:r w:rsidR="00DB0915">
        <w:t>’s</w:t>
      </w:r>
      <w:r w:rsidR="00494383">
        <w:t xml:space="preserve"> RPS exceeds that of the peer</w:t>
      </w:r>
      <w:r w:rsidR="00DB0915">
        <w:t>’s</w:t>
      </w:r>
      <w:r w:rsidR="00494383">
        <w:t xml:space="preserve"> RPS (1.11</w:t>
      </w:r>
      <w:r>
        <w:t>%</w:t>
      </w:r>
      <w:r w:rsidR="00494383">
        <w:t xml:space="preserve"> versus 0</w:t>
      </w:r>
      <w:r w:rsidR="00264EA6">
        <w:t>.</w:t>
      </w:r>
      <w:r w:rsidR="00494383">
        <w:t>24</w:t>
      </w:r>
      <w:r>
        <w:t>%</w:t>
      </w:r>
      <w:r w:rsidR="00494383">
        <w:t xml:space="preserve">). </w:t>
      </w:r>
      <w:r w:rsidR="00D6519E">
        <w:t>Although the focal effect is larger than the peer effect</w:t>
      </w:r>
      <w:r w:rsidR="00494383">
        <w:t xml:space="preserve">, the magnitude of both effects highlights the </w:t>
      </w:r>
      <w:r w:rsidR="00957F26">
        <w:t xml:space="preserve">significance </w:t>
      </w:r>
      <w:r w:rsidR="00D6519E">
        <w:t xml:space="preserve">of the peer effect. </w:t>
      </w:r>
      <w:r w:rsidR="00A06CC4">
        <w:t>F</w:t>
      </w:r>
      <w:r w:rsidR="00400F47">
        <w:t>or an average</w:t>
      </w:r>
      <w:r>
        <w:t>-</w:t>
      </w:r>
      <w:r w:rsidR="00400F47">
        <w:t>sized utility</w:t>
      </w:r>
      <w:r w:rsidR="00A06CC4">
        <w:t>,</w:t>
      </w:r>
      <w:r w:rsidR="00400F47">
        <w:t xml:space="preserve"> </w:t>
      </w:r>
      <w:r w:rsidR="00FC2A85">
        <w:t xml:space="preserve">a </w:t>
      </w:r>
      <w:r w:rsidR="00701C2E">
        <w:t>unit</w:t>
      </w:r>
      <w:r w:rsidR="00FC2A85">
        <w:t xml:space="preserve"> increa</w:t>
      </w:r>
      <w:r w:rsidR="00600A1A">
        <w:t>s</w:t>
      </w:r>
      <w:r w:rsidR="00FC2A85">
        <w:t xml:space="preserve">e to </w:t>
      </w:r>
      <w:r w:rsidR="00400F47">
        <w:t xml:space="preserve">PEER_EFFECT is equivalent to powering 3,800 homes with renewable power </w:t>
      </w:r>
      <w:r>
        <w:t xml:space="preserve">for one </w:t>
      </w:r>
      <w:r w:rsidR="00400F47">
        <w:t>year</w:t>
      </w:r>
      <w:r w:rsidR="00540596">
        <w:t>.</w:t>
      </w:r>
    </w:p>
    <w:p w:rsidR="0096000E" w:rsidRDefault="00030D36" w:rsidP="00BF079C">
      <w:pPr>
        <w:spacing w:after="0" w:line="480" w:lineRule="auto"/>
        <w:ind w:firstLine="720"/>
      </w:pPr>
      <w:r>
        <w:lastRenderedPageBreak/>
        <w:t xml:space="preserve">The finding of a negative relationship from the NEIGHBOR_EFFECT </w:t>
      </w:r>
      <w:r w:rsidR="004F3456">
        <w:t>is</w:t>
      </w:r>
      <w:r>
        <w:t xml:space="preserve"> </w:t>
      </w:r>
      <w:r w:rsidR="00A125E3">
        <w:t>unexpected</w:t>
      </w:r>
      <w:r w:rsidR="00D6519E">
        <w:t xml:space="preserve">; however, </w:t>
      </w:r>
      <w:r>
        <w:t xml:space="preserve">its economic significance is </w:t>
      </w:r>
      <w:r w:rsidR="00434750">
        <w:t xml:space="preserve">relatively </w:t>
      </w:r>
      <w:r>
        <w:t>modest</w:t>
      </w:r>
      <w:r w:rsidR="0096000E">
        <w:t>. A</w:t>
      </w:r>
      <w:r w:rsidR="008A2AD5">
        <w:t>n</w:t>
      </w:r>
      <w:r w:rsidR="0096000E">
        <w:t xml:space="preserve"> </w:t>
      </w:r>
      <w:r w:rsidR="00434750">
        <w:t>increase in a neighboring state</w:t>
      </w:r>
      <w:r w:rsidR="00DB0915">
        <w:t>’s</w:t>
      </w:r>
      <w:r w:rsidR="00434750">
        <w:t xml:space="preserve"> RPS by </w:t>
      </w:r>
      <w:r w:rsidR="00764059">
        <w:t>1%</w:t>
      </w:r>
      <w:r w:rsidR="00434750">
        <w:t xml:space="preserve"> </w:t>
      </w:r>
      <w:r w:rsidR="0096000E">
        <w:t>decrease</w:t>
      </w:r>
      <w:r w:rsidR="004F3456">
        <w:t>s</w:t>
      </w:r>
      <w:r w:rsidR="0096000E">
        <w:t xml:space="preserve"> a firm’s renewable power use</w:t>
      </w:r>
      <w:r w:rsidR="00434750">
        <w:t xml:space="preserve"> by 0.05</w:t>
      </w:r>
      <w:r w:rsidR="00764059">
        <w:t>%</w:t>
      </w:r>
      <w:r w:rsidR="0096000E">
        <w:t xml:space="preserve">. Our interpretation </w:t>
      </w:r>
      <w:r w:rsidR="00434750">
        <w:t xml:space="preserve">of the negative effect </w:t>
      </w:r>
      <w:r w:rsidR="0096000E">
        <w:t>is that the adoption of a</w:t>
      </w:r>
      <w:r w:rsidR="0008433F">
        <w:t>n</w:t>
      </w:r>
      <w:r w:rsidR="0096000E">
        <w:t xml:space="preserve"> RPS in a nearby jurisdiction can induce a premium in the marketplace for renewable power. </w:t>
      </w:r>
      <w:r w:rsidR="000C2E9A">
        <w:t xml:space="preserve">Holding all </w:t>
      </w:r>
      <w:r w:rsidR="0008433F">
        <w:t xml:space="preserve">other factors </w:t>
      </w:r>
      <w:r w:rsidR="000C2E9A">
        <w:t>constant, t</w:t>
      </w:r>
      <w:r w:rsidR="0096000E">
        <w:t>his</w:t>
      </w:r>
      <w:r w:rsidR="000C2E9A">
        <w:t xml:space="preserve"> </w:t>
      </w:r>
      <w:r w:rsidR="00764059">
        <w:t xml:space="preserve">effect </w:t>
      </w:r>
      <w:r w:rsidR="000C2E9A">
        <w:t xml:space="preserve">might encourage </w:t>
      </w:r>
      <w:r w:rsidR="0096000E">
        <w:t>firms to relinquish the amount of renewable power they sourc</w:t>
      </w:r>
      <w:r>
        <w:t>e</w:t>
      </w:r>
      <w:r w:rsidR="000C2E9A">
        <w:t xml:space="preserve"> if the increased demand for this power becomes </w:t>
      </w:r>
      <w:r w:rsidR="0096000E">
        <w:t>more expensive</w:t>
      </w:r>
      <w:r w:rsidR="000C2E9A">
        <w:t xml:space="preserve">. Therefore, firms in neighboring jurisdictions might substitute </w:t>
      </w:r>
      <w:r w:rsidR="0096000E">
        <w:t xml:space="preserve">more traditional forms of electricity generation. </w:t>
      </w:r>
    </w:p>
    <w:p w:rsidR="0096000E" w:rsidRDefault="0096000E" w:rsidP="00BF079C">
      <w:pPr>
        <w:spacing w:after="0" w:line="480" w:lineRule="auto"/>
        <w:ind w:firstLine="720"/>
      </w:pPr>
      <w:r>
        <w:t xml:space="preserve">Turning to the control variables, </w:t>
      </w:r>
      <w:r w:rsidR="00A125E3">
        <w:t>several estimates were consistent throughout the models</w:t>
      </w:r>
      <w:r w:rsidR="003A6D8F">
        <w:t xml:space="preserve"> and </w:t>
      </w:r>
      <w:r w:rsidR="00366650">
        <w:t>are consistent with</w:t>
      </w:r>
      <w:r w:rsidR="003A6D8F">
        <w:t xml:space="preserve"> </w:t>
      </w:r>
      <w:r w:rsidR="00366650">
        <w:t>results in the existing literature</w:t>
      </w:r>
      <w:r w:rsidR="00C14787">
        <w:t>. T</w:t>
      </w:r>
      <w:r>
        <w:t>he coefficient of the lagged dependent variable is positive and statistically significant (</w:t>
      </w:r>
      <w:r w:rsidR="006331AC" w:rsidRPr="006331AC">
        <w:rPr>
          <w:i/>
        </w:rPr>
        <w:t>p</w:t>
      </w:r>
      <w:r w:rsidR="0008433F">
        <w:t xml:space="preserve"> </w:t>
      </w:r>
      <w:r>
        <w:t>&lt;</w:t>
      </w:r>
      <w:r w:rsidR="0008433F">
        <w:t xml:space="preserve"> </w:t>
      </w:r>
      <w:r>
        <w:t>0.01) for all models.</w:t>
      </w:r>
      <w:r>
        <w:rPr>
          <w:rStyle w:val="FootnoteReference"/>
        </w:rPr>
        <w:footnoteReference w:id="7"/>
      </w:r>
      <w:r>
        <w:t xml:space="preserve"> This </w:t>
      </w:r>
      <w:r w:rsidR="00764059">
        <w:t xml:space="preserve">finding </w:t>
      </w:r>
      <w:r>
        <w:t xml:space="preserve">lends support to the expectation that current </w:t>
      </w:r>
      <w:r w:rsidR="00366650">
        <w:t>levels</w:t>
      </w:r>
      <w:r>
        <w:t xml:space="preserve"> </w:t>
      </w:r>
      <w:r w:rsidR="00366650">
        <w:t xml:space="preserve">on </w:t>
      </w:r>
      <w:r>
        <w:t>renewable power are based on prior levels of its use.</w:t>
      </w:r>
      <w:r w:rsidR="00C14787">
        <w:t xml:space="preserve"> </w:t>
      </w:r>
      <w:r w:rsidR="00366650">
        <w:t>Thus, f</w:t>
      </w:r>
      <w:r w:rsidR="00C14787">
        <w:t xml:space="preserve">irms experienced with new generating technologies are likely to seek out these options in the future. </w:t>
      </w:r>
      <w:r w:rsidR="00A06CC4">
        <w:t>R</w:t>
      </w:r>
      <w:r w:rsidR="00C14787">
        <w:t xml:space="preserve">elated to this interpretation </w:t>
      </w:r>
      <w:r w:rsidR="00366650">
        <w:t xml:space="preserve">is that </w:t>
      </w:r>
      <w:r w:rsidR="00C14787">
        <w:t xml:space="preserve">renewable energy projects are often multi-stage investments that come online over several years. </w:t>
      </w:r>
    </w:p>
    <w:p w:rsidR="0096000E" w:rsidRDefault="0096000E" w:rsidP="00BF079C">
      <w:pPr>
        <w:spacing w:after="0" w:line="480" w:lineRule="auto"/>
        <w:ind w:firstLine="720"/>
      </w:pPr>
      <w:r>
        <w:t xml:space="preserve">Interest group pressure </w:t>
      </w:r>
      <w:r w:rsidR="00764059">
        <w:t xml:space="preserve">has </w:t>
      </w:r>
      <w:r>
        <w:t xml:space="preserve">diverging effects on renewable power use as </w:t>
      </w:r>
      <w:r w:rsidR="00C14787">
        <w:t xml:space="preserve">the coefficient estimate for </w:t>
      </w:r>
      <w:proofErr w:type="spellStart"/>
      <w:r>
        <w:t>RESIDENTIAL_SALES</w:t>
      </w:r>
      <w:r>
        <w:rPr>
          <w:vertAlign w:val="subscript"/>
        </w:rPr>
        <w:t>it</w:t>
      </w:r>
      <w:proofErr w:type="spellEnd"/>
      <w:r>
        <w:t xml:space="preserve"> </w:t>
      </w:r>
      <w:r w:rsidR="00366650">
        <w:t>is</w:t>
      </w:r>
      <w:r>
        <w:t xml:space="preserve"> negative and marginally significant (</w:t>
      </w:r>
      <w:r>
        <w:rPr>
          <w:i/>
        </w:rPr>
        <w:t>p</w:t>
      </w:r>
      <w:r>
        <w:t xml:space="preserve"> &lt; 0.10)</w:t>
      </w:r>
      <w:r w:rsidR="00764059">
        <w:t>,</w:t>
      </w:r>
      <w:r>
        <w:t xml:space="preserve"> </w:t>
      </w:r>
      <w:r w:rsidR="00366650">
        <w:t>whereas</w:t>
      </w:r>
      <w:r w:rsidR="00C14787">
        <w:t xml:space="preserve"> the estimate for </w:t>
      </w:r>
      <w:proofErr w:type="spellStart"/>
      <w:r>
        <w:t>SIERRA_CLUB</w:t>
      </w:r>
      <w:r>
        <w:rPr>
          <w:vertAlign w:val="subscript"/>
        </w:rPr>
        <w:t>it</w:t>
      </w:r>
      <w:proofErr w:type="spellEnd"/>
      <w:r>
        <w:rPr>
          <w:vertAlign w:val="subscript"/>
        </w:rPr>
        <w:t xml:space="preserve"> </w:t>
      </w:r>
      <w:r w:rsidR="00366650">
        <w:t>is</w:t>
      </w:r>
      <w:r>
        <w:t xml:space="preserve"> positive and significant (</w:t>
      </w:r>
      <w:r>
        <w:rPr>
          <w:i/>
        </w:rPr>
        <w:t>p</w:t>
      </w:r>
      <w:r>
        <w:t xml:space="preserve"> &lt; 0.01). Therefore, firms that have greater ties to residential customers use less renewable power, which tends to be more expensive on a </w:t>
      </w:r>
      <w:r w:rsidR="007B75E1">
        <w:t>kilowatt-hour</w:t>
      </w:r>
      <w:r>
        <w:t xml:space="preserve"> basis. </w:t>
      </w:r>
      <w:r w:rsidR="00B3721C">
        <w:t>F</w:t>
      </w:r>
      <w:r>
        <w:t xml:space="preserve">irms in jurisdictions with a stronger environmental lobby are likely to enhance their environmental performance, consistent with Sine and Lee (2009) and Maxwell </w:t>
      </w:r>
      <w:r w:rsidR="006331AC" w:rsidRPr="006331AC">
        <w:rPr>
          <w:i/>
        </w:rPr>
        <w:t>et al.</w:t>
      </w:r>
      <w:r>
        <w:t xml:space="preserve"> (2000). </w:t>
      </w:r>
      <w:r w:rsidR="00B3721C">
        <w:t>We also find that l</w:t>
      </w:r>
      <w:r w:rsidR="00C14787">
        <w:t xml:space="preserve">arger firms are less likely to adopt renewable power </w:t>
      </w:r>
      <w:r w:rsidR="00526489">
        <w:lastRenderedPageBreak/>
        <w:t xml:space="preserve">because </w:t>
      </w:r>
      <w:r w:rsidR="00C14787">
        <w:t>the coefficient estimate for</w:t>
      </w:r>
      <w:r>
        <w:t xml:space="preserve"> </w:t>
      </w:r>
      <w:proofErr w:type="spellStart"/>
      <w:r>
        <w:t>FIRM_SIZE</w:t>
      </w:r>
      <w:r w:rsidRPr="00C944C9">
        <w:rPr>
          <w:vertAlign w:val="subscript"/>
        </w:rPr>
        <w:t>it</w:t>
      </w:r>
      <w:proofErr w:type="spellEnd"/>
      <w:r>
        <w:rPr>
          <w:vertAlign w:val="subscript"/>
        </w:rPr>
        <w:t xml:space="preserve"> </w:t>
      </w:r>
      <w:r w:rsidR="00366650">
        <w:t>is</w:t>
      </w:r>
      <w:r>
        <w:t xml:space="preserve"> negative and marginally significant (</w:t>
      </w:r>
      <w:r w:rsidRPr="00366FF1">
        <w:rPr>
          <w:i/>
        </w:rPr>
        <w:t>p</w:t>
      </w:r>
      <w:r>
        <w:t xml:space="preserve"> &lt; 0.10)</w:t>
      </w:r>
      <w:r w:rsidR="00C14787">
        <w:t xml:space="preserve">. This </w:t>
      </w:r>
      <w:r w:rsidR="00526489">
        <w:t xml:space="preserve">finding </w:t>
      </w:r>
      <w:r w:rsidR="00C14787">
        <w:t>is</w:t>
      </w:r>
      <w:r>
        <w:t xml:space="preserve"> consistent with the </w:t>
      </w:r>
      <w:r w:rsidR="00A3685D">
        <w:t xml:space="preserve">interpretation </w:t>
      </w:r>
      <w:r>
        <w:t>that larger firms may be tied to the large-scale base load plants (i</w:t>
      </w:r>
      <w:r w:rsidR="00526489">
        <w:t>.</w:t>
      </w:r>
      <w:r>
        <w:t>e.</w:t>
      </w:r>
      <w:r w:rsidR="00526489">
        <w:t>,</w:t>
      </w:r>
      <w:r>
        <w:t xml:space="preserve"> nuclear and coal</w:t>
      </w:r>
      <w:r w:rsidR="00526489">
        <w:t xml:space="preserve"> plants</w:t>
      </w:r>
      <w:r>
        <w:t xml:space="preserve">) and face considerable inertia in efforts to modify organizational practices. Consistent with Delmas </w:t>
      </w:r>
      <w:r w:rsidR="006331AC" w:rsidRPr="006331AC">
        <w:rPr>
          <w:i/>
        </w:rPr>
        <w:t>et al.</w:t>
      </w:r>
      <w:r>
        <w:t xml:space="preserve"> (2007), we find that </w:t>
      </w:r>
      <w:proofErr w:type="spellStart"/>
      <w:r>
        <w:t>DEREGULATION</w:t>
      </w:r>
      <w:r w:rsidRPr="004C1538">
        <w:rPr>
          <w:vertAlign w:val="subscript"/>
        </w:rPr>
        <w:t>it</w:t>
      </w:r>
      <w:proofErr w:type="spellEnd"/>
      <w:r>
        <w:t xml:space="preserve"> is positive and significantly </w:t>
      </w:r>
      <w:r w:rsidRPr="00290702">
        <w:t>related</w:t>
      </w:r>
      <w:r>
        <w:t xml:space="preserve"> </w:t>
      </w:r>
      <w:r w:rsidR="00526489">
        <w:t>(</w:t>
      </w:r>
      <w:r w:rsidR="00526489" w:rsidRPr="00290702">
        <w:rPr>
          <w:i/>
        </w:rPr>
        <w:t>p</w:t>
      </w:r>
      <w:r w:rsidR="00526489">
        <w:t xml:space="preserve"> &lt; 0.01) </w:t>
      </w:r>
      <w:r>
        <w:t xml:space="preserve">to use of renewable power. In fact, IOUs that operate in deregulated states tend to use approximately 5% more renewable power. The coefficient for </w:t>
      </w:r>
      <w:proofErr w:type="spellStart"/>
      <w:r>
        <w:t>DEMOCRATS</w:t>
      </w:r>
      <w:r w:rsidRPr="00AE3EC8">
        <w:rPr>
          <w:vertAlign w:val="subscript"/>
        </w:rPr>
        <w:t>it</w:t>
      </w:r>
      <w:proofErr w:type="spellEnd"/>
      <w:r>
        <w:rPr>
          <w:vertAlign w:val="subscript"/>
        </w:rPr>
        <w:t xml:space="preserve"> </w:t>
      </w:r>
      <w:r w:rsidR="00366650">
        <w:t>is</w:t>
      </w:r>
      <w:r>
        <w:t xml:space="preserve"> positive and significant (</w:t>
      </w:r>
      <w:r>
        <w:rPr>
          <w:i/>
        </w:rPr>
        <w:t>p</w:t>
      </w:r>
      <w:r>
        <w:t xml:space="preserve"> &lt; 0.05)</w:t>
      </w:r>
      <w:r w:rsidR="00526489">
        <w:t>,</w:t>
      </w:r>
      <w:r>
        <w:t xml:space="preserve"> indicating that firm choice to modify its environmental performance is sensitive to the political landscape. Year dummies </w:t>
      </w:r>
      <w:r w:rsidR="00366650">
        <w:t>are</w:t>
      </w:r>
      <w:r>
        <w:t xml:space="preserve"> included in all models</w:t>
      </w:r>
      <w:r w:rsidR="00526489">
        <w:t>;</w:t>
      </w:r>
      <w:r>
        <w:t xml:space="preserve"> although not reported in the tables</w:t>
      </w:r>
      <w:r w:rsidR="00526489">
        <w:t>,</w:t>
      </w:r>
      <w:r w:rsidR="00366650">
        <w:t xml:space="preserve"> we find </w:t>
      </w:r>
      <w:r>
        <w:t>a positive and significant (</w:t>
      </w:r>
      <w:r w:rsidRPr="00290702">
        <w:rPr>
          <w:i/>
        </w:rPr>
        <w:t>p</w:t>
      </w:r>
      <w:r>
        <w:t xml:space="preserve"> &lt; 0.01) </w:t>
      </w:r>
      <w:r w:rsidR="00366650">
        <w:t xml:space="preserve">estimate </w:t>
      </w:r>
      <w:r>
        <w:t xml:space="preserve">for 2005. This </w:t>
      </w:r>
      <w:r w:rsidR="00526489">
        <w:t xml:space="preserve">estimate </w:t>
      </w:r>
      <w:r w:rsidR="00366650">
        <w:t xml:space="preserve">might </w:t>
      </w:r>
      <w:r>
        <w:t xml:space="preserve">be due to the passage of The Energy Policy Act of 2005 that allocated $2.7 billion to extend the </w:t>
      </w:r>
      <w:r w:rsidRPr="005B7864">
        <w:t>renewable electricity production</w:t>
      </w:r>
      <w:r w:rsidR="00366650">
        <w:t xml:space="preserve"> credit program</w:t>
      </w:r>
      <w:r>
        <w:t>.</w:t>
      </w:r>
    </w:p>
    <w:p w:rsidR="0008433F" w:rsidRDefault="0008433F">
      <w:pPr>
        <w:keepNext/>
        <w:spacing w:after="0" w:line="480" w:lineRule="auto"/>
        <w:rPr>
          <w:i/>
        </w:rPr>
      </w:pPr>
    </w:p>
    <w:p w:rsidR="000F6251" w:rsidRDefault="00AD7019">
      <w:pPr>
        <w:keepNext/>
        <w:spacing w:after="0" w:line="480" w:lineRule="auto"/>
        <w:rPr>
          <w:i/>
        </w:rPr>
      </w:pPr>
      <w:r w:rsidRPr="00E03842">
        <w:rPr>
          <w:i/>
        </w:rPr>
        <w:t>Robustness</w:t>
      </w:r>
      <w:r w:rsidR="00852157" w:rsidRPr="00BB39A1">
        <w:rPr>
          <w:i/>
        </w:rPr>
        <w:t xml:space="preserve"> </w:t>
      </w:r>
      <w:r w:rsidR="007B3E31">
        <w:rPr>
          <w:i/>
        </w:rPr>
        <w:t xml:space="preserve">tests and </w:t>
      </w:r>
      <w:r w:rsidR="0008433F">
        <w:rPr>
          <w:i/>
        </w:rPr>
        <w:t>a</w:t>
      </w:r>
      <w:r w:rsidR="00852157" w:rsidRPr="00BB39A1">
        <w:rPr>
          <w:i/>
        </w:rPr>
        <w:t xml:space="preserve">lternative </w:t>
      </w:r>
      <w:r w:rsidR="0008433F">
        <w:rPr>
          <w:i/>
        </w:rPr>
        <w:t>e</w:t>
      </w:r>
      <w:r w:rsidR="00852157" w:rsidRPr="00BB39A1">
        <w:rPr>
          <w:i/>
        </w:rPr>
        <w:t>xplanations</w:t>
      </w:r>
    </w:p>
    <w:p w:rsidR="00237FA0" w:rsidRDefault="00F76F16" w:rsidP="00BF079C">
      <w:pPr>
        <w:spacing w:after="0" w:line="480" w:lineRule="auto"/>
      </w:pPr>
      <w:r>
        <w:t>W</w:t>
      </w:r>
      <w:r w:rsidR="00685C00">
        <w:t xml:space="preserve">e </w:t>
      </w:r>
      <w:r w:rsidR="005E7AD7">
        <w:t xml:space="preserve">assessed </w:t>
      </w:r>
      <w:r w:rsidR="00526489">
        <w:t xml:space="preserve">whether </w:t>
      </w:r>
      <w:r w:rsidR="005E7AD7">
        <w:t xml:space="preserve">our </w:t>
      </w:r>
      <w:r w:rsidR="00685C00">
        <w:t xml:space="preserve">results </w:t>
      </w:r>
      <w:r w:rsidR="005E7AD7">
        <w:t>we</w:t>
      </w:r>
      <w:r w:rsidR="00685C00">
        <w:t xml:space="preserve">re sensitive to different </w:t>
      </w:r>
      <w:proofErr w:type="spellStart"/>
      <w:r w:rsidR="00685C00">
        <w:t>operationalizations</w:t>
      </w:r>
      <w:proofErr w:type="spellEnd"/>
      <w:r w:rsidR="00685C00">
        <w:t xml:space="preserve"> of our key variables </w:t>
      </w:r>
      <w:r w:rsidR="00E14C34">
        <w:t>by re-estimating</w:t>
      </w:r>
      <w:r w:rsidR="006935A7">
        <w:t xml:space="preserve"> </w:t>
      </w:r>
      <w:r w:rsidR="00366650">
        <w:t>the</w:t>
      </w:r>
      <w:r w:rsidR="006935A7">
        <w:t xml:space="preserve"> models with </w:t>
      </w:r>
      <w:r w:rsidR="00366650">
        <w:t xml:space="preserve">a </w:t>
      </w:r>
      <w:r w:rsidR="00941919">
        <w:t xml:space="preserve">different </w:t>
      </w:r>
      <w:r w:rsidR="00D429D1">
        <w:t>measure</w:t>
      </w:r>
      <w:r w:rsidR="00E849BF">
        <w:t xml:space="preserve"> of</w:t>
      </w:r>
      <w:r w:rsidR="00941919">
        <w:t xml:space="preserve"> </w:t>
      </w:r>
      <w:proofErr w:type="spellStart"/>
      <w:r w:rsidR="006935A7">
        <w:t>PEER_EFFECT</w:t>
      </w:r>
      <w:r w:rsidR="006935A7" w:rsidRPr="006935A7">
        <w:rPr>
          <w:vertAlign w:val="subscript"/>
        </w:rPr>
        <w:t>it</w:t>
      </w:r>
      <w:proofErr w:type="spellEnd"/>
      <w:r w:rsidR="00941919">
        <w:t xml:space="preserve">. </w:t>
      </w:r>
      <w:r w:rsidR="00E9420B">
        <w:t xml:space="preserve">Instead of using the most stringent RPS, the </w:t>
      </w:r>
      <w:r w:rsidR="00237FA0">
        <w:t xml:space="preserve">modified </w:t>
      </w:r>
      <w:r w:rsidR="00941919">
        <w:t xml:space="preserve">measure </w:t>
      </w:r>
      <w:r w:rsidR="006935A7">
        <w:t xml:space="preserve">used a weighted average </w:t>
      </w:r>
      <w:r w:rsidR="00941919">
        <w:t>RPS faced by peer firms (</w:t>
      </w:r>
      <w:r w:rsidR="006935A7">
        <w:t xml:space="preserve">based on the quantity of power in </w:t>
      </w:r>
      <w:r w:rsidR="00526489">
        <w:t>m</w:t>
      </w:r>
      <w:r w:rsidR="006935A7">
        <w:t xml:space="preserve">egawatt </w:t>
      </w:r>
      <w:r w:rsidR="00526489">
        <w:t>h</w:t>
      </w:r>
      <w:r w:rsidR="006935A7">
        <w:t>ours sold in each state</w:t>
      </w:r>
      <w:r w:rsidR="00941919">
        <w:t>)</w:t>
      </w:r>
      <w:r w:rsidR="00D429D1">
        <w:t>,</w:t>
      </w:r>
      <w:r w:rsidR="006935A7">
        <w:t xml:space="preserve"> before averaging across </w:t>
      </w:r>
      <w:r w:rsidR="00603AB5">
        <w:t xml:space="preserve">a focal </w:t>
      </w:r>
      <w:r w:rsidR="006935A7">
        <w:t>firm’s peers.</w:t>
      </w:r>
      <w:r w:rsidR="00237FA0">
        <w:t xml:space="preserve"> Similarly, we estimated </w:t>
      </w:r>
      <w:r w:rsidR="00366650">
        <w:t>the</w:t>
      </w:r>
      <w:r w:rsidR="00237FA0">
        <w:t xml:space="preserve"> models with an alternative to </w:t>
      </w:r>
      <w:proofErr w:type="spellStart"/>
      <w:r w:rsidR="00237FA0">
        <w:t>NEIGHBOR_EFFECT</w:t>
      </w:r>
      <w:r w:rsidR="00237FA0">
        <w:rPr>
          <w:vertAlign w:val="subscript"/>
        </w:rPr>
        <w:t>it</w:t>
      </w:r>
      <w:proofErr w:type="spellEnd"/>
      <w:r w:rsidR="00237FA0">
        <w:t xml:space="preserve">. </w:t>
      </w:r>
      <w:r w:rsidR="00E9420B">
        <w:t xml:space="preserve">This </w:t>
      </w:r>
      <w:r w:rsidR="00941919">
        <w:t xml:space="preserve">modified measure </w:t>
      </w:r>
      <w:r w:rsidR="00603AB5">
        <w:t xml:space="preserve">calculated </w:t>
      </w:r>
      <w:r w:rsidR="00237FA0">
        <w:t xml:space="preserve">the average RPS objectives for the states contiguous to the state where a focal </w:t>
      </w:r>
      <w:r w:rsidR="00603AB5">
        <w:t>firm</w:t>
      </w:r>
      <w:r w:rsidR="00237FA0">
        <w:t xml:space="preserve"> ha</w:t>
      </w:r>
      <w:r w:rsidR="00B5038B">
        <w:t>d</w:t>
      </w:r>
      <w:r w:rsidR="00237FA0">
        <w:t xml:space="preserve"> more than 50% of its retail sales. </w:t>
      </w:r>
      <w:r w:rsidR="00E9420B">
        <w:t>This model was based on t</w:t>
      </w:r>
      <w:r w:rsidR="00237FA0">
        <w:t xml:space="preserve">he logic that firms would be most sensitive to outside pressures on their key </w:t>
      </w:r>
      <w:r w:rsidR="00237FA0">
        <w:lastRenderedPageBreak/>
        <w:t>market.</w:t>
      </w:r>
      <w:r w:rsidR="00603AB5">
        <w:t xml:space="preserve"> </w:t>
      </w:r>
      <w:r w:rsidR="00E9420B">
        <w:t>In both statistical and economic significance, o</w:t>
      </w:r>
      <w:r>
        <w:t xml:space="preserve">ur results were robust </w:t>
      </w:r>
      <w:r w:rsidR="00E9420B">
        <w:t>and supported</w:t>
      </w:r>
      <w:r>
        <w:t xml:space="preserve"> inclusion of these variables as substitutes for the two variables of interest. </w:t>
      </w:r>
    </w:p>
    <w:p w:rsidR="00F76F16" w:rsidRDefault="00F76F16" w:rsidP="00BF079C">
      <w:pPr>
        <w:spacing w:after="0" w:line="480" w:lineRule="auto"/>
        <w:ind w:firstLine="720"/>
      </w:pPr>
      <w:r>
        <w:t xml:space="preserve">Next we considered whether </w:t>
      </w:r>
      <w:r w:rsidR="003630A7">
        <w:t xml:space="preserve">the identified relationships were </w:t>
      </w:r>
      <w:r w:rsidR="004F3456">
        <w:t>driven by states with weak</w:t>
      </w:r>
      <w:r w:rsidR="00B5038B">
        <w:t xml:space="preserve"> RPS pulling</w:t>
      </w:r>
      <w:r w:rsidR="00526489">
        <w:t xml:space="preserve"> </w:t>
      </w:r>
      <w:r w:rsidR="00B5038B">
        <w:t>down environmental performance. To assess this</w:t>
      </w:r>
      <w:r w:rsidR="00526489">
        <w:t xml:space="preserve"> effect</w:t>
      </w:r>
      <w:r w:rsidR="00B5038B">
        <w:t>, w</w:t>
      </w:r>
      <w:r>
        <w:t>e estimated models that examined whether the PEER_EFFECT or NEIGHBOR_EFFECT was greater than the focal firm’s exposure to a</w:t>
      </w:r>
      <w:r w:rsidR="00E9420B">
        <w:t>n</w:t>
      </w:r>
      <w:r>
        <w:t xml:space="preserve"> RPS. </w:t>
      </w:r>
      <w:r w:rsidR="003630A7">
        <w:t>To do this</w:t>
      </w:r>
      <w:r w:rsidR="00526489">
        <w:t>,</w:t>
      </w:r>
      <w:r w:rsidR="003630A7">
        <w:t xml:space="preserve"> w</w:t>
      </w:r>
      <w:r>
        <w:t xml:space="preserve">e included dummy variables that </w:t>
      </w:r>
      <w:r w:rsidR="00E9420B">
        <w:t xml:space="preserve">indentified </w:t>
      </w:r>
      <w:r>
        <w:t xml:space="preserve">whether a focal firm’s RPS obligations </w:t>
      </w:r>
      <w:r w:rsidR="00E9420B">
        <w:t xml:space="preserve">were </w:t>
      </w:r>
      <w:r w:rsidR="00EA54A5">
        <w:t xml:space="preserve">less than that of its peers, </w:t>
      </w:r>
      <w:r>
        <w:t>PEER_RPS&gt;</w:t>
      </w:r>
      <w:proofErr w:type="spellStart"/>
      <w:r>
        <w:t>FOCAL_RPS</w:t>
      </w:r>
      <w:r w:rsidR="00EA54A5" w:rsidRPr="00EA54A5">
        <w:rPr>
          <w:vertAlign w:val="subscript"/>
        </w:rPr>
        <w:t>it</w:t>
      </w:r>
      <w:proofErr w:type="spellEnd"/>
      <w:r w:rsidR="00EA54A5">
        <w:t xml:space="preserve">, </w:t>
      </w:r>
      <w:r>
        <w:t>or less than that of the neighboring jurisdictions</w:t>
      </w:r>
      <w:r w:rsidR="00EA54A5">
        <w:t>,</w:t>
      </w:r>
      <w:r>
        <w:t xml:space="preserve"> NEIG</w:t>
      </w:r>
      <w:r w:rsidR="003C2CBD">
        <w:t>H</w:t>
      </w:r>
      <w:r>
        <w:t>BOR_RPS&gt;</w:t>
      </w:r>
      <w:proofErr w:type="spellStart"/>
      <w:r>
        <w:t>FOCAL_RPS</w:t>
      </w:r>
      <w:r w:rsidR="00EA54A5" w:rsidRPr="00EA54A5">
        <w:rPr>
          <w:vertAlign w:val="subscript"/>
        </w:rPr>
        <w:t>it</w:t>
      </w:r>
      <w:proofErr w:type="spellEnd"/>
      <w:r>
        <w:t>. Table 4 presents these results</w:t>
      </w:r>
      <w:r w:rsidR="00B5038B">
        <w:t>.</w:t>
      </w:r>
      <w:r>
        <w:t xml:space="preserve"> </w:t>
      </w:r>
      <w:r w:rsidR="00B5038B">
        <w:t>T</w:t>
      </w:r>
      <w:r>
        <w:t>he estimated coefficients on these two dummy variables are statistically significant (</w:t>
      </w:r>
      <w:r w:rsidRPr="00795994">
        <w:rPr>
          <w:i/>
        </w:rPr>
        <w:t>p</w:t>
      </w:r>
      <w:r>
        <w:t xml:space="preserve"> &lt; 0.01) and </w:t>
      </w:r>
      <w:r w:rsidR="00CF20DE">
        <w:t>consistent with the results in Table</w:t>
      </w:r>
      <w:r w:rsidR="00BE5329">
        <w:t xml:space="preserve"> 3</w:t>
      </w:r>
      <w:r>
        <w:t>. When the focal firm’s RPS exposure is less than that of its peers</w:t>
      </w:r>
      <w:r w:rsidR="00526489">
        <w:t>,</w:t>
      </w:r>
      <w:r>
        <w:t xml:space="preserve"> the firm increases its use of renewable power. Although, when the RPS in neighboring states is greater than </w:t>
      </w:r>
      <w:r w:rsidR="00A3431E">
        <w:t xml:space="preserve">a firm’s </w:t>
      </w:r>
      <w:r>
        <w:t>own regulatory obligations</w:t>
      </w:r>
      <w:r w:rsidR="00526489">
        <w:t>,</w:t>
      </w:r>
      <w:r>
        <w:t xml:space="preserve"> the firm </w:t>
      </w:r>
      <w:r w:rsidR="00526489">
        <w:t xml:space="preserve">then </w:t>
      </w:r>
      <w:r>
        <w:t xml:space="preserve">reduces </w:t>
      </w:r>
      <w:r w:rsidR="00A3431E">
        <w:t xml:space="preserve">its </w:t>
      </w:r>
      <w:r>
        <w:t xml:space="preserve">use of renewable power. Therefore, firms </w:t>
      </w:r>
      <w:r w:rsidR="00526489">
        <w:t xml:space="preserve">appear to be </w:t>
      </w:r>
      <w:r>
        <w:t xml:space="preserve">most likely to adjust their strategy when the regulatory externality creates a deficit between their own statutory obligations and those set elsewhere. </w:t>
      </w:r>
      <w:r w:rsidR="003979C5">
        <w:t xml:space="preserve">In particular, the finding </w:t>
      </w:r>
      <w:r w:rsidR="00EA54A5">
        <w:t>on the PEER_RPS&gt;</w:t>
      </w:r>
      <w:proofErr w:type="spellStart"/>
      <w:r w:rsidR="00EA54A5">
        <w:t>FOCAL_RPS</w:t>
      </w:r>
      <w:r w:rsidR="003979C5" w:rsidRPr="003979C5">
        <w:rPr>
          <w:vertAlign w:val="subscript"/>
        </w:rPr>
        <w:t>it</w:t>
      </w:r>
      <w:proofErr w:type="spellEnd"/>
      <w:r w:rsidR="00EA54A5">
        <w:t xml:space="preserve"> </w:t>
      </w:r>
      <w:r w:rsidR="003979C5">
        <w:t xml:space="preserve">variable lends further </w:t>
      </w:r>
      <w:r w:rsidR="00EA54A5">
        <w:t>support</w:t>
      </w:r>
      <w:r w:rsidR="003979C5">
        <w:t xml:space="preserve"> to</w:t>
      </w:r>
      <w:r w:rsidR="00EA54A5">
        <w:t xml:space="preserve"> the argument that regulatory externalities lead to a ‘race to the top</w:t>
      </w:r>
      <w:r w:rsidR="00526489">
        <w:t>.</w:t>
      </w:r>
      <w:r w:rsidR="00EA54A5">
        <w:t>’</w:t>
      </w:r>
      <w:r w:rsidR="003979C5">
        <w:t xml:space="preserve"> F</w:t>
      </w:r>
      <w:r w:rsidR="00EA54A5">
        <w:t xml:space="preserve">irms that </w:t>
      </w:r>
      <w:r w:rsidR="003979C5">
        <w:t xml:space="preserve">are </w:t>
      </w:r>
      <w:r w:rsidR="00EA54A5">
        <w:t xml:space="preserve">less </w:t>
      </w:r>
      <w:r w:rsidR="003979C5">
        <w:t>stringently</w:t>
      </w:r>
      <w:r w:rsidR="00EA54A5">
        <w:t xml:space="preserve"> regulated respond </w:t>
      </w:r>
      <w:r w:rsidR="00526489">
        <w:t xml:space="preserve">by improving </w:t>
      </w:r>
      <w:r w:rsidR="003979C5">
        <w:t xml:space="preserve">their environmental performance when their peers are more stringently regulated elsewhere. </w:t>
      </w:r>
    </w:p>
    <w:p w:rsidR="006331AC" w:rsidRDefault="00753E84" w:rsidP="006331AC">
      <w:pPr>
        <w:spacing w:after="0" w:line="480" w:lineRule="auto"/>
        <w:ind w:firstLine="720"/>
        <w:jc w:val="center"/>
      </w:pPr>
      <w:r>
        <w:t>[Place Table 4 about here.]</w:t>
      </w:r>
    </w:p>
    <w:p w:rsidR="005F697D" w:rsidRDefault="00BE5329" w:rsidP="00BF079C">
      <w:pPr>
        <w:autoSpaceDE w:val="0"/>
        <w:autoSpaceDN w:val="0"/>
        <w:adjustRightInd w:val="0"/>
        <w:spacing w:after="0" w:line="480" w:lineRule="auto"/>
        <w:ind w:firstLine="720"/>
      </w:pPr>
      <w:r>
        <w:rPr>
          <w:bCs/>
          <w:szCs w:val="24"/>
          <w:lang w:val="en-CA" w:eastAsia="en-CA"/>
        </w:rPr>
        <w:t>Because r</w:t>
      </w:r>
      <w:r w:rsidR="00D03CC7" w:rsidRPr="00D03CC7">
        <w:rPr>
          <w:bCs/>
          <w:szCs w:val="24"/>
          <w:lang w:val="en-CA" w:eastAsia="en-CA"/>
        </w:rPr>
        <w:t>enewable resources are not distributed uniformly in the United States</w:t>
      </w:r>
      <w:r w:rsidR="007F2EAF">
        <w:rPr>
          <w:bCs/>
          <w:szCs w:val="24"/>
          <w:lang w:val="en-CA" w:eastAsia="en-CA"/>
        </w:rPr>
        <w:t xml:space="preserve">, an alternative explanation is that access to </w:t>
      </w:r>
      <w:r w:rsidR="00855B40">
        <w:rPr>
          <w:bCs/>
          <w:szCs w:val="24"/>
          <w:lang w:val="en-CA" w:eastAsia="en-CA"/>
        </w:rPr>
        <w:t>renewable resources correlates with our regulatory externality measures</w:t>
      </w:r>
      <w:r w:rsidR="00D03CC7" w:rsidRPr="00D03CC7">
        <w:rPr>
          <w:bCs/>
          <w:szCs w:val="24"/>
          <w:lang w:val="en-CA" w:eastAsia="en-CA"/>
        </w:rPr>
        <w:t>.</w:t>
      </w:r>
      <w:r w:rsidR="00D03CC7">
        <w:rPr>
          <w:bCs/>
          <w:szCs w:val="24"/>
          <w:lang w:val="en-CA" w:eastAsia="en-CA"/>
        </w:rPr>
        <w:t xml:space="preserve"> </w:t>
      </w:r>
      <w:r w:rsidR="00855B40">
        <w:t xml:space="preserve">We do not believe that this alternative explanation drives our results for the following reasons. First, </w:t>
      </w:r>
      <w:r w:rsidR="003A74CB">
        <w:t xml:space="preserve">multiple sources of renewable power </w:t>
      </w:r>
      <w:r w:rsidR="00855B40">
        <w:t xml:space="preserve">exist </w:t>
      </w:r>
      <w:r w:rsidR="003A74CB">
        <w:t xml:space="preserve">in </w:t>
      </w:r>
      <w:r w:rsidR="00855B40">
        <w:t xml:space="preserve">almost </w:t>
      </w:r>
      <w:r w:rsidR="003A74CB">
        <w:t xml:space="preserve">every state (Farrell </w:t>
      </w:r>
      <w:r w:rsidR="003A74CB">
        <w:lastRenderedPageBreak/>
        <w:t xml:space="preserve">and Morris, 2010). </w:t>
      </w:r>
      <w:r w:rsidR="00855B40">
        <w:t>Second, o</w:t>
      </w:r>
      <w:r w:rsidR="001971FF">
        <w:t xml:space="preserve">ur GMM </w:t>
      </w:r>
      <w:r w:rsidR="00D03CC7">
        <w:t>estimator</w:t>
      </w:r>
      <w:r w:rsidR="001971FF">
        <w:t xml:space="preserve"> account</w:t>
      </w:r>
      <w:r w:rsidR="00D03CC7">
        <w:t>s</w:t>
      </w:r>
      <w:r w:rsidR="001971FF">
        <w:t xml:space="preserve"> for firm-specific factors</w:t>
      </w:r>
      <w:r w:rsidR="00D03CC7">
        <w:t xml:space="preserve">, such as location. </w:t>
      </w:r>
      <w:r w:rsidR="00855B40">
        <w:t>Third</w:t>
      </w:r>
      <w:r w:rsidR="00D03CC7">
        <w:t xml:space="preserve">, utility firms are able to purchase renewable power from sources outside their operational footprint. For </w:t>
      </w:r>
      <w:r w:rsidR="00362919">
        <w:t>example</w:t>
      </w:r>
      <w:r w:rsidR="00D03CC7">
        <w:t xml:space="preserve">, Indianapolis Power and Light has a 20-year agreement to </w:t>
      </w:r>
      <w:r w:rsidR="00855B40">
        <w:t xml:space="preserve">purchase </w:t>
      </w:r>
      <w:r w:rsidR="00D03CC7">
        <w:t>wind power from a source 700 miles away</w:t>
      </w:r>
      <w:r w:rsidR="00362919">
        <w:t>,</w:t>
      </w:r>
      <w:r w:rsidR="00D03CC7">
        <w:t xml:space="preserve"> in southwestern Minnesota. Similar purchase arrangements have bec</w:t>
      </w:r>
      <w:r w:rsidR="003A74CB">
        <w:t xml:space="preserve">ome commonplace in this sector and have created geographical diversity to a firm’s generation base. </w:t>
      </w:r>
    </w:p>
    <w:p w:rsidR="004F691B" w:rsidRDefault="000B3199" w:rsidP="00BF079C">
      <w:pPr>
        <w:autoSpaceDE w:val="0"/>
        <w:autoSpaceDN w:val="0"/>
        <w:adjustRightInd w:val="0"/>
        <w:spacing w:after="0" w:line="480" w:lineRule="auto"/>
        <w:ind w:firstLine="720"/>
      </w:pPr>
      <w:r>
        <w:t>An</w:t>
      </w:r>
      <w:r w:rsidR="007F2EAF">
        <w:t>other</w:t>
      </w:r>
      <w:r>
        <w:t xml:space="preserve"> alternative explanation that leads from the previous discussion is </w:t>
      </w:r>
      <w:r w:rsidR="007F2EAF">
        <w:t>the possibility that</w:t>
      </w:r>
      <w:r w:rsidR="00A3431E">
        <w:t>,</w:t>
      </w:r>
      <w:r w:rsidR="007F2EAF">
        <w:t xml:space="preserve"> </w:t>
      </w:r>
      <w:r w:rsidR="00A3431E">
        <w:t xml:space="preserve">rather than recording actual changes in renewable power, </w:t>
      </w:r>
      <w:r>
        <w:t>we are capturing a trend to</w:t>
      </w:r>
      <w:r w:rsidR="00A3431E">
        <w:t>ward</w:t>
      </w:r>
      <w:r>
        <w:t xml:space="preserve"> purchased power arrangements</w:t>
      </w:r>
      <w:r w:rsidR="00A3431E">
        <w:t>—</w:t>
      </w:r>
      <w:r>
        <w:t xml:space="preserve">of which renewable power </w:t>
      </w:r>
      <w:r w:rsidR="00362919">
        <w:t>comprise</w:t>
      </w:r>
      <w:r w:rsidR="00A3431E">
        <w:t>s</w:t>
      </w:r>
      <w:r w:rsidR="00362919">
        <w:t xml:space="preserve"> </w:t>
      </w:r>
      <w:r>
        <w:t xml:space="preserve">an increasingly large proportion. </w:t>
      </w:r>
      <w:r w:rsidR="004F691B">
        <w:t xml:space="preserve">As a result, we re-estimated the models to assess whether our regulatory externality variables explain this broader phenomenon in the electric </w:t>
      </w:r>
      <w:r w:rsidR="00A3431E">
        <w:t xml:space="preserve">utility </w:t>
      </w:r>
      <w:r w:rsidR="004F691B">
        <w:t xml:space="preserve">sector. We are interested in whether environmental regulation in other jurisdictions </w:t>
      </w:r>
      <w:r w:rsidR="00362919">
        <w:t xml:space="preserve">influences </w:t>
      </w:r>
      <w:r w:rsidR="0006041F">
        <w:t>a firm’s choice to procure power as part of its total supply. W</w:t>
      </w:r>
      <w:r w:rsidR="004F691B">
        <w:t xml:space="preserve">e use the ratio of a firm’s total purchased power in </w:t>
      </w:r>
      <w:proofErr w:type="spellStart"/>
      <w:r w:rsidR="004F691B">
        <w:t>MWh</w:t>
      </w:r>
      <w:proofErr w:type="spellEnd"/>
      <w:r w:rsidR="004F691B">
        <w:t xml:space="preserve"> to its total power sold as the dependent variable. We estimate the same specification as that in model </w:t>
      </w:r>
      <w:r w:rsidR="00BB526E">
        <w:t>4</w:t>
      </w:r>
      <w:r w:rsidR="004F691B">
        <w:t xml:space="preserve"> and the results are found in </w:t>
      </w:r>
      <w:r w:rsidR="00362919">
        <w:t>T</w:t>
      </w:r>
      <w:r w:rsidR="004F691B">
        <w:t xml:space="preserve">able 5. The coefficient estimates of the PEER_EFFECT and NEIGHBOR_EFFECT are both not statistically significant. Therefore, this </w:t>
      </w:r>
      <w:r w:rsidR="00362919">
        <w:t xml:space="preserve">finding </w:t>
      </w:r>
      <w:r w:rsidR="004F691B">
        <w:t xml:space="preserve">lends further confidence to our </w:t>
      </w:r>
      <w:r w:rsidR="00A3431E">
        <w:t xml:space="preserve">argument that </w:t>
      </w:r>
      <w:r w:rsidR="004F691B">
        <w:t xml:space="preserve">regulatory externality </w:t>
      </w:r>
      <w:r w:rsidR="00A3431E">
        <w:t>shapes</w:t>
      </w:r>
      <w:r w:rsidR="004F691B">
        <w:t xml:space="preserve"> environmental performance and not </w:t>
      </w:r>
      <w:r w:rsidR="00362919">
        <w:t xml:space="preserve">to </w:t>
      </w:r>
      <w:r w:rsidR="004F691B">
        <w:t xml:space="preserve">a broader </w:t>
      </w:r>
      <w:r w:rsidR="0006041F">
        <w:t xml:space="preserve">trend that may be spuriously correlated with our variable of interest. </w:t>
      </w:r>
    </w:p>
    <w:p w:rsidR="006331AC" w:rsidRDefault="00753E84" w:rsidP="006331AC">
      <w:pPr>
        <w:autoSpaceDE w:val="0"/>
        <w:autoSpaceDN w:val="0"/>
        <w:adjustRightInd w:val="0"/>
        <w:spacing w:after="0" w:line="480" w:lineRule="auto"/>
        <w:jc w:val="center"/>
      </w:pPr>
      <w:r>
        <w:t>[Place Table 5 about here.]</w:t>
      </w:r>
    </w:p>
    <w:p w:rsidR="00C4790D" w:rsidRDefault="00C4790D" w:rsidP="00903784">
      <w:pPr>
        <w:keepNext/>
        <w:spacing w:after="0" w:line="480" w:lineRule="auto"/>
        <w:rPr>
          <w:b/>
        </w:rPr>
      </w:pPr>
    </w:p>
    <w:p w:rsidR="00852157" w:rsidRDefault="00852157" w:rsidP="00903784">
      <w:pPr>
        <w:keepNext/>
        <w:spacing w:after="0" w:line="480" w:lineRule="auto"/>
        <w:rPr>
          <w:b/>
        </w:rPr>
      </w:pPr>
      <w:r w:rsidRPr="00C4790D">
        <w:rPr>
          <w:b/>
        </w:rPr>
        <w:t>DISCUSSION</w:t>
      </w:r>
      <w:r>
        <w:rPr>
          <w:b/>
        </w:rPr>
        <w:t xml:space="preserve"> AND CONCLUSION</w:t>
      </w:r>
    </w:p>
    <w:p w:rsidR="006331AC" w:rsidRDefault="00685BA7" w:rsidP="006331AC">
      <w:pPr>
        <w:spacing w:after="0" w:line="480" w:lineRule="auto"/>
      </w:pPr>
      <w:r>
        <w:t xml:space="preserve">We demonstrate that firms modify their environmental performance when policies set in other jurisdictions affect the operations of their peers. We find this while controlling for </w:t>
      </w:r>
      <w:r w:rsidR="00903784">
        <w:t xml:space="preserve">the </w:t>
      </w:r>
      <w:r>
        <w:t xml:space="preserve">effects </w:t>
      </w:r>
      <w:r w:rsidR="00903784">
        <w:t xml:space="preserve">of </w:t>
      </w:r>
      <w:r>
        <w:lastRenderedPageBreak/>
        <w:t xml:space="preserve">firm </w:t>
      </w:r>
      <w:r w:rsidR="00082AA3">
        <w:t xml:space="preserve">capabilities </w:t>
      </w:r>
      <w:r>
        <w:t>and local regulation</w:t>
      </w:r>
      <w:r w:rsidR="00082AA3">
        <w:t xml:space="preserve">. This regulatory externality is a by-product of the proliferation of environmental policies that have developed at national and sub-national levels. </w:t>
      </w:r>
    </w:p>
    <w:p w:rsidR="00B7403C" w:rsidRDefault="00146B59" w:rsidP="00BF079C">
      <w:pPr>
        <w:spacing w:after="0" w:line="480" w:lineRule="auto"/>
        <w:ind w:firstLine="720"/>
      </w:pPr>
      <w:r>
        <w:t>Although</w:t>
      </w:r>
      <w:r w:rsidR="00B7403C">
        <w:t xml:space="preserve"> the size of the </w:t>
      </w:r>
      <w:r w:rsidR="00BD4298">
        <w:t>peer effect demonstrates its significance,</w:t>
      </w:r>
      <w:r w:rsidR="00B7403C">
        <w:t xml:space="preserve"> </w:t>
      </w:r>
      <w:r w:rsidR="00BD4298">
        <w:t xml:space="preserve">the </w:t>
      </w:r>
      <w:r w:rsidR="00B7403C">
        <w:t xml:space="preserve">divergence </w:t>
      </w:r>
      <w:r w:rsidR="00BD4298">
        <w:t xml:space="preserve">between </w:t>
      </w:r>
      <w:r w:rsidR="00362919">
        <w:t xml:space="preserve">the peer effect </w:t>
      </w:r>
      <w:r w:rsidR="00B7403C">
        <w:t xml:space="preserve">and </w:t>
      </w:r>
      <w:r w:rsidR="00362919">
        <w:t xml:space="preserve">the </w:t>
      </w:r>
      <w:r>
        <w:t>n</w:t>
      </w:r>
      <w:r w:rsidR="00A56D62" w:rsidRPr="00A56D62">
        <w:t>eighboring jurisdiction</w:t>
      </w:r>
      <w:r>
        <w:rPr>
          <w:b/>
          <w:i/>
        </w:rPr>
        <w:t xml:space="preserve"> </w:t>
      </w:r>
      <w:r w:rsidR="00A56D62" w:rsidRPr="00A56D62">
        <w:t>effect</w:t>
      </w:r>
      <w:r>
        <w:rPr>
          <w:b/>
        </w:rPr>
        <w:t xml:space="preserve"> </w:t>
      </w:r>
      <w:r w:rsidR="00BD4298">
        <w:t>emphasize</w:t>
      </w:r>
      <w:r>
        <w:t>s</w:t>
      </w:r>
      <w:r w:rsidR="00BD4298">
        <w:t xml:space="preserve"> </w:t>
      </w:r>
      <w:r w:rsidR="00362919">
        <w:t xml:space="preserve">that </w:t>
      </w:r>
      <w:r w:rsidR="00BD4298">
        <w:t xml:space="preserve">the </w:t>
      </w:r>
      <w:r>
        <w:t xml:space="preserve">primary </w:t>
      </w:r>
      <w:r w:rsidR="00BD4298">
        <w:t xml:space="preserve">mechanism for the externality </w:t>
      </w:r>
      <w:r w:rsidR="00362919">
        <w:t xml:space="preserve">occurs </w:t>
      </w:r>
      <w:r>
        <w:t>through</w:t>
      </w:r>
      <w:r w:rsidR="00BD4298">
        <w:t xml:space="preserve"> </w:t>
      </w:r>
      <w:r w:rsidR="00E638BA">
        <w:t xml:space="preserve">peer </w:t>
      </w:r>
      <w:r w:rsidR="00BD4298">
        <w:t>firms.</w:t>
      </w:r>
      <w:r w:rsidR="00B7403C">
        <w:t xml:space="preserve"> Peer firms provide an accessible, relative comparison for how firms can be regulated and expected to perform. </w:t>
      </w:r>
      <w:r w:rsidR="00362919">
        <w:t xml:space="preserve">The effect of peer firms </w:t>
      </w:r>
      <w:r w:rsidR="00B7403C">
        <w:t xml:space="preserve">represents a novel explanation for </w:t>
      </w:r>
      <w:r w:rsidR="006F40F0">
        <w:t xml:space="preserve">the capacity of </w:t>
      </w:r>
      <w:r w:rsidR="00B7403C">
        <w:t xml:space="preserve">market and competitive dynamics </w:t>
      </w:r>
      <w:r w:rsidR="006F40F0">
        <w:t xml:space="preserve">to </w:t>
      </w:r>
      <w:r w:rsidR="00B7403C">
        <w:t xml:space="preserve">shape </w:t>
      </w:r>
      <w:r w:rsidR="00362919">
        <w:t xml:space="preserve">the diffusion of </w:t>
      </w:r>
      <w:r w:rsidR="00B7403C">
        <w:t xml:space="preserve">policy </w:t>
      </w:r>
      <w:r>
        <w:t xml:space="preserve">requirements </w:t>
      </w:r>
      <w:r w:rsidR="00B7403C">
        <w:t>across borders. The process of policy diffusion has been established in the political science literature</w:t>
      </w:r>
      <w:r w:rsidR="006F40F0">
        <w:t>,</w:t>
      </w:r>
      <w:r w:rsidR="00B7403C">
        <w:t xml:space="preserve"> </w:t>
      </w:r>
      <w:r w:rsidR="006F40F0">
        <w:t xml:space="preserve">where it </w:t>
      </w:r>
      <w:r w:rsidR="00B7403C">
        <w:t>has emphasized the potential for policy makers to learn from nearby or similar jurisdictions (</w:t>
      </w:r>
      <w:proofErr w:type="spellStart"/>
      <w:r w:rsidR="00B7403C">
        <w:t>Volden</w:t>
      </w:r>
      <w:proofErr w:type="spellEnd"/>
      <w:r w:rsidR="00B7403C">
        <w:t>, Ting, and Carpenter, 2008), respond to economic competition (</w:t>
      </w:r>
      <w:proofErr w:type="spellStart"/>
      <w:r w:rsidR="00B7403C">
        <w:t>Shipan</w:t>
      </w:r>
      <w:proofErr w:type="spellEnd"/>
      <w:r w:rsidR="00B7403C">
        <w:t xml:space="preserve"> </w:t>
      </w:r>
      <w:r w:rsidR="00C4790D">
        <w:t>and</w:t>
      </w:r>
      <w:r w:rsidR="00362919">
        <w:t xml:space="preserve"> </w:t>
      </w:r>
      <w:proofErr w:type="spellStart"/>
      <w:r w:rsidR="00B7403C">
        <w:t>Volden</w:t>
      </w:r>
      <w:proofErr w:type="spellEnd"/>
      <w:r w:rsidR="00B7403C">
        <w:t>, 2008)</w:t>
      </w:r>
      <w:r w:rsidR="006F40F0">
        <w:t>,</w:t>
      </w:r>
      <w:r w:rsidR="00B7403C">
        <w:t xml:space="preserve"> and react to coercive pressure (</w:t>
      </w:r>
      <w:proofErr w:type="spellStart"/>
      <w:r w:rsidR="00B7403C">
        <w:t>Henisz</w:t>
      </w:r>
      <w:proofErr w:type="spellEnd"/>
      <w:r w:rsidR="00B7403C">
        <w:t xml:space="preserve">, </w:t>
      </w:r>
      <w:proofErr w:type="spellStart"/>
      <w:r w:rsidR="00B7403C">
        <w:t>Zelner</w:t>
      </w:r>
      <w:proofErr w:type="spellEnd"/>
      <w:r w:rsidR="00B7403C">
        <w:t xml:space="preserve">, </w:t>
      </w:r>
      <w:r w:rsidR="00B7403C" w:rsidRPr="00362919">
        <w:t>and</w:t>
      </w:r>
      <w:r w:rsidR="00B7403C">
        <w:t xml:space="preserve"> </w:t>
      </w:r>
      <w:proofErr w:type="spellStart"/>
      <w:r w:rsidR="00B7403C">
        <w:t>Guillen</w:t>
      </w:r>
      <w:proofErr w:type="spellEnd"/>
      <w:r w:rsidR="00B7403C">
        <w:t>, 2005).Yet</w:t>
      </w:r>
      <w:r w:rsidR="006F40F0">
        <w:t>,</w:t>
      </w:r>
      <w:r w:rsidR="00B7403C">
        <w:t xml:space="preserve"> the role of differentially regulated firms has been understated</w:t>
      </w:r>
      <w:r w:rsidR="006F40F0">
        <w:t>,</w:t>
      </w:r>
      <w:r w:rsidR="005942E9">
        <w:t xml:space="preserve"> </w:t>
      </w:r>
      <w:r w:rsidR="00B7403C">
        <w:t xml:space="preserve">their impact on other </w:t>
      </w:r>
      <w:r w:rsidR="006F40F0">
        <w:t xml:space="preserve">firms </w:t>
      </w:r>
      <w:r w:rsidR="00B7403C">
        <w:t xml:space="preserve">in a common jurisdiction </w:t>
      </w:r>
      <w:r w:rsidR="006F40F0">
        <w:t xml:space="preserve">has </w:t>
      </w:r>
      <w:r w:rsidR="00B7403C">
        <w:t xml:space="preserve">not </w:t>
      </w:r>
      <w:r w:rsidR="006F40F0">
        <w:t xml:space="preserve">been </w:t>
      </w:r>
      <w:r w:rsidR="00B7403C">
        <w:t>explicitly considered</w:t>
      </w:r>
      <w:r w:rsidR="00125567">
        <w:t xml:space="preserve"> (see </w:t>
      </w:r>
      <w:proofErr w:type="spellStart"/>
      <w:r w:rsidR="00125567">
        <w:t>Schwarcz</w:t>
      </w:r>
      <w:proofErr w:type="spellEnd"/>
      <w:r w:rsidR="00125567">
        <w:t>, 2010</w:t>
      </w:r>
      <w:r w:rsidR="00362919">
        <w:t>,</w:t>
      </w:r>
      <w:r w:rsidR="00125567">
        <w:t xml:space="preserve"> for a discussion in the insurance industry)</w:t>
      </w:r>
      <w:r w:rsidR="00B7403C">
        <w:t xml:space="preserve">. </w:t>
      </w:r>
      <w:r w:rsidR="00362919">
        <w:t xml:space="preserve">Although </w:t>
      </w:r>
      <w:r w:rsidR="00B7403C">
        <w:t xml:space="preserve">we do not observe </w:t>
      </w:r>
      <w:r w:rsidR="00362919">
        <w:t xml:space="preserve">whether </w:t>
      </w:r>
      <w:r w:rsidR="00B7403C">
        <w:t xml:space="preserve">policy makers undertook reforms </w:t>
      </w:r>
      <w:r w:rsidR="00362919">
        <w:t xml:space="preserve">after </w:t>
      </w:r>
      <w:r w:rsidR="00B7403C">
        <w:t>firms in their jurisdiction became more stringently regulated elsewhere, we identify that firms in the state modified their actions to improve their environmental performance</w:t>
      </w:r>
      <w:r w:rsidR="00776CD4">
        <w:t xml:space="preserve"> when their peers faced more stringent policies elsewhere</w:t>
      </w:r>
      <w:r w:rsidR="00B7403C">
        <w:t xml:space="preserve">. This </w:t>
      </w:r>
      <w:r w:rsidR="00362919">
        <w:t xml:space="preserve">effect </w:t>
      </w:r>
      <w:r w:rsidR="00B7403C">
        <w:t xml:space="preserve">identifies that the policy itself </w:t>
      </w:r>
      <w:r w:rsidR="00362919">
        <w:t xml:space="preserve">does </w:t>
      </w:r>
      <w:r w:rsidR="00B7403C">
        <w:t>not need to diffuse across political actors</w:t>
      </w:r>
      <w:r w:rsidR="00B618E1">
        <w:t xml:space="preserve"> to have impact</w:t>
      </w:r>
      <w:r w:rsidR="00776CD4">
        <w:t xml:space="preserve"> across </w:t>
      </w:r>
      <w:r w:rsidR="00117D1E">
        <w:t>jurisdictions</w:t>
      </w:r>
      <w:r w:rsidR="00B7403C">
        <w:t xml:space="preserve">. </w:t>
      </w:r>
    </w:p>
    <w:p w:rsidR="00B618E1" w:rsidRDefault="00B618E1" w:rsidP="00743472">
      <w:pPr>
        <w:spacing w:after="0" w:line="480" w:lineRule="auto"/>
        <w:ind w:firstLine="720"/>
      </w:pPr>
      <w:r>
        <w:t>Nevertheless, our theory and findings have implications that extend beyond firms and to policy makers. Regulatory spillovers continue to take on greater relevance as governments adopt policies of varying stringencies</w:t>
      </w:r>
      <w:r w:rsidR="00743472">
        <w:t xml:space="preserve">. Our findings suggest that when such </w:t>
      </w:r>
      <w:r>
        <w:t>regulat</w:t>
      </w:r>
      <w:r w:rsidR="00743472">
        <w:t xml:space="preserve">ions affect </w:t>
      </w:r>
      <w:r>
        <w:t xml:space="preserve">firms that </w:t>
      </w:r>
      <w:r w:rsidR="006F40F0">
        <w:t xml:space="preserve">either </w:t>
      </w:r>
      <w:r>
        <w:t xml:space="preserve">operate in </w:t>
      </w:r>
      <w:r w:rsidR="006F40F0">
        <w:t xml:space="preserve">multiple jurisdictions </w:t>
      </w:r>
      <w:r>
        <w:t xml:space="preserve">or compete with other </w:t>
      </w:r>
      <w:r w:rsidR="006F40F0">
        <w:t xml:space="preserve">firms </w:t>
      </w:r>
      <w:r>
        <w:t xml:space="preserve">located in multiple </w:t>
      </w:r>
      <w:r>
        <w:lastRenderedPageBreak/>
        <w:t>jurisdictions</w:t>
      </w:r>
      <w:r w:rsidR="00743472">
        <w:t>, policy makers must be cognizant that firm actions can spread policies beyond the direct effect of regulation. Although we focus on environmental outcomes, similar effects might exist over policy arenas such as labor regulation</w:t>
      </w:r>
      <w:r>
        <w:t xml:space="preserve">, product </w:t>
      </w:r>
      <w:r w:rsidR="00743472">
        <w:t>safety</w:t>
      </w:r>
      <w:r>
        <w:t xml:space="preserve">, </w:t>
      </w:r>
      <w:r w:rsidR="00743472">
        <w:t xml:space="preserve">and </w:t>
      </w:r>
      <w:r>
        <w:t xml:space="preserve">intellectual property. </w:t>
      </w:r>
      <w:r w:rsidR="00743472">
        <w:t>Policies set without the explicit recognition of regulatory spillovers might not have the desired outcome.</w:t>
      </w:r>
    </w:p>
    <w:p w:rsidR="00CC4D5E" w:rsidRDefault="00125567" w:rsidP="00BF079C">
      <w:pPr>
        <w:spacing w:after="0" w:line="480" w:lineRule="auto"/>
        <w:ind w:firstLine="720"/>
      </w:pPr>
      <w:r>
        <w:t>Within the context of our study, r</w:t>
      </w:r>
      <w:r w:rsidR="00E80859">
        <w:t xml:space="preserve">ather than leading </w:t>
      </w:r>
      <w:r w:rsidR="00BF362A">
        <w:t xml:space="preserve">to </w:t>
      </w:r>
      <w:r w:rsidR="00E80859">
        <w:t xml:space="preserve">a race to the bottom, </w:t>
      </w:r>
      <w:r>
        <w:t>regulator</w:t>
      </w:r>
      <w:r w:rsidR="00776CD4">
        <w:t>y</w:t>
      </w:r>
      <w:r>
        <w:t xml:space="preserve"> </w:t>
      </w:r>
      <w:r w:rsidR="00776CD4">
        <w:t xml:space="preserve">differences across jurisdictions </w:t>
      </w:r>
      <w:r>
        <w:t xml:space="preserve">lead to a </w:t>
      </w:r>
      <w:r w:rsidR="00CC4D5E">
        <w:t xml:space="preserve">race to the top. </w:t>
      </w:r>
      <w:r w:rsidR="00743472">
        <w:t>We found f</w:t>
      </w:r>
      <w:r w:rsidR="00CC4D5E">
        <w:t xml:space="preserve">irms </w:t>
      </w:r>
      <w:r w:rsidR="00743472">
        <w:t xml:space="preserve">adopting more stringently environmental practices when their peers face such regulations elsewhere. We did not find evidence </w:t>
      </w:r>
      <w:r w:rsidR="00B3693A">
        <w:t xml:space="preserve">of firms </w:t>
      </w:r>
      <w:r w:rsidR="00CC4D5E">
        <w:t>increasing polluting activities in less stringently regulated jurisdictions. Our finding suggests an interesting direction for work that has begun to identify these races to the top (</w:t>
      </w:r>
      <w:proofErr w:type="spellStart"/>
      <w:r w:rsidR="00CC4D5E">
        <w:t>Revesz</w:t>
      </w:r>
      <w:proofErr w:type="spellEnd"/>
      <w:r w:rsidR="00CC4D5E">
        <w:t xml:space="preserve">, 1992; Vogel, 1995; </w:t>
      </w:r>
      <w:proofErr w:type="spellStart"/>
      <w:r w:rsidR="00CC4D5E">
        <w:t>Daines</w:t>
      </w:r>
      <w:proofErr w:type="spellEnd"/>
      <w:r w:rsidR="00CC4D5E">
        <w:t xml:space="preserve">, 2001; Baldwin </w:t>
      </w:r>
      <w:r w:rsidR="00C4790D">
        <w:t>and</w:t>
      </w:r>
      <w:r w:rsidR="00BF362A">
        <w:t xml:space="preserve"> </w:t>
      </w:r>
      <w:proofErr w:type="spellStart"/>
      <w:r w:rsidR="00CC4D5E">
        <w:t>Krugman</w:t>
      </w:r>
      <w:proofErr w:type="spellEnd"/>
      <w:r w:rsidR="00CC4D5E">
        <w:t xml:space="preserve">, 2004) by emphasizing the intermediary role </w:t>
      </w:r>
      <w:r w:rsidR="00BF362A">
        <w:t xml:space="preserve">played by </w:t>
      </w:r>
      <w:r w:rsidR="00CC4D5E">
        <w:t xml:space="preserve">firms and competitive dynamics. Understanding the implications of regulatory competition between jurisdictions, therefore, requires analysis of the firms that compete </w:t>
      </w:r>
      <w:r w:rsidR="00BF362A">
        <w:t xml:space="preserve">in those jurisdictions </w:t>
      </w:r>
      <w:r w:rsidR="00CC4D5E">
        <w:t>and how they may be regulated elsewhere.</w:t>
      </w:r>
    </w:p>
    <w:p w:rsidR="00080F6D" w:rsidRDefault="00080F6D" w:rsidP="00BF079C">
      <w:pPr>
        <w:spacing w:after="0" w:line="480" w:lineRule="auto"/>
        <w:ind w:firstLine="720"/>
      </w:pPr>
      <w:r>
        <w:t xml:space="preserve">Future research </w:t>
      </w:r>
      <w:r w:rsidR="00DB61C6">
        <w:t xml:space="preserve">can also </w:t>
      </w:r>
      <w:r>
        <w:t xml:space="preserve">further develop this concept by examining whether the extraterritorial pressure can motivate firms </w:t>
      </w:r>
      <w:r w:rsidR="00776CD4">
        <w:t xml:space="preserve">to </w:t>
      </w:r>
      <w:r>
        <w:t xml:space="preserve">undertake other strategic moves. </w:t>
      </w:r>
      <w:r w:rsidR="00BF362A">
        <w:t xml:space="preserve">Such an analysis </w:t>
      </w:r>
      <w:r>
        <w:t xml:space="preserve">may include choosing to enter or exit a particular jurisdiction on </w:t>
      </w:r>
      <w:r w:rsidR="00BF362A">
        <w:t xml:space="preserve">the basis of </w:t>
      </w:r>
      <w:r>
        <w:t xml:space="preserve">the varying regulatory obligations of the peer firms located </w:t>
      </w:r>
      <w:r w:rsidR="00BF362A">
        <w:t>in those jurisdictions</w:t>
      </w:r>
      <w:r>
        <w:t xml:space="preserve">. For </w:t>
      </w:r>
      <w:r w:rsidR="00BF362A">
        <w:t>example</w:t>
      </w:r>
      <w:r>
        <w:t xml:space="preserve">, disparities in regulatory demands and the accompanying competences in meeting them can present profitable opportunities that drive firm entry. Alternatively, firms may choose to intervene in the political markets of jurisdictions where they have little to no operational footprint to not only shape the regulatory obligations of their peers but to </w:t>
      </w:r>
      <w:r w:rsidR="00C4790D">
        <w:t xml:space="preserve">also </w:t>
      </w:r>
      <w:r>
        <w:t xml:space="preserve">either establish or neutralize a regulatory externality. Subsequent work could also examine differences between those firms that are </w:t>
      </w:r>
      <w:r>
        <w:lastRenderedPageBreak/>
        <w:t>establishing the externality for others (i</w:t>
      </w:r>
      <w:r w:rsidR="00BF362A">
        <w:t>.</w:t>
      </w:r>
      <w:r>
        <w:t>e.</w:t>
      </w:r>
      <w:r w:rsidR="00BF362A">
        <w:t>,</w:t>
      </w:r>
      <w:r>
        <w:t xml:space="preserve"> </w:t>
      </w:r>
      <w:r w:rsidR="00C4790D">
        <w:t xml:space="preserve">firms that are </w:t>
      </w:r>
      <w:r>
        <w:t xml:space="preserve">regulated more stringently elsewhere) and those </w:t>
      </w:r>
      <w:r w:rsidR="00BF362A">
        <w:t xml:space="preserve">firms </w:t>
      </w:r>
      <w:r>
        <w:t>that act as recipients of such pressure (i</w:t>
      </w:r>
      <w:r w:rsidR="00BF362A">
        <w:t>.</w:t>
      </w:r>
      <w:r>
        <w:t>e.</w:t>
      </w:r>
      <w:r w:rsidR="00BF362A">
        <w:t>,</w:t>
      </w:r>
      <w:r>
        <w:t xml:space="preserve"> </w:t>
      </w:r>
      <w:r w:rsidR="00C4790D">
        <w:t xml:space="preserve">firms that </w:t>
      </w:r>
      <w:r>
        <w:t xml:space="preserve">share a jurisdiction with the other firm). We have only begun to consider these differences but substantial scope </w:t>
      </w:r>
      <w:r w:rsidR="00BF362A">
        <w:t xml:space="preserve">remains </w:t>
      </w:r>
      <w:r>
        <w:t xml:space="preserve">to examine divergences in the strategic actions taken by these distinct actors and whether particular firm characteristics </w:t>
      </w:r>
      <w:r w:rsidR="00C4790D">
        <w:t xml:space="preserve">predispose </w:t>
      </w:r>
      <w:r>
        <w:t xml:space="preserve">some firms </w:t>
      </w:r>
      <w:r w:rsidR="00C4790D">
        <w:t xml:space="preserve">to being </w:t>
      </w:r>
      <w:r>
        <w:t>more apt to respond to a regulatory externality.</w:t>
      </w:r>
    </w:p>
    <w:p w:rsidR="00D03705" w:rsidRPr="00D03705" w:rsidRDefault="006E4374" w:rsidP="00D03705">
      <w:pPr>
        <w:spacing w:after="0"/>
        <w:jc w:val="center"/>
        <w:rPr>
          <w:b/>
        </w:rPr>
      </w:pPr>
      <w:r>
        <w:br w:type="column"/>
      </w:r>
      <w:r w:rsidR="00D03705" w:rsidRPr="00D03705">
        <w:rPr>
          <w:b/>
        </w:rPr>
        <w:lastRenderedPageBreak/>
        <w:t>REFERENCES</w:t>
      </w:r>
    </w:p>
    <w:p w:rsidR="00474E09" w:rsidRPr="00BA63A5" w:rsidRDefault="00474E09" w:rsidP="004B2D5C">
      <w:pPr>
        <w:pStyle w:val="NoSpacing"/>
        <w:ind w:left="720" w:hanging="720"/>
      </w:pPr>
      <w:r w:rsidRPr="00BA63A5">
        <w:t>Arellano</w:t>
      </w:r>
      <w:r w:rsidR="004B2D5C" w:rsidRPr="00BA63A5">
        <w:t xml:space="preserve"> M, </w:t>
      </w:r>
      <w:r w:rsidRPr="00BA63A5">
        <w:t>Bond</w:t>
      </w:r>
      <w:r w:rsidR="004B2D5C" w:rsidRPr="00BA63A5">
        <w:t xml:space="preserve"> </w:t>
      </w:r>
      <w:r w:rsidRPr="00BA63A5">
        <w:t xml:space="preserve">S. 1991. Some </w:t>
      </w:r>
      <w:r w:rsidR="001C2A90" w:rsidRPr="00BA63A5">
        <w:t>tests of specification for panel data</w:t>
      </w:r>
      <w:r w:rsidRPr="00BA63A5">
        <w:t xml:space="preserve">: Monte Carlo </w:t>
      </w:r>
      <w:r w:rsidR="001C2A90" w:rsidRPr="00BA63A5">
        <w:t>evidence and an application to employment equations</w:t>
      </w:r>
      <w:r w:rsidRPr="00BA63A5">
        <w:t xml:space="preserve">. </w:t>
      </w:r>
      <w:r w:rsidRPr="00BA63A5">
        <w:rPr>
          <w:i/>
          <w:iCs/>
        </w:rPr>
        <w:t>The Review of Economic Studies</w:t>
      </w:r>
      <w:r w:rsidRPr="00BA63A5">
        <w:t xml:space="preserve">, </w:t>
      </w:r>
      <w:r w:rsidRPr="00BA63A5">
        <w:rPr>
          <w:b/>
        </w:rPr>
        <w:t>58</w:t>
      </w:r>
      <w:r w:rsidRPr="00BA63A5">
        <w:t>(2): 277-297.</w:t>
      </w:r>
    </w:p>
    <w:p w:rsidR="00474E09" w:rsidRPr="005942E9" w:rsidRDefault="00474E09" w:rsidP="004B2D5C">
      <w:pPr>
        <w:pStyle w:val="NoSpacing"/>
        <w:ind w:left="720" w:hanging="720"/>
        <w:rPr>
          <w:highlight w:val="cyan"/>
        </w:rPr>
      </w:pPr>
    </w:p>
    <w:p w:rsidR="00383018" w:rsidRPr="00BF362A" w:rsidRDefault="00383018" w:rsidP="004B2D5C">
      <w:pPr>
        <w:pStyle w:val="NoSpacing"/>
        <w:ind w:left="720" w:hanging="720"/>
      </w:pPr>
      <w:r w:rsidRPr="00BF362A">
        <w:t xml:space="preserve">Baldwin RE, Krugman P. 2004. </w:t>
      </w:r>
      <w:proofErr w:type="gramStart"/>
      <w:r w:rsidRPr="00BF362A">
        <w:t xml:space="preserve">Agglomeration, </w:t>
      </w:r>
      <w:r w:rsidR="001C2A90" w:rsidRPr="00BF362A">
        <w:t xml:space="preserve">integration and tax </w:t>
      </w:r>
      <w:proofErr w:type="spellStart"/>
      <w:r w:rsidR="001C2A90" w:rsidRPr="00BF362A">
        <w:t>harmonisation</w:t>
      </w:r>
      <w:proofErr w:type="spellEnd"/>
      <w:r w:rsidR="004B2D5C" w:rsidRPr="00BF362A">
        <w:t>.</w:t>
      </w:r>
      <w:proofErr w:type="gramEnd"/>
      <w:r w:rsidR="004B2D5C" w:rsidRPr="00BF362A">
        <w:t xml:space="preserve"> </w:t>
      </w:r>
      <w:r w:rsidR="004B2D5C" w:rsidRPr="00BF362A">
        <w:rPr>
          <w:i/>
        </w:rPr>
        <w:t>European Economic Review</w:t>
      </w:r>
      <w:r w:rsidR="004B2D5C" w:rsidRPr="00BF362A">
        <w:t xml:space="preserve">, </w:t>
      </w:r>
      <w:r w:rsidR="004B2D5C" w:rsidRPr="00BF362A">
        <w:rPr>
          <w:b/>
        </w:rPr>
        <w:t>48</w:t>
      </w:r>
      <w:r w:rsidR="004B2D5C" w:rsidRPr="00BF362A">
        <w:t>(1): 1-23.</w:t>
      </w:r>
    </w:p>
    <w:p w:rsidR="004B2D5C" w:rsidRPr="005942E9" w:rsidRDefault="004B2D5C" w:rsidP="004B2D5C">
      <w:pPr>
        <w:pStyle w:val="NoSpacing"/>
        <w:ind w:left="720" w:hanging="720"/>
        <w:rPr>
          <w:highlight w:val="cyan"/>
        </w:rPr>
      </w:pPr>
    </w:p>
    <w:p w:rsidR="00474E09" w:rsidRPr="00A80081" w:rsidRDefault="00474E09" w:rsidP="004B2D5C">
      <w:pPr>
        <w:pStyle w:val="NoSpacing"/>
        <w:ind w:left="720" w:hanging="720"/>
      </w:pPr>
      <w:proofErr w:type="gramStart"/>
      <w:r w:rsidRPr="00A80081">
        <w:t>Bansal P, Roth K. 2000.</w:t>
      </w:r>
      <w:proofErr w:type="gramEnd"/>
      <w:r w:rsidRPr="00A80081">
        <w:t xml:space="preserve"> Why companies go green: </w:t>
      </w:r>
      <w:r w:rsidR="001C2A90" w:rsidRPr="00A80081">
        <w:t>a</w:t>
      </w:r>
      <w:r w:rsidRPr="00A80081">
        <w:t xml:space="preserve"> model of ecological responsiveness. </w:t>
      </w:r>
      <w:r w:rsidRPr="00A80081">
        <w:rPr>
          <w:bCs/>
          <w:i/>
          <w:iCs/>
        </w:rPr>
        <w:t>Academy of Management Journal</w:t>
      </w:r>
      <w:r w:rsidRPr="00A80081">
        <w:t xml:space="preserve">, </w:t>
      </w:r>
      <w:r w:rsidRPr="00A80081">
        <w:rPr>
          <w:b/>
        </w:rPr>
        <w:t>43</w:t>
      </w:r>
      <w:r w:rsidRPr="00A80081">
        <w:t xml:space="preserve">(4): 717-736. </w:t>
      </w:r>
    </w:p>
    <w:p w:rsidR="00474E09" w:rsidRPr="005942E9" w:rsidRDefault="00474E09" w:rsidP="004B2D5C">
      <w:pPr>
        <w:pStyle w:val="NoSpacing"/>
        <w:ind w:left="720" w:hanging="720"/>
        <w:rPr>
          <w:highlight w:val="cyan"/>
        </w:rPr>
      </w:pPr>
    </w:p>
    <w:p w:rsidR="00FD1040" w:rsidRPr="003747BB" w:rsidRDefault="00FD1040" w:rsidP="004B2D5C">
      <w:pPr>
        <w:pStyle w:val="NoSpacing"/>
        <w:ind w:left="720" w:hanging="720"/>
      </w:pPr>
      <w:proofErr w:type="spellStart"/>
      <w:r w:rsidRPr="003747BB">
        <w:t>Bebchuk</w:t>
      </w:r>
      <w:proofErr w:type="spellEnd"/>
      <w:r w:rsidRPr="003747BB">
        <w:t xml:space="preserve"> LA. 1992. Federalism and the </w:t>
      </w:r>
      <w:r w:rsidR="001C2A90" w:rsidRPr="003747BB">
        <w:t xml:space="preserve">corporation: the </w:t>
      </w:r>
      <w:r w:rsidRPr="003747BB">
        <w:t xml:space="preserve">desirable limits on state competition in corporate law. </w:t>
      </w:r>
      <w:r w:rsidRPr="003747BB">
        <w:rPr>
          <w:i/>
        </w:rPr>
        <w:t>Harvard Law Review</w:t>
      </w:r>
      <w:r w:rsidRPr="003747BB">
        <w:t xml:space="preserve">, </w:t>
      </w:r>
      <w:r w:rsidRPr="003747BB">
        <w:rPr>
          <w:b/>
        </w:rPr>
        <w:t>105</w:t>
      </w:r>
      <w:r w:rsidRPr="003747BB">
        <w:t>(7): 1443-1510.</w:t>
      </w:r>
    </w:p>
    <w:p w:rsidR="00FD1040" w:rsidRPr="005942E9" w:rsidRDefault="00FD1040" w:rsidP="004B2D5C">
      <w:pPr>
        <w:pStyle w:val="NoSpacing"/>
        <w:ind w:left="720" w:hanging="720"/>
        <w:rPr>
          <w:highlight w:val="cyan"/>
        </w:rPr>
      </w:pPr>
    </w:p>
    <w:p w:rsidR="00FD1040" w:rsidRPr="003747BB" w:rsidRDefault="00FD1040" w:rsidP="004B2D5C">
      <w:pPr>
        <w:pStyle w:val="NoSpacing"/>
        <w:ind w:left="720" w:hanging="720"/>
      </w:pPr>
      <w:proofErr w:type="spellStart"/>
      <w:r w:rsidRPr="003747BB">
        <w:t>Bebchuk</w:t>
      </w:r>
      <w:proofErr w:type="spellEnd"/>
      <w:r w:rsidRPr="003747BB">
        <w:t xml:space="preserve"> LA, Cohen A. 2003. Firms’ </w:t>
      </w:r>
      <w:r w:rsidR="001C2A90" w:rsidRPr="003747BB">
        <w:t>decisions where to incorporate</w:t>
      </w:r>
      <w:r w:rsidRPr="003747BB">
        <w:t xml:space="preserve">. </w:t>
      </w:r>
      <w:r w:rsidRPr="003747BB">
        <w:rPr>
          <w:i/>
        </w:rPr>
        <w:t>Journal of Law &amp; Economics</w:t>
      </w:r>
      <w:r w:rsidRPr="003747BB">
        <w:t xml:space="preserve">, </w:t>
      </w:r>
      <w:r w:rsidRPr="003747BB">
        <w:rPr>
          <w:b/>
        </w:rPr>
        <w:t>46</w:t>
      </w:r>
      <w:r w:rsidRPr="003747BB">
        <w:t>(2): 383-425.</w:t>
      </w:r>
    </w:p>
    <w:p w:rsidR="00FD1040" w:rsidRPr="005942E9" w:rsidRDefault="00FD1040" w:rsidP="004B2D5C">
      <w:pPr>
        <w:pStyle w:val="NoSpacing"/>
        <w:ind w:left="720" w:hanging="720"/>
        <w:rPr>
          <w:highlight w:val="cyan"/>
        </w:rPr>
      </w:pPr>
      <w:r w:rsidRPr="005942E9">
        <w:rPr>
          <w:highlight w:val="cyan"/>
        </w:rPr>
        <w:t xml:space="preserve"> </w:t>
      </w:r>
    </w:p>
    <w:p w:rsidR="00474E09" w:rsidRPr="00BA63A5" w:rsidRDefault="00474E09" w:rsidP="004B2D5C">
      <w:pPr>
        <w:pStyle w:val="NoSpacing"/>
        <w:ind w:left="720" w:hanging="720"/>
      </w:pPr>
      <w:proofErr w:type="spellStart"/>
      <w:r w:rsidRPr="00BA63A5">
        <w:t>Bonardi</w:t>
      </w:r>
      <w:proofErr w:type="spellEnd"/>
      <w:r w:rsidRPr="00BA63A5">
        <w:t xml:space="preserve"> JP, Holburn, GLF, Vanden Bergh RG. 2006. Nonmarket strategy performance: </w:t>
      </w:r>
      <w:r w:rsidR="001C2A90" w:rsidRPr="00BA63A5">
        <w:t>evidence</w:t>
      </w:r>
      <w:r w:rsidRPr="00BA63A5">
        <w:t xml:space="preserve"> from US electric utilities. </w:t>
      </w:r>
      <w:r w:rsidRPr="00BA63A5">
        <w:rPr>
          <w:bCs/>
          <w:i/>
          <w:iCs/>
        </w:rPr>
        <w:t xml:space="preserve">Academy of Management Journal, </w:t>
      </w:r>
      <w:r w:rsidRPr="00BA63A5">
        <w:rPr>
          <w:b/>
        </w:rPr>
        <w:t>49</w:t>
      </w:r>
      <w:r w:rsidRPr="00BA63A5">
        <w:t xml:space="preserve">(6): 1209-1228. </w:t>
      </w:r>
    </w:p>
    <w:p w:rsidR="00474E09" w:rsidRPr="005942E9" w:rsidRDefault="00474E09" w:rsidP="004B2D5C">
      <w:pPr>
        <w:pStyle w:val="NoSpacing"/>
        <w:ind w:left="720" w:hanging="720"/>
        <w:rPr>
          <w:highlight w:val="cyan"/>
        </w:rPr>
      </w:pPr>
    </w:p>
    <w:p w:rsidR="00FD1040" w:rsidRPr="00F928BA" w:rsidRDefault="00B4742E" w:rsidP="004B2D5C">
      <w:pPr>
        <w:pStyle w:val="NoSpacing"/>
        <w:ind w:left="720" w:hanging="720"/>
        <w:rPr>
          <w:szCs w:val="20"/>
        </w:rPr>
      </w:pPr>
      <w:r w:rsidRPr="00F928BA">
        <w:rPr>
          <w:szCs w:val="20"/>
        </w:rPr>
        <w:t>Caves RE</w:t>
      </w:r>
      <w:r w:rsidR="00FD1040" w:rsidRPr="00F928BA">
        <w:rPr>
          <w:szCs w:val="20"/>
        </w:rPr>
        <w:t xml:space="preserve">. 1996. </w:t>
      </w:r>
      <w:r w:rsidR="00FD1040" w:rsidRPr="00F928BA">
        <w:rPr>
          <w:i/>
          <w:szCs w:val="20"/>
        </w:rPr>
        <w:t xml:space="preserve">Multinational </w:t>
      </w:r>
      <w:r w:rsidRPr="00F928BA">
        <w:rPr>
          <w:i/>
        </w:rPr>
        <w:t>E</w:t>
      </w:r>
      <w:r w:rsidR="00FD1040" w:rsidRPr="00F928BA">
        <w:rPr>
          <w:i/>
        </w:rPr>
        <w:t>nterprise and</w:t>
      </w:r>
      <w:r w:rsidRPr="00F928BA">
        <w:rPr>
          <w:i/>
        </w:rPr>
        <w:t xml:space="preserve"> E</w:t>
      </w:r>
      <w:r w:rsidR="00FD1040" w:rsidRPr="00F928BA">
        <w:rPr>
          <w:i/>
        </w:rPr>
        <w:t xml:space="preserve">conomic </w:t>
      </w:r>
      <w:r w:rsidRPr="00F928BA">
        <w:rPr>
          <w:i/>
        </w:rPr>
        <w:t>A</w:t>
      </w:r>
      <w:r w:rsidR="00FD1040" w:rsidRPr="00F928BA">
        <w:rPr>
          <w:i/>
        </w:rPr>
        <w:t xml:space="preserve">nalysis, 2nd </w:t>
      </w:r>
      <w:r w:rsidR="00FD1040" w:rsidRPr="00F928BA">
        <w:rPr>
          <w:i/>
          <w:szCs w:val="20"/>
        </w:rPr>
        <w:t>ed</w:t>
      </w:r>
      <w:r w:rsidR="00FD1040" w:rsidRPr="00F928BA">
        <w:rPr>
          <w:szCs w:val="20"/>
        </w:rPr>
        <w:t>. Cambridge University Press</w:t>
      </w:r>
      <w:r w:rsidRPr="00F928BA">
        <w:rPr>
          <w:szCs w:val="20"/>
        </w:rPr>
        <w:t>: Cambridge</w:t>
      </w:r>
      <w:r w:rsidR="00FD1040" w:rsidRPr="00F928BA">
        <w:rPr>
          <w:szCs w:val="20"/>
        </w:rPr>
        <w:t>.</w:t>
      </w:r>
    </w:p>
    <w:p w:rsidR="00FD1040" w:rsidRPr="005942E9" w:rsidRDefault="00FD1040" w:rsidP="004B2D5C">
      <w:pPr>
        <w:pStyle w:val="NoSpacing"/>
        <w:ind w:left="720" w:hanging="720"/>
        <w:rPr>
          <w:highlight w:val="cyan"/>
        </w:rPr>
      </w:pPr>
    </w:p>
    <w:p w:rsidR="005667BD" w:rsidRPr="00A80081" w:rsidRDefault="005667BD" w:rsidP="004B2D5C">
      <w:pPr>
        <w:pStyle w:val="NoSpacing"/>
        <w:ind w:left="720" w:hanging="720"/>
      </w:pPr>
      <w:r w:rsidRPr="00A80081">
        <w:t xml:space="preserve">Chen MJ, Su KH, Tsai W. 2007. Competitive </w:t>
      </w:r>
      <w:r w:rsidR="001C2A90" w:rsidRPr="00A80081">
        <w:t xml:space="preserve">tension: the </w:t>
      </w:r>
      <w:r w:rsidRPr="00A80081">
        <w:t xml:space="preserve">awareness-motivation-capability perspective. </w:t>
      </w:r>
      <w:r w:rsidRPr="00A80081">
        <w:rPr>
          <w:i/>
        </w:rPr>
        <w:t xml:space="preserve">Academy of Management Journal, </w:t>
      </w:r>
      <w:r w:rsidRPr="00A80081">
        <w:rPr>
          <w:b/>
        </w:rPr>
        <w:t>50</w:t>
      </w:r>
      <w:r w:rsidRPr="00A80081">
        <w:t>(1): 101-118.</w:t>
      </w:r>
    </w:p>
    <w:p w:rsidR="005667BD" w:rsidRPr="005942E9" w:rsidRDefault="005667BD" w:rsidP="004B2D5C">
      <w:pPr>
        <w:pStyle w:val="NoSpacing"/>
        <w:ind w:left="720" w:hanging="720"/>
        <w:rPr>
          <w:highlight w:val="cyan"/>
        </w:rPr>
      </w:pPr>
      <w:r w:rsidRPr="005942E9">
        <w:rPr>
          <w:highlight w:val="cyan"/>
        </w:rPr>
        <w:t xml:space="preserve"> </w:t>
      </w:r>
    </w:p>
    <w:p w:rsidR="00311547" w:rsidRPr="002F4BF0" w:rsidRDefault="00311547" w:rsidP="004B2D5C">
      <w:pPr>
        <w:pStyle w:val="NoSpacing"/>
        <w:ind w:left="720" w:hanging="720"/>
        <w:rPr>
          <w:rStyle w:val="referencetext1"/>
          <w:szCs w:val="18"/>
        </w:rPr>
      </w:pPr>
      <w:proofErr w:type="spellStart"/>
      <w:r w:rsidRPr="002F4BF0">
        <w:rPr>
          <w:rStyle w:val="referencetext1"/>
          <w:szCs w:val="18"/>
          <w:specVanish w:val="0"/>
        </w:rPr>
        <w:t>Christmann</w:t>
      </w:r>
      <w:proofErr w:type="spellEnd"/>
      <w:r w:rsidRPr="002F4BF0">
        <w:rPr>
          <w:rStyle w:val="referencetext1"/>
          <w:szCs w:val="18"/>
          <w:specVanish w:val="0"/>
        </w:rPr>
        <w:t xml:space="preserve"> P, Taylor G. 2001. Globalization and the </w:t>
      </w:r>
      <w:r w:rsidR="001C2A90" w:rsidRPr="002F4BF0">
        <w:rPr>
          <w:rStyle w:val="referencetext1"/>
          <w:szCs w:val="18"/>
          <w:specVanish w:val="0"/>
        </w:rPr>
        <w:t xml:space="preserve">environment: determinants </w:t>
      </w:r>
      <w:r w:rsidRPr="002F4BF0">
        <w:rPr>
          <w:rStyle w:val="referencetext1"/>
          <w:szCs w:val="18"/>
          <w:specVanish w:val="0"/>
        </w:rPr>
        <w:t xml:space="preserve">of firm self-regulation in China. </w:t>
      </w:r>
      <w:r w:rsidRPr="002F4BF0">
        <w:rPr>
          <w:rStyle w:val="referencetext1"/>
          <w:i/>
          <w:szCs w:val="18"/>
          <w:specVanish w:val="0"/>
        </w:rPr>
        <w:t>Journal of International Business Studies</w:t>
      </w:r>
      <w:r w:rsidRPr="002F4BF0">
        <w:rPr>
          <w:rStyle w:val="referencetext1"/>
          <w:szCs w:val="18"/>
          <w:specVanish w:val="0"/>
        </w:rPr>
        <w:t xml:space="preserve">, </w:t>
      </w:r>
      <w:r w:rsidRPr="002F4BF0">
        <w:rPr>
          <w:rStyle w:val="referencetext1"/>
          <w:b/>
          <w:szCs w:val="18"/>
          <w:specVanish w:val="0"/>
        </w:rPr>
        <w:t>32</w:t>
      </w:r>
      <w:r w:rsidRPr="002F4BF0">
        <w:rPr>
          <w:rStyle w:val="referencetext1"/>
          <w:szCs w:val="18"/>
          <w:specVanish w:val="0"/>
        </w:rPr>
        <w:t>(3): 439-458.</w:t>
      </w:r>
    </w:p>
    <w:p w:rsidR="00311547" w:rsidRPr="005942E9" w:rsidRDefault="00311547" w:rsidP="004B2D5C">
      <w:pPr>
        <w:pStyle w:val="NoSpacing"/>
        <w:ind w:left="720" w:hanging="720"/>
        <w:rPr>
          <w:rStyle w:val="referencetext1"/>
          <w:szCs w:val="18"/>
          <w:highlight w:val="cyan"/>
        </w:rPr>
      </w:pPr>
    </w:p>
    <w:p w:rsidR="00311547" w:rsidRPr="002F4BF0" w:rsidRDefault="00311547" w:rsidP="004B2D5C">
      <w:pPr>
        <w:pStyle w:val="NoSpacing"/>
        <w:ind w:left="720" w:hanging="720"/>
        <w:rPr>
          <w:rStyle w:val="referencetext1"/>
          <w:szCs w:val="18"/>
        </w:rPr>
      </w:pPr>
      <w:r w:rsidRPr="002F4BF0">
        <w:rPr>
          <w:rStyle w:val="referencetext1"/>
          <w:szCs w:val="18"/>
          <w:specVanish w:val="0"/>
        </w:rPr>
        <w:t xml:space="preserve">Copeland BR, Taylor MS. 1994. </w:t>
      </w:r>
      <w:proofErr w:type="gramStart"/>
      <w:r w:rsidRPr="002F4BF0">
        <w:rPr>
          <w:rStyle w:val="referencetext1"/>
          <w:szCs w:val="18"/>
          <w:specVanish w:val="0"/>
        </w:rPr>
        <w:t>North–south trade and the environment.</w:t>
      </w:r>
      <w:proofErr w:type="gramEnd"/>
      <w:r w:rsidRPr="002F4BF0">
        <w:rPr>
          <w:rStyle w:val="referencetext1"/>
          <w:szCs w:val="18"/>
          <w:specVanish w:val="0"/>
        </w:rPr>
        <w:t xml:space="preserve"> </w:t>
      </w:r>
      <w:r w:rsidR="006331AC" w:rsidRPr="006331AC">
        <w:rPr>
          <w:rStyle w:val="referencetext1"/>
          <w:i/>
          <w:szCs w:val="18"/>
          <w:specVanish w:val="0"/>
        </w:rPr>
        <w:t>Q</w:t>
      </w:r>
      <w:r w:rsidRPr="002F4BF0">
        <w:rPr>
          <w:rStyle w:val="referencetext1"/>
          <w:i/>
          <w:szCs w:val="18"/>
          <w:specVanish w:val="0"/>
        </w:rPr>
        <w:t xml:space="preserve">uarterly Journal of </w:t>
      </w:r>
      <w:r w:rsidRPr="002F4BF0">
        <w:rPr>
          <w:rStyle w:val="referencetext1"/>
          <w:szCs w:val="18"/>
          <w:specVanish w:val="0"/>
        </w:rPr>
        <w:t xml:space="preserve">Economics, </w:t>
      </w:r>
      <w:r w:rsidRPr="002F4BF0">
        <w:rPr>
          <w:rStyle w:val="Strong"/>
          <w:bCs w:val="0"/>
          <w:szCs w:val="18"/>
        </w:rPr>
        <w:t>109</w:t>
      </w:r>
      <w:r w:rsidRPr="002F4BF0">
        <w:rPr>
          <w:rStyle w:val="Strong"/>
          <w:b w:val="0"/>
          <w:bCs w:val="0"/>
          <w:szCs w:val="18"/>
        </w:rPr>
        <w:t>(3):</w:t>
      </w:r>
      <w:r w:rsidRPr="002F4BF0">
        <w:rPr>
          <w:rStyle w:val="referencetext1"/>
          <w:szCs w:val="18"/>
          <w:specVanish w:val="0"/>
        </w:rPr>
        <w:t>755–787.</w:t>
      </w:r>
    </w:p>
    <w:p w:rsidR="00311547" w:rsidRPr="005942E9" w:rsidRDefault="00311547" w:rsidP="004B2D5C">
      <w:pPr>
        <w:pStyle w:val="NoSpacing"/>
        <w:ind w:left="720" w:hanging="720"/>
        <w:rPr>
          <w:rStyle w:val="referencetext1"/>
          <w:szCs w:val="18"/>
          <w:highlight w:val="cyan"/>
        </w:rPr>
      </w:pPr>
    </w:p>
    <w:p w:rsidR="00383018" w:rsidRPr="00BF362A" w:rsidRDefault="00383018" w:rsidP="004B2D5C">
      <w:pPr>
        <w:pStyle w:val="NoSpacing"/>
        <w:ind w:left="720" w:hanging="720"/>
        <w:rPr>
          <w:rStyle w:val="referencetext1"/>
          <w:szCs w:val="18"/>
        </w:rPr>
      </w:pPr>
      <w:proofErr w:type="spellStart"/>
      <w:r w:rsidRPr="00BF362A">
        <w:rPr>
          <w:rStyle w:val="referencetext1"/>
          <w:szCs w:val="18"/>
          <w:specVanish w:val="0"/>
        </w:rPr>
        <w:t>Daines</w:t>
      </w:r>
      <w:proofErr w:type="spellEnd"/>
      <w:r w:rsidRPr="00BF362A">
        <w:rPr>
          <w:rStyle w:val="referencetext1"/>
          <w:szCs w:val="18"/>
          <w:specVanish w:val="0"/>
        </w:rPr>
        <w:t xml:space="preserve"> R. 2001. Does Delaware </w:t>
      </w:r>
      <w:r w:rsidR="001C2A90" w:rsidRPr="00BF362A">
        <w:rPr>
          <w:rStyle w:val="referencetext1"/>
          <w:szCs w:val="18"/>
          <w:specVanish w:val="0"/>
        </w:rPr>
        <w:t>law improve firm value</w:t>
      </w:r>
      <w:r w:rsidRPr="00BF362A">
        <w:rPr>
          <w:rStyle w:val="referencetext1"/>
          <w:szCs w:val="18"/>
          <w:specVanish w:val="0"/>
        </w:rPr>
        <w:t xml:space="preserve">? </w:t>
      </w:r>
      <w:r w:rsidR="006331AC" w:rsidRPr="006331AC">
        <w:rPr>
          <w:rStyle w:val="referencetext1"/>
          <w:i/>
          <w:szCs w:val="18"/>
          <w:specVanish w:val="0"/>
        </w:rPr>
        <w:t>Journal of Financial Economics</w:t>
      </w:r>
      <w:r w:rsidRPr="00BF362A">
        <w:rPr>
          <w:rStyle w:val="referencetext1"/>
          <w:szCs w:val="18"/>
          <w:specVanish w:val="0"/>
        </w:rPr>
        <w:t xml:space="preserve">, </w:t>
      </w:r>
      <w:r w:rsidRPr="00BF362A">
        <w:rPr>
          <w:rStyle w:val="referencetext1"/>
          <w:b/>
          <w:szCs w:val="18"/>
          <w:specVanish w:val="0"/>
        </w:rPr>
        <w:t>62</w:t>
      </w:r>
      <w:r w:rsidRPr="00BF362A">
        <w:rPr>
          <w:rStyle w:val="referencetext1"/>
          <w:szCs w:val="18"/>
          <w:specVanish w:val="0"/>
        </w:rPr>
        <w:t>(3): 525-558.</w:t>
      </w:r>
    </w:p>
    <w:p w:rsidR="00383018" w:rsidRPr="005942E9" w:rsidRDefault="00383018" w:rsidP="004B2D5C">
      <w:pPr>
        <w:pStyle w:val="NoSpacing"/>
        <w:ind w:left="720" w:hanging="720"/>
        <w:rPr>
          <w:rStyle w:val="referencetext1"/>
          <w:rFonts w:ascii="Arial" w:hAnsi="Arial" w:cs="Arial"/>
          <w:sz w:val="18"/>
          <w:szCs w:val="18"/>
          <w:highlight w:val="cyan"/>
        </w:rPr>
      </w:pPr>
    </w:p>
    <w:p w:rsidR="00474E09" w:rsidRPr="002D24B5" w:rsidRDefault="00474E09" w:rsidP="004B2D5C">
      <w:pPr>
        <w:pStyle w:val="NoSpacing"/>
        <w:ind w:left="720" w:hanging="720"/>
      </w:pPr>
      <w:r w:rsidRPr="002D24B5">
        <w:t xml:space="preserve">Delmas M, Russo MV, Montes-Sancho MJ. 2007. Deregulation and environmental differentiation in the electric utility industry. </w:t>
      </w:r>
      <w:r w:rsidRPr="002D24B5">
        <w:rPr>
          <w:bCs/>
          <w:i/>
          <w:iCs/>
        </w:rPr>
        <w:t>Strategic Management Journal</w:t>
      </w:r>
      <w:r w:rsidRPr="002D24B5">
        <w:t xml:space="preserve">, </w:t>
      </w:r>
      <w:r w:rsidRPr="002D24B5">
        <w:rPr>
          <w:b/>
        </w:rPr>
        <w:t>28</w:t>
      </w:r>
      <w:r w:rsidRPr="002D24B5">
        <w:t xml:space="preserve">(2):189-209. </w:t>
      </w:r>
    </w:p>
    <w:p w:rsidR="001E7F11" w:rsidRDefault="001E7F11" w:rsidP="004B2D5C">
      <w:pPr>
        <w:pStyle w:val="NoSpacing"/>
        <w:ind w:left="720" w:hanging="720"/>
        <w:rPr>
          <w:highlight w:val="cyan"/>
        </w:rPr>
      </w:pPr>
    </w:p>
    <w:p w:rsidR="00ED2768" w:rsidRPr="00B67279" w:rsidRDefault="00ED2768" w:rsidP="004B2D5C">
      <w:pPr>
        <w:pStyle w:val="NoSpacing"/>
        <w:ind w:left="720" w:hanging="720"/>
      </w:pPr>
      <w:proofErr w:type="gramStart"/>
      <w:r w:rsidRPr="00B67279">
        <w:t>Energy Information Administration.</w:t>
      </w:r>
      <w:proofErr w:type="gramEnd"/>
      <w:r w:rsidRPr="00B67279">
        <w:t xml:space="preserve"> 2011. </w:t>
      </w:r>
      <w:r w:rsidRPr="00B67279">
        <w:rPr>
          <w:i/>
        </w:rPr>
        <w:t>Emissions of Greenhouse Gases in the United States 2008</w:t>
      </w:r>
      <w:r w:rsidRPr="00B67279">
        <w:t xml:space="preserve">. </w:t>
      </w:r>
      <w:r w:rsidR="00542F27" w:rsidRPr="00B67279">
        <w:t>US Department of Energy: Washington.</w:t>
      </w:r>
    </w:p>
    <w:p w:rsidR="00542F27" w:rsidRPr="00ED2768" w:rsidRDefault="00542F27" w:rsidP="004B2D5C">
      <w:pPr>
        <w:pStyle w:val="NoSpacing"/>
        <w:ind w:left="720" w:hanging="720"/>
        <w:rPr>
          <w:highlight w:val="cyan"/>
        </w:rPr>
      </w:pPr>
    </w:p>
    <w:p w:rsidR="00FD1040" w:rsidRPr="00F928BA" w:rsidRDefault="00FD1040" w:rsidP="004B2D5C">
      <w:pPr>
        <w:pStyle w:val="NoSpacing"/>
        <w:ind w:left="720" w:hanging="720"/>
      </w:pPr>
      <w:proofErr w:type="spellStart"/>
      <w:proofErr w:type="gramStart"/>
      <w:r w:rsidRPr="00F928BA">
        <w:t>Eskeland</w:t>
      </w:r>
      <w:proofErr w:type="spellEnd"/>
      <w:r w:rsidRPr="00F928BA">
        <w:t xml:space="preserve"> GS, Harrison AE.</w:t>
      </w:r>
      <w:proofErr w:type="gramEnd"/>
      <w:r w:rsidRPr="00F928BA">
        <w:t xml:space="preserve"> 2003. Moving to </w:t>
      </w:r>
      <w:r w:rsidR="001C2A90" w:rsidRPr="00F928BA">
        <w:t>greener pastures</w:t>
      </w:r>
      <w:r w:rsidRPr="00F928BA">
        <w:t xml:space="preserve">? Multinationals and the pollution haven hypothesis. </w:t>
      </w:r>
      <w:r w:rsidRPr="00F928BA">
        <w:rPr>
          <w:i/>
        </w:rPr>
        <w:t>Journal of Development Economics</w:t>
      </w:r>
      <w:r w:rsidRPr="00F928BA">
        <w:t xml:space="preserve">, </w:t>
      </w:r>
      <w:r w:rsidRPr="00F928BA">
        <w:rPr>
          <w:b/>
        </w:rPr>
        <w:t>70</w:t>
      </w:r>
      <w:r w:rsidRPr="00F928BA">
        <w:t>(1): 1-23.</w:t>
      </w:r>
    </w:p>
    <w:p w:rsidR="00FD1040" w:rsidRPr="005942E9" w:rsidRDefault="00FD1040" w:rsidP="004B2D5C">
      <w:pPr>
        <w:pStyle w:val="NoSpacing"/>
        <w:ind w:left="720" w:hanging="720"/>
        <w:rPr>
          <w:highlight w:val="cyan"/>
        </w:rPr>
      </w:pPr>
    </w:p>
    <w:p w:rsidR="0074020B" w:rsidRPr="00526489" w:rsidRDefault="0074020B" w:rsidP="004B2D5C">
      <w:pPr>
        <w:pStyle w:val="NoSpacing"/>
        <w:ind w:left="720" w:hanging="720"/>
      </w:pPr>
      <w:r w:rsidRPr="00526489">
        <w:t xml:space="preserve">Farrell J, Morris, D. 2010. </w:t>
      </w:r>
      <w:proofErr w:type="gramStart"/>
      <w:r w:rsidRPr="00526489">
        <w:rPr>
          <w:i/>
        </w:rPr>
        <w:t>Energy Self-Reliant States.</w:t>
      </w:r>
      <w:proofErr w:type="gramEnd"/>
      <w:r w:rsidRPr="00526489">
        <w:rPr>
          <w:i/>
        </w:rPr>
        <w:t xml:space="preserve"> </w:t>
      </w:r>
      <w:r w:rsidRPr="00526489">
        <w:t>Institute for Local Self-Reliance: Minneapolis.</w:t>
      </w:r>
    </w:p>
    <w:p w:rsidR="0074020B" w:rsidRPr="005942E9" w:rsidRDefault="0074020B" w:rsidP="004B2D5C">
      <w:pPr>
        <w:pStyle w:val="NoSpacing"/>
        <w:ind w:left="720" w:hanging="720"/>
        <w:rPr>
          <w:i/>
          <w:highlight w:val="cyan"/>
        </w:rPr>
      </w:pPr>
    </w:p>
    <w:p w:rsidR="0074020B" w:rsidRPr="00A80081" w:rsidRDefault="0074020B" w:rsidP="004B2D5C">
      <w:pPr>
        <w:pStyle w:val="NoSpacing"/>
        <w:ind w:left="720" w:hanging="720"/>
        <w:rPr>
          <w:szCs w:val="24"/>
        </w:rPr>
      </w:pPr>
      <w:r w:rsidRPr="00A80081">
        <w:rPr>
          <w:sz w:val="23"/>
          <w:szCs w:val="23"/>
        </w:rPr>
        <w:t xml:space="preserve">Fremeth AR. 2009. </w:t>
      </w:r>
      <w:r w:rsidRPr="00A80081">
        <w:rPr>
          <w:i/>
          <w:szCs w:val="24"/>
        </w:rPr>
        <w:t xml:space="preserve">The Dynamic Relationship between Firm Capabilities, Regulatory Policy, and Environmental Performance: Renewable </w:t>
      </w:r>
      <w:r w:rsidR="002E75A0">
        <w:rPr>
          <w:i/>
          <w:szCs w:val="24"/>
        </w:rPr>
        <w:t>E</w:t>
      </w:r>
      <w:r w:rsidRPr="00A80081">
        <w:rPr>
          <w:i/>
          <w:szCs w:val="24"/>
        </w:rPr>
        <w:t xml:space="preserve">nergy </w:t>
      </w:r>
      <w:r w:rsidR="002E75A0">
        <w:rPr>
          <w:i/>
          <w:szCs w:val="24"/>
        </w:rPr>
        <w:t>P</w:t>
      </w:r>
      <w:r w:rsidRPr="00A80081">
        <w:rPr>
          <w:i/>
          <w:szCs w:val="24"/>
        </w:rPr>
        <w:t>olicy and Investment in the U.S. Electric Utility Sector</w:t>
      </w:r>
      <w:r w:rsidRPr="00A80081">
        <w:rPr>
          <w:szCs w:val="24"/>
        </w:rPr>
        <w:t xml:space="preserve">. </w:t>
      </w:r>
      <w:proofErr w:type="gramStart"/>
      <w:r w:rsidR="001C2A90">
        <w:rPr>
          <w:szCs w:val="24"/>
        </w:rPr>
        <w:t>Doctoral dissertation</w:t>
      </w:r>
      <w:r w:rsidRPr="00A80081">
        <w:rPr>
          <w:szCs w:val="24"/>
        </w:rPr>
        <w:t>, University of Minnesota, Minneapolis, MN.</w:t>
      </w:r>
      <w:proofErr w:type="gramEnd"/>
      <w:r w:rsidRPr="00A80081">
        <w:rPr>
          <w:szCs w:val="24"/>
        </w:rPr>
        <w:t xml:space="preserve"> </w:t>
      </w:r>
    </w:p>
    <w:p w:rsidR="0074020B" w:rsidRPr="00A80081" w:rsidRDefault="0074020B" w:rsidP="004B2D5C">
      <w:pPr>
        <w:pStyle w:val="NoSpacing"/>
        <w:ind w:left="720" w:hanging="720"/>
        <w:rPr>
          <w:szCs w:val="24"/>
        </w:rPr>
      </w:pPr>
    </w:p>
    <w:p w:rsidR="000A59E2" w:rsidRPr="005942E9" w:rsidRDefault="000A59E2" w:rsidP="000A59E2">
      <w:pPr>
        <w:pStyle w:val="NoSpacing"/>
        <w:ind w:left="720" w:hanging="720"/>
        <w:rPr>
          <w:rFonts w:ascii="Tahoma" w:eastAsia="Times New Roman" w:hAnsi="Tahoma" w:cs="Tahoma"/>
          <w:b/>
          <w:bCs/>
          <w:color w:val="000000"/>
          <w:highlight w:val="cyan"/>
          <w:lang w:val="en-CA" w:eastAsia="en-CA"/>
        </w:rPr>
      </w:pPr>
      <w:r w:rsidRPr="00E10EC6">
        <w:rPr>
          <w:szCs w:val="17"/>
        </w:rPr>
        <w:t xml:space="preserve">Fremeth AR, Holburn GLF. Forthcoming. </w:t>
      </w:r>
      <w:r w:rsidRPr="00E10EC6">
        <w:rPr>
          <w:lang w:val="en-CA" w:eastAsia="en-CA"/>
        </w:rPr>
        <w:t xml:space="preserve">Information </w:t>
      </w:r>
      <w:r w:rsidR="002E75A0" w:rsidRPr="00E10EC6">
        <w:rPr>
          <w:lang w:val="en-CA" w:eastAsia="en-CA"/>
        </w:rPr>
        <w:t xml:space="preserve">asymmetries and regulatory decision costs: an analysis </w:t>
      </w:r>
      <w:r w:rsidRPr="00E10EC6">
        <w:rPr>
          <w:lang w:val="en-CA" w:eastAsia="en-CA"/>
        </w:rPr>
        <w:t xml:space="preserve">of U.S. </w:t>
      </w:r>
      <w:r w:rsidR="002E75A0" w:rsidRPr="00E10EC6">
        <w:rPr>
          <w:lang w:val="en-CA" w:eastAsia="en-CA"/>
        </w:rPr>
        <w:t xml:space="preserve">electric utility rate changes </w:t>
      </w:r>
      <w:r w:rsidRPr="00E10EC6">
        <w:rPr>
          <w:lang w:val="en-CA" w:eastAsia="en-CA"/>
        </w:rPr>
        <w:t xml:space="preserve">1980-2000. </w:t>
      </w:r>
      <w:proofErr w:type="gramStart"/>
      <w:r w:rsidRPr="00E10EC6">
        <w:rPr>
          <w:i/>
          <w:lang w:val="en-CA" w:eastAsia="en-CA"/>
        </w:rPr>
        <w:t>Journal of Law, Economics and Organizatio</w:t>
      </w:r>
      <w:r w:rsidR="00484BDC" w:rsidRPr="00E10EC6">
        <w:rPr>
          <w:i/>
          <w:lang w:val="en-CA" w:eastAsia="en-CA"/>
        </w:rPr>
        <w:t>n</w:t>
      </w:r>
      <w:r w:rsidR="00484BDC" w:rsidRPr="00E10EC6">
        <w:rPr>
          <w:lang w:val="en-CA" w:eastAsia="en-CA"/>
        </w:rPr>
        <w:t>.</w:t>
      </w:r>
      <w:proofErr w:type="gramEnd"/>
      <w:r w:rsidRPr="00E10EC6">
        <w:rPr>
          <w:highlight w:val="cyan"/>
          <w:lang w:val="en-CA" w:eastAsia="en-CA"/>
        </w:rPr>
        <w:t xml:space="preserve"> </w:t>
      </w:r>
    </w:p>
    <w:p w:rsidR="000A59E2" w:rsidRPr="005942E9" w:rsidRDefault="000A59E2" w:rsidP="004B2D5C">
      <w:pPr>
        <w:pStyle w:val="NoSpacing"/>
        <w:ind w:left="720" w:hanging="720"/>
        <w:rPr>
          <w:i/>
          <w:szCs w:val="17"/>
          <w:highlight w:val="cyan"/>
        </w:rPr>
      </w:pPr>
    </w:p>
    <w:p w:rsidR="007B7B5E" w:rsidRPr="003747BB" w:rsidRDefault="007B7B5E" w:rsidP="004B2D5C">
      <w:pPr>
        <w:pStyle w:val="NoSpacing"/>
        <w:ind w:left="720" w:hanging="720"/>
        <w:rPr>
          <w:szCs w:val="17"/>
        </w:rPr>
      </w:pPr>
      <w:r w:rsidRPr="003747BB">
        <w:rPr>
          <w:szCs w:val="17"/>
        </w:rPr>
        <w:t>Grossman G</w:t>
      </w:r>
      <w:r w:rsidR="004B2D5C" w:rsidRPr="003747BB">
        <w:rPr>
          <w:szCs w:val="17"/>
        </w:rPr>
        <w:t>,</w:t>
      </w:r>
      <w:r w:rsidRPr="003747BB">
        <w:rPr>
          <w:szCs w:val="17"/>
        </w:rPr>
        <w:t xml:space="preserve"> Krueger</w:t>
      </w:r>
      <w:r w:rsidR="004B2D5C" w:rsidRPr="003747BB">
        <w:rPr>
          <w:szCs w:val="17"/>
        </w:rPr>
        <w:t xml:space="preserve"> </w:t>
      </w:r>
      <w:r w:rsidRPr="003747BB">
        <w:rPr>
          <w:szCs w:val="17"/>
        </w:rPr>
        <w:t xml:space="preserve">A. </w:t>
      </w:r>
      <w:r w:rsidR="00505250" w:rsidRPr="003747BB">
        <w:rPr>
          <w:szCs w:val="17"/>
        </w:rPr>
        <w:t xml:space="preserve">1993. </w:t>
      </w:r>
      <w:r w:rsidRPr="003747BB">
        <w:rPr>
          <w:szCs w:val="17"/>
        </w:rPr>
        <w:t xml:space="preserve">Environmental </w:t>
      </w:r>
      <w:r w:rsidR="00D9238B" w:rsidRPr="003747BB">
        <w:rPr>
          <w:szCs w:val="17"/>
        </w:rPr>
        <w:t>impacts</w:t>
      </w:r>
      <w:r w:rsidRPr="003747BB">
        <w:rPr>
          <w:szCs w:val="17"/>
        </w:rPr>
        <w:t xml:space="preserve"> of a North American </w:t>
      </w:r>
      <w:r w:rsidR="00D9238B" w:rsidRPr="003747BB">
        <w:rPr>
          <w:szCs w:val="17"/>
        </w:rPr>
        <w:t>free trade agreement</w:t>
      </w:r>
      <w:r w:rsidRPr="003747BB">
        <w:rPr>
          <w:szCs w:val="17"/>
        </w:rPr>
        <w:t xml:space="preserve">. In </w:t>
      </w:r>
      <w:r w:rsidRPr="003747BB">
        <w:rPr>
          <w:i/>
          <w:szCs w:val="17"/>
        </w:rPr>
        <w:t>The U.S.-Mexico Free Trade Agreement</w:t>
      </w:r>
      <w:r w:rsidR="00505250" w:rsidRPr="003747BB">
        <w:rPr>
          <w:szCs w:val="17"/>
        </w:rPr>
        <w:t>,</w:t>
      </w:r>
      <w:r w:rsidRPr="003747BB">
        <w:rPr>
          <w:szCs w:val="17"/>
        </w:rPr>
        <w:t xml:space="preserve"> Garber</w:t>
      </w:r>
      <w:r w:rsidR="00505250" w:rsidRPr="003747BB">
        <w:rPr>
          <w:szCs w:val="17"/>
        </w:rPr>
        <w:t xml:space="preserve">, P </w:t>
      </w:r>
      <w:r w:rsidRPr="003747BB">
        <w:rPr>
          <w:szCs w:val="17"/>
        </w:rPr>
        <w:t>(</w:t>
      </w:r>
      <w:proofErr w:type="spellStart"/>
      <w:r w:rsidR="00505250" w:rsidRPr="003747BB">
        <w:rPr>
          <w:szCs w:val="17"/>
        </w:rPr>
        <w:t>e</w:t>
      </w:r>
      <w:r w:rsidRPr="003747BB">
        <w:rPr>
          <w:szCs w:val="17"/>
        </w:rPr>
        <w:t>d</w:t>
      </w:r>
      <w:proofErr w:type="spellEnd"/>
      <w:r w:rsidRPr="003747BB">
        <w:rPr>
          <w:szCs w:val="17"/>
        </w:rPr>
        <w:t>)</w:t>
      </w:r>
      <w:r w:rsidR="00505250" w:rsidRPr="003747BB">
        <w:rPr>
          <w:szCs w:val="17"/>
        </w:rPr>
        <w:t>.</w:t>
      </w:r>
      <w:r w:rsidRPr="003747BB">
        <w:rPr>
          <w:szCs w:val="17"/>
        </w:rPr>
        <w:t xml:space="preserve"> MIT Press</w:t>
      </w:r>
      <w:r w:rsidR="00505250" w:rsidRPr="003747BB">
        <w:rPr>
          <w:szCs w:val="17"/>
        </w:rPr>
        <w:t>: Cambridge; 13-56.</w:t>
      </w:r>
    </w:p>
    <w:p w:rsidR="007B7B5E" w:rsidRPr="005942E9" w:rsidRDefault="007B7B5E" w:rsidP="004B2D5C">
      <w:pPr>
        <w:pStyle w:val="NoSpacing"/>
        <w:ind w:left="720" w:hanging="720"/>
        <w:rPr>
          <w:highlight w:val="cyan"/>
        </w:rPr>
      </w:pPr>
    </w:p>
    <w:p w:rsidR="00383018" w:rsidRPr="00362919" w:rsidRDefault="00383018" w:rsidP="004B2D5C">
      <w:pPr>
        <w:pStyle w:val="NoSpacing"/>
        <w:ind w:left="720" w:hanging="720"/>
      </w:pPr>
      <w:proofErr w:type="spellStart"/>
      <w:r w:rsidRPr="00362919">
        <w:t>Henisz</w:t>
      </w:r>
      <w:proofErr w:type="spellEnd"/>
      <w:r w:rsidRPr="00362919">
        <w:t xml:space="preserve"> WJ, </w:t>
      </w:r>
      <w:proofErr w:type="spellStart"/>
      <w:r w:rsidRPr="00362919">
        <w:t>Zelner</w:t>
      </w:r>
      <w:proofErr w:type="spellEnd"/>
      <w:r w:rsidRPr="00362919">
        <w:t xml:space="preserve"> BA, </w:t>
      </w:r>
      <w:proofErr w:type="spellStart"/>
      <w:r w:rsidRPr="00362919">
        <w:t>Guillen</w:t>
      </w:r>
      <w:proofErr w:type="spellEnd"/>
      <w:r w:rsidRPr="00362919">
        <w:t xml:space="preserve"> MF. </w:t>
      </w:r>
      <w:r w:rsidR="00B3693A">
        <w:t xml:space="preserve">2005. </w:t>
      </w:r>
      <w:r w:rsidRPr="00362919">
        <w:t xml:space="preserve">The </w:t>
      </w:r>
      <w:r w:rsidR="00D9238B" w:rsidRPr="00362919">
        <w:t>worldwide diffusion of market-oriented infrastructure reform</w:t>
      </w:r>
      <w:r w:rsidRPr="00362919">
        <w:t xml:space="preserve">, 1977-1999. </w:t>
      </w:r>
      <w:r w:rsidRPr="00362919">
        <w:rPr>
          <w:i/>
        </w:rPr>
        <w:t>American Sociological Review</w:t>
      </w:r>
      <w:r w:rsidRPr="00362919">
        <w:t xml:space="preserve">, </w:t>
      </w:r>
      <w:r w:rsidRPr="00362919">
        <w:rPr>
          <w:b/>
        </w:rPr>
        <w:t>70</w:t>
      </w:r>
      <w:r w:rsidRPr="00362919">
        <w:t>(6): 871-897.</w:t>
      </w:r>
    </w:p>
    <w:p w:rsidR="00383018" w:rsidRPr="002D24B5" w:rsidRDefault="00383018" w:rsidP="004B2D5C">
      <w:pPr>
        <w:pStyle w:val="NoSpacing"/>
        <w:ind w:left="720" w:hanging="720"/>
      </w:pPr>
    </w:p>
    <w:p w:rsidR="00474E09" w:rsidRPr="002D24B5" w:rsidRDefault="00474E09" w:rsidP="004B2D5C">
      <w:pPr>
        <w:pStyle w:val="NoSpacing"/>
        <w:ind w:left="720" w:hanging="720"/>
      </w:pPr>
      <w:proofErr w:type="spellStart"/>
      <w:r w:rsidRPr="002D24B5">
        <w:t>Henriques</w:t>
      </w:r>
      <w:proofErr w:type="spellEnd"/>
      <w:r w:rsidRPr="002D24B5">
        <w:t xml:space="preserve"> I, Sadorsky P. 1999. </w:t>
      </w:r>
      <w:proofErr w:type="gramStart"/>
      <w:r w:rsidRPr="002D24B5">
        <w:t>The relationship between environmental commitment</w:t>
      </w:r>
      <w:r w:rsidR="001D4A16" w:rsidRPr="002D24B5">
        <w:t xml:space="preserve"> </w:t>
      </w:r>
      <w:r w:rsidRPr="002D24B5">
        <w:t>and managerial perceptions of stakeholder importance.</w:t>
      </w:r>
      <w:proofErr w:type="gramEnd"/>
      <w:r w:rsidRPr="002D24B5">
        <w:t xml:space="preserve"> </w:t>
      </w:r>
      <w:r w:rsidR="006331AC" w:rsidRPr="006331AC">
        <w:rPr>
          <w:i/>
        </w:rPr>
        <w:t>Academy of Management Journal</w:t>
      </w:r>
      <w:r w:rsidRPr="002D24B5">
        <w:t xml:space="preserve">, </w:t>
      </w:r>
      <w:r w:rsidRPr="002D24B5">
        <w:rPr>
          <w:b/>
        </w:rPr>
        <w:t>42</w:t>
      </w:r>
      <w:r w:rsidRPr="002D24B5">
        <w:t>(1):</w:t>
      </w:r>
      <w:r w:rsidR="002E75A0">
        <w:t xml:space="preserve"> </w:t>
      </w:r>
      <w:r w:rsidRPr="002D24B5">
        <w:t>87-99.</w:t>
      </w:r>
    </w:p>
    <w:p w:rsidR="001E7F11" w:rsidRPr="005942E9" w:rsidRDefault="001E7F11" w:rsidP="004B2D5C">
      <w:pPr>
        <w:pStyle w:val="NoSpacing"/>
        <w:ind w:left="720" w:hanging="720"/>
        <w:rPr>
          <w:highlight w:val="cyan"/>
        </w:rPr>
      </w:pPr>
    </w:p>
    <w:p w:rsidR="00474E09" w:rsidRPr="00161FDD" w:rsidRDefault="00474E09" w:rsidP="004B2D5C">
      <w:pPr>
        <w:pStyle w:val="NoSpacing"/>
        <w:ind w:left="720" w:hanging="720"/>
      </w:pPr>
      <w:proofErr w:type="gramStart"/>
      <w:r w:rsidRPr="00161FDD">
        <w:t>Holtz-</w:t>
      </w:r>
      <w:proofErr w:type="spellStart"/>
      <w:r w:rsidRPr="00161FDD">
        <w:t>Eakin</w:t>
      </w:r>
      <w:proofErr w:type="spellEnd"/>
      <w:r w:rsidR="004B2D5C" w:rsidRPr="00161FDD">
        <w:t xml:space="preserve"> </w:t>
      </w:r>
      <w:r w:rsidRPr="00161FDD">
        <w:t xml:space="preserve">D, </w:t>
      </w:r>
      <w:proofErr w:type="spellStart"/>
      <w:r w:rsidRPr="00161FDD">
        <w:t>Newey</w:t>
      </w:r>
      <w:proofErr w:type="spellEnd"/>
      <w:r w:rsidRPr="00161FDD">
        <w:t xml:space="preserve"> W</w:t>
      </w:r>
      <w:r w:rsidR="004B2D5C" w:rsidRPr="00161FDD">
        <w:t>,</w:t>
      </w:r>
      <w:r w:rsidR="005942E9" w:rsidRPr="00161FDD">
        <w:t xml:space="preserve"> </w:t>
      </w:r>
      <w:r w:rsidRPr="00161FDD">
        <w:t>Rosen HS.</w:t>
      </w:r>
      <w:proofErr w:type="gramEnd"/>
      <w:r w:rsidRPr="00161FDD">
        <w:t xml:space="preserve"> 1988. Estimating </w:t>
      </w:r>
      <w:r w:rsidR="00D9238B" w:rsidRPr="00161FDD">
        <w:t xml:space="preserve">vector </w:t>
      </w:r>
      <w:proofErr w:type="spellStart"/>
      <w:r w:rsidR="00D9238B" w:rsidRPr="00161FDD">
        <w:t>autoregressions</w:t>
      </w:r>
      <w:proofErr w:type="spellEnd"/>
      <w:r w:rsidR="00D9238B" w:rsidRPr="00161FDD">
        <w:t xml:space="preserve"> with panel data</w:t>
      </w:r>
      <w:r w:rsidRPr="00161FDD">
        <w:t xml:space="preserve">. </w:t>
      </w:r>
      <w:proofErr w:type="spellStart"/>
      <w:r w:rsidR="006331AC" w:rsidRPr="006331AC">
        <w:rPr>
          <w:i/>
          <w:iCs/>
        </w:rPr>
        <w:t>Econometrica</w:t>
      </w:r>
      <w:proofErr w:type="spellEnd"/>
      <w:r w:rsidRPr="00161FDD">
        <w:t xml:space="preserve">, </w:t>
      </w:r>
      <w:r w:rsidRPr="00161FDD">
        <w:rPr>
          <w:b/>
        </w:rPr>
        <w:t>56</w:t>
      </w:r>
      <w:r w:rsidRPr="00161FDD">
        <w:t>(6): 1371-1395.</w:t>
      </w:r>
    </w:p>
    <w:p w:rsidR="00474E09" w:rsidRPr="005942E9" w:rsidRDefault="00474E09" w:rsidP="004B2D5C">
      <w:pPr>
        <w:pStyle w:val="NoSpacing"/>
        <w:ind w:left="720" w:hanging="720"/>
        <w:rPr>
          <w:highlight w:val="cyan"/>
        </w:rPr>
      </w:pPr>
    </w:p>
    <w:p w:rsidR="00474E09" w:rsidRPr="002D24B5" w:rsidRDefault="00474E09" w:rsidP="004B2D5C">
      <w:pPr>
        <w:pStyle w:val="NoSpacing"/>
        <w:ind w:left="720" w:hanging="720"/>
        <w:rPr>
          <w:rStyle w:val="artpages"/>
          <w:i/>
          <w:szCs w:val="24"/>
        </w:rPr>
      </w:pPr>
      <w:proofErr w:type="spellStart"/>
      <w:r w:rsidRPr="002D24B5">
        <w:t>Karpoff</w:t>
      </w:r>
      <w:proofErr w:type="spellEnd"/>
      <w:r w:rsidR="004B2D5C" w:rsidRPr="002D24B5">
        <w:t xml:space="preserve"> </w:t>
      </w:r>
      <w:r w:rsidRPr="002D24B5">
        <w:t xml:space="preserve">JM, Lott JR, </w:t>
      </w:r>
      <w:proofErr w:type="spellStart"/>
      <w:r w:rsidRPr="002D24B5">
        <w:t>Wherly</w:t>
      </w:r>
      <w:proofErr w:type="spellEnd"/>
      <w:r w:rsidRPr="002D24B5">
        <w:t xml:space="preserve"> EW. 2005. The </w:t>
      </w:r>
      <w:r w:rsidR="00D9238B" w:rsidRPr="002D24B5">
        <w:t>reputational penalties for environmental violations: empirical evidence</w:t>
      </w:r>
      <w:r w:rsidRPr="002D24B5">
        <w:t>.</w:t>
      </w:r>
      <w:r w:rsidRPr="002D24B5">
        <w:rPr>
          <w:i/>
        </w:rPr>
        <w:t xml:space="preserve"> </w:t>
      </w:r>
      <w:proofErr w:type="gramStart"/>
      <w:r w:rsidRPr="002D24B5">
        <w:rPr>
          <w:i/>
        </w:rPr>
        <w:t>Journal of Law and Economics</w:t>
      </w:r>
      <w:r w:rsidRPr="002D24B5">
        <w:t>.</w:t>
      </w:r>
      <w:proofErr w:type="gramEnd"/>
      <w:r w:rsidRPr="002D24B5">
        <w:t xml:space="preserve"> </w:t>
      </w:r>
      <w:r w:rsidRPr="002D24B5">
        <w:rPr>
          <w:b/>
        </w:rPr>
        <w:t>48</w:t>
      </w:r>
      <w:r w:rsidRPr="002D24B5">
        <w:t xml:space="preserve">(2): </w:t>
      </w:r>
      <w:r w:rsidRPr="002D24B5">
        <w:rPr>
          <w:rStyle w:val="artpages"/>
          <w:szCs w:val="24"/>
        </w:rPr>
        <w:t>653-675</w:t>
      </w:r>
      <w:r w:rsidRPr="002D24B5">
        <w:rPr>
          <w:rStyle w:val="artpages"/>
          <w:i/>
          <w:szCs w:val="24"/>
        </w:rPr>
        <w:t>.</w:t>
      </w:r>
    </w:p>
    <w:p w:rsidR="00971967" w:rsidRPr="005942E9" w:rsidRDefault="00971967" w:rsidP="00971967">
      <w:pPr>
        <w:pStyle w:val="NoSpacing"/>
        <w:ind w:left="720" w:hanging="720"/>
        <w:rPr>
          <w:szCs w:val="24"/>
          <w:highlight w:val="cyan"/>
        </w:rPr>
      </w:pPr>
    </w:p>
    <w:p w:rsidR="006331AC" w:rsidRDefault="00971967" w:rsidP="006331AC">
      <w:pPr>
        <w:pStyle w:val="NormalWeb"/>
        <w:ind w:left="720" w:hanging="720"/>
      </w:pPr>
      <w:r w:rsidRPr="00F928BA">
        <w:t>King, AA</w:t>
      </w:r>
      <w:proofErr w:type="gramStart"/>
      <w:r w:rsidRPr="00F928BA">
        <w:t>.,</w:t>
      </w:r>
      <w:proofErr w:type="gramEnd"/>
      <w:r w:rsidRPr="00F928BA">
        <w:t xml:space="preserve"> Lenox MJ. 2000. Industry self-regulation without sanctions: </w:t>
      </w:r>
      <w:r w:rsidR="00D9238B" w:rsidRPr="00F928BA">
        <w:t>t</w:t>
      </w:r>
      <w:r w:rsidRPr="00F928BA">
        <w:t>he</w:t>
      </w:r>
      <w:r w:rsidR="002E75A0">
        <w:t xml:space="preserve"> </w:t>
      </w:r>
      <w:r w:rsidR="00D9238B" w:rsidRPr="00F928BA">
        <w:t>chemical</w:t>
      </w:r>
      <w:r w:rsidRPr="00F928BA">
        <w:t xml:space="preserve"> industry</w:t>
      </w:r>
      <w:r w:rsidR="00D9238B">
        <w:t>’</w:t>
      </w:r>
      <w:r w:rsidRPr="00F928BA">
        <w:t xml:space="preserve">s responsible care program. </w:t>
      </w:r>
      <w:r w:rsidRPr="00F928BA">
        <w:rPr>
          <w:bCs/>
          <w:i/>
          <w:iCs/>
        </w:rPr>
        <w:t>Academy of Management Journal</w:t>
      </w:r>
      <w:r w:rsidRPr="00F928BA">
        <w:t xml:space="preserve">, </w:t>
      </w:r>
      <w:r w:rsidR="006331AC" w:rsidRPr="006331AC">
        <w:rPr>
          <w:b/>
        </w:rPr>
        <w:t>43</w:t>
      </w:r>
      <w:r w:rsidRPr="00F928BA">
        <w:t>(4): 698-716.</w:t>
      </w:r>
    </w:p>
    <w:p w:rsidR="009757FD" w:rsidRPr="005942E9" w:rsidRDefault="009757FD" w:rsidP="004B2D5C">
      <w:pPr>
        <w:pStyle w:val="NoSpacing"/>
        <w:ind w:left="720" w:hanging="720"/>
        <w:rPr>
          <w:highlight w:val="cyan"/>
        </w:rPr>
      </w:pPr>
    </w:p>
    <w:p w:rsidR="00474E09" w:rsidRPr="00F928BA" w:rsidRDefault="00474E09" w:rsidP="004B2D5C">
      <w:pPr>
        <w:pStyle w:val="NoSpacing"/>
        <w:ind w:left="720" w:hanging="720"/>
      </w:pPr>
      <w:proofErr w:type="gramStart"/>
      <w:r w:rsidRPr="00F928BA">
        <w:t>King AA, Shaver J</w:t>
      </w:r>
      <w:r w:rsidR="001D4A16" w:rsidRPr="00F928BA">
        <w:t>M.</w:t>
      </w:r>
      <w:proofErr w:type="gramEnd"/>
      <w:r w:rsidR="001D4A16" w:rsidRPr="00F928BA">
        <w:t xml:space="preserve"> 2001. Are aliens green? A</w:t>
      </w:r>
      <w:r w:rsidRPr="00F928BA">
        <w:t>ssessing foreign establishments</w:t>
      </w:r>
      <w:r w:rsidR="002E75A0">
        <w:t>’</w:t>
      </w:r>
      <w:r w:rsidR="001D4A16" w:rsidRPr="00F928BA">
        <w:t xml:space="preserve"> environmental conduct in the U</w:t>
      </w:r>
      <w:r w:rsidRPr="00F928BA">
        <w:t xml:space="preserve">nited </w:t>
      </w:r>
      <w:r w:rsidR="001D4A16" w:rsidRPr="00F928BA">
        <w:t>S</w:t>
      </w:r>
      <w:r w:rsidRPr="00F928BA">
        <w:t xml:space="preserve">tates. </w:t>
      </w:r>
      <w:r w:rsidRPr="00F928BA">
        <w:rPr>
          <w:bCs/>
          <w:i/>
          <w:iCs/>
        </w:rPr>
        <w:t>Strategic Management Journal</w:t>
      </w:r>
      <w:r w:rsidRPr="00F928BA">
        <w:t xml:space="preserve">, </w:t>
      </w:r>
      <w:r w:rsidRPr="00F928BA">
        <w:rPr>
          <w:b/>
        </w:rPr>
        <w:t>22</w:t>
      </w:r>
      <w:r w:rsidRPr="00F928BA">
        <w:t>(11): 1069-1085.</w:t>
      </w:r>
    </w:p>
    <w:p w:rsidR="00474E09" w:rsidRPr="005942E9" w:rsidRDefault="00474E09" w:rsidP="004B2D5C">
      <w:pPr>
        <w:pStyle w:val="NoSpacing"/>
        <w:ind w:left="720" w:hanging="720"/>
        <w:rPr>
          <w:highlight w:val="cyan"/>
        </w:rPr>
      </w:pPr>
    </w:p>
    <w:p w:rsidR="00474E09" w:rsidRPr="002D24B5" w:rsidRDefault="00474E09" w:rsidP="004B2D5C">
      <w:pPr>
        <w:pStyle w:val="NoSpacing"/>
        <w:ind w:left="720" w:hanging="720"/>
      </w:pPr>
      <w:r w:rsidRPr="002D24B5">
        <w:t>Klassen RD</w:t>
      </w:r>
      <w:r w:rsidR="004B2D5C" w:rsidRPr="002D24B5">
        <w:t>,</w:t>
      </w:r>
      <w:r w:rsidRPr="002D24B5">
        <w:t xml:space="preserve"> </w:t>
      </w:r>
      <w:proofErr w:type="spellStart"/>
      <w:r w:rsidRPr="002D24B5">
        <w:t>Whybark</w:t>
      </w:r>
      <w:proofErr w:type="spellEnd"/>
      <w:r w:rsidRPr="002D24B5">
        <w:t xml:space="preserve"> DC. 1999. The </w:t>
      </w:r>
      <w:r w:rsidR="00D9238B" w:rsidRPr="002D24B5">
        <w:t>impact of environmental technologies on manufacturing performance</w:t>
      </w:r>
      <w:r w:rsidRPr="002D24B5">
        <w:t xml:space="preserve">. </w:t>
      </w:r>
      <w:r w:rsidRPr="002D24B5">
        <w:rPr>
          <w:i/>
          <w:iCs/>
        </w:rPr>
        <w:t>Academy of Management Journal</w:t>
      </w:r>
      <w:r w:rsidRPr="002D24B5">
        <w:t xml:space="preserve">, </w:t>
      </w:r>
      <w:r w:rsidRPr="002D24B5">
        <w:rPr>
          <w:b/>
        </w:rPr>
        <w:t>42</w:t>
      </w:r>
      <w:r w:rsidRPr="002D24B5">
        <w:t>(6): 599-615.</w:t>
      </w:r>
    </w:p>
    <w:p w:rsidR="00474E09" w:rsidRPr="005942E9" w:rsidRDefault="00474E09" w:rsidP="004B2D5C">
      <w:pPr>
        <w:pStyle w:val="NoSpacing"/>
        <w:ind w:left="720" w:hanging="720"/>
        <w:rPr>
          <w:highlight w:val="cyan"/>
        </w:rPr>
      </w:pPr>
    </w:p>
    <w:p w:rsidR="00E176AB" w:rsidRPr="003747BB" w:rsidRDefault="00E176AB" w:rsidP="004B2D5C">
      <w:pPr>
        <w:pStyle w:val="NoSpacing"/>
        <w:ind w:left="720" w:hanging="720"/>
        <w:rPr>
          <w:szCs w:val="24"/>
        </w:rPr>
      </w:pPr>
      <w:r w:rsidRPr="003747BB">
        <w:rPr>
          <w:szCs w:val="24"/>
        </w:rPr>
        <w:t xml:space="preserve">Levinson A, Taylor MS. 2008. Unmasking the </w:t>
      </w:r>
      <w:r w:rsidR="00D9238B" w:rsidRPr="003747BB">
        <w:rPr>
          <w:szCs w:val="24"/>
        </w:rPr>
        <w:t>pollution haven effect</w:t>
      </w:r>
      <w:r w:rsidRPr="003747BB">
        <w:rPr>
          <w:szCs w:val="24"/>
        </w:rPr>
        <w:t>.</w:t>
      </w:r>
      <w:r w:rsidR="004B2D5C" w:rsidRPr="003747BB">
        <w:rPr>
          <w:szCs w:val="24"/>
        </w:rPr>
        <w:t xml:space="preserve"> </w:t>
      </w:r>
      <w:r w:rsidRPr="003747BB">
        <w:rPr>
          <w:i/>
          <w:szCs w:val="24"/>
        </w:rPr>
        <w:t>International Economic Review</w:t>
      </w:r>
      <w:r w:rsidRPr="003747BB">
        <w:rPr>
          <w:szCs w:val="24"/>
        </w:rPr>
        <w:t xml:space="preserve">, </w:t>
      </w:r>
      <w:r w:rsidRPr="003747BB">
        <w:rPr>
          <w:b/>
          <w:szCs w:val="24"/>
        </w:rPr>
        <w:t>49</w:t>
      </w:r>
      <w:r w:rsidRPr="003747BB">
        <w:rPr>
          <w:szCs w:val="24"/>
        </w:rPr>
        <w:t>(1): 223-</w:t>
      </w:r>
      <w:r w:rsidR="00D9238B">
        <w:rPr>
          <w:szCs w:val="24"/>
        </w:rPr>
        <w:t>2</w:t>
      </w:r>
      <w:r w:rsidRPr="003747BB">
        <w:rPr>
          <w:szCs w:val="24"/>
        </w:rPr>
        <w:t>54.</w:t>
      </w:r>
    </w:p>
    <w:p w:rsidR="00E176AB" w:rsidRPr="005942E9" w:rsidRDefault="00E176AB" w:rsidP="004B2D5C">
      <w:pPr>
        <w:pStyle w:val="NoSpacing"/>
        <w:ind w:left="720" w:hanging="720"/>
        <w:rPr>
          <w:highlight w:val="cyan"/>
        </w:rPr>
      </w:pPr>
    </w:p>
    <w:p w:rsidR="004A2111" w:rsidRPr="003747BB" w:rsidRDefault="004A2111" w:rsidP="004B2D5C">
      <w:pPr>
        <w:pStyle w:val="NoSpacing"/>
        <w:ind w:left="720" w:hanging="720"/>
        <w:rPr>
          <w:szCs w:val="17"/>
        </w:rPr>
      </w:pPr>
      <w:r w:rsidRPr="003747BB">
        <w:rPr>
          <w:szCs w:val="17"/>
        </w:rPr>
        <w:t>Lucas RE</w:t>
      </w:r>
      <w:r w:rsidR="00E176AB" w:rsidRPr="003747BB">
        <w:rPr>
          <w:szCs w:val="17"/>
        </w:rPr>
        <w:t>B</w:t>
      </w:r>
      <w:r w:rsidRPr="003747BB">
        <w:rPr>
          <w:szCs w:val="17"/>
        </w:rPr>
        <w:t>, Wheeler</w:t>
      </w:r>
      <w:r w:rsidR="00E176AB" w:rsidRPr="003747BB">
        <w:rPr>
          <w:szCs w:val="17"/>
        </w:rPr>
        <w:t xml:space="preserve"> D, </w:t>
      </w:r>
      <w:proofErr w:type="spellStart"/>
      <w:r w:rsidR="003747BB">
        <w:rPr>
          <w:szCs w:val="17"/>
        </w:rPr>
        <w:t>Hettige</w:t>
      </w:r>
      <w:proofErr w:type="spellEnd"/>
      <w:r w:rsidR="003747BB" w:rsidRPr="003747BB">
        <w:rPr>
          <w:szCs w:val="17"/>
        </w:rPr>
        <w:t xml:space="preserve"> </w:t>
      </w:r>
      <w:r w:rsidRPr="003747BB">
        <w:rPr>
          <w:szCs w:val="17"/>
        </w:rPr>
        <w:t>H</w:t>
      </w:r>
      <w:r w:rsidR="00E176AB" w:rsidRPr="003747BB">
        <w:rPr>
          <w:szCs w:val="17"/>
        </w:rPr>
        <w:t>. 1992.</w:t>
      </w:r>
      <w:r w:rsidRPr="003747BB">
        <w:rPr>
          <w:szCs w:val="17"/>
        </w:rPr>
        <w:t xml:space="preserve"> Economic </w:t>
      </w:r>
      <w:r w:rsidR="00D9238B" w:rsidRPr="003747BB">
        <w:rPr>
          <w:szCs w:val="17"/>
        </w:rPr>
        <w:t>development, environmental regulation and the international migration of toxic industrial pollution</w:t>
      </w:r>
      <w:r w:rsidRPr="003747BB">
        <w:rPr>
          <w:szCs w:val="17"/>
        </w:rPr>
        <w:t>: l960–88</w:t>
      </w:r>
      <w:r w:rsidR="00E176AB" w:rsidRPr="003747BB">
        <w:rPr>
          <w:szCs w:val="17"/>
        </w:rPr>
        <w:t>. In</w:t>
      </w:r>
      <w:r w:rsidRPr="003747BB">
        <w:rPr>
          <w:szCs w:val="17"/>
        </w:rPr>
        <w:t xml:space="preserve"> </w:t>
      </w:r>
      <w:r w:rsidR="00E176AB" w:rsidRPr="003747BB">
        <w:rPr>
          <w:i/>
          <w:szCs w:val="17"/>
        </w:rPr>
        <w:t>International Trade and the Environment</w:t>
      </w:r>
      <w:r w:rsidR="00E176AB" w:rsidRPr="003747BB">
        <w:rPr>
          <w:szCs w:val="17"/>
        </w:rPr>
        <w:t xml:space="preserve">, </w:t>
      </w:r>
      <w:r w:rsidRPr="003747BB">
        <w:rPr>
          <w:szCs w:val="17"/>
        </w:rPr>
        <w:t>Low</w:t>
      </w:r>
      <w:r w:rsidR="00E176AB" w:rsidRPr="003747BB">
        <w:rPr>
          <w:szCs w:val="17"/>
        </w:rPr>
        <w:t xml:space="preserve"> P</w:t>
      </w:r>
      <w:r w:rsidRPr="003747BB">
        <w:rPr>
          <w:szCs w:val="17"/>
        </w:rPr>
        <w:t xml:space="preserve"> (</w:t>
      </w:r>
      <w:proofErr w:type="spellStart"/>
      <w:r w:rsidR="00E176AB" w:rsidRPr="003747BB">
        <w:rPr>
          <w:szCs w:val="17"/>
        </w:rPr>
        <w:t>e</w:t>
      </w:r>
      <w:r w:rsidRPr="003747BB">
        <w:rPr>
          <w:szCs w:val="17"/>
        </w:rPr>
        <w:t>d</w:t>
      </w:r>
      <w:proofErr w:type="spellEnd"/>
      <w:r w:rsidRPr="003747BB">
        <w:rPr>
          <w:szCs w:val="17"/>
        </w:rPr>
        <w:t>)</w:t>
      </w:r>
      <w:proofErr w:type="gramStart"/>
      <w:r w:rsidR="00E176AB" w:rsidRPr="003747BB">
        <w:rPr>
          <w:szCs w:val="17"/>
        </w:rPr>
        <w:t>.World</w:t>
      </w:r>
      <w:proofErr w:type="gramEnd"/>
      <w:r w:rsidR="00E176AB" w:rsidRPr="003747BB">
        <w:rPr>
          <w:szCs w:val="17"/>
        </w:rPr>
        <w:t xml:space="preserve"> Bank: Washington; 67-86.</w:t>
      </w:r>
    </w:p>
    <w:p w:rsidR="004A2111" w:rsidRPr="005942E9" w:rsidRDefault="004A2111" w:rsidP="004B2D5C">
      <w:pPr>
        <w:pStyle w:val="NoSpacing"/>
        <w:ind w:left="720" w:hanging="720"/>
        <w:rPr>
          <w:highlight w:val="cyan"/>
        </w:rPr>
      </w:pPr>
    </w:p>
    <w:p w:rsidR="00474E09" w:rsidRPr="002F4BF0" w:rsidRDefault="00474E09" w:rsidP="004B2D5C">
      <w:pPr>
        <w:pStyle w:val="NoSpacing"/>
        <w:ind w:left="720" w:hanging="720"/>
      </w:pPr>
      <w:r w:rsidRPr="002F4BF0">
        <w:t>Lyon TP</w:t>
      </w:r>
      <w:r w:rsidR="004B2D5C" w:rsidRPr="002F4BF0">
        <w:t>,</w:t>
      </w:r>
      <w:r w:rsidRPr="002F4BF0">
        <w:t xml:space="preserve"> Yin H. 2007. Why do states adopt renewable portfolio standards? </w:t>
      </w:r>
      <w:proofErr w:type="gramStart"/>
      <w:r w:rsidRPr="002F4BF0">
        <w:t>An empirical investigation.</w:t>
      </w:r>
      <w:proofErr w:type="gramEnd"/>
      <w:r w:rsidRPr="002F4BF0">
        <w:t xml:space="preserve"> </w:t>
      </w:r>
      <w:r w:rsidRPr="002F4BF0">
        <w:rPr>
          <w:i/>
        </w:rPr>
        <w:t>Ross School of Business Paper Working Paper</w:t>
      </w:r>
      <w:r w:rsidRPr="002F4BF0">
        <w:t xml:space="preserve">. </w:t>
      </w:r>
    </w:p>
    <w:p w:rsidR="00474E09" w:rsidRPr="005942E9" w:rsidRDefault="00474E09" w:rsidP="004B2D5C">
      <w:pPr>
        <w:pStyle w:val="NoSpacing"/>
        <w:ind w:left="720" w:hanging="720"/>
        <w:rPr>
          <w:highlight w:val="cyan"/>
        </w:rPr>
      </w:pPr>
    </w:p>
    <w:p w:rsidR="00484BDC" w:rsidRPr="00F928BA" w:rsidRDefault="000A59E2" w:rsidP="00484BDC">
      <w:pPr>
        <w:pStyle w:val="NoSpacing"/>
        <w:ind w:left="720" w:hanging="720"/>
      </w:pPr>
      <w:r w:rsidRPr="00F928BA">
        <w:lastRenderedPageBreak/>
        <w:t xml:space="preserve">Maxwell </w:t>
      </w:r>
      <w:r w:rsidR="00484BDC" w:rsidRPr="00F928BA">
        <w:t xml:space="preserve">JW, </w:t>
      </w:r>
      <w:r w:rsidRPr="00F928BA">
        <w:t>Decker</w:t>
      </w:r>
      <w:r w:rsidR="00484BDC" w:rsidRPr="00F928BA">
        <w:t xml:space="preserve"> C.</w:t>
      </w:r>
      <w:r w:rsidRPr="00F928BA">
        <w:t xml:space="preserve"> 200</w:t>
      </w:r>
      <w:r w:rsidR="00484BDC" w:rsidRPr="00F928BA">
        <w:t xml:space="preserve">6. </w:t>
      </w:r>
      <w:proofErr w:type="gramStart"/>
      <w:r w:rsidR="00484BDC" w:rsidRPr="00F928BA">
        <w:t xml:space="preserve">Voluntary </w:t>
      </w:r>
      <w:r w:rsidR="00D9238B" w:rsidRPr="00F928BA">
        <w:t>environmental investment and regulatory responsiveness</w:t>
      </w:r>
      <w:r w:rsidR="00484BDC" w:rsidRPr="00F928BA">
        <w:t>.</w:t>
      </w:r>
      <w:proofErr w:type="gramEnd"/>
      <w:r w:rsidR="00484BDC" w:rsidRPr="00F928BA">
        <w:t xml:space="preserve"> </w:t>
      </w:r>
      <w:r w:rsidR="00484BDC" w:rsidRPr="00F928BA">
        <w:rPr>
          <w:i/>
          <w:iCs/>
        </w:rPr>
        <w:t>Environmental and Resource Economics</w:t>
      </w:r>
      <w:r w:rsidR="00484BDC" w:rsidRPr="00F928BA">
        <w:t xml:space="preserve">, </w:t>
      </w:r>
      <w:r w:rsidR="00484BDC" w:rsidRPr="00F928BA">
        <w:rPr>
          <w:b/>
        </w:rPr>
        <w:t>33</w:t>
      </w:r>
      <w:r w:rsidR="00484BDC" w:rsidRPr="00F928BA">
        <w:t>(4): 425-439.</w:t>
      </w:r>
    </w:p>
    <w:p w:rsidR="00971967" w:rsidRPr="005942E9" w:rsidRDefault="00971967" w:rsidP="00971967">
      <w:pPr>
        <w:pStyle w:val="NoSpacing"/>
        <w:ind w:left="720" w:hanging="720"/>
        <w:rPr>
          <w:highlight w:val="cyan"/>
        </w:rPr>
      </w:pPr>
    </w:p>
    <w:p w:rsidR="002E75A0" w:rsidRDefault="002E75A0" w:rsidP="002E75A0">
      <w:pPr>
        <w:pStyle w:val="NoSpacing"/>
        <w:ind w:left="720" w:hanging="720"/>
        <w:rPr>
          <w:szCs w:val="24"/>
        </w:rPr>
      </w:pPr>
      <w:proofErr w:type="gramStart"/>
      <w:r w:rsidRPr="00F928BA">
        <w:rPr>
          <w:szCs w:val="24"/>
        </w:rPr>
        <w:t>Maxwell JW, Lyon TP. 2004.</w:t>
      </w:r>
      <w:proofErr w:type="gramEnd"/>
      <w:r w:rsidRPr="00F928BA">
        <w:rPr>
          <w:szCs w:val="24"/>
        </w:rPr>
        <w:t xml:space="preserve"> </w:t>
      </w:r>
      <w:r w:rsidRPr="00F928BA">
        <w:rPr>
          <w:i/>
          <w:szCs w:val="24"/>
        </w:rPr>
        <w:t>Corporate Environmentalism and Public Policy</w:t>
      </w:r>
      <w:r w:rsidRPr="00F928BA">
        <w:rPr>
          <w:szCs w:val="24"/>
        </w:rPr>
        <w:t>. Cambridge University Press: Cambridge, UK.</w:t>
      </w:r>
    </w:p>
    <w:p w:rsidR="002E75A0" w:rsidRPr="00F928BA" w:rsidRDefault="002E75A0" w:rsidP="002E75A0">
      <w:pPr>
        <w:pStyle w:val="NoSpacing"/>
        <w:ind w:left="720" w:hanging="720"/>
        <w:rPr>
          <w:szCs w:val="24"/>
        </w:rPr>
      </w:pPr>
    </w:p>
    <w:p w:rsidR="00971967" w:rsidRPr="00D9238B" w:rsidRDefault="00971967" w:rsidP="00971967">
      <w:pPr>
        <w:pStyle w:val="NoSpacing"/>
        <w:ind w:left="720" w:hanging="720"/>
      </w:pPr>
      <w:r w:rsidRPr="00D9238B">
        <w:t xml:space="preserve">Maxwell JW, Lyon TP, Decker C. </w:t>
      </w:r>
      <w:r w:rsidR="00094423" w:rsidRPr="00D9238B">
        <w:t>200</w:t>
      </w:r>
      <w:r w:rsidR="00094423">
        <w:t>0</w:t>
      </w:r>
      <w:r w:rsidRPr="00D9238B">
        <w:t>. Self-</w:t>
      </w:r>
      <w:r w:rsidR="00D9238B" w:rsidRPr="00D9238B">
        <w:t>regulation and social welfare: the political economy of corporate environmentalism</w:t>
      </w:r>
      <w:r w:rsidRPr="00D9238B">
        <w:t xml:space="preserve">. </w:t>
      </w:r>
      <w:r w:rsidRPr="00D9238B">
        <w:rPr>
          <w:i/>
        </w:rPr>
        <w:t>Journal of Law and Economics</w:t>
      </w:r>
      <w:r w:rsidRPr="00D9238B">
        <w:t xml:space="preserve">, </w:t>
      </w:r>
      <w:r w:rsidRPr="00D9238B">
        <w:rPr>
          <w:b/>
        </w:rPr>
        <w:t>43</w:t>
      </w:r>
      <w:r w:rsidRPr="00D9238B">
        <w:t>(2): 583-617.</w:t>
      </w:r>
    </w:p>
    <w:p w:rsidR="000A59E2" w:rsidRPr="005942E9" w:rsidRDefault="000A59E2" w:rsidP="004B2D5C">
      <w:pPr>
        <w:pStyle w:val="NoSpacing"/>
        <w:ind w:left="720" w:hanging="720"/>
        <w:rPr>
          <w:szCs w:val="24"/>
          <w:highlight w:val="cyan"/>
        </w:rPr>
      </w:pPr>
    </w:p>
    <w:p w:rsidR="00893BF8" w:rsidRPr="002F4BF0" w:rsidRDefault="00893BF8" w:rsidP="004B2D5C">
      <w:pPr>
        <w:pStyle w:val="NoSpacing"/>
        <w:ind w:left="720" w:hanging="720"/>
      </w:pPr>
      <w:proofErr w:type="spellStart"/>
      <w:r w:rsidRPr="002F4BF0">
        <w:t>Revesz</w:t>
      </w:r>
      <w:proofErr w:type="spellEnd"/>
      <w:r w:rsidRPr="002F4BF0">
        <w:t xml:space="preserve"> </w:t>
      </w:r>
      <w:r w:rsidR="005667BD" w:rsidRPr="002F4BF0">
        <w:t xml:space="preserve">RL. 1992. Rehabilitating </w:t>
      </w:r>
      <w:r w:rsidR="00D9238B" w:rsidRPr="002F4BF0">
        <w:t>interstate competition: rethin</w:t>
      </w:r>
      <w:r w:rsidR="00D9238B">
        <w:t>k</w:t>
      </w:r>
      <w:r w:rsidR="00D9238B" w:rsidRPr="002F4BF0">
        <w:t xml:space="preserve">ing the </w:t>
      </w:r>
      <w:r w:rsidR="002E75A0">
        <w:t>‘</w:t>
      </w:r>
      <w:r w:rsidR="00D9238B" w:rsidRPr="002F4BF0">
        <w:t>race-to-the-bottom</w:t>
      </w:r>
      <w:r w:rsidR="002E75A0">
        <w:t>’</w:t>
      </w:r>
      <w:r w:rsidR="005667BD" w:rsidRPr="002F4BF0">
        <w:t xml:space="preserve"> rationale for federal environmental regulation. </w:t>
      </w:r>
      <w:r w:rsidR="005667BD" w:rsidRPr="002F4BF0">
        <w:rPr>
          <w:i/>
        </w:rPr>
        <w:t>New York University Law Review</w:t>
      </w:r>
      <w:r w:rsidR="005667BD" w:rsidRPr="002F4BF0">
        <w:t xml:space="preserve">, </w:t>
      </w:r>
      <w:r w:rsidR="005667BD" w:rsidRPr="002F4BF0">
        <w:rPr>
          <w:b/>
        </w:rPr>
        <w:t>67</w:t>
      </w:r>
      <w:r w:rsidR="005667BD" w:rsidRPr="002F4BF0">
        <w:t>:1210-1254.</w:t>
      </w:r>
    </w:p>
    <w:p w:rsidR="00971967" w:rsidRPr="005942E9" w:rsidRDefault="00971967" w:rsidP="00971967">
      <w:pPr>
        <w:pStyle w:val="NoSpacing"/>
        <w:ind w:left="720" w:hanging="720"/>
        <w:rPr>
          <w:szCs w:val="24"/>
          <w:highlight w:val="cyan"/>
        </w:rPr>
      </w:pPr>
    </w:p>
    <w:p w:rsidR="00971967" w:rsidRPr="00F928BA" w:rsidRDefault="00971967" w:rsidP="00971967">
      <w:pPr>
        <w:pStyle w:val="NoSpacing"/>
        <w:ind w:left="720" w:hanging="720"/>
        <w:rPr>
          <w:szCs w:val="24"/>
        </w:rPr>
      </w:pPr>
      <w:r w:rsidRPr="00F928BA">
        <w:rPr>
          <w:szCs w:val="24"/>
        </w:rPr>
        <w:t xml:space="preserve">Rivera J, de Leon P. 2004. Is </w:t>
      </w:r>
      <w:r w:rsidR="00D9238B" w:rsidRPr="00F928BA">
        <w:rPr>
          <w:szCs w:val="24"/>
        </w:rPr>
        <w:t>greener whiter</w:t>
      </w:r>
      <w:r w:rsidRPr="00F928BA">
        <w:rPr>
          <w:szCs w:val="24"/>
        </w:rPr>
        <w:t xml:space="preserve">? </w:t>
      </w:r>
      <w:proofErr w:type="gramStart"/>
      <w:r w:rsidRPr="00F928BA">
        <w:rPr>
          <w:szCs w:val="24"/>
        </w:rPr>
        <w:t xml:space="preserve">Voluntary </w:t>
      </w:r>
      <w:r w:rsidR="00D9238B" w:rsidRPr="00F928BA">
        <w:rPr>
          <w:szCs w:val="24"/>
        </w:rPr>
        <w:t>environmental performance of western ski areas</w:t>
      </w:r>
      <w:r w:rsidRPr="00F928BA">
        <w:rPr>
          <w:szCs w:val="24"/>
        </w:rPr>
        <w:t>.</w:t>
      </w:r>
      <w:proofErr w:type="gramEnd"/>
      <w:r w:rsidRPr="00F928BA">
        <w:rPr>
          <w:szCs w:val="24"/>
        </w:rPr>
        <w:t xml:space="preserve"> </w:t>
      </w:r>
      <w:r w:rsidRPr="00F928BA">
        <w:rPr>
          <w:i/>
          <w:szCs w:val="24"/>
        </w:rPr>
        <w:t>Policy Studies Journal</w:t>
      </w:r>
      <w:r w:rsidRPr="00F928BA">
        <w:rPr>
          <w:szCs w:val="24"/>
        </w:rPr>
        <w:t xml:space="preserve">, </w:t>
      </w:r>
      <w:r w:rsidR="006331AC" w:rsidRPr="006331AC">
        <w:rPr>
          <w:b/>
          <w:szCs w:val="24"/>
        </w:rPr>
        <w:t>32</w:t>
      </w:r>
      <w:r w:rsidRPr="00F928BA">
        <w:rPr>
          <w:szCs w:val="24"/>
        </w:rPr>
        <w:t>(3): 417-437.</w:t>
      </w:r>
    </w:p>
    <w:p w:rsidR="005667BD" w:rsidRPr="005942E9" w:rsidRDefault="005667BD" w:rsidP="004B2D5C">
      <w:pPr>
        <w:pStyle w:val="NoSpacing"/>
        <w:ind w:left="720" w:hanging="720"/>
        <w:rPr>
          <w:highlight w:val="cyan"/>
        </w:rPr>
      </w:pPr>
    </w:p>
    <w:p w:rsidR="00474E09" w:rsidRPr="00161FDD" w:rsidRDefault="00474E09" w:rsidP="004B2D5C">
      <w:pPr>
        <w:pStyle w:val="NoSpacing"/>
        <w:ind w:left="720" w:hanging="720"/>
        <w:rPr>
          <w:bCs/>
        </w:rPr>
      </w:pPr>
      <w:proofErr w:type="spellStart"/>
      <w:r w:rsidRPr="00161FDD">
        <w:t>Roodman</w:t>
      </w:r>
      <w:proofErr w:type="spellEnd"/>
      <w:r w:rsidRPr="00161FDD">
        <w:t xml:space="preserve"> D. 2009. How to do xtabond2: </w:t>
      </w:r>
      <w:r w:rsidR="00D9238B" w:rsidRPr="00161FDD">
        <w:t>a</w:t>
      </w:r>
      <w:r w:rsidRPr="00161FDD">
        <w:t xml:space="preserve">n introduction to difference and system GMM in </w:t>
      </w:r>
      <w:proofErr w:type="spellStart"/>
      <w:r w:rsidRPr="00161FDD">
        <w:t>Stata</w:t>
      </w:r>
      <w:proofErr w:type="spellEnd"/>
      <w:r w:rsidRPr="00161FDD">
        <w:t xml:space="preserve">. </w:t>
      </w:r>
      <w:proofErr w:type="spellStart"/>
      <w:r w:rsidRPr="00161FDD">
        <w:rPr>
          <w:i/>
        </w:rPr>
        <w:t>Stata</w:t>
      </w:r>
      <w:proofErr w:type="spellEnd"/>
      <w:r w:rsidRPr="00161FDD">
        <w:rPr>
          <w:i/>
        </w:rPr>
        <w:t xml:space="preserve"> Journal</w:t>
      </w:r>
      <w:r w:rsidRPr="00161FDD">
        <w:t xml:space="preserve">, </w:t>
      </w:r>
      <w:r w:rsidRPr="00161FDD">
        <w:rPr>
          <w:b/>
        </w:rPr>
        <w:t>9</w:t>
      </w:r>
      <w:r w:rsidRPr="00161FDD">
        <w:t xml:space="preserve">(1): </w:t>
      </w:r>
      <w:r w:rsidRPr="00161FDD">
        <w:rPr>
          <w:bCs/>
        </w:rPr>
        <w:t>86-136.</w:t>
      </w:r>
    </w:p>
    <w:p w:rsidR="00474E09" w:rsidRPr="005942E9" w:rsidRDefault="00474E09" w:rsidP="004B2D5C">
      <w:pPr>
        <w:pStyle w:val="NoSpacing"/>
        <w:ind w:left="720" w:hanging="720"/>
        <w:rPr>
          <w:highlight w:val="cyan"/>
        </w:rPr>
      </w:pPr>
    </w:p>
    <w:p w:rsidR="00505250" w:rsidRPr="003747BB" w:rsidRDefault="00505250" w:rsidP="004B2D5C">
      <w:pPr>
        <w:pStyle w:val="NoSpacing"/>
        <w:ind w:left="720" w:hanging="720"/>
      </w:pPr>
      <w:proofErr w:type="spellStart"/>
      <w:r w:rsidRPr="003747BB">
        <w:t>Rugman</w:t>
      </w:r>
      <w:proofErr w:type="spellEnd"/>
      <w:r w:rsidRPr="003747BB">
        <w:t xml:space="preserve"> AM, </w:t>
      </w:r>
      <w:proofErr w:type="spellStart"/>
      <w:r w:rsidRPr="003747BB">
        <w:t>Kirton</w:t>
      </w:r>
      <w:proofErr w:type="spellEnd"/>
      <w:r w:rsidRPr="003747BB">
        <w:t xml:space="preserve"> J, </w:t>
      </w:r>
      <w:proofErr w:type="spellStart"/>
      <w:r w:rsidRPr="003747BB">
        <w:t>Soloway</w:t>
      </w:r>
      <w:proofErr w:type="spellEnd"/>
      <w:r w:rsidRPr="003747BB">
        <w:t xml:space="preserve"> J. 1999. </w:t>
      </w:r>
      <w:r w:rsidRPr="003747BB">
        <w:rPr>
          <w:i/>
        </w:rPr>
        <w:t xml:space="preserve">Environmental Regulations and Corporate Strategy: A NAFTA </w:t>
      </w:r>
      <w:r w:rsidR="002E75A0">
        <w:rPr>
          <w:i/>
        </w:rPr>
        <w:t>P</w:t>
      </w:r>
      <w:r w:rsidRPr="003747BB">
        <w:rPr>
          <w:i/>
        </w:rPr>
        <w:t>erspective</w:t>
      </w:r>
      <w:r w:rsidRPr="003747BB">
        <w:t>. Oxford University Press: Oxford.</w:t>
      </w:r>
    </w:p>
    <w:p w:rsidR="00505250" w:rsidRPr="002F4BF0" w:rsidRDefault="00505250" w:rsidP="004B2D5C">
      <w:pPr>
        <w:pStyle w:val="NoSpacing"/>
        <w:ind w:left="720" w:hanging="720"/>
      </w:pPr>
    </w:p>
    <w:p w:rsidR="00474E09" w:rsidRPr="002F4BF0" w:rsidRDefault="00474E09" w:rsidP="004B2D5C">
      <w:pPr>
        <w:pStyle w:val="NoSpacing"/>
        <w:ind w:left="720" w:hanging="720"/>
      </w:pPr>
      <w:proofErr w:type="spellStart"/>
      <w:r w:rsidRPr="002F4BF0">
        <w:t>Rugman</w:t>
      </w:r>
      <w:proofErr w:type="spellEnd"/>
      <w:r w:rsidRPr="002F4BF0">
        <w:t xml:space="preserve"> AM</w:t>
      </w:r>
      <w:r w:rsidR="00505250" w:rsidRPr="002F4BF0">
        <w:t>,</w:t>
      </w:r>
      <w:r w:rsidRPr="002F4BF0">
        <w:t xml:space="preserve"> </w:t>
      </w:r>
      <w:proofErr w:type="spellStart"/>
      <w:r w:rsidRPr="002F4BF0">
        <w:t>Verbeke</w:t>
      </w:r>
      <w:proofErr w:type="spellEnd"/>
      <w:r w:rsidRPr="002F4BF0">
        <w:t xml:space="preserve">, A. 1998. Corporate strategies and environmental regulations: </w:t>
      </w:r>
      <w:r w:rsidR="008C11DB" w:rsidRPr="002F4BF0">
        <w:t>an</w:t>
      </w:r>
      <w:r w:rsidRPr="002F4BF0">
        <w:t xml:space="preserve"> organizing framework. </w:t>
      </w:r>
      <w:r w:rsidRPr="002F4BF0">
        <w:rPr>
          <w:bCs/>
          <w:i/>
          <w:iCs/>
        </w:rPr>
        <w:t>Strategic Management Journal</w:t>
      </w:r>
      <w:r w:rsidRPr="002F4BF0">
        <w:t xml:space="preserve">, </w:t>
      </w:r>
      <w:r w:rsidRPr="002F4BF0">
        <w:rPr>
          <w:b/>
        </w:rPr>
        <w:t>19</w:t>
      </w:r>
      <w:r w:rsidRPr="002F4BF0">
        <w:t xml:space="preserve">(4): 363-375. </w:t>
      </w:r>
    </w:p>
    <w:p w:rsidR="00505250" w:rsidRPr="005942E9" w:rsidRDefault="00505250" w:rsidP="004B2D5C">
      <w:pPr>
        <w:pStyle w:val="NoSpacing"/>
        <w:ind w:left="720" w:hanging="720"/>
        <w:rPr>
          <w:highlight w:val="cyan"/>
        </w:rPr>
      </w:pPr>
    </w:p>
    <w:p w:rsidR="00474E09" w:rsidRPr="00941952" w:rsidRDefault="00474E09" w:rsidP="004B2D5C">
      <w:pPr>
        <w:pStyle w:val="NoSpacing"/>
        <w:ind w:left="720" w:hanging="720"/>
      </w:pPr>
      <w:r w:rsidRPr="00941952">
        <w:t xml:space="preserve">Russo MV. 2001. Institutions, exchange relations, and the emergence of new fields: </w:t>
      </w:r>
      <w:r w:rsidR="008C11DB" w:rsidRPr="00941952">
        <w:t>regulatory</w:t>
      </w:r>
      <w:r w:rsidRPr="00941952">
        <w:t xml:space="preserve"> policies and independent power production in America, 1978-1992. </w:t>
      </w:r>
      <w:r w:rsidRPr="00941952">
        <w:rPr>
          <w:bCs/>
          <w:i/>
          <w:iCs/>
        </w:rPr>
        <w:t>Administrative Science Quarterly</w:t>
      </w:r>
      <w:r w:rsidRPr="00941952">
        <w:t xml:space="preserve">, </w:t>
      </w:r>
      <w:r w:rsidRPr="00941952">
        <w:rPr>
          <w:b/>
        </w:rPr>
        <w:t>46</w:t>
      </w:r>
      <w:r w:rsidRPr="00941952">
        <w:t xml:space="preserve">(1): 57-86. </w:t>
      </w:r>
    </w:p>
    <w:p w:rsidR="00474E09" w:rsidRPr="00941952" w:rsidRDefault="00474E09" w:rsidP="004B2D5C">
      <w:pPr>
        <w:pStyle w:val="NoSpacing"/>
        <w:ind w:left="720" w:hanging="720"/>
      </w:pPr>
    </w:p>
    <w:p w:rsidR="00474E09" w:rsidRPr="00941952" w:rsidRDefault="00474E09" w:rsidP="004B2D5C">
      <w:pPr>
        <w:pStyle w:val="NoSpacing"/>
        <w:ind w:left="720" w:hanging="720"/>
      </w:pPr>
      <w:r w:rsidRPr="00941952">
        <w:t xml:space="preserve">Russo MV. 2003. The </w:t>
      </w:r>
      <w:r w:rsidR="008C11DB" w:rsidRPr="00941952">
        <w:t>emergence of sustainable industries: building on natural capital</w:t>
      </w:r>
      <w:r w:rsidRPr="00941952">
        <w:t xml:space="preserve">, </w:t>
      </w:r>
      <w:r w:rsidRPr="00941952">
        <w:rPr>
          <w:i/>
          <w:iCs/>
        </w:rPr>
        <w:t>Strategic Management Journal</w:t>
      </w:r>
      <w:r w:rsidRPr="00941952">
        <w:t xml:space="preserve">, </w:t>
      </w:r>
      <w:r w:rsidRPr="00941952">
        <w:rPr>
          <w:b/>
        </w:rPr>
        <w:t>24</w:t>
      </w:r>
      <w:r w:rsidRPr="00941952">
        <w:t>(4): 317-331.</w:t>
      </w:r>
    </w:p>
    <w:p w:rsidR="00474E09" w:rsidRPr="005942E9" w:rsidRDefault="00474E09" w:rsidP="004B2D5C">
      <w:pPr>
        <w:pStyle w:val="NoSpacing"/>
        <w:ind w:left="720" w:hanging="720"/>
        <w:rPr>
          <w:highlight w:val="cyan"/>
        </w:rPr>
      </w:pPr>
    </w:p>
    <w:p w:rsidR="005667BD" w:rsidRPr="00362919" w:rsidRDefault="005667BD" w:rsidP="004B2D5C">
      <w:pPr>
        <w:pStyle w:val="NoSpacing"/>
        <w:ind w:left="720" w:hanging="720"/>
      </w:pPr>
      <w:proofErr w:type="spellStart"/>
      <w:r w:rsidRPr="00362919">
        <w:t>Schwarcz</w:t>
      </w:r>
      <w:proofErr w:type="spellEnd"/>
      <w:r w:rsidRPr="00362919">
        <w:t xml:space="preserve"> D. 2010. Regulating </w:t>
      </w:r>
      <w:r w:rsidR="008C11DB" w:rsidRPr="00362919">
        <w:t>insurance sales or selling insurance regulation</w:t>
      </w:r>
      <w:r w:rsidRPr="00362919">
        <w:t xml:space="preserve">? </w:t>
      </w:r>
      <w:proofErr w:type="gramStart"/>
      <w:r w:rsidRPr="00362919">
        <w:t>Against regulatory competition in insurance.</w:t>
      </w:r>
      <w:proofErr w:type="gramEnd"/>
      <w:r w:rsidRPr="00362919">
        <w:t xml:space="preserve"> </w:t>
      </w:r>
      <w:r w:rsidRPr="00362919">
        <w:rPr>
          <w:i/>
        </w:rPr>
        <w:t>Minnesota Law Review</w:t>
      </w:r>
      <w:r w:rsidRPr="00362919">
        <w:t xml:space="preserve">, </w:t>
      </w:r>
      <w:r w:rsidRPr="00362919">
        <w:rPr>
          <w:b/>
        </w:rPr>
        <w:t>94</w:t>
      </w:r>
      <w:r w:rsidRPr="00362919">
        <w:t>: 1707-1786.</w:t>
      </w:r>
    </w:p>
    <w:p w:rsidR="005667BD" w:rsidRPr="005942E9" w:rsidRDefault="005667BD" w:rsidP="004B2D5C">
      <w:pPr>
        <w:pStyle w:val="NoSpacing"/>
        <w:ind w:left="720" w:hanging="720"/>
        <w:rPr>
          <w:highlight w:val="cyan"/>
        </w:rPr>
      </w:pPr>
    </w:p>
    <w:p w:rsidR="0074020B" w:rsidRPr="00362919" w:rsidRDefault="0074020B" w:rsidP="004B2D5C">
      <w:pPr>
        <w:pStyle w:val="NoSpacing"/>
        <w:ind w:left="720" w:hanging="720"/>
      </w:pPr>
      <w:proofErr w:type="spellStart"/>
      <w:r w:rsidRPr="00362919">
        <w:t>Shipan</w:t>
      </w:r>
      <w:proofErr w:type="spellEnd"/>
      <w:r w:rsidRPr="00362919">
        <w:t xml:space="preserve"> CR, </w:t>
      </w:r>
      <w:proofErr w:type="spellStart"/>
      <w:r w:rsidRPr="00362919">
        <w:t>Volden</w:t>
      </w:r>
      <w:proofErr w:type="spellEnd"/>
      <w:r w:rsidRPr="00362919">
        <w:t xml:space="preserve"> C. 2008. </w:t>
      </w:r>
      <w:proofErr w:type="gramStart"/>
      <w:r w:rsidRPr="00362919">
        <w:t xml:space="preserve">The </w:t>
      </w:r>
      <w:r w:rsidR="008C11DB" w:rsidRPr="00362919">
        <w:t>mechanisms of policy diffusion</w:t>
      </w:r>
      <w:r w:rsidR="00383018" w:rsidRPr="00362919">
        <w:t>.</w:t>
      </w:r>
      <w:proofErr w:type="gramEnd"/>
      <w:r w:rsidR="00383018" w:rsidRPr="00362919">
        <w:t xml:space="preserve"> </w:t>
      </w:r>
      <w:r w:rsidR="00383018" w:rsidRPr="00362919">
        <w:rPr>
          <w:i/>
        </w:rPr>
        <w:t>American Journal of Political Science</w:t>
      </w:r>
      <w:r w:rsidR="00383018" w:rsidRPr="00362919">
        <w:t>,</w:t>
      </w:r>
      <w:r w:rsidR="00383018" w:rsidRPr="00362919">
        <w:rPr>
          <w:i/>
        </w:rPr>
        <w:t xml:space="preserve"> </w:t>
      </w:r>
      <w:r w:rsidR="00383018" w:rsidRPr="00362919">
        <w:rPr>
          <w:b/>
        </w:rPr>
        <w:t>52</w:t>
      </w:r>
      <w:r w:rsidR="00383018" w:rsidRPr="00362919">
        <w:t>(4): 840-857.</w:t>
      </w:r>
    </w:p>
    <w:p w:rsidR="00383018" w:rsidRDefault="00383018" w:rsidP="004B2D5C">
      <w:pPr>
        <w:pStyle w:val="NoSpacing"/>
        <w:ind w:left="720" w:hanging="720"/>
        <w:rPr>
          <w:highlight w:val="cyan"/>
        </w:rPr>
      </w:pPr>
    </w:p>
    <w:p w:rsidR="006213FA" w:rsidRPr="00B67279" w:rsidRDefault="006213FA" w:rsidP="004B2D5C">
      <w:pPr>
        <w:pStyle w:val="NoSpacing"/>
        <w:ind w:left="720" w:hanging="720"/>
      </w:pPr>
      <w:proofErr w:type="gramStart"/>
      <w:r w:rsidRPr="00B67279">
        <w:t xml:space="preserve">Sine </w:t>
      </w:r>
      <w:r w:rsidR="00094423" w:rsidRPr="00B67279">
        <w:t xml:space="preserve">WD, </w:t>
      </w:r>
      <w:r w:rsidRPr="00B67279">
        <w:t>Lee</w:t>
      </w:r>
      <w:r w:rsidR="00094423" w:rsidRPr="00B67279">
        <w:t xml:space="preserve"> BH</w:t>
      </w:r>
      <w:r w:rsidRPr="00B67279">
        <w:t>, 2009</w:t>
      </w:r>
      <w:r w:rsidR="00094423" w:rsidRPr="00B67279">
        <w:t>.</w:t>
      </w:r>
      <w:proofErr w:type="gramEnd"/>
      <w:r w:rsidR="00094423" w:rsidRPr="00B67279">
        <w:t xml:space="preserve"> Tilting at windmills? The environmental movement and the emergence of the U.S. wind energy sector. </w:t>
      </w:r>
      <w:r w:rsidR="00094423" w:rsidRPr="00B67279">
        <w:rPr>
          <w:i/>
        </w:rPr>
        <w:t>Administrative Science Quarterly</w:t>
      </w:r>
      <w:r w:rsidR="00094423" w:rsidRPr="00B67279">
        <w:t xml:space="preserve">, </w:t>
      </w:r>
      <w:r w:rsidR="00094423" w:rsidRPr="00B67279">
        <w:rPr>
          <w:b/>
        </w:rPr>
        <w:t>54</w:t>
      </w:r>
      <w:r w:rsidR="00094423" w:rsidRPr="00B67279">
        <w:t>(1): 123-155.</w:t>
      </w:r>
    </w:p>
    <w:p w:rsidR="00094423" w:rsidRPr="00B67279" w:rsidRDefault="00094423" w:rsidP="004B2D5C">
      <w:pPr>
        <w:pStyle w:val="NoSpacing"/>
        <w:ind w:left="720" w:hanging="720"/>
      </w:pPr>
    </w:p>
    <w:p w:rsidR="00474E09" w:rsidRPr="002A7113" w:rsidRDefault="00474E09" w:rsidP="004B2D5C">
      <w:pPr>
        <w:pStyle w:val="NoSpacing"/>
        <w:ind w:left="720" w:hanging="720"/>
      </w:pPr>
      <w:proofErr w:type="gramStart"/>
      <w:r w:rsidRPr="002A7113">
        <w:t xml:space="preserve">Sine WD, David RJ, </w:t>
      </w:r>
      <w:proofErr w:type="spellStart"/>
      <w:r w:rsidRPr="002A7113">
        <w:t>Mitsuhashi</w:t>
      </w:r>
      <w:proofErr w:type="spellEnd"/>
      <w:r w:rsidRPr="002A7113">
        <w:t xml:space="preserve"> H. 2007.</w:t>
      </w:r>
      <w:proofErr w:type="gramEnd"/>
      <w:r w:rsidRPr="002A7113">
        <w:t xml:space="preserve"> From </w:t>
      </w:r>
      <w:r w:rsidR="008C11DB" w:rsidRPr="002A7113">
        <w:t>plan to plant: effects of certification on operational start-up in the emergent independent power sector</w:t>
      </w:r>
      <w:r w:rsidRPr="002A7113">
        <w:t xml:space="preserve">. </w:t>
      </w:r>
      <w:r w:rsidRPr="002A7113">
        <w:rPr>
          <w:i/>
        </w:rPr>
        <w:t>Organization Science</w:t>
      </w:r>
      <w:r w:rsidRPr="002A7113">
        <w:t xml:space="preserve">, </w:t>
      </w:r>
      <w:r w:rsidRPr="002A7113">
        <w:rPr>
          <w:b/>
        </w:rPr>
        <w:t>18</w:t>
      </w:r>
      <w:r w:rsidRPr="002A7113">
        <w:t>(4): 578-594.</w:t>
      </w:r>
    </w:p>
    <w:p w:rsidR="004B2D5C" w:rsidRPr="005942E9" w:rsidRDefault="004B2D5C" w:rsidP="004B2D5C">
      <w:pPr>
        <w:pStyle w:val="NoSpacing"/>
        <w:ind w:left="720" w:hanging="720"/>
        <w:rPr>
          <w:highlight w:val="cyan"/>
        </w:rPr>
      </w:pPr>
    </w:p>
    <w:p w:rsidR="005667BD" w:rsidRPr="00BF362A" w:rsidRDefault="005667BD" w:rsidP="004B2D5C">
      <w:pPr>
        <w:pStyle w:val="NoSpacing"/>
        <w:ind w:left="720" w:hanging="720"/>
      </w:pPr>
      <w:r w:rsidRPr="00BF362A">
        <w:lastRenderedPageBreak/>
        <w:t xml:space="preserve">Vogel D. 1995. </w:t>
      </w:r>
      <w:r w:rsidRPr="00BF362A">
        <w:rPr>
          <w:i/>
        </w:rPr>
        <w:t xml:space="preserve">Trading Up: Consumer and </w:t>
      </w:r>
      <w:r w:rsidR="008C11DB" w:rsidRPr="00BF362A">
        <w:rPr>
          <w:i/>
        </w:rPr>
        <w:t xml:space="preserve">Environmental Regulation </w:t>
      </w:r>
      <w:r w:rsidRPr="00BF362A">
        <w:rPr>
          <w:i/>
        </w:rPr>
        <w:t xml:space="preserve">in the </w:t>
      </w:r>
      <w:r w:rsidR="008C11DB" w:rsidRPr="00BF362A">
        <w:rPr>
          <w:i/>
        </w:rPr>
        <w:t>Global Economy</w:t>
      </w:r>
      <w:r w:rsidRPr="00BF362A">
        <w:rPr>
          <w:i/>
        </w:rPr>
        <w:t xml:space="preserve">. </w:t>
      </w:r>
      <w:r w:rsidRPr="00BF362A">
        <w:t>Harvard University Press: Cambridge</w:t>
      </w:r>
      <w:r w:rsidR="008C11DB">
        <w:t>, MA</w:t>
      </w:r>
      <w:r w:rsidRPr="00BF362A">
        <w:t>.</w:t>
      </w:r>
    </w:p>
    <w:p w:rsidR="005667BD" w:rsidRPr="005942E9" w:rsidRDefault="005667BD" w:rsidP="004B2D5C">
      <w:pPr>
        <w:pStyle w:val="NoSpacing"/>
        <w:ind w:left="720" w:hanging="720"/>
        <w:rPr>
          <w:highlight w:val="cyan"/>
        </w:rPr>
      </w:pPr>
    </w:p>
    <w:p w:rsidR="005667BD" w:rsidRPr="00362919" w:rsidRDefault="005667BD" w:rsidP="004B2D5C">
      <w:pPr>
        <w:pStyle w:val="NoSpacing"/>
        <w:ind w:left="720" w:hanging="720"/>
      </w:pPr>
      <w:proofErr w:type="spellStart"/>
      <w:r w:rsidRPr="00362919">
        <w:t>Volden</w:t>
      </w:r>
      <w:proofErr w:type="spellEnd"/>
      <w:r w:rsidRPr="00362919">
        <w:t xml:space="preserve"> C, Ting MM, Carpenter DP. 2008.</w:t>
      </w:r>
      <w:r w:rsidRPr="00362919">
        <w:rPr>
          <w:i/>
        </w:rPr>
        <w:t xml:space="preserve"> </w:t>
      </w:r>
      <w:r w:rsidRPr="00362919">
        <w:t xml:space="preserve">A </w:t>
      </w:r>
      <w:r w:rsidR="008C11DB" w:rsidRPr="00362919">
        <w:t>formal model of learning and policy diffusion</w:t>
      </w:r>
      <w:r w:rsidRPr="00362919">
        <w:t xml:space="preserve">. </w:t>
      </w:r>
      <w:r w:rsidRPr="00362919">
        <w:rPr>
          <w:i/>
        </w:rPr>
        <w:t>American Political Science Review</w:t>
      </w:r>
      <w:r w:rsidR="00311547" w:rsidRPr="00362919">
        <w:t xml:space="preserve">, </w:t>
      </w:r>
      <w:r w:rsidR="00311547" w:rsidRPr="00362919">
        <w:rPr>
          <w:b/>
        </w:rPr>
        <w:t>102</w:t>
      </w:r>
      <w:r w:rsidR="00311547" w:rsidRPr="00362919">
        <w:t>(3): 319-332</w:t>
      </w:r>
    </w:p>
    <w:p w:rsidR="00311547" w:rsidRPr="005942E9" w:rsidRDefault="00311547" w:rsidP="004B2D5C">
      <w:pPr>
        <w:pStyle w:val="NoSpacing"/>
        <w:ind w:left="720" w:hanging="720"/>
        <w:rPr>
          <w:highlight w:val="cyan"/>
        </w:rPr>
      </w:pPr>
    </w:p>
    <w:p w:rsidR="00474E09" w:rsidRPr="00161FDD" w:rsidRDefault="00474E09" w:rsidP="004B2D5C">
      <w:pPr>
        <w:pStyle w:val="NoSpacing"/>
        <w:ind w:left="720" w:hanging="720"/>
      </w:pPr>
      <w:proofErr w:type="spellStart"/>
      <w:r w:rsidRPr="00161FDD">
        <w:t>Windmeijer</w:t>
      </w:r>
      <w:proofErr w:type="spellEnd"/>
      <w:r w:rsidRPr="00161FDD">
        <w:t xml:space="preserve"> F. 2005. </w:t>
      </w:r>
      <w:proofErr w:type="gramStart"/>
      <w:r w:rsidRPr="00161FDD">
        <w:t xml:space="preserve">A </w:t>
      </w:r>
      <w:r w:rsidR="008C11DB" w:rsidRPr="00161FDD">
        <w:t>finite sample correction for the variance of linear efficient two</w:t>
      </w:r>
      <w:r w:rsidRPr="00161FDD">
        <w:t>-step GMM estimators.</w:t>
      </w:r>
      <w:proofErr w:type="gramEnd"/>
      <w:r w:rsidRPr="00161FDD">
        <w:t xml:space="preserve"> </w:t>
      </w:r>
      <w:r w:rsidRPr="00161FDD">
        <w:rPr>
          <w:i/>
        </w:rPr>
        <w:t>Journal of Econometrics</w:t>
      </w:r>
      <w:r w:rsidRPr="00161FDD">
        <w:t xml:space="preserve">, </w:t>
      </w:r>
      <w:r w:rsidRPr="00161FDD">
        <w:rPr>
          <w:b/>
        </w:rPr>
        <w:t>126</w:t>
      </w:r>
      <w:r w:rsidRPr="00161FDD">
        <w:t>(1): 25-51.</w:t>
      </w:r>
    </w:p>
    <w:p w:rsidR="009757FD" w:rsidRPr="005942E9" w:rsidRDefault="009757FD" w:rsidP="004B2D5C">
      <w:pPr>
        <w:pStyle w:val="NoSpacing"/>
        <w:ind w:left="720" w:hanging="720"/>
        <w:rPr>
          <w:highlight w:val="cyan"/>
        </w:rPr>
      </w:pPr>
    </w:p>
    <w:p w:rsidR="009757FD" w:rsidRPr="002F4BF0" w:rsidRDefault="009757FD" w:rsidP="004B2D5C">
      <w:pPr>
        <w:pStyle w:val="NoSpacing"/>
        <w:ind w:left="720" w:hanging="720"/>
        <w:rPr>
          <w:lang w:val="en-CA" w:eastAsia="en-CA"/>
        </w:rPr>
      </w:pPr>
      <w:proofErr w:type="gramStart"/>
      <w:r w:rsidRPr="002F4BF0">
        <w:t>Yin H</w:t>
      </w:r>
      <w:r w:rsidR="004B2D5C" w:rsidRPr="002F4BF0">
        <w:t>,</w:t>
      </w:r>
      <w:r w:rsidRPr="002F4BF0">
        <w:t xml:space="preserve"> Powers N. 2010.</w:t>
      </w:r>
      <w:proofErr w:type="gramEnd"/>
      <w:r w:rsidRPr="002F4BF0">
        <w:t xml:space="preserve"> </w:t>
      </w:r>
      <w:r w:rsidRPr="002F4BF0">
        <w:rPr>
          <w:lang w:val="en-CA" w:eastAsia="en-CA"/>
        </w:rPr>
        <w:t xml:space="preserve">Do state renewable portfolio standards promote in-state renewable generation? </w:t>
      </w:r>
      <w:r w:rsidR="00893BF8" w:rsidRPr="002F4BF0">
        <w:rPr>
          <w:i/>
          <w:lang w:val="en-CA" w:eastAsia="en-CA"/>
        </w:rPr>
        <w:t>Energy Policy</w:t>
      </w:r>
      <w:r w:rsidR="00893BF8" w:rsidRPr="002F4BF0">
        <w:rPr>
          <w:lang w:val="en-CA" w:eastAsia="en-CA"/>
        </w:rPr>
        <w:t xml:space="preserve">, </w:t>
      </w:r>
      <w:r w:rsidR="00893BF8" w:rsidRPr="002F4BF0">
        <w:rPr>
          <w:b/>
          <w:lang w:val="en-CA" w:eastAsia="en-CA"/>
        </w:rPr>
        <w:t>38</w:t>
      </w:r>
      <w:r w:rsidR="00893BF8" w:rsidRPr="002F4BF0">
        <w:rPr>
          <w:lang w:val="en-CA" w:eastAsia="en-CA"/>
        </w:rPr>
        <w:t>(2): 1140-1149.</w:t>
      </w:r>
    </w:p>
    <w:p w:rsidR="00893BF8" w:rsidRPr="005942E9" w:rsidRDefault="00893BF8" w:rsidP="004B2D5C">
      <w:pPr>
        <w:pStyle w:val="NoSpacing"/>
        <w:ind w:left="720" w:hanging="720"/>
        <w:rPr>
          <w:highlight w:val="cyan"/>
          <w:lang w:val="en-CA" w:eastAsia="en-CA"/>
        </w:rPr>
      </w:pPr>
    </w:p>
    <w:p w:rsidR="00893BF8" w:rsidRPr="008C11DB" w:rsidRDefault="006331AC" w:rsidP="004B2D5C">
      <w:pPr>
        <w:pStyle w:val="NoSpacing"/>
        <w:ind w:left="720" w:hanging="720"/>
        <w:rPr>
          <w:szCs w:val="24"/>
        </w:rPr>
      </w:pPr>
      <w:proofErr w:type="spellStart"/>
      <w:r w:rsidRPr="006331AC">
        <w:rPr>
          <w:szCs w:val="24"/>
        </w:rPr>
        <w:t>Zelner</w:t>
      </w:r>
      <w:proofErr w:type="spellEnd"/>
      <w:r w:rsidRPr="006331AC">
        <w:rPr>
          <w:szCs w:val="24"/>
        </w:rPr>
        <w:t xml:space="preserve"> BA. 2001. </w:t>
      </w:r>
      <w:r w:rsidRPr="006331AC">
        <w:rPr>
          <w:bCs/>
          <w:i/>
          <w:iCs/>
          <w:szCs w:val="24"/>
        </w:rPr>
        <w:t xml:space="preserve">Political </w:t>
      </w:r>
      <w:r w:rsidR="008C11DB" w:rsidRPr="008C11DB">
        <w:rPr>
          <w:bCs/>
          <w:i/>
          <w:iCs/>
          <w:szCs w:val="24"/>
        </w:rPr>
        <w:t xml:space="preserve">Institutions, Interest Group Competition </w:t>
      </w:r>
      <w:r w:rsidRPr="006331AC">
        <w:rPr>
          <w:bCs/>
          <w:i/>
          <w:iCs/>
          <w:szCs w:val="24"/>
        </w:rPr>
        <w:t xml:space="preserve">and </w:t>
      </w:r>
      <w:r w:rsidR="008C11DB" w:rsidRPr="008C11DB">
        <w:rPr>
          <w:bCs/>
          <w:i/>
          <w:iCs/>
          <w:szCs w:val="24"/>
        </w:rPr>
        <w:t>Investment Strategy</w:t>
      </w:r>
      <w:r w:rsidRPr="006331AC">
        <w:rPr>
          <w:bCs/>
          <w:i/>
          <w:iCs/>
          <w:szCs w:val="24"/>
        </w:rPr>
        <w:t xml:space="preserve">: International </w:t>
      </w:r>
      <w:r w:rsidR="008C11DB" w:rsidRPr="008C11DB">
        <w:rPr>
          <w:bCs/>
          <w:i/>
          <w:iCs/>
          <w:szCs w:val="24"/>
        </w:rPr>
        <w:t xml:space="preserve">and Domestic Applications </w:t>
      </w:r>
      <w:r w:rsidRPr="006331AC">
        <w:rPr>
          <w:bCs/>
          <w:i/>
          <w:iCs/>
          <w:szCs w:val="24"/>
        </w:rPr>
        <w:t xml:space="preserve">to </w:t>
      </w:r>
      <w:r w:rsidR="008C11DB" w:rsidRPr="008C11DB">
        <w:rPr>
          <w:bCs/>
          <w:i/>
          <w:iCs/>
          <w:szCs w:val="24"/>
        </w:rPr>
        <w:t>Electric Utilities</w:t>
      </w:r>
      <w:r w:rsidRPr="006331AC">
        <w:rPr>
          <w:szCs w:val="24"/>
        </w:rPr>
        <w:t xml:space="preserve">. </w:t>
      </w:r>
      <w:proofErr w:type="gramStart"/>
      <w:r w:rsidR="008C11DB">
        <w:rPr>
          <w:szCs w:val="24"/>
        </w:rPr>
        <w:t>Doctoral dissertation</w:t>
      </w:r>
      <w:r w:rsidRPr="006331AC">
        <w:rPr>
          <w:szCs w:val="24"/>
        </w:rPr>
        <w:t>, University of California, Berkeley, Berkeley, CA.</w:t>
      </w:r>
      <w:proofErr w:type="gramEnd"/>
      <w:r w:rsidRPr="006331AC">
        <w:rPr>
          <w:szCs w:val="24"/>
        </w:rPr>
        <w:t xml:space="preserve"> </w:t>
      </w:r>
    </w:p>
    <w:p w:rsidR="00893BF8" w:rsidRDefault="00893BF8" w:rsidP="004B2D5C">
      <w:pPr>
        <w:spacing w:after="0"/>
        <w:ind w:left="720" w:hanging="720"/>
      </w:pPr>
    </w:p>
    <w:p w:rsidR="00D03705" w:rsidRDefault="00D03705">
      <w:pPr>
        <w:spacing w:after="0"/>
      </w:pPr>
      <w:r>
        <w:br w:type="page"/>
      </w:r>
    </w:p>
    <w:p w:rsidR="000F6251" w:rsidRDefault="006331AC">
      <w:pPr>
        <w:spacing w:after="0" w:line="480" w:lineRule="auto"/>
      </w:pPr>
      <w:r w:rsidRPr="006331AC">
        <w:lastRenderedPageBreak/>
        <w:t>Table 1</w:t>
      </w:r>
      <w:r w:rsidR="00BA021F">
        <w:t>.</w:t>
      </w:r>
      <w:r w:rsidR="00BA021F">
        <w:tab/>
      </w:r>
      <w:r w:rsidR="006E4374">
        <w:t xml:space="preserve">Descriptive </w:t>
      </w:r>
      <w:r w:rsidR="00B27561">
        <w:t>s</w:t>
      </w:r>
      <w:r w:rsidR="006E4374">
        <w:t>tatistics</w:t>
      </w:r>
    </w:p>
    <w:p w:rsidR="006E4374" w:rsidRDefault="006E4374" w:rsidP="006E4374">
      <w:pPr>
        <w:pStyle w:val="NoSpacing"/>
      </w:pPr>
    </w:p>
    <w:tbl>
      <w:tblPr>
        <w:tblW w:w="7373" w:type="dxa"/>
        <w:tblInd w:w="95" w:type="dxa"/>
        <w:tblLook w:val="04A0" w:firstRow="1" w:lastRow="0" w:firstColumn="1" w:lastColumn="0" w:noHBand="0" w:noVBand="1"/>
      </w:tblPr>
      <w:tblGrid>
        <w:gridCol w:w="3253"/>
        <w:gridCol w:w="1240"/>
        <w:gridCol w:w="1039"/>
        <w:gridCol w:w="1072"/>
        <w:gridCol w:w="1105"/>
      </w:tblGrid>
      <w:tr w:rsidR="006E4374" w:rsidRPr="00A53818" w:rsidTr="00BC04D2">
        <w:trPr>
          <w:trHeight w:val="375"/>
        </w:trPr>
        <w:tc>
          <w:tcPr>
            <w:tcW w:w="3253" w:type="dxa"/>
            <w:tcBorders>
              <w:top w:val="single" w:sz="4" w:space="0" w:color="auto"/>
              <w:left w:val="nil"/>
              <w:bottom w:val="single" w:sz="4" w:space="0" w:color="auto"/>
              <w:right w:val="nil"/>
            </w:tcBorders>
            <w:shd w:val="clear" w:color="auto" w:fill="auto"/>
            <w:noWrap/>
            <w:vAlign w:val="center"/>
            <w:hideMark/>
          </w:tcPr>
          <w:p w:rsidR="006E4374" w:rsidRPr="00A53818" w:rsidRDefault="006E4374" w:rsidP="00BC04D2">
            <w:pPr>
              <w:spacing w:after="0"/>
              <w:jc w:val="center"/>
              <w:rPr>
                <w:rFonts w:eastAsia="Times New Roman"/>
                <w:b/>
                <w:color w:val="000000"/>
                <w:sz w:val="20"/>
                <w:szCs w:val="24"/>
                <w:lang w:val="en-CA" w:eastAsia="en-CA"/>
              </w:rPr>
            </w:pPr>
            <w:r w:rsidRPr="00A53818">
              <w:rPr>
                <w:rFonts w:eastAsia="Times New Roman"/>
                <w:b/>
                <w:color w:val="000000"/>
                <w:sz w:val="20"/>
                <w:szCs w:val="24"/>
                <w:lang w:val="en-CA" w:eastAsia="en-CA"/>
              </w:rPr>
              <w:t>Variable</w:t>
            </w:r>
          </w:p>
        </w:tc>
        <w:tc>
          <w:tcPr>
            <w:tcW w:w="1240" w:type="dxa"/>
            <w:tcBorders>
              <w:top w:val="single" w:sz="4" w:space="0" w:color="auto"/>
              <w:left w:val="nil"/>
              <w:bottom w:val="single" w:sz="4" w:space="0" w:color="auto"/>
              <w:right w:val="nil"/>
            </w:tcBorders>
            <w:shd w:val="clear" w:color="auto" w:fill="auto"/>
            <w:noWrap/>
            <w:vAlign w:val="center"/>
            <w:hideMark/>
          </w:tcPr>
          <w:p w:rsidR="006E4374" w:rsidRPr="00A53818" w:rsidRDefault="006E4374" w:rsidP="00BC04D2">
            <w:pPr>
              <w:spacing w:after="0"/>
              <w:jc w:val="center"/>
              <w:rPr>
                <w:rFonts w:eastAsia="Times New Roman"/>
                <w:b/>
                <w:color w:val="000000"/>
                <w:sz w:val="20"/>
                <w:szCs w:val="24"/>
                <w:lang w:val="en-CA" w:eastAsia="en-CA"/>
              </w:rPr>
            </w:pPr>
            <w:r w:rsidRPr="00A53818">
              <w:rPr>
                <w:rFonts w:eastAsia="Times New Roman"/>
                <w:b/>
                <w:color w:val="000000"/>
                <w:sz w:val="20"/>
                <w:szCs w:val="24"/>
                <w:lang w:val="en-CA" w:eastAsia="en-CA"/>
              </w:rPr>
              <w:t>Mean</w:t>
            </w:r>
          </w:p>
        </w:tc>
        <w:tc>
          <w:tcPr>
            <w:tcW w:w="960" w:type="dxa"/>
            <w:tcBorders>
              <w:top w:val="single" w:sz="4" w:space="0" w:color="auto"/>
              <w:left w:val="nil"/>
              <w:bottom w:val="single" w:sz="4" w:space="0" w:color="auto"/>
              <w:right w:val="nil"/>
            </w:tcBorders>
            <w:shd w:val="clear" w:color="auto" w:fill="auto"/>
            <w:noWrap/>
            <w:vAlign w:val="center"/>
            <w:hideMark/>
          </w:tcPr>
          <w:p w:rsidR="006E4374" w:rsidRPr="00A53818" w:rsidRDefault="006E4374" w:rsidP="00BC04D2">
            <w:pPr>
              <w:spacing w:after="0"/>
              <w:jc w:val="center"/>
              <w:rPr>
                <w:rFonts w:eastAsia="Times New Roman"/>
                <w:b/>
                <w:color w:val="000000"/>
                <w:sz w:val="20"/>
                <w:szCs w:val="24"/>
                <w:lang w:val="en-CA" w:eastAsia="en-CA"/>
              </w:rPr>
            </w:pPr>
            <w:r w:rsidRPr="00A53818">
              <w:rPr>
                <w:rFonts w:eastAsia="Times New Roman"/>
                <w:b/>
                <w:color w:val="000000"/>
                <w:sz w:val="20"/>
                <w:szCs w:val="24"/>
                <w:lang w:val="en-CA" w:eastAsia="en-CA"/>
              </w:rPr>
              <w:t>Standard Deviation</w:t>
            </w:r>
          </w:p>
        </w:tc>
        <w:tc>
          <w:tcPr>
            <w:tcW w:w="960" w:type="dxa"/>
            <w:tcBorders>
              <w:top w:val="single" w:sz="4" w:space="0" w:color="auto"/>
              <w:left w:val="nil"/>
              <w:bottom w:val="single" w:sz="4" w:space="0" w:color="auto"/>
              <w:right w:val="nil"/>
            </w:tcBorders>
            <w:shd w:val="clear" w:color="auto" w:fill="auto"/>
            <w:noWrap/>
            <w:vAlign w:val="center"/>
            <w:hideMark/>
          </w:tcPr>
          <w:p w:rsidR="006E4374" w:rsidRPr="00A53818" w:rsidRDefault="006E4374" w:rsidP="00BC04D2">
            <w:pPr>
              <w:spacing w:after="0"/>
              <w:jc w:val="center"/>
              <w:rPr>
                <w:rFonts w:eastAsia="Times New Roman"/>
                <w:b/>
                <w:color w:val="000000"/>
                <w:sz w:val="20"/>
                <w:szCs w:val="24"/>
                <w:lang w:val="en-CA" w:eastAsia="en-CA"/>
              </w:rPr>
            </w:pPr>
            <w:r w:rsidRPr="00A53818">
              <w:rPr>
                <w:rFonts w:eastAsia="Times New Roman"/>
                <w:b/>
                <w:color w:val="000000"/>
                <w:sz w:val="20"/>
                <w:szCs w:val="24"/>
                <w:lang w:val="en-CA" w:eastAsia="en-CA"/>
              </w:rPr>
              <w:t>Minimum</w:t>
            </w:r>
          </w:p>
        </w:tc>
        <w:tc>
          <w:tcPr>
            <w:tcW w:w="960" w:type="dxa"/>
            <w:tcBorders>
              <w:top w:val="single" w:sz="4" w:space="0" w:color="auto"/>
              <w:left w:val="nil"/>
              <w:bottom w:val="single" w:sz="4" w:space="0" w:color="auto"/>
              <w:right w:val="nil"/>
            </w:tcBorders>
            <w:shd w:val="clear" w:color="auto" w:fill="auto"/>
            <w:noWrap/>
            <w:vAlign w:val="center"/>
            <w:hideMark/>
          </w:tcPr>
          <w:p w:rsidR="006E4374" w:rsidRPr="00A53818" w:rsidRDefault="006E4374" w:rsidP="00BC04D2">
            <w:pPr>
              <w:spacing w:after="0"/>
              <w:jc w:val="center"/>
              <w:rPr>
                <w:rFonts w:eastAsia="Times New Roman"/>
                <w:b/>
                <w:color w:val="000000"/>
                <w:sz w:val="20"/>
                <w:szCs w:val="24"/>
                <w:lang w:val="en-CA" w:eastAsia="en-CA"/>
              </w:rPr>
            </w:pPr>
            <w:r w:rsidRPr="00A53818">
              <w:rPr>
                <w:rFonts w:eastAsia="Times New Roman"/>
                <w:b/>
                <w:color w:val="000000"/>
                <w:sz w:val="20"/>
                <w:szCs w:val="24"/>
                <w:lang w:val="en-CA" w:eastAsia="en-CA"/>
              </w:rPr>
              <w:t>Maximum</w:t>
            </w:r>
          </w:p>
        </w:tc>
      </w:tr>
      <w:tr w:rsidR="006E4374" w:rsidRPr="00FA44A9" w:rsidTr="00BC04D2">
        <w:trPr>
          <w:trHeight w:val="375"/>
        </w:trPr>
        <w:tc>
          <w:tcPr>
            <w:tcW w:w="3253" w:type="dxa"/>
            <w:tcBorders>
              <w:top w:val="single" w:sz="4" w:space="0" w:color="auto"/>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val="en-CA" w:eastAsia="en-CA"/>
              </w:rPr>
              <w:t>PERCENT_RENEWABLES</w:t>
            </w:r>
            <w:r w:rsidRPr="00A53818">
              <w:rPr>
                <w:rFonts w:eastAsia="Times New Roman"/>
                <w:color w:val="000000"/>
                <w:sz w:val="20"/>
                <w:szCs w:val="20"/>
                <w:vertAlign w:val="subscript"/>
                <w:lang w:val="en-CA" w:eastAsia="en-CA"/>
              </w:rPr>
              <w:t>it</w:t>
            </w:r>
            <w:proofErr w:type="spellEnd"/>
          </w:p>
        </w:tc>
        <w:tc>
          <w:tcPr>
            <w:tcW w:w="1240" w:type="dxa"/>
            <w:tcBorders>
              <w:top w:val="single" w:sz="4" w:space="0" w:color="auto"/>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6.441</w:t>
            </w:r>
          </w:p>
        </w:tc>
        <w:tc>
          <w:tcPr>
            <w:tcW w:w="960" w:type="dxa"/>
            <w:tcBorders>
              <w:top w:val="single" w:sz="4" w:space="0" w:color="auto"/>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11.435</w:t>
            </w:r>
          </w:p>
        </w:tc>
        <w:tc>
          <w:tcPr>
            <w:tcW w:w="960" w:type="dxa"/>
            <w:tcBorders>
              <w:top w:val="single" w:sz="4" w:space="0" w:color="auto"/>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single" w:sz="4" w:space="0" w:color="auto"/>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72.000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HOME_RPS</w:t>
            </w:r>
            <w:r w:rsidRPr="00A53818">
              <w:rPr>
                <w:rFonts w:eastAsia="Times New Roman"/>
                <w:color w:val="000000"/>
                <w:sz w:val="20"/>
                <w:szCs w:val="20"/>
                <w:vertAlign w:val="subscript"/>
                <w:lang w:eastAsia="en-CA"/>
              </w:rPr>
              <w:t>it</w:t>
            </w:r>
            <w:proofErr w:type="spellEnd"/>
            <w:r w:rsidRPr="00A53818">
              <w:rPr>
                <w:rFonts w:eastAsia="Times New Roman"/>
                <w:color w:val="000000"/>
                <w:sz w:val="20"/>
                <w:szCs w:val="20"/>
                <w:vertAlign w:val="subscript"/>
                <w:lang w:eastAsia="en-CA"/>
              </w:rPr>
              <w:t xml:space="preserve"> </w:t>
            </w:r>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4.785</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8.149</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30.000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OPERATIONAL_CAPABILITY</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BA021F" w:rsidP="006331AC">
            <w:pPr>
              <w:tabs>
                <w:tab w:val="decimal" w:pos="342"/>
              </w:tabs>
              <w:spacing w:after="0"/>
              <w:jc w:val="center"/>
              <w:rPr>
                <w:rFonts w:eastAsia="Times New Roman"/>
                <w:color w:val="000000"/>
                <w:sz w:val="20"/>
                <w:szCs w:val="20"/>
                <w:lang w:val="en-CA" w:eastAsia="en-CA"/>
              </w:rPr>
            </w:pPr>
            <w:r>
              <w:rPr>
                <w:rFonts w:eastAsia="Times New Roman"/>
                <w:color w:val="000000"/>
                <w:sz w:val="20"/>
                <w:szCs w:val="20"/>
                <w:lang w:val="en-CA" w:eastAsia="en-CA"/>
              </w:rPr>
              <w:t>–</w:t>
            </w:r>
            <w:r w:rsidR="006E4374" w:rsidRPr="00A53818">
              <w:rPr>
                <w:rFonts w:eastAsia="Times New Roman"/>
                <w:color w:val="000000"/>
                <w:sz w:val="20"/>
                <w:szCs w:val="20"/>
                <w:lang w:val="en-CA" w:eastAsia="en-CA"/>
              </w:rPr>
              <w:t>9.015</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1.475</w:t>
            </w:r>
          </w:p>
        </w:tc>
        <w:tc>
          <w:tcPr>
            <w:tcW w:w="960" w:type="dxa"/>
            <w:tcBorders>
              <w:top w:val="nil"/>
              <w:left w:val="nil"/>
              <w:bottom w:val="nil"/>
              <w:right w:val="nil"/>
            </w:tcBorders>
            <w:shd w:val="clear" w:color="auto" w:fill="auto"/>
            <w:noWrap/>
            <w:vAlign w:val="bottom"/>
            <w:hideMark/>
          </w:tcPr>
          <w:p w:rsidR="006331AC" w:rsidRDefault="00BA021F" w:rsidP="006331AC">
            <w:pPr>
              <w:tabs>
                <w:tab w:val="decimal" w:pos="362"/>
              </w:tabs>
              <w:spacing w:after="0"/>
              <w:jc w:val="center"/>
              <w:rPr>
                <w:rFonts w:eastAsia="Times New Roman"/>
                <w:color w:val="000000"/>
                <w:sz w:val="20"/>
                <w:szCs w:val="20"/>
                <w:lang w:val="en-CA" w:eastAsia="en-CA"/>
              </w:rPr>
            </w:pPr>
            <w:r>
              <w:rPr>
                <w:rFonts w:eastAsia="Times New Roman"/>
                <w:color w:val="000000"/>
                <w:sz w:val="20"/>
                <w:szCs w:val="20"/>
                <w:lang w:val="en-CA" w:eastAsia="en-CA"/>
              </w:rPr>
              <w:t>–</w:t>
            </w:r>
            <w:r w:rsidR="006E4374" w:rsidRPr="00A53818">
              <w:rPr>
                <w:rFonts w:eastAsia="Times New Roman"/>
                <w:color w:val="000000"/>
                <w:sz w:val="20"/>
                <w:szCs w:val="20"/>
                <w:lang w:val="en-CA" w:eastAsia="en-CA"/>
              </w:rPr>
              <w:t>10.000</w:t>
            </w:r>
          </w:p>
        </w:tc>
        <w:tc>
          <w:tcPr>
            <w:tcW w:w="960" w:type="dxa"/>
            <w:tcBorders>
              <w:top w:val="nil"/>
              <w:left w:val="nil"/>
              <w:bottom w:val="nil"/>
              <w:right w:val="nil"/>
            </w:tcBorders>
            <w:shd w:val="clear" w:color="auto" w:fill="auto"/>
            <w:noWrap/>
            <w:vAlign w:val="bottom"/>
            <w:hideMark/>
          </w:tcPr>
          <w:p w:rsidR="006331AC" w:rsidRDefault="00BA021F" w:rsidP="006331AC">
            <w:pPr>
              <w:tabs>
                <w:tab w:val="decimal" w:pos="362"/>
              </w:tabs>
              <w:spacing w:after="0"/>
              <w:jc w:val="center"/>
              <w:rPr>
                <w:rFonts w:eastAsia="Times New Roman"/>
                <w:color w:val="000000"/>
                <w:sz w:val="20"/>
                <w:szCs w:val="20"/>
                <w:lang w:val="en-CA" w:eastAsia="en-CA"/>
              </w:rPr>
            </w:pPr>
            <w:r>
              <w:rPr>
                <w:rFonts w:eastAsia="Times New Roman"/>
                <w:color w:val="000000"/>
                <w:sz w:val="20"/>
                <w:szCs w:val="20"/>
                <w:lang w:val="en-CA" w:eastAsia="en-CA"/>
              </w:rPr>
              <w:t>–</w:t>
            </w:r>
            <w:r w:rsidR="006E4374" w:rsidRPr="00A53818">
              <w:rPr>
                <w:rFonts w:eastAsia="Times New Roman"/>
                <w:color w:val="000000"/>
                <w:sz w:val="20"/>
                <w:szCs w:val="20"/>
                <w:lang w:val="en-CA" w:eastAsia="en-CA"/>
              </w:rPr>
              <w:t>3.954</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r w:rsidRPr="00A53818">
              <w:rPr>
                <w:rFonts w:eastAsia="Times New Roman"/>
                <w:color w:val="000000"/>
                <w:sz w:val="20"/>
                <w:szCs w:val="20"/>
                <w:lang w:eastAsia="en-CA"/>
              </w:rPr>
              <w:t>NEIGHBOR _</w:t>
            </w:r>
            <w:proofErr w:type="spellStart"/>
            <w:r w:rsidRPr="00A53818">
              <w:rPr>
                <w:rFonts w:eastAsia="Times New Roman"/>
                <w:color w:val="000000"/>
                <w:sz w:val="20"/>
                <w:szCs w:val="20"/>
                <w:lang w:eastAsia="en-CA"/>
              </w:rPr>
              <w:t>EFFECT</w:t>
            </w:r>
            <w:r w:rsidRPr="00A53818">
              <w:rPr>
                <w:rFonts w:eastAsia="Times New Roman"/>
                <w:color w:val="000000"/>
                <w:sz w:val="20"/>
                <w:szCs w:val="20"/>
                <w:vertAlign w:val="subscript"/>
                <w:lang w:eastAsia="en-CA"/>
              </w:rPr>
              <w:t>it</w:t>
            </w:r>
            <w:proofErr w:type="spellEnd"/>
            <w:r w:rsidRPr="00A53818">
              <w:rPr>
                <w:rFonts w:eastAsia="Times New Roman"/>
                <w:color w:val="000000"/>
                <w:sz w:val="20"/>
                <w:szCs w:val="20"/>
                <w:lang w:eastAsia="en-CA"/>
              </w:rPr>
              <w:t xml:space="preserve"> </w:t>
            </w:r>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3.318</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4.806</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21.000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r w:rsidRPr="00A53818">
              <w:rPr>
                <w:rFonts w:eastAsia="Times New Roman"/>
                <w:color w:val="000000"/>
                <w:sz w:val="20"/>
                <w:szCs w:val="20"/>
                <w:lang w:eastAsia="en-CA"/>
              </w:rPr>
              <w:t>PEER _</w:t>
            </w:r>
            <w:proofErr w:type="spellStart"/>
            <w:r w:rsidRPr="00A53818">
              <w:rPr>
                <w:rFonts w:eastAsia="Times New Roman"/>
                <w:color w:val="000000"/>
                <w:sz w:val="20"/>
                <w:szCs w:val="20"/>
                <w:lang w:eastAsia="en-CA"/>
              </w:rPr>
              <w:t>EFFECT</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4.541</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7.466</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30.000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RESIDENTIAL_SALES</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33.751</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7.661</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0.583</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53.756</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INDUSTRIAL_SALES</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29.801</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15.397</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98.966</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MANUFACTURERS</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0.007</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0.009</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0.092</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FIRM_SIZE</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18.662</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19.850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0.061</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103.653</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DEREGULATION</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0.449</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0.490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1.000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VOLUNTARY_REPORTING</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0.627</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0.484</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1.000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INVOLUNTARY_REPORTING</w:t>
            </w:r>
            <w:r w:rsidRPr="00A53818">
              <w:rPr>
                <w:rFonts w:eastAsia="Times New Roman"/>
                <w:color w:val="000000"/>
                <w:sz w:val="20"/>
                <w:szCs w:val="20"/>
                <w:vertAlign w:val="subscript"/>
                <w:lang w:eastAsia="en-CA"/>
              </w:rPr>
              <w:t>it</w:t>
            </w:r>
            <w:proofErr w:type="spellEnd"/>
            <w:r w:rsidRPr="00A53818">
              <w:rPr>
                <w:rFonts w:eastAsia="Times New Roman"/>
                <w:color w:val="000000"/>
                <w:sz w:val="20"/>
                <w:szCs w:val="20"/>
                <w:lang w:eastAsia="en-CA"/>
              </w:rPr>
              <w:t xml:space="preserve"> </w:t>
            </w:r>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0.572</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0.473</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1.000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r w:rsidRPr="00A53818">
              <w:rPr>
                <w:rFonts w:eastAsia="Times New Roman"/>
                <w:color w:val="000000"/>
                <w:sz w:val="20"/>
                <w:szCs w:val="20"/>
                <w:lang w:eastAsia="en-CA"/>
              </w:rPr>
              <w:t>CO2_EMISSIONS</w:t>
            </w:r>
            <w:r w:rsidRPr="00A53818">
              <w:rPr>
                <w:rFonts w:eastAsia="Times New Roman"/>
                <w:color w:val="000000"/>
                <w:sz w:val="20"/>
                <w:szCs w:val="20"/>
                <w:vertAlign w:val="subscript"/>
                <w:lang w:eastAsia="en-CA"/>
              </w:rPr>
              <w:t>it</w:t>
            </w:r>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11.335</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10.989</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0.016</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102.569</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SIERRA_CLUB</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20.160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29.348</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0.711</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198.590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NUCLEAR_MORATORIUM</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0.348</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0.457</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1.000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DEMOCRATS</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0.340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0.455</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1.000</w:t>
            </w:r>
          </w:p>
        </w:tc>
      </w:tr>
      <w:tr w:rsidR="006E4374" w:rsidRPr="00FA44A9" w:rsidTr="00BC04D2">
        <w:trPr>
          <w:trHeight w:val="375"/>
        </w:trPr>
        <w:tc>
          <w:tcPr>
            <w:tcW w:w="3253" w:type="dxa"/>
            <w:tcBorders>
              <w:top w:val="nil"/>
              <w:left w:val="nil"/>
              <w:bottom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BUDGET</w:t>
            </w:r>
            <w:r w:rsidRPr="00A53818">
              <w:rPr>
                <w:rFonts w:eastAsia="Times New Roman"/>
                <w:color w:val="000000"/>
                <w:sz w:val="20"/>
                <w:szCs w:val="20"/>
                <w:vertAlign w:val="subscript"/>
                <w:lang w:eastAsia="en-CA"/>
              </w:rPr>
              <w:t>it</w:t>
            </w:r>
            <w:proofErr w:type="spellEnd"/>
          </w:p>
        </w:tc>
        <w:tc>
          <w:tcPr>
            <w:tcW w:w="1240" w:type="dxa"/>
            <w:tcBorders>
              <w:top w:val="nil"/>
              <w:left w:val="nil"/>
              <w:bottom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0.003</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0.004</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0.024</w:t>
            </w:r>
          </w:p>
        </w:tc>
      </w:tr>
      <w:tr w:rsidR="006E4374" w:rsidRPr="00FA44A9" w:rsidTr="00BC04D2">
        <w:trPr>
          <w:trHeight w:val="375"/>
        </w:trPr>
        <w:tc>
          <w:tcPr>
            <w:tcW w:w="3253" w:type="dxa"/>
            <w:tcBorders>
              <w:top w:val="nil"/>
              <w:left w:val="nil"/>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PUC_TENURE</w:t>
            </w:r>
            <w:r w:rsidRPr="00A53818">
              <w:rPr>
                <w:rFonts w:eastAsia="Times New Roman"/>
                <w:color w:val="000000"/>
                <w:sz w:val="20"/>
                <w:szCs w:val="20"/>
                <w:vertAlign w:val="subscript"/>
                <w:lang w:eastAsia="en-CA"/>
              </w:rPr>
              <w:t>it</w:t>
            </w:r>
            <w:proofErr w:type="spellEnd"/>
          </w:p>
        </w:tc>
        <w:tc>
          <w:tcPr>
            <w:tcW w:w="1240" w:type="dxa"/>
            <w:tcBorders>
              <w:top w:val="nil"/>
              <w:left w:val="nil"/>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4.160</w:t>
            </w:r>
          </w:p>
        </w:tc>
        <w:tc>
          <w:tcPr>
            <w:tcW w:w="960" w:type="dxa"/>
            <w:tcBorders>
              <w:top w:val="nil"/>
              <w:left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2.433</w:t>
            </w:r>
          </w:p>
        </w:tc>
        <w:tc>
          <w:tcPr>
            <w:tcW w:w="960" w:type="dxa"/>
            <w:tcBorders>
              <w:top w:val="nil"/>
              <w:left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0.333</w:t>
            </w:r>
          </w:p>
        </w:tc>
        <w:tc>
          <w:tcPr>
            <w:tcW w:w="960" w:type="dxa"/>
            <w:tcBorders>
              <w:top w:val="nil"/>
              <w:left w:val="nil"/>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14.667</w:t>
            </w:r>
          </w:p>
        </w:tc>
      </w:tr>
      <w:tr w:rsidR="006E4374" w:rsidRPr="00FA44A9" w:rsidTr="00BC04D2">
        <w:trPr>
          <w:trHeight w:val="375"/>
        </w:trPr>
        <w:tc>
          <w:tcPr>
            <w:tcW w:w="3253" w:type="dxa"/>
            <w:tcBorders>
              <w:top w:val="nil"/>
              <w:left w:val="nil"/>
              <w:bottom w:val="single" w:sz="4" w:space="0" w:color="auto"/>
              <w:right w:val="nil"/>
            </w:tcBorders>
            <w:shd w:val="clear" w:color="auto" w:fill="auto"/>
            <w:noWrap/>
            <w:vAlign w:val="bottom"/>
            <w:hideMark/>
          </w:tcPr>
          <w:p w:rsidR="006E4374" w:rsidRPr="00A53818" w:rsidRDefault="006E4374" w:rsidP="00BC04D2">
            <w:pPr>
              <w:spacing w:after="0"/>
              <w:rPr>
                <w:rFonts w:eastAsia="Times New Roman"/>
                <w:color w:val="000000"/>
                <w:sz w:val="20"/>
                <w:szCs w:val="20"/>
                <w:lang w:val="en-CA" w:eastAsia="en-CA"/>
              </w:rPr>
            </w:pPr>
            <w:proofErr w:type="spellStart"/>
            <w:r w:rsidRPr="00A53818">
              <w:rPr>
                <w:rFonts w:eastAsia="Times New Roman"/>
                <w:color w:val="000000"/>
                <w:sz w:val="20"/>
                <w:szCs w:val="20"/>
                <w:lang w:eastAsia="en-CA"/>
              </w:rPr>
              <w:t>ELECT_PUC</w:t>
            </w:r>
            <w:r w:rsidRPr="00A53818">
              <w:rPr>
                <w:rFonts w:eastAsia="Times New Roman"/>
                <w:color w:val="000000"/>
                <w:sz w:val="20"/>
                <w:szCs w:val="20"/>
                <w:vertAlign w:val="subscript"/>
                <w:lang w:eastAsia="en-CA"/>
              </w:rPr>
              <w:t>it</w:t>
            </w:r>
            <w:proofErr w:type="spellEnd"/>
            <w:r w:rsidRPr="00A53818">
              <w:rPr>
                <w:rFonts w:eastAsia="Times New Roman"/>
                <w:color w:val="000000"/>
                <w:sz w:val="20"/>
                <w:szCs w:val="20"/>
                <w:lang w:eastAsia="en-CA"/>
              </w:rPr>
              <w:t xml:space="preserve"> </w:t>
            </w:r>
          </w:p>
        </w:tc>
        <w:tc>
          <w:tcPr>
            <w:tcW w:w="1240" w:type="dxa"/>
            <w:tcBorders>
              <w:top w:val="nil"/>
              <w:left w:val="nil"/>
              <w:bottom w:val="single" w:sz="4" w:space="0" w:color="auto"/>
              <w:right w:val="nil"/>
            </w:tcBorders>
            <w:shd w:val="clear" w:color="auto" w:fill="auto"/>
            <w:noWrap/>
            <w:vAlign w:val="bottom"/>
            <w:hideMark/>
          </w:tcPr>
          <w:p w:rsidR="006331AC" w:rsidRDefault="006E4374" w:rsidP="006331AC">
            <w:pPr>
              <w:tabs>
                <w:tab w:val="decimal" w:pos="34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0.128</w:t>
            </w:r>
          </w:p>
        </w:tc>
        <w:tc>
          <w:tcPr>
            <w:tcW w:w="960" w:type="dxa"/>
            <w:tcBorders>
              <w:top w:val="nil"/>
              <w:left w:val="nil"/>
              <w:bottom w:val="single" w:sz="4" w:space="0" w:color="auto"/>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0.320</w:t>
            </w:r>
          </w:p>
        </w:tc>
        <w:tc>
          <w:tcPr>
            <w:tcW w:w="960" w:type="dxa"/>
            <w:tcBorders>
              <w:top w:val="nil"/>
              <w:left w:val="nil"/>
              <w:bottom w:val="single" w:sz="4" w:space="0" w:color="auto"/>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0.000</w:t>
            </w:r>
          </w:p>
        </w:tc>
        <w:tc>
          <w:tcPr>
            <w:tcW w:w="960" w:type="dxa"/>
            <w:tcBorders>
              <w:top w:val="nil"/>
              <w:left w:val="nil"/>
              <w:bottom w:val="single" w:sz="4" w:space="0" w:color="auto"/>
              <w:right w:val="nil"/>
            </w:tcBorders>
            <w:shd w:val="clear" w:color="auto" w:fill="auto"/>
            <w:noWrap/>
            <w:vAlign w:val="bottom"/>
            <w:hideMark/>
          </w:tcPr>
          <w:p w:rsidR="006331AC" w:rsidRDefault="006E4374" w:rsidP="006331AC">
            <w:pPr>
              <w:tabs>
                <w:tab w:val="decimal" w:pos="362"/>
              </w:tabs>
              <w:spacing w:after="0"/>
              <w:jc w:val="center"/>
              <w:rPr>
                <w:rFonts w:eastAsia="Times New Roman"/>
                <w:color w:val="000000"/>
                <w:sz w:val="20"/>
                <w:szCs w:val="20"/>
                <w:lang w:val="en-CA" w:eastAsia="en-CA"/>
              </w:rPr>
            </w:pPr>
            <w:r w:rsidRPr="00A53818">
              <w:rPr>
                <w:rFonts w:eastAsia="Times New Roman"/>
                <w:color w:val="000000"/>
                <w:sz w:val="20"/>
                <w:szCs w:val="20"/>
                <w:lang w:val="en-CA" w:eastAsia="en-CA"/>
              </w:rPr>
              <w:t>1.000</w:t>
            </w:r>
          </w:p>
        </w:tc>
      </w:tr>
    </w:tbl>
    <w:p w:rsidR="006E4374" w:rsidRDefault="006E4374" w:rsidP="006E4374">
      <w:pPr>
        <w:pStyle w:val="NoSpacing"/>
      </w:pPr>
    </w:p>
    <w:p w:rsidR="006E4374" w:rsidRDefault="006E4374" w:rsidP="006E4374">
      <w:pPr>
        <w:spacing w:after="0"/>
        <w:sectPr w:rsidR="006E4374" w:rsidSect="0024609E">
          <w:headerReference w:type="default" r:id="rId9"/>
          <w:pgSz w:w="12240" w:h="15840"/>
          <w:pgMar w:top="1440" w:right="1440" w:bottom="1440" w:left="1440" w:header="708" w:footer="708" w:gutter="0"/>
          <w:cols w:space="708"/>
          <w:docGrid w:linePitch="360"/>
        </w:sectPr>
      </w:pPr>
      <w:r>
        <w:br w:type="page"/>
      </w:r>
    </w:p>
    <w:p w:rsidR="006E4374" w:rsidRDefault="006E4374" w:rsidP="006E4374">
      <w:pPr>
        <w:spacing w:after="0"/>
      </w:pPr>
    </w:p>
    <w:p w:rsidR="006E4374" w:rsidRDefault="006331AC" w:rsidP="006E4374">
      <w:pPr>
        <w:pStyle w:val="NoSpacing"/>
      </w:pPr>
      <w:r w:rsidRPr="006331AC">
        <w:t>Table 2</w:t>
      </w:r>
      <w:r w:rsidR="00EC47DA">
        <w:t>.</w:t>
      </w:r>
      <w:r w:rsidR="00EC47DA">
        <w:tab/>
      </w:r>
      <w:r w:rsidR="006E4374">
        <w:t xml:space="preserve">Correlation </w:t>
      </w:r>
      <w:r w:rsidR="00B27561">
        <w:t>m</w:t>
      </w:r>
      <w:r w:rsidR="006E4374">
        <w:t>atrix</w:t>
      </w:r>
    </w:p>
    <w:tbl>
      <w:tblPr>
        <w:tblW w:w="5000" w:type="pct"/>
        <w:tblLayout w:type="fixed"/>
        <w:tblLook w:val="04A0" w:firstRow="1" w:lastRow="0" w:firstColumn="1" w:lastColumn="0" w:noHBand="0" w:noVBand="1"/>
      </w:tblPr>
      <w:tblGrid>
        <w:gridCol w:w="649"/>
        <w:gridCol w:w="2241"/>
        <w:gridCol w:w="578"/>
        <w:gridCol w:w="578"/>
        <w:gridCol w:w="578"/>
        <w:gridCol w:w="578"/>
        <w:gridCol w:w="578"/>
        <w:gridCol w:w="591"/>
        <w:gridCol w:w="577"/>
        <w:gridCol w:w="577"/>
        <w:gridCol w:w="577"/>
        <w:gridCol w:w="577"/>
        <w:gridCol w:w="577"/>
        <w:gridCol w:w="580"/>
        <w:gridCol w:w="577"/>
        <w:gridCol w:w="577"/>
        <w:gridCol w:w="577"/>
        <w:gridCol w:w="516"/>
        <w:gridCol w:w="577"/>
        <w:gridCol w:w="516"/>
      </w:tblGrid>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b/>
                <w:color w:val="000000"/>
                <w:sz w:val="16"/>
                <w:szCs w:val="16"/>
                <w:lang w:val="en-CA" w:eastAsia="en-CA"/>
              </w:rPr>
            </w:pPr>
          </w:p>
        </w:tc>
        <w:tc>
          <w:tcPr>
            <w:tcW w:w="84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rPr>
                <w:rFonts w:eastAsia="Times New Roman"/>
                <w:b/>
                <w:color w:val="000000"/>
                <w:sz w:val="16"/>
                <w:szCs w:val="16"/>
                <w:lang w:val="en-CA" w:eastAsia="en-CA"/>
              </w:rPr>
            </w:pPr>
            <w:r w:rsidRPr="00D109A2">
              <w:rPr>
                <w:rFonts w:eastAsia="Times New Roman"/>
                <w:b/>
                <w:color w:val="000000"/>
                <w:sz w:val="16"/>
                <w:szCs w:val="16"/>
                <w:lang w:val="en-CA" w:eastAsia="en-CA"/>
              </w:rPr>
              <w:t>Variables</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2</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3</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4</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5</w:t>
            </w:r>
          </w:p>
        </w:tc>
        <w:tc>
          <w:tcPr>
            <w:tcW w:w="224"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6</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7</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8</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9</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10</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11</w:t>
            </w:r>
          </w:p>
        </w:tc>
        <w:tc>
          <w:tcPr>
            <w:tcW w:w="220"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12</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13</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14</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15</w:t>
            </w:r>
          </w:p>
        </w:tc>
        <w:tc>
          <w:tcPr>
            <w:tcW w:w="196"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16</w:t>
            </w:r>
          </w:p>
        </w:tc>
        <w:tc>
          <w:tcPr>
            <w:tcW w:w="219"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17</w:t>
            </w:r>
          </w:p>
        </w:tc>
        <w:tc>
          <w:tcPr>
            <w:tcW w:w="196" w:type="pct"/>
            <w:tcBorders>
              <w:top w:val="single" w:sz="4" w:space="0" w:color="auto"/>
              <w:left w:val="nil"/>
              <w:bottom w:val="single" w:sz="4" w:space="0" w:color="auto"/>
              <w:right w:val="nil"/>
            </w:tcBorders>
            <w:shd w:val="clear" w:color="auto" w:fill="auto"/>
            <w:noWrap/>
            <w:vAlign w:val="bottom"/>
            <w:hideMark/>
          </w:tcPr>
          <w:p w:rsidR="006E4374" w:rsidRPr="00D109A2" w:rsidRDefault="006E4374" w:rsidP="00BC04D2">
            <w:pPr>
              <w:spacing w:after="0"/>
              <w:jc w:val="center"/>
              <w:rPr>
                <w:rFonts w:eastAsia="Times New Roman"/>
                <w:b/>
                <w:color w:val="000000"/>
                <w:sz w:val="16"/>
                <w:szCs w:val="16"/>
                <w:lang w:val="en-CA" w:eastAsia="en-CA"/>
              </w:rPr>
            </w:pPr>
            <w:r w:rsidRPr="00D109A2">
              <w:rPr>
                <w:rFonts w:eastAsia="Times New Roman"/>
                <w:b/>
                <w:color w:val="000000"/>
                <w:sz w:val="16"/>
                <w:szCs w:val="16"/>
                <w:lang w:val="en-CA" w:eastAsia="en-CA"/>
              </w:rPr>
              <w:t>18</w:t>
            </w: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w:t>
            </w:r>
          </w:p>
        </w:tc>
        <w:tc>
          <w:tcPr>
            <w:tcW w:w="84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PERCENT_RENEWABLES</w:t>
            </w:r>
            <w:r w:rsidRPr="00D109A2">
              <w:rPr>
                <w:rFonts w:eastAsia="Times New Roman"/>
                <w:color w:val="000000"/>
                <w:sz w:val="16"/>
                <w:szCs w:val="16"/>
                <w:vertAlign w:val="subscript"/>
                <w:lang w:eastAsia="en-CA"/>
              </w:rPr>
              <w:t>it</w:t>
            </w:r>
            <w:proofErr w:type="spellEnd"/>
          </w:p>
        </w:tc>
        <w:tc>
          <w:tcPr>
            <w:tcW w:w="219" w:type="pct"/>
            <w:tcBorders>
              <w:top w:val="single" w:sz="4" w:space="0" w:color="auto"/>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4"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single" w:sz="4" w:space="0" w:color="auto"/>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2</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HOME_RPS</w:t>
            </w:r>
            <w:r w:rsidRPr="00D109A2">
              <w:rPr>
                <w:rFonts w:eastAsia="Times New Roman"/>
                <w:color w:val="000000"/>
                <w:sz w:val="16"/>
                <w:szCs w:val="16"/>
                <w:vertAlign w:val="subscript"/>
                <w:lang w:eastAsia="en-CA"/>
              </w:rPr>
              <w:t>it</w:t>
            </w:r>
            <w:proofErr w:type="spellEnd"/>
            <w:r w:rsidRPr="00D109A2">
              <w:rPr>
                <w:rFonts w:eastAsia="Times New Roman"/>
                <w:color w:val="000000"/>
                <w:sz w:val="16"/>
                <w:szCs w:val="16"/>
                <w:vertAlign w:val="subscript"/>
                <w:lang w:eastAsia="en-CA"/>
              </w:rPr>
              <w:t xml:space="preserve"> </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4"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3</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r w:rsidRPr="00D109A2">
              <w:rPr>
                <w:rFonts w:eastAsia="Times New Roman"/>
                <w:color w:val="000000"/>
                <w:sz w:val="16"/>
                <w:szCs w:val="16"/>
                <w:lang w:eastAsia="en-CA"/>
              </w:rPr>
              <w:t>OPERATIONAL_</w:t>
            </w:r>
            <w:r w:rsidR="00FD6CFF">
              <w:rPr>
                <w:rFonts w:eastAsia="Times New Roman"/>
                <w:color w:val="000000"/>
                <w:sz w:val="16"/>
                <w:szCs w:val="16"/>
                <w:lang w:eastAsia="en-CA"/>
              </w:rPr>
              <w:br/>
            </w:r>
            <w:proofErr w:type="spellStart"/>
            <w:r w:rsidRPr="00D109A2">
              <w:rPr>
                <w:rFonts w:eastAsia="Times New Roman"/>
                <w:color w:val="000000"/>
                <w:sz w:val="16"/>
                <w:szCs w:val="16"/>
                <w:lang w:eastAsia="en-CA"/>
              </w:rPr>
              <w:t>CAPABILITY</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0.46</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4"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4</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r w:rsidRPr="00D109A2">
              <w:rPr>
                <w:rFonts w:eastAsia="Times New Roman"/>
                <w:color w:val="000000"/>
                <w:sz w:val="16"/>
                <w:szCs w:val="16"/>
                <w:lang w:eastAsia="en-CA"/>
              </w:rPr>
              <w:t>PEER _</w:t>
            </w:r>
            <w:proofErr w:type="spellStart"/>
            <w:r w:rsidRPr="00D109A2">
              <w:rPr>
                <w:rFonts w:eastAsia="Times New Roman"/>
                <w:color w:val="000000"/>
                <w:sz w:val="16"/>
                <w:szCs w:val="16"/>
                <w:lang w:eastAsia="en-CA"/>
              </w:rPr>
              <w:t>EFFECT</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0.55</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2"/>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4"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5</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r w:rsidRPr="00D109A2">
              <w:rPr>
                <w:rFonts w:eastAsia="Times New Roman"/>
                <w:color w:val="000000"/>
                <w:sz w:val="16"/>
                <w:szCs w:val="16"/>
                <w:lang w:eastAsia="en-CA"/>
              </w:rPr>
              <w:t>NEIGHBOR _</w:t>
            </w:r>
            <w:proofErr w:type="spellStart"/>
            <w:r w:rsidRPr="00D109A2">
              <w:rPr>
                <w:rFonts w:eastAsia="Times New Roman"/>
                <w:color w:val="000000"/>
                <w:sz w:val="16"/>
                <w:szCs w:val="16"/>
                <w:lang w:eastAsia="en-CA"/>
              </w:rPr>
              <w:t>EFFECT</w:t>
            </w:r>
            <w:r w:rsidRPr="00D109A2">
              <w:rPr>
                <w:rFonts w:eastAsia="Times New Roman"/>
                <w:color w:val="000000"/>
                <w:sz w:val="16"/>
                <w:szCs w:val="16"/>
                <w:vertAlign w:val="subscript"/>
                <w:lang w:eastAsia="en-CA"/>
              </w:rPr>
              <w:t>it</w:t>
            </w:r>
            <w:proofErr w:type="spellEnd"/>
            <w:r w:rsidRPr="00D109A2">
              <w:rPr>
                <w:rFonts w:eastAsia="Times New Roman"/>
                <w:color w:val="000000"/>
                <w:sz w:val="16"/>
                <w:szCs w:val="16"/>
                <w:lang w:eastAsia="en-CA"/>
              </w:rPr>
              <w:t xml:space="preserve"> </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0.40</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0.10</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2"/>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0.41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24"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6</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RESIDENTIAL_SALES</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0.07</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0.05</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2"/>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0.07</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0.16</w:t>
            </w:r>
          </w:p>
        </w:tc>
        <w:tc>
          <w:tcPr>
            <w:tcW w:w="224" w:type="pct"/>
            <w:tcBorders>
              <w:top w:val="nil"/>
              <w:left w:val="nil"/>
              <w:bottom w:val="nil"/>
              <w:right w:val="nil"/>
            </w:tcBorders>
            <w:shd w:val="clear" w:color="auto" w:fill="auto"/>
            <w:noWrap/>
            <w:vAlign w:val="bottom"/>
            <w:hideMark/>
          </w:tcPr>
          <w:p w:rsidR="006331AC" w:rsidRDefault="006E4374" w:rsidP="006331AC">
            <w:pPr>
              <w:tabs>
                <w:tab w:val="decimal" w:pos="22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7</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INDUSTRIAL_SALES</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0.16</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0.04</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2"/>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0.15</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5"/>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0.25</w:t>
            </w:r>
          </w:p>
        </w:tc>
        <w:tc>
          <w:tcPr>
            <w:tcW w:w="224" w:type="pct"/>
            <w:tcBorders>
              <w:top w:val="nil"/>
              <w:left w:val="nil"/>
              <w:bottom w:val="nil"/>
              <w:right w:val="nil"/>
            </w:tcBorders>
            <w:shd w:val="clear" w:color="auto" w:fill="auto"/>
            <w:noWrap/>
            <w:vAlign w:val="bottom"/>
            <w:hideMark/>
          </w:tcPr>
          <w:p w:rsidR="006331AC" w:rsidRDefault="00EC47DA" w:rsidP="006331AC">
            <w:pPr>
              <w:tabs>
                <w:tab w:val="decimal" w:pos="22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0.63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8</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MANUFACTURERS</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0.05</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2"/>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0.04</w:t>
            </w:r>
          </w:p>
        </w:tc>
        <w:tc>
          <w:tcPr>
            <w:tcW w:w="224" w:type="pct"/>
            <w:tcBorders>
              <w:top w:val="nil"/>
              <w:left w:val="nil"/>
              <w:bottom w:val="nil"/>
              <w:right w:val="nil"/>
            </w:tcBorders>
            <w:shd w:val="clear" w:color="auto" w:fill="auto"/>
            <w:noWrap/>
            <w:vAlign w:val="bottom"/>
            <w:hideMark/>
          </w:tcPr>
          <w:p w:rsidR="006331AC" w:rsidRDefault="00EC47DA" w:rsidP="006331AC">
            <w:pPr>
              <w:tabs>
                <w:tab w:val="decimal" w:pos="22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0"/>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9</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FIRM_SIZE</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0.04</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0.06</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0.02</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2"/>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5"/>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0.05</w:t>
            </w:r>
          </w:p>
        </w:tc>
        <w:tc>
          <w:tcPr>
            <w:tcW w:w="224" w:type="pct"/>
            <w:tcBorders>
              <w:top w:val="nil"/>
              <w:left w:val="nil"/>
              <w:bottom w:val="nil"/>
              <w:right w:val="nil"/>
            </w:tcBorders>
            <w:shd w:val="clear" w:color="auto" w:fill="auto"/>
            <w:noWrap/>
            <w:vAlign w:val="bottom"/>
            <w:hideMark/>
          </w:tcPr>
          <w:p w:rsidR="006331AC" w:rsidRDefault="006E4374" w:rsidP="006331AC">
            <w:pPr>
              <w:tabs>
                <w:tab w:val="decimal" w:pos="22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0.04</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0.09</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0"/>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10</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DEREGULATION</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0.07</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0.25</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0.07</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2"/>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0.27</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0.35</w:t>
            </w:r>
          </w:p>
        </w:tc>
        <w:tc>
          <w:tcPr>
            <w:tcW w:w="224" w:type="pct"/>
            <w:tcBorders>
              <w:top w:val="nil"/>
              <w:left w:val="nil"/>
              <w:bottom w:val="nil"/>
              <w:right w:val="nil"/>
            </w:tcBorders>
            <w:shd w:val="clear" w:color="auto" w:fill="auto"/>
            <w:noWrap/>
            <w:vAlign w:val="bottom"/>
            <w:hideMark/>
          </w:tcPr>
          <w:p w:rsidR="006331AC" w:rsidRDefault="006E4374" w:rsidP="006331AC">
            <w:pPr>
              <w:tabs>
                <w:tab w:val="decimal" w:pos="22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0.18</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0"/>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0.00</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11</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VOLUNTARY_REPORTING</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0.27</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0.17</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0.29</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2"/>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0.19</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5"/>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0.05</w:t>
            </w:r>
          </w:p>
        </w:tc>
        <w:tc>
          <w:tcPr>
            <w:tcW w:w="224" w:type="pct"/>
            <w:tcBorders>
              <w:top w:val="nil"/>
              <w:left w:val="nil"/>
              <w:bottom w:val="nil"/>
              <w:right w:val="nil"/>
            </w:tcBorders>
            <w:shd w:val="clear" w:color="auto" w:fill="auto"/>
            <w:noWrap/>
            <w:vAlign w:val="bottom"/>
            <w:hideMark/>
          </w:tcPr>
          <w:p w:rsidR="006331AC" w:rsidRDefault="006E4374" w:rsidP="006331AC">
            <w:pPr>
              <w:tabs>
                <w:tab w:val="decimal" w:pos="22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0.00</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0.06</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0"/>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0.35</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0.02</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20"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12</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INVOLUNTARY_REPORTING</w:t>
            </w:r>
            <w:r w:rsidRPr="00D109A2">
              <w:rPr>
                <w:rFonts w:eastAsia="Times New Roman"/>
                <w:color w:val="000000"/>
                <w:sz w:val="16"/>
                <w:szCs w:val="16"/>
                <w:vertAlign w:val="subscript"/>
                <w:lang w:eastAsia="en-CA"/>
              </w:rPr>
              <w:t>it</w:t>
            </w:r>
            <w:proofErr w:type="spellEnd"/>
            <w:r w:rsidRPr="00D109A2">
              <w:rPr>
                <w:rFonts w:eastAsia="Times New Roman"/>
                <w:color w:val="000000"/>
                <w:sz w:val="16"/>
                <w:szCs w:val="16"/>
                <w:lang w:eastAsia="en-CA"/>
              </w:rPr>
              <w:t xml:space="preserve"> </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0.12</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2"/>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0.29</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0.27</w:t>
            </w:r>
          </w:p>
        </w:tc>
        <w:tc>
          <w:tcPr>
            <w:tcW w:w="224" w:type="pct"/>
            <w:tcBorders>
              <w:top w:val="nil"/>
              <w:left w:val="nil"/>
              <w:bottom w:val="nil"/>
              <w:right w:val="nil"/>
            </w:tcBorders>
            <w:shd w:val="clear" w:color="auto" w:fill="auto"/>
            <w:noWrap/>
            <w:vAlign w:val="bottom"/>
            <w:hideMark/>
          </w:tcPr>
          <w:p w:rsidR="006331AC" w:rsidRDefault="006E4374" w:rsidP="006331AC">
            <w:pPr>
              <w:tabs>
                <w:tab w:val="decimal" w:pos="22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0.30</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0.31</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0"/>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0.05</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0.36</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5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0.05</w:t>
            </w:r>
          </w:p>
        </w:tc>
        <w:tc>
          <w:tcPr>
            <w:tcW w:w="220" w:type="pct"/>
            <w:tcBorders>
              <w:top w:val="nil"/>
              <w:left w:val="nil"/>
              <w:bottom w:val="nil"/>
              <w:right w:val="nil"/>
            </w:tcBorders>
            <w:shd w:val="clear" w:color="auto" w:fill="auto"/>
            <w:noWrap/>
            <w:vAlign w:val="bottom"/>
            <w:hideMark/>
          </w:tcPr>
          <w:p w:rsidR="006331AC" w:rsidRDefault="006E4374" w:rsidP="006331AC">
            <w:pPr>
              <w:tabs>
                <w:tab w:val="decimal" w:pos="21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13</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r w:rsidRPr="00D109A2">
              <w:rPr>
                <w:rFonts w:eastAsia="Times New Roman"/>
                <w:color w:val="000000"/>
                <w:sz w:val="16"/>
                <w:szCs w:val="16"/>
                <w:lang w:eastAsia="en-CA"/>
              </w:rPr>
              <w:t>CO2_EMISSIONS</w:t>
            </w:r>
            <w:r w:rsidRPr="00D109A2">
              <w:rPr>
                <w:rFonts w:eastAsia="Times New Roman"/>
                <w:color w:val="000000"/>
                <w:sz w:val="16"/>
                <w:szCs w:val="16"/>
                <w:vertAlign w:val="subscript"/>
                <w:lang w:eastAsia="en-CA"/>
              </w:rPr>
              <w:t>it</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0.22</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0.19</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0.24</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2"/>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0.18</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5"/>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0.15</w:t>
            </w:r>
          </w:p>
        </w:tc>
        <w:tc>
          <w:tcPr>
            <w:tcW w:w="224" w:type="pct"/>
            <w:tcBorders>
              <w:top w:val="nil"/>
              <w:left w:val="nil"/>
              <w:bottom w:val="nil"/>
              <w:right w:val="nil"/>
            </w:tcBorders>
            <w:shd w:val="clear" w:color="auto" w:fill="auto"/>
            <w:noWrap/>
            <w:vAlign w:val="bottom"/>
            <w:hideMark/>
          </w:tcPr>
          <w:p w:rsidR="006331AC" w:rsidRDefault="00EC47DA" w:rsidP="006331AC">
            <w:pPr>
              <w:tabs>
                <w:tab w:val="decimal" w:pos="22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0.19</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0"/>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0.72</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0.11</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0.13</w:t>
            </w:r>
          </w:p>
        </w:tc>
        <w:tc>
          <w:tcPr>
            <w:tcW w:w="220" w:type="pct"/>
            <w:tcBorders>
              <w:top w:val="nil"/>
              <w:left w:val="nil"/>
              <w:bottom w:val="nil"/>
              <w:right w:val="nil"/>
            </w:tcBorders>
            <w:shd w:val="clear" w:color="auto" w:fill="auto"/>
            <w:noWrap/>
            <w:vAlign w:val="bottom"/>
            <w:hideMark/>
          </w:tcPr>
          <w:p w:rsidR="006331AC" w:rsidRDefault="00EC47DA" w:rsidP="006331AC">
            <w:pPr>
              <w:tabs>
                <w:tab w:val="decimal" w:pos="21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0.35</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14</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SIERRA_CLUB</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0.19</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2"/>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0.12</w:t>
            </w:r>
          </w:p>
        </w:tc>
        <w:tc>
          <w:tcPr>
            <w:tcW w:w="224" w:type="pct"/>
            <w:tcBorders>
              <w:top w:val="nil"/>
              <w:left w:val="nil"/>
              <w:bottom w:val="nil"/>
              <w:right w:val="nil"/>
            </w:tcBorders>
            <w:shd w:val="clear" w:color="auto" w:fill="auto"/>
            <w:noWrap/>
            <w:vAlign w:val="bottom"/>
            <w:hideMark/>
          </w:tcPr>
          <w:p w:rsidR="006331AC" w:rsidRDefault="006E4374" w:rsidP="006331AC">
            <w:pPr>
              <w:tabs>
                <w:tab w:val="decimal" w:pos="22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0.11</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0.19</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0"/>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0.35</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0.02</w:t>
            </w:r>
          </w:p>
        </w:tc>
        <w:tc>
          <w:tcPr>
            <w:tcW w:w="220" w:type="pct"/>
            <w:tcBorders>
              <w:top w:val="nil"/>
              <w:left w:val="nil"/>
              <w:bottom w:val="nil"/>
              <w:right w:val="nil"/>
            </w:tcBorders>
            <w:shd w:val="clear" w:color="auto" w:fill="auto"/>
            <w:noWrap/>
            <w:vAlign w:val="bottom"/>
            <w:hideMark/>
          </w:tcPr>
          <w:p w:rsidR="006331AC" w:rsidRDefault="006E4374" w:rsidP="006331AC">
            <w:pPr>
              <w:tabs>
                <w:tab w:val="decimal" w:pos="21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0.40</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5"/>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0.22</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15</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NUCLEAR_MORATORIUM</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0.25</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2"/>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0.09</w:t>
            </w:r>
          </w:p>
        </w:tc>
        <w:tc>
          <w:tcPr>
            <w:tcW w:w="224" w:type="pct"/>
            <w:tcBorders>
              <w:top w:val="nil"/>
              <w:left w:val="nil"/>
              <w:bottom w:val="nil"/>
              <w:right w:val="nil"/>
            </w:tcBorders>
            <w:shd w:val="clear" w:color="auto" w:fill="auto"/>
            <w:noWrap/>
            <w:vAlign w:val="bottom"/>
            <w:hideMark/>
          </w:tcPr>
          <w:p w:rsidR="006331AC" w:rsidRDefault="00EC47DA" w:rsidP="006331AC">
            <w:pPr>
              <w:tabs>
                <w:tab w:val="decimal" w:pos="22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0.02</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0.07</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0"/>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0.02</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59"/>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0.17</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5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0.12</w:t>
            </w:r>
          </w:p>
        </w:tc>
        <w:tc>
          <w:tcPr>
            <w:tcW w:w="220" w:type="pct"/>
            <w:tcBorders>
              <w:top w:val="nil"/>
              <w:left w:val="nil"/>
              <w:bottom w:val="nil"/>
              <w:right w:val="nil"/>
            </w:tcBorders>
            <w:shd w:val="clear" w:color="auto" w:fill="auto"/>
            <w:noWrap/>
            <w:vAlign w:val="bottom"/>
            <w:hideMark/>
          </w:tcPr>
          <w:p w:rsidR="006331AC" w:rsidRDefault="006E4374" w:rsidP="006331AC">
            <w:pPr>
              <w:tabs>
                <w:tab w:val="decimal" w:pos="21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0.14</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5"/>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0.16</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16</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DEMOCRATS</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0.06</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0.19</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2"/>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0.10</w:t>
            </w:r>
          </w:p>
        </w:tc>
        <w:tc>
          <w:tcPr>
            <w:tcW w:w="224" w:type="pct"/>
            <w:tcBorders>
              <w:top w:val="nil"/>
              <w:left w:val="nil"/>
              <w:bottom w:val="nil"/>
              <w:right w:val="nil"/>
            </w:tcBorders>
            <w:shd w:val="clear" w:color="auto" w:fill="auto"/>
            <w:noWrap/>
            <w:vAlign w:val="bottom"/>
            <w:hideMark/>
          </w:tcPr>
          <w:p w:rsidR="006331AC" w:rsidRDefault="006E4374" w:rsidP="006331AC">
            <w:pPr>
              <w:tabs>
                <w:tab w:val="decimal" w:pos="22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0"/>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0.08</w:t>
            </w:r>
          </w:p>
        </w:tc>
        <w:tc>
          <w:tcPr>
            <w:tcW w:w="220" w:type="pct"/>
            <w:tcBorders>
              <w:top w:val="nil"/>
              <w:left w:val="nil"/>
              <w:bottom w:val="nil"/>
              <w:right w:val="nil"/>
            </w:tcBorders>
            <w:shd w:val="clear" w:color="auto" w:fill="auto"/>
            <w:noWrap/>
            <w:vAlign w:val="bottom"/>
            <w:hideMark/>
          </w:tcPr>
          <w:p w:rsidR="006331AC" w:rsidRDefault="00EC47DA" w:rsidP="006331AC">
            <w:pPr>
              <w:tabs>
                <w:tab w:val="decimal" w:pos="21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5"/>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0.39</w:t>
            </w:r>
          </w:p>
        </w:tc>
        <w:tc>
          <w:tcPr>
            <w:tcW w:w="196" w:type="pct"/>
            <w:tcBorders>
              <w:top w:val="nil"/>
              <w:left w:val="nil"/>
              <w:bottom w:val="nil"/>
              <w:right w:val="nil"/>
            </w:tcBorders>
            <w:shd w:val="clear" w:color="auto" w:fill="auto"/>
            <w:noWrap/>
            <w:vAlign w:val="bottom"/>
            <w:hideMark/>
          </w:tcPr>
          <w:p w:rsidR="006331AC" w:rsidRDefault="006E4374" w:rsidP="006331AC">
            <w:pPr>
              <w:tabs>
                <w:tab w:val="decimal" w:pos="14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219"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17</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BUDGET</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0.14</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2"/>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0.15</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0.27</w:t>
            </w:r>
          </w:p>
        </w:tc>
        <w:tc>
          <w:tcPr>
            <w:tcW w:w="224" w:type="pct"/>
            <w:tcBorders>
              <w:top w:val="nil"/>
              <w:left w:val="nil"/>
              <w:bottom w:val="nil"/>
              <w:right w:val="nil"/>
            </w:tcBorders>
            <w:shd w:val="clear" w:color="auto" w:fill="auto"/>
            <w:noWrap/>
            <w:vAlign w:val="bottom"/>
            <w:hideMark/>
          </w:tcPr>
          <w:p w:rsidR="006331AC" w:rsidRDefault="006E4374" w:rsidP="006331AC">
            <w:pPr>
              <w:tabs>
                <w:tab w:val="decimal" w:pos="22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0.09</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0.17</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0"/>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0.70</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0.06</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20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0.17</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0.11</w:t>
            </w:r>
          </w:p>
        </w:tc>
        <w:tc>
          <w:tcPr>
            <w:tcW w:w="220" w:type="pct"/>
            <w:tcBorders>
              <w:top w:val="nil"/>
              <w:left w:val="nil"/>
              <w:bottom w:val="nil"/>
              <w:right w:val="nil"/>
            </w:tcBorders>
            <w:shd w:val="clear" w:color="auto" w:fill="auto"/>
            <w:noWrap/>
            <w:vAlign w:val="bottom"/>
            <w:hideMark/>
          </w:tcPr>
          <w:p w:rsidR="006331AC" w:rsidRDefault="006E4374" w:rsidP="006331AC">
            <w:pPr>
              <w:tabs>
                <w:tab w:val="decimal" w:pos="21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0.12</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0.36</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0.02</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0.25</w:t>
            </w:r>
          </w:p>
        </w:tc>
        <w:tc>
          <w:tcPr>
            <w:tcW w:w="196" w:type="pct"/>
            <w:tcBorders>
              <w:top w:val="nil"/>
              <w:left w:val="nil"/>
              <w:bottom w:val="nil"/>
              <w:right w:val="nil"/>
            </w:tcBorders>
            <w:shd w:val="clear" w:color="auto" w:fill="auto"/>
            <w:noWrap/>
            <w:vAlign w:val="bottom"/>
            <w:hideMark/>
          </w:tcPr>
          <w:p w:rsidR="006331AC" w:rsidRDefault="006E4374" w:rsidP="006331AC">
            <w:pPr>
              <w:tabs>
                <w:tab w:val="decimal" w:pos="14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0.14</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78"/>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c>
          <w:tcPr>
            <w:tcW w:w="196" w:type="pct"/>
            <w:tcBorders>
              <w:top w:val="nil"/>
              <w:left w:val="nil"/>
              <w:bottom w:val="nil"/>
              <w:right w:val="nil"/>
            </w:tcBorders>
            <w:shd w:val="clear" w:color="auto" w:fill="auto"/>
            <w:noWrap/>
            <w:vAlign w:val="bottom"/>
            <w:hideMark/>
          </w:tcPr>
          <w:p w:rsidR="006E4374" w:rsidRPr="00D109A2" w:rsidRDefault="006E4374" w:rsidP="00BC04D2">
            <w:pPr>
              <w:spacing w:after="0"/>
              <w:jc w:val="center"/>
              <w:rPr>
                <w:rFonts w:eastAsia="Times New Roman"/>
                <w:color w:val="000000"/>
                <w:sz w:val="16"/>
                <w:szCs w:val="16"/>
                <w:lang w:val="en-CA" w:eastAsia="en-CA"/>
              </w:rPr>
            </w:pP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18</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PUC_TENURE</w:t>
            </w:r>
            <w:r w:rsidRPr="00D109A2">
              <w:rPr>
                <w:rFonts w:eastAsia="Times New Roman"/>
                <w:color w:val="000000"/>
                <w:sz w:val="16"/>
                <w:szCs w:val="16"/>
                <w:vertAlign w:val="subscript"/>
                <w:lang w:eastAsia="en-CA"/>
              </w:rPr>
              <w:t>it</w:t>
            </w:r>
            <w:proofErr w:type="spellEnd"/>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0.05</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9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0.02</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2"/>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0.11</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5"/>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0.06</w:t>
            </w:r>
          </w:p>
        </w:tc>
        <w:tc>
          <w:tcPr>
            <w:tcW w:w="224" w:type="pct"/>
            <w:tcBorders>
              <w:top w:val="nil"/>
              <w:left w:val="nil"/>
              <w:bottom w:val="nil"/>
              <w:right w:val="nil"/>
            </w:tcBorders>
            <w:shd w:val="clear" w:color="auto" w:fill="auto"/>
            <w:noWrap/>
            <w:vAlign w:val="bottom"/>
            <w:hideMark/>
          </w:tcPr>
          <w:p w:rsidR="006331AC" w:rsidRDefault="006E4374" w:rsidP="006331AC">
            <w:pPr>
              <w:tabs>
                <w:tab w:val="decimal" w:pos="226"/>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0.06</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0"/>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0.07</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0.08</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0.05</w:t>
            </w:r>
          </w:p>
        </w:tc>
        <w:tc>
          <w:tcPr>
            <w:tcW w:w="220" w:type="pct"/>
            <w:tcBorders>
              <w:top w:val="nil"/>
              <w:left w:val="nil"/>
              <w:bottom w:val="nil"/>
              <w:right w:val="nil"/>
            </w:tcBorders>
            <w:shd w:val="clear" w:color="auto" w:fill="auto"/>
            <w:noWrap/>
            <w:vAlign w:val="bottom"/>
            <w:hideMark/>
          </w:tcPr>
          <w:p w:rsidR="006331AC" w:rsidRDefault="00EC47DA" w:rsidP="006331AC">
            <w:pPr>
              <w:tabs>
                <w:tab w:val="decimal" w:pos="21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0.10</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0.06</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9"/>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0.18</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0.20</w:t>
            </w:r>
          </w:p>
        </w:tc>
        <w:tc>
          <w:tcPr>
            <w:tcW w:w="196" w:type="pct"/>
            <w:tcBorders>
              <w:top w:val="nil"/>
              <w:left w:val="nil"/>
              <w:bottom w:val="nil"/>
              <w:right w:val="nil"/>
            </w:tcBorders>
            <w:shd w:val="clear" w:color="auto" w:fill="auto"/>
            <w:noWrap/>
            <w:vAlign w:val="bottom"/>
            <w:hideMark/>
          </w:tcPr>
          <w:p w:rsidR="006331AC" w:rsidRDefault="006E4374" w:rsidP="006331AC">
            <w:pPr>
              <w:tabs>
                <w:tab w:val="decimal" w:pos="14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0.12</w:t>
            </w:r>
          </w:p>
        </w:tc>
        <w:tc>
          <w:tcPr>
            <w:tcW w:w="196" w:type="pct"/>
            <w:tcBorders>
              <w:top w:val="nil"/>
              <w:left w:val="nil"/>
              <w:bottom w:val="nil"/>
              <w:right w:val="nil"/>
            </w:tcBorders>
            <w:shd w:val="clear" w:color="auto" w:fill="auto"/>
            <w:noWrap/>
            <w:vAlign w:val="bottom"/>
            <w:hideMark/>
          </w:tcPr>
          <w:p w:rsidR="006331AC" w:rsidRDefault="006E4374" w:rsidP="006331AC">
            <w:pPr>
              <w:tabs>
                <w:tab w:val="decimal" w:pos="14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1.00</w:t>
            </w:r>
          </w:p>
        </w:tc>
      </w:tr>
      <w:tr w:rsidR="00B27561" w:rsidRPr="00D109A2" w:rsidTr="00B27561">
        <w:trPr>
          <w:trHeight w:val="300"/>
        </w:trPr>
        <w:tc>
          <w:tcPr>
            <w:tcW w:w="246" w:type="pct"/>
            <w:tcBorders>
              <w:top w:val="nil"/>
              <w:left w:val="nil"/>
              <w:bottom w:val="nil"/>
              <w:right w:val="nil"/>
            </w:tcBorders>
            <w:shd w:val="clear" w:color="auto" w:fill="auto"/>
            <w:noWrap/>
            <w:vAlign w:val="bottom"/>
            <w:hideMark/>
          </w:tcPr>
          <w:p w:rsidR="006E4374" w:rsidRPr="00D109A2" w:rsidRDefault="006E4374" w:rsidP="00BC04D2">
            <w:pPr>
              <w:spacing w:after="0"/>
              <w:jc w:val="right"/>
              <w:rPr>
                <w:rFonts w:eastAsia="Times New Roman"/>
                <w:b/>
                <w:color w:val="000000"/>
                <w:sz w:val="16"/>
                <w:szCs w:val="16"/>
                <w:lang w:val="en-CA" w:eastAsia="en-CA"/>
              </w:rPr>
            </w:pPr>
            <w:r w:rsidRPr="00D109A2">
              <w:rPr>
                <w:rFonts w:eastAsia="Times New Roman"/>
                <w:b/>
                <w:color w:val="000000"/>
                <w:sz w:val="16"/>
                <w:szCs w:val="16"/>
                <w:lang w:val="en-CA" w:eastAsia="en-CA"/>
              </w:rPr>
              <w:t>19</w:t>
            </w:r>
          </w:p>
        </w:tc>
        <w:tc>
          <w:tcPr>
            <w:tcW w:w="849" w:type="pct"/>
            <w:tcBorders>
              <w:top w:val="nil"/>
              <w:left w:val="nil"/>
              <w:bottom w:val="nil"/>
              <w:right w:val="nil"/>
            </w:tcBorders>
            <w:shd w:val="clear" w:color="auto" w:fill="auto"/>
            <w:noWrap/>
            <w:vAlign w:val="bottom"/>
            <w:hideMark/>
          </w:tcPr>
          <w:p w:rsidR="006E4374" w:rsidRPr="00D109A2" w:rsidRDefault="006E4374" w:rsidP="00BC04D2">
            <w:pPr>
              <w:spacing w:after="0"/>
              <w:rPr>
                <w:rFonts w:eastAsia="Times New Roman"/>
                <w:color w:val="000000"/>
                <w:sz w:val="16"/>
                <w:szCs w:val="16"/>
                <w:lang w:val="en-CA" w:eastAsia="en-CA"/>
              </w:rPr>
            </w:pPr>
            <w:proofErr w:type="spellStart"/>
            <w:r w:rsidRPr="00D109A2">
              <w:rPr>
                <w:rFonts w:eastAsia="Times New Roman"/>
                <w:color w:val="000000"/>
                <w:sz w:val="16"/>
                <w:szCs w:val="16"/>
                <w:lang w:eastAsia="en-CA"/>
              </w:rPr>
              <w:t>ELECT_PUC</w:t>
            </w:r>
            <w:r w:rsidRPr="00D109A2">
              <w:rPr>
                <w:rFonts w:eastAsia="Times New Roman"/>
                <w:color w:val="000000"/>
                <w:sz w:val="16"/>
                <w:szCs w:val="16"/>
                <w:vertAlign w:val="subscript"/>
                <w:lang w:eastAsia="en-CA"/>
              </w:rPr>
              <w:t>it</w:t>
            </w:r>
            <w:proofErr w:type="spellEnd"/>
            <w:r w:rsidRPr="00D109A2">
              <w:rPr>
                <w:rFonts w:eastAsia="Times New Roman"/>
                <w:color w:val="000000"/>
                <w:sz w:val="16"/>
                <w:szCs w:val="16"/>
                <w:lang w:eastAsia="en-CA"/>
              </w:rPr>
              <w:t xml:space="preserve"> </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84"/>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0.09</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0.14</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0.11</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2"/>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0.13</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5"/>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0.07</w:t>
            </w:r>
          </w:p>
        </w:tc>
        <w:tc>
          <w:tcPr>
            <w:tcW w:w="224" w:type="pct"/>
            <w:tcBorders>
              <w:top w:val="nil"/>
              <w:left w:val="nil"/>
              <w:bottom w:val="nil"/>
              <w:right w:val="nil"/>
            </w:tcBorders>
            <w:shd w:val="clear" w:color="auto" w:fill="auto"/>
            <w:noWrap/>
            <w:vAlign w:val="bottom"/>
            <w:hideMark/>
          </w:tcPr>
          <w:p w:rsidR="006331AC" w:rsidRDefault="00EC47DA" w:rsidP="006331AC">
            <w:pPr>
              <w:tabs>
                <w:tab w:val="decimal" w:pos="22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0.00</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0"/>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9"/>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0.03</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203"/>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0.25</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5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0.09</w:t>
            </w:r>
          </w:p>
        </w:tc>
        <w:tc>
          <w:tcPr>
            <w:tcW w:w="220" w:type="pct"/>
            <w:tcBorders>
              <w:top w:val="nil"/>
              <w:left w:val="nil"/>
              <w:bottom w:val="nil"/>
              <w:right w:val="nil"/>
            </w:tcBorders>
            <w:shd w:val="clear" w:color="auto" w:fill="auto"/>
            <w:noWrap/>
            <w:vAlign w:val="bottom"/>
            <w:hideMark/>
          </w:tcPr>
          <w:p w:rsidR="006331AC" w:rsidRDefault="00EC47DA" w:rsidP="006331AC">
            <w:pPr>
              <w:tabs>
                <w:tab w:val="decimal" w:pos="216"/>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0.31</w:t>
            </w:r>
          </w:p>
        </w:tc>
        <w:tc>
          <w:tcPr>
            <w:tcW w:w="219" w:type="pct"/>
            <w:tcBorders>
              <w:top w:val="nil"/>
              <w:left w:val="nil"/>
              <w:bottom w:val="nil"/>
              <w:right w:val="nil"/>
            </w:tcBorders>
            <w:shd w:val="clear" w:color="auto" w:fill="auto"/>
            <w:noWrap/>
            <w:vAlign w:val="bottom"/>
            <w:hideMark/>
          </w:tcPr>
          <w:p w:rsidR="006331AC" w:rsidRDefault="006E4374" w:rsidP="006331AC">
            <w:pPr>
              <w:tabs>
                <w:tab w:val="decimal" w:pos="185"/>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0.09</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9"/>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0.19</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9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0.22</w:t>
            </w:r>
          </w:p>
        </w:tc>
        <w:tc>
          <w:tcPr>
            <w:tcW w:w="196" w:type="pct"/>
            <w:tcBorders>
              <w:top w:val="nil"/>
              <w:left w:val="nil"/>
              <w:bottom w:val="nil"/>
              <w:right w:val="nil"/>
            </w:tcBorders>
            <w:shd w:val="clear" w:color="auto" w:fill="auto"/>
            <w:noWrap/>
            <w:vAlign w:val="bottom"/>
            <w:hideMark/>
          </w:tcPr>
          <w:p w:rsidR="006331AC" w:rsidRDefault="006E4374" w:rsidP="006331AC">
            <w:pPr>
              <w:tabs>
                <w:tab w:val="decimal" w:pos="143"/>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0.22</w:t>
            </w:r>
          </w:p>
        </w:tc>
        <w:tc>
          <w:tcPr>
            <w:tcW w:w="219" w:type="pct"/>
            <w:tcBorders>
              <w:top w:val="nil"/>
              <w:left w:val="nil"/>
              <w:bottom w:val="nil"/>
              <w:right w:val="nil"/>
            </w:tcBorders>
            <w:shd w:val="clear" w:color="auto" w:fill="auto"/>
            <w:noWrap/>
            <w:vAlign w:val="bottom"/>
            <w:hideMark/>
          </w:tcPr>
          <w:p w:rsidR="006331AC" w:rsidRDefault="00EC47DA" w:rsidP="006331AC">
            <w:pPr>
              <w:tabs>
                <w:tab w:val="decimal" w:pos="178"/>
              </w:tabs>
              <w:spacing w:after="0"/>
              <w:jc w:val="center"/>
              <w:rPr>
                <w:rFonts w:eastAsia="Times New Roman"/>
                <w:color w:val="000000"/>
                <w:sz w:val="16"/>
                <w:szCs w:val="16"/>
                <w:lang w:val="en-CA" w:eastAsia="en-CA"/>
              </w:rPr>
            </w:pPr>
            <w:r>
              <w:rPr>
                <w:rFonts w:eastAsia="Times New Roman"/>
                <w:color w:val="000000"/>
                <w:sz w:val="16"/>
                <w:szCs w:val="16"/>
                <w:lang w:val="en-CA" w:eastAsia="en-CA"/>
              </w:rPr>
              <w:t>–</w:t>
            </w:r>
            <w:r w:rsidR="006E4374" w:rsidRPr="00D109A2">
              <w:rPr>
                <w:rFonts w:eastAsia="Times New Roman"/>
                <w:color w:val="000000"/>
                <w:sz w:val="16"/>
                <w:szCs w:val="16"/>
                <w:lang w:val="en-CA" w:eastAsia="en-CA"/>
              </w:rPr>
              <w:t>0.10</w:t>
            </w:r>
          </w:p>
        </w:tc>
        <w:tc>
          <w:tcPr>
            <w:tcW w:w="196" w:type="pct"/>
            <w:tcBorders>
              <w:top w:val="nil"/>
              <w:left w:val="nil"/>
              <w:bottom w:val="nil"/>
              <w:right w:val="nil"/>
            </w:tcBorders>
            <w:shd w:val="clear" w:color="auto" w:fill="auto"/>
            <w:noWrap/>
            <w:vAlign w:val="bottom"/>
            <w:hideMark/>
          </w:tcPr>
          <w:p w:rsidR="006331AC" w:rsidRDefault="006E4374" w:rsidP="006331AC">
            <w:pPr>
              <w:tabs>
                <w:tab w:val="decimal" w:pos="144"/>
              </w:tabs>
              <w:spacing w:after="0"/>
              <w:jc w:val="center"/>
              <w:rPr>
                <w:rFonts w:eastAsia="Times New Roman"/>
                <w:color w:val="000000"/>
                <w:sz w:val="16"/>
                <w:szCs w:val="16"/>
                <w:lang w:val="en-CA" w:eastAsia="en-CA"/>
              </w:rPr>
            </w:pPr>
            <w:r w:rsidRPr="00D109A2">
              <w:rPr>
                <w:rFonts w:eastAsia="Times New Roman"/>
                <w:color w:val="000000"/>
                <w:sz w:val="16"/>
                <w:szCs w:val="16"/>
                <w:lang w:val="en-CA" w:eastAsia="en-CA"/>
              </w:rPr>
              <w:t>0.38</w:t>
            </w:r>
          </w:p>
        </w:tc>
      </w:tr>
    </w:tbl>
    <w:p w:rsidR="006E4374" w:rsidRDefault="006E4374" w:rsidP="006E4374">
      <w:pPr>
        <w:pStyle w:val="NoSpacing"/>
      </w:pPr>
    </w:p>
    <w:p w:rsidR="006E4374" w:rsidRDefault="006E4374" w:rsidP="006E4374">
      <w:pPr>
        <w:spacing w:line="480" w:lineRule="auto"/>
        <w:ind w:firstLine="720"/>
      </w:pPr>
    </w:p>
    <w:p w:rsidR="006E4374" w:rsidRDefault="006E4374" w:rsidP="006E4374">
      <w:pPr>
        <w:spacing w:line="480" w:lineRule="auto"/>
        <w:ind w:firstLine="720"/>
        <w:sectPr w:rsidR="006E4374" w:rsidSect="00BC04D2">
          <w:pgSz w:w="15840" w:h="12240" w:orient="landscape"/>
          <w:pgMar w:top="1440" w:right="1440" w:bottom="1440" w:left="1440" w:header="708" w:footer="708" w:gutter="0"/>
          <w:cols w:space="708"/>
          <w:docGrid w:linePitch="360"/>
        </w:sectPr>
      </w:pPr>
      <w:r>
        <w:br w:type="page"/>
      </w:r>
    </w:p>
    <w:p w:rsidR="006E4374" w:rsidRDefault="006331AC" w:rsidP="006E4374">
      <w:pPr>
        <w:pStyle w:val="NoSpacing"/>
      </w:pPr>
      <w:r w:rsidRPr="006331AC">
        <w:lastRenderedPageBreak/>
        <w:t>Table 3</w:t>
      </w:r>
      <w:r w:rsidR="00B27561">
        <w:t>.</w:t>
      </w:r>
      <w:r w:rsidR="00B27561">
        <w:tab/>
      </w:r>
      <w:r w:rsidR="006E4374">
        <w:t xml:space="preserve">GMM </w:t>
      </w:r>
      <w:r w:rsidR="00B27561">
        <w:t>r</w:t>
      </w:r>
      <w:r w:rsidR="006E4374">
        <w:t xml:space="preserve">egression </w:t>
      </w:r>
      <w:r w:rsidR="00B27561">
        <w:t>m</w:t>
      </w:r>
      <w:r w:rsidR="006E4374">
        <w:t xml:space="preserve">odels of </w:t>
      </w:r>
      <w:r w:rsidR="00B27561">
        <w:t>r</w:t>
      </w:r>
      <w:r w:rsidR="006E4374">
        <w:t xml:space="preserve">enewable </w:t>
      </w:r>
      <w:r w:rsidR="00B27561">
        <w:t>e</w:t>
      </w:r>
      <w:r w:rsidR="006E4374">
        <w:t xml:space="preserve">nergy </w:t>
      </w:r>
      <w:r w:rsidR="00B27561">
        <w:t>g</w:t>
      </w:r>
      <w:r w:rsidR="006E4374">
        <w:t xml:space="preserve">enerated and </w:t>
      </w:r>
      <w:r w:rsidR="00B27561">
        <w:t>p</w:t>
      </w:r>
      <w:r w:rsidR="006E4374">
        <w:t>urchased</w:t>
      </w:r>
      <w:r w:rsidR="00992C66">
        <w:t>, 2001–2006</w:t>
      </w:r>
    </w:p>
    <w:tbl>
      <w:tblPr>
        <w:tblW w:w="8490" w:type="dxa"/>
        <w:tblLayout w:type="fixed"/>
        <w:tblLook w:val="0000" w:firstRow="0" w:lastRow="0" w:firstColumn="0" w:lastColumn="0" w:noHBand="0" w:noVBand="0"/>
      </w:tblPr>
      <w:tblGrid>
        <w:gridCol w:w="3078"/>
        <w:gridCol w:w="1182"/>
        <w:gridCol w:w="1710"/>
        <w:gridCol w:w="1350"/>
        <w:gridCol w:w="1170"/>
      </w:tblGrid>
      <w:tr w:rsidR="006E4374" w:rsidTr="00B67279">
        <w:trPr>
          <w:trHeight w:val="71"/>
        </w:trPr>
        <w:tc>
          <w:tcPr>
            <w:tcW w:w="3078" w:type="dxa"/>
            <w:tcBorders>
              <w:top w:val="single" w:sz="4" w:space="0" w:color="auto"/>
              <w:left w:val="nil"/>
              <w:bottom w:val="single" w:sz="4" w:space="0" w:color="auto"/>
              <w:right w:val="nil"/>
            </w:tcBorders>
            <w:vAlign w:val="bottom"/>
          </w:tcPr>
          <w:p w:rsidR="006E4374" w:rsidRPr="00D109A2" w:rsidRDefault="006E4374" w:rsidP="00BC04D2">
            <w:pPr>
              <w:spacing w:after="0"/>
              <w:rPr>
                <w:rFonts w:eastAsia="Times New Roman"/>
                <w:color w:val="000000"/>
                <w:sz w:val="16"/>
                <w:szCs w:val="16"/>
                <w:lang w:eastAsia="en-CA"/>
              </w:rPr>
            </w:pPr>
          </w:p>
        </w:tc>
        <w:tc>
          <w:tcPr>
            <w:tcW w:w="1182" w:type="dxa"/>
            <w:tcBorders>
              <w:top w:val="single" w:sz="4" w:space="0" w:color="auto"/>
              <w:left w:val="nil"/>
              <w:bottom w:val="single" w:sz="4" w:space="0" w:color="auto"/>
              <w:right w:val="nil"/>
            </w:tcBorders>
          </w:tcPr>
          <w:p w:rsidR="006E4374" w:rsidRDefault="006E4374" w:rsidP="00BC04D2">
            <w:pPr>
              <w:widowControl w:val="0"/>
              <w:autoSpaceDE w:val="0"/>
              <w:autoSpaceDN w:val="0"/>
              <w:adjustRightInd w:val="0"/>
              <w:spacing w:after="0"/>
              <w:jc w:val="center"/>
              <w:rPr>
                <w:sz w:val="20"/>
                <w:szCs w:val="24"/>
              </w:rPr>
            </w:pPr>
            <w:r>
              <w:rPr>
                <w:sz w:val="20"/>
                <w:szCs w:val="24"/>
              </w:rPr>
              <w:t>(1)</w:t>
            </w:r>
          </w:p>
        </w:tc>
        <w:tc>
          <w:tcPr>
            <w:tcW w:w="1710" w:type="dxa"/>
            <w:tcBorders>
              <w:top w:val="single" w:sz="4" w:space="0" w:color="auto"/>
              <w:left w:val="nil"/>
              <w:bottom w:val="single" w:sz="4" w:space="0" w:color="auto"/>
              <w:right w:val="nil"/>
            </w:tcBorders>
          </w:tcPr>
          <w:p w:rsidR="006E4374" w:rsidRPr="00611E19" w:rsidRDefault="006E4374" w:rsidP="00BC04D2">
            <w:pPr>
              <w:widowControl w:val="0"/>
              <w:autoSpaceDE w:val="0"/>
              <w:autoSpaceDN w:val="0"/>
              <w:adjustRightInd w:val="0"/>
              <w:spacing w:after="0"/>
              <w:jc w:val="center"/>
              <w:rPr>
                <w:sz w:val="20"/>
                <w:szCs w:val="24"/>
              </w:rPr>
            </w:pPr>
            <w:r>
              <w:rPr>
                <w:sz w:val="20"/>
                <w:szCs w:val="24"/>
              </w:rPr>
              <w:t>(2)</w:t>
            </w:r>
          </w:p>
        </w:tc>
        <w:tc>
          <w:tcPr>
            <w:tcW w:w="1350" w:type="dxa"/>
            <w:tcBorders>
              <w:top w:val="single" w:sz="4" w:space="0" w:color="auto"/>
              <w:left w:val="nil"/>
              <w:bottom w:val="single" w:sz="4" w:space="0" w:color="auto"/>
              <w:right w:val="nil"/>
            </w:tcBorders>
          </w:tcPr>
          <w:p w:rsidR="006E4374" w:rsidRPr="00611E19" w:rsidRDefault="006E4374" w:rsidP="00BC04D2">
            <w:pPr>
              <w:widowControl w:val="0"/>
              <w:autoSpaceDE w:val="0"/>
              <w:autoSpaceDN w:val="0"/>
              <w:adjustRightInd w:val="0"/>
              <w:spacing w:after="0"/>
              <w:jc w:val="center"/>
              <w:rPr>
                <w:sz w:val="20"/>
                <w:szCs w:val="24"/>
              </w:rPr>
            </w:pPr>
            <w:r>
              <w:rPr>
                <w:sz w:val="20"/>
                <w:szCs w:val="24"/>
              </w:rPr>
              <w:t>(3)</w:t>
            </w:r>
          </w:p>
        </w:tc>
        <w:tc>
          <w:tcPr>
            <w:tcW w:w="1170" w:type="dxa"/>
            <w:tcBorders>
              <w:top w:val="single" w:sz="4" w:space="0" w:color="auto"/>
              <w:left w:val="nil"/>
              <w:bottom w:val="single" w:sz="4" w:space="0" w:color="auto"/>
              <w:right w:val="nil"/>
            </w:tcBorders>
          </w:tcPr>
          <w:p w:rsidR="006E4374" w:rsidRPr="00611E19" w:rsidRDefault="006E4374" w:rsidP="00BC04D2">
            <w:pPr>
              <w:widowControl w:val="0"/>
              <w:autoSpaceDE w:val="0"/>
              <w:autoSpaceDN w:val="0"/>
              <w:adjustRightInd w:val="0"/>
              <w:spacing w:after="0"/>
              <w:jc w:val="center"/>
              <w:rPr>
                <w:sz w:val="20"/>
                <w:szCs w:val="24"/>
              </w:rPr>
            </w:pPr>
            <w:r>
              <w:rPr>
                <w:sz w:val="20"/>
                <w:szCs w:val="24"/>
              </w:rPr>
              <w:t>(4)</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r w:rsidRPr="00A642DD">
              <w:rPr>
                <w:rFonts w:eastAsia="Times New Roman"/>
                <w:color w:val="000000"/>
                <w:sz w:val="20"/>
                <w:szCs w:val="16"/>
                <w:lang w:eastAsia="en-CA"/>
              </w:rPr>
              <w:t>NEIGHBOR _</w:t>
            </w:r>
            <w:proofErr w:type="spellStart"/>
            <w:r w:rsidRPr="00A642DD">
              <w:rPr>
                <w:rFonts w:eastAsia="Times New Roman"/>
                <w:color w:val="000000"/>
                <w:sz w:val="20"/>
                <w:szCs w:val="16"/>
                <w:lang w:eastAsia="en-CA"/>
              </w:rPr>
              <w:t>EFFECT</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6331AC" w:rsidP="006331AC">
            <w:pPr>
              <w:widowControl w:val="0"/>
              <w:tabs>
                <w:tab w:val="decimal" w:pos="432"/>
              </w:tabs>
              <w:autoSpaceDE w:val="0"/>
              <w:autoSpaceDN w:val="0"/>
              <w:adjustRightInd w:val="0"/>
              <w:spacing w:after="0"/>
              <w:jc w:val="center"/>
              <w:rPr>
                <w:sz w:val="20"/>
                <w:szCs w:val="24"/>
              </w:rPr>
            </w:pPr>
          </w:p>
        </w:tc>
        <w:tc>
          <w:tcPr>
            <w:tcW w:w="1710" w:type="dxa"/>
            <w:tcBorders>
              <w:top w:val="nil"/>
              <w:left w:val="nil"/>
              <w:bottom w:val="nil"/>
              <w:right w:val="nil"/>
            </w:tcBorders>
          </w:tcPr>
          <w:p w:rsidR="006331AC" w:rsidRDefault="006331AC" w:rsidP="006331AC">
            <w:pPr>
              <w:widowControl w:val="0"/>
              <w:tabs>
                <w:tab w:val="decimal" w:pos="690"/>
              </w:tabs>
              <w:autoSpaceDE w:val="0"/>
              <w:autoSpaceDN w:val="0"/>
              <w:adjustRightInd w:val="0"/>
              <w:spacing w:after="0"/>
              <w:jc w:val="center"/>
              <w:rPr>
                <w:sz w:val="20"/>
                <w:szCs w:val="24"/>
              </w:rPr>
            </w:pP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0.010</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0.047</w:t>
            </w:r>
            <w:r w:rsidR="006E4374" w:rsidRPr="00611E19">
              <w:rPr>
                <w:sz w:val="20"/>
                <w:szCs w:val="24"/>
                <w:vertAlign w:val="superscript"/>
              </w:rPr>
              <w:t>**</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82" w:type="dxa"/>
            <w:tcBorders>
              <w:top w:val="nil"/>
              <w:left w:val="nil"/>
              <w:bottom w:val="nil"/>
              <w:right w:val="nil"/>
            </w:tcBorders>
          </w:tcPr>
          <w:p w:rsidR="006331AC" w:rsidRDefault="006331AC" w:rsidP="006331AC">
            <w:pPr>
              <w:widowControl w:val="0"/>
              <w:tabs>
                <w:tab w:val="decimal" w:pos="432"/>
              </w:tabs>
              <w:autoSpaceDE w:val="0"/>
              <w:autoSpaceDN w:val="0"/>
              <w:adjustRightInd w:val="0"/>
              <w:spacing w:after="0"/>
              <w:jc w:val="center"/>
              <w:rPr>
                <w:sz w:val="20"/>
                <w:szCs w:val="24"/>
              </w:rPr>
            </w:pPr>
          </w:p>
        </w:tc>
        <w:tc>
          <w:tcPr>
            <w:tcW w:w="1710" w:type="dxa"/>
            <w:tcBorders>
              <w:top w:val="nil"/>
              <w:left w:val="nil"/>
              <w:bottom w:val="nil"/>
              <w:right w:val="nil"/>
            </w:tcBorders>
          </w:tcPr>
          <w:p w:rsidR="006331AC" w:rsidRDefault="006331AC" w:rsidP="006331AC">
            <w:pPr>
              <w:widowControl w:val="0"/>
              <w:tabs>
                <w:tab w:val="decimal" w:pos="690"/>
              </w:tabs>
              <w:autoSpaceDE w:val="0"/>
              <w:autoSpaceDN w:val="0"/>
              <w:adjustRightInd w:val="0"/>
              <w:spacing w:after="0"/>
              <w:jc w:val="center"/>
              <w:rPr>
                <w:sz w:val="20"/>
                <w:szCs w:val="24"/>
              </w:rPr>
            </w:pP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(0.025)</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(0.023)</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r w:rsidRPr="00A642DD">
              <w:rPr>
                <w:rFonts w:eastAsia="Times New Roman"/>
                <w:color w:val="000000"/>
                <w:sz w:val="20"/>
                <w:szCs w:val="16"/>
                <w:lang w:eastAsia="en-CA"/>
              </w:rPr>
              <w:t>PEER _</w:t>
            </w:r>
            <w:proofErr w:type="spellStart"/>
            <w:r w:rsidRPr="00A642DD">
              <w:rPr>
                <w:rFonts w:eastAsia="Times New Roman"/>
                <w:color w:val="000000"/>
                <w:sz w:val="20"/>
                <w:szCs w:val="16"/>
                <w:lang w:eastAsia="en-CA"/>
              </w:rPr>
              <w:t>EFFECT</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6331AC" w:rsidP="006331AC">
            <w:pPr>
              <w:widowControl w:val="0"/>
              <w:tabs>
                <w:tab w:val="decimal" w:pos="432"/>
              </w:tabs>
              <w:autoSpaceDE w:val="0"/>
              <w:autoSpaceDN w:val="0"/>
              <w:adjustRightInd w:val="0"/>
              <w:spacing w:after="0"/>
              <w:jc w:val="center"/>
              <w:rPr>
                <w:sz w:val="20"/>
                <w:szCs w:val="24"/>
              </w:rPr>
            </w:pP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0.2</w:t>
            </w:r>
            <w:r>
              <w:rPr>
                <w:sz w:val="20"/>
                <w:szCs w:val="24"/>
              </w:rPr>
              <w:t>3</w:t>
            </w:r>
            <w:r w:rsidRPr="00611E19">
              <w:rPr>
                <w:sz w:val="20"/>
                <w:szCs w:val="24"/>
              </w:rPr>
              <w:t>6</w:t>
            </w:r>
            <w:r w:rsidRPr="00611E19">
              <w:rPr>
                <w:sz w:val="20"/>
                <w:szCs w:val="24"/>
                <w:vertAlign w:val="superscript"/>
              </w:rPr>
              <w:t>***</w:t>
            </w:r>
          </w:p>
        </w:tc>
        <w:tc>
          <w:tcPr>
            <w:tcW w:w="1350" w:type="dxa"/>
            <w:tcBorders>
              <w:top w:val="nil"/>
              <w:left w:val="nil"/>
              <w:bottom w:val="nil"/>
              <w:right w:val="nil"/>
            </w:tcBorders>
          </w:tcPr>
          <w:p w:rsidR="006331AC" w:rsidRDefault="006331AC" w:rsidP="006331AC">
            <w:pPr>
              <w:widowControl w:val="0"/>
              <w:tabs>
                <w:tab w:val="decimal" w:pos="510"/>
              </w:tabs>
              <w:autoSpaceDE w:val="0"/>
              <w:autoSpaceDN w:val="0"/>
              <w:adjustRightInd w:val="0"/>
              <w:spacing w:after="0"/>
              <w:jc w:val="center"/>
              <w:rPr>
                <w:sz w:val="20"/>
                <w:szCs w:val="24"/>
              </w:rPr>
            </w:pP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0.2</w:t>
            </w:r>
            <w:r>
              <w:rPr>
                <w:sz w:val="20"/>
                <w:szCs w:val="24"/>
              </w:rPr>
              <w:t>4</w:t>
            </w:r>
            <w:r w:rsidRPr="00611E19">
              <w:rPr>
                <w:sz w:val="20"/>
                <w:szCs w:val="24"/>
              </w:rPr>
              <w:t>3</w:t>
            </w:r>
            <w:r w:rsidRPr="00611E19">
              <w:rPr>
                <w:sz w:val="20"/>
                <w:szCs w:val="24"/>
                <w:vertAlign w:val="superscript"/>
              </w:rPr>
              <w:t>***</w:t>
            </w:r>
          </w:p>
        </w:tc>
      </w:tr>
      <w:tr w:rsidR="006E4374" w:rsidTr="00B67279">
        <w:tc>
          <w:tcPr>
            <w:tcW w:w="3078" w:type="dxa"/>
            <w:tcBorders>
              <w:top w:val="nil"/>
              <w:left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82" w:type="dxa"/>
            <w:tcBorders>
              <w:top w:val="nil"/>
              <w:left w:val="nil"/>
              <w:right w:val="nil"/>
            </w:tcBorders>
          </w:tcPr>
          <w:p w:rsidR="006331AC" w:rsidRDefault="006331AC" w:rsidP="006331AC">
            <w:pPr>
              <w:widowControl w:val="0"/>
              <w:tabs>
                <w:tab w:val="decimal" w:pos="432"/>
              </w:tabs>
              <w:autoSpaceDE w:val="0"/>
              <w:autoSpaceDN w:val="0"/>
              <w:adjustRightInd w:val="0"/>
              <w:spacing w:after="0"/>
              <w:jc w:val="center"/>
              <w:rPr>
                <w:sz w:val="20"/>
                <w:szCs w:val="24"/>
              </w:rPr>
            </w:pPr>
          </w:p>
        </w:tc>
        <w:tc>
          <w:tcPr>
            <w:tcW w:w="1710" w:type="dxa"/>
            <w:tcBorders>
              <w:top w:val="nil"/>
              <w:left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(0.069)</w:t>
            </w:r>
          </w:p>
        </w:tc>
        <w:tc>
          <w:tcPr>
            <w:tcW w:w="1350" w:type="dxa"/>
            <w:tcBorders>
              <w:top w:val="nil"/>
              <w:left w:val="nil"/>
              <w:right w:val="nil"/>
            </w:tcBorders>
          </w:tcPr>
          <w:p w:rsidR="006331AC" w:rsidRDefault="006331AC" w:rsidP="006331AC">
            <w:pPr>
              <w:widowControl w:val="0"/>
              <w:tabs>
                <w:tab w:val="decimal" w:pos="510"/>
              </w:tabs>
              <w:autoSpaceDE w:val="0"/>
              <w:autoSpaceDN w:val="0"/>
              <w:adjustRightInd w:val="0"/>
              <w:spacing w:after="0"/>
              <w:jc w:val="center"/>
              <w:rPr>
                <w:sz w:val="20"/>
                <w:szCs w:val="24"/>
              </w:rPr>
            </w:pPr>
          </w:p>
        </w:tc>
        <w:tc>
          <w:tcPr>
            <w:tcW w:w="1170" w:type="dxa"/>
            <w:tcBorders>
              <w:top w:val="nil"/>
              <w:left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(0.073)</w:t>
            </w:r>
          </w:p>
          <w:p w:rsidR="000D31DC" w:rsidRDefault="000D31DC" w:rsidP="006331AC">
            <w:pPr>
              <w:widowControl w:val="0"/>
              <w:tabs>
                <w:tab w:val="decimal" w:pos="420"/>
              </w:tabs>
              <w:autoSpaceDE w:val="0"/>
              <w:autoSpaceDN w:val="0"/>
              <w:adjustRightInd w:val="0"/>
              <w:spacing w:after="0"/>
              <w:rPr>
                <w:sz w:val="20"/>
                <w:szCs w:val="24"/>
              </w:rPr>
            </w:pPr>
          </w:p>
        </w:tc>
      </w:tr>
      <w:tr w:rsidR="00B67279" w:rsidTr="00B67279">
        <w:tc>
          <w:tcPr>
            <w:tcW w:w="3078" w:type="dxa"/>
            <w:tcBorders>
              <w:left w:val="nil"/>
              <w:bottom w:val="nil"/>
              <w:right w:val="nil"/>
            </w:tcBorders>
            <w:vAlign w:val="bottom"/>
          </w:tcPr>
          <w:p w:rsidR="00B67279" w:rsidRPr="00A642DD" w:rsidRDefault="00B67279" w:rsidP="00B67279">
            <w:pPr>
              <w:spacing w:after="0"/>
              <w:rPr>
                <w:rFonts w:eastAsia="Times New Roman"/>
                <w:color w:val="000000"/>
                <w:sz w:val="20"/>
                <w:szCs w:val="16"/>
                <w:lang w:val="en-CA" w:eastAsia="en-CA"/>
              </w:rPr>
            </w:pPr>
            <w:r w:rsidRPr="00A642DD">
              <w:rPr>
                <w:rFonts w:eastAsia="Times New Roman"/>
                <w:color w:val="000000"/>
                <w:sz w:val="20"/>
                <w:szCs w:val="16"/>
                <w:lang w:eastAsia="en-CA"/>
              </w:rPr>
              <w:t>PERCENT_RENEWABLES</w:t>
            </w:r>
            <w:r w:rsidRPr="00A642DD">
              <w:rPr>
                <w:rFonts w:eastAsia="Times New Roman"/>
                <w:color w:val="000000"/>
                <w:sz w:val="20"/>
                <w:szCs w:val="16"/>
                <w:vertAlign w:val="subscript"/>
                <w:lang w:eastAsia="en-CA"/>
              </w:rPr>
              <w:t>it</w:t>
            </w:r>
            <w:r>
              <w:rPr>
                <w:rFonts w:eastAsia="Times New Roman"/>
                <w:color w:val="000000"/>
                <w:sz w:val="20"/>
                <w:szCs w:val="16"/>
                <w:vertAlign w:val="subscript"/>
                <w:lang w:eastAsia="en-CA"/>
              </w:rPr>
              <w:t>–</w:t>
            </w:r>
            <w:r w:rsidRPr="00A642DD">
              <w:rPr>
                <w:rFonts w:eastAsia="Times New Roman"/>
                <w:color w:val="000000"/>
                <w:sz w:val="20"/>
                <w:szCs w:val="16"/>
                <w:vertAlign w:val="subscript"/>
                <w:lang w:eastAsia="en-CA"/>
              </w:rPr>
              <w:t>1</w:t>
            </w:r>
          </w:p>
        </w:tc>
        <w:tc>
          <w:tcPr>
            <w:tcW w:w="1182" w:type="dxa"/>
            <w:tcBorders>
              <w:left w:val="nil"/>
              <w:bottom w:val="nil"/>
              <w:right w:val="nil"/>
            </w:tcBorders>
          </w:tcPr>
          <w:p w:rsidR="00B67279" w:rsidRDefault="00B67279" w:rsidP="00B67279">
            <w:pPr>
              <w:widowControl w:val="0"/>
              <w:tabs>
                <w:tab w:val="decimal" w:pos="432"/>
              </w:tabs>
              <w:autoSpaceDE w:val="0"/>
              <w:autoSpaceDN w:val="0"/>
              <w:adjustRightInd w:val="0"/>
              <w:spacing w:after="0"/>
              <w:rPr>
                <w:sz w:val="20"/>
                <w:szCs w:val="24"/>
              </w:rPr>
            </w:pPr>
            <w:r>
              <w:rPr>
                <w:sz w:val="20"/>
                <w:szCs w:val="24"/>
              </w:rPr>
              <w:t>0.239</w:t>
            </w:r>
            <w:r w:rsidRPr="00611E19">
              <w:rPr>
                <w:sz w:val="20"/>
                <w:szCs w:val="24"/>
                <w:vertAlign w:val="superscript"/>
              </w:rPr>
              <w:t>***</w:t>
            </w:r>
          </w:p>
        </w:tc>
        <w:tc>
          <w:tcPr>
            <w:tcW w:w="1710" w:type="dxa"/>
            <w:tcBorders>
              <w:left w:val="nil"/>
              <w:bottom w:val="nil"/>
              <w:right w:val="nil"/>
            </w:tcBorders>
          </w:tcPr>
          <w:p w:rsidR="00B67279" w:rsidRDefault="00B67279" w:rsidP="00B67279">
            <w:pPr>
              <w:widowControl w:val="0"/>
              <w:tabs>
                <w:tab w:val="decimal" w:pos="690"/>
              </w:tabs>
              <w:autoSpaceDE w:val="0"/>
              <w:autoSpaceDN w:val="0"/>
              <w:adjustRightInd w:val="0"/>
              <w:spacing w:after="0"/>
              <w:rPr>
                <w:sz w:val="20"/>
                <w:szCs w:val="24"/>
              </w:rPr>
            </w:pPr>
            <w:r w:rsidRPr="00611E19">
              <w:rPr>
                <w:sz w:val="20"/>
                <w:szCs w:val="24"/>
              </w:rPr>
              <w:t>0.239</w:t>
            </w:r>
            <w:r w:rsidRPr="00611E19">
              <w:rPr>
                <w:sz w:val="20"/>
                <w:szCs w:val="24"/>
                <w:vertAlign w:val="superscript"/>
              </w:rPr>
              <w:t>***</w:t>
            </w:r>
          </w:p>
        </w:tc>
        <w:tc>
          <w:tcPr>
            <w:tcW w:w="1350" w:type="dxa"/>
            <w:tcBorders>
              <w:left w:val="nil"/>
              <w:bottom w:val="nil"/>
              <w:right w:val="nil"/>
            </w:tcBorders>
          </w:tcPr>
          <w:p w:rsidR="00B67279" w:rsidRDefault="00B67279" w:rsidP="00B67279">
            <w:pPr>
              <w:widowControl w:val="0"/>
              <w:tabs>
                <w:tab w:val="decimal" w:pos="510"/>
              </w:tabs>
              <w:autoSpaceDE w:val="0"/>
              <w:autoSpaceDN w:val="0"/>
              <w:adjustRightInd w:val="0"/>
              <w:spacing w:after="0"/>
              <w:rPr>
                <w:sz w:val="20"/>
                <w:szCs w:val="24"/>
              </w:rPr>
            </w:pPr>
            <w:r w:rsidRPr="00611E19">
              <w:rPr>
                <w:sz w:val="20"/>
                <w:szCs w:val="24"/>
              </w:rPr>
              <w:t>0.225</w:t>
            </w:r>
            <w:r w:rsidRPr="00611E19">
              <w:rPr>
                <w:sz w:val="20"/>
                <w:szCs w:val="24"/>
                <w:vertAlign w:val="superscript"/>
              </w:rPr>
              <w:t>***</w:t>
            </w:r>
          </w:p>
        </w:tc>
        <w:tc>
          <w:tcPr>
            <w:tcW w:w="1170" w:type="dxa"/>
            <w:tcBorders>
              <w:left w:val="nil"/>
              <w:bottom w:val="nil"/>
              <w:right w:val="nil"/>
            </w:tcBorders>
          </w:tcPr>
          <w:p w:rsidR="00B67279" w:rsidRDefault="00B67279" w:rsidP="00B67279">
            <w:pPr>
              <w:widowControl w:val="0"/>
              <w:tabs>
                <w:tab w:val="decimal" w:pos="420"/>
              </w:tabs>
              <w:autoSpaceDE w:val="0"/>
              <w:autoSpaceDN w:val="0"/>
              <w:adjustRightInd w:val="0"/>
              <w:spacing w:after="0"/>
              <w:rPr>
                <w:sz w:val="20"/>
                <w:szCs w:val="24"/>
              </w:rPr>
            </w:pPr>
            <w:r w:rsidRPr="00611E19">
              <w:rPr>
                <w:sz w:val="20"/>
                <w:szCs w:val="24"/>
              </w:rPr>
              <w:t>0.240</w:t>
            </w:r>
            <w:r w:rsidRPr="00611E19">
              <w:rPr>
                <w:sz w:val="20"/>
                <w:szCs w:val="24"/>
                <w:vertAlign w:val="superscript"/>
              </w:rPr>
              <w:t>***</w:t>
            </w:r>
          </w:p>
        </w:tc>
      </w:tr>
      <w:tr w:rsidR="00B67279" w:rsidTr="00B67279">
        <w:tc>
          <w:tcPr>
            <w:tcW w:w="3078" w:type="dxa"/>
            <w:tcBorders>
              <w:top w:val="nil"/>
              <w:left w:val="nil"/>
              <w:bottom w:val="nil"/>
              <w:right w:val="nil"/>
            </w:tcBorders>
            <w:vAlign w:val="bottom"/>
          </w:tcPr>
          <w:p w:rsidR="00B67279" w:rsidRPr="00A642DD" w:rsidRDefault="00B67279" w:rsidP="00B67279">
            <w:pPr>
              <w:spacing w:after="0"/>
              <w:rPr>
                <w:rFonts w:eastAsia="Times New Roman"/>
                <w:color w:val="000000"/>
                <w:sz w:val="20"/>
                <w:szCs w:val="16"/>
                <w:lang w:val="en-CA" w:eastAsia="en-CA"/>
              </w:rPr>
            </w:pPr>
          </w:p>
        </w:tc>
        <w:tc>
          <w:tcPr>
            <w:tcW w:w="1182" w:type="dxa"/>
            <w:tcBorders>
              <w:top w:val="nil"/>
              <w:left w:val="nil"/>
              <w:bottom w:val="nil"/>
              <w:right w:val="nil"/>
            </w:tcBorders>
          </w:tcPr>
          <w:p w:rsidR="00B67279" w:rsidRDefault="00B67279" w:rsidP="00B67279">
            <w:pPr>
              <w:widowControl w:val="0"/>
              <w:tabs>
                <w:tab w:val="decimal" w:pos="432"/>
              </w:tabs>
              <w:autoSpaceDE w:val="0"/>
              <w:autoSpaceDN w:val="0"/>
              <w:adjustRightInd w:val="0"/>
              <w:spacing w:after="0"/>
              <w:rPr>
                <w:sz w:val="20"/>
                <w:szCs w:val="24"/>
              </w:rPr>
            </w:pPr>
            <w:r w:rsidRPr="00611E19">
              <w:rPr>
                <w:sz w:val="20"/>
                <w:szCs w:val="24"/>
              </w:rPr>
              <w:t>(0.030)</w:t>
            </w:r>
          </w:p>
        </w:tc>
        <w:tc>
          <w:tcPr>
            <w:tcW w:w="1710" w:type="dxa"/>
            <w:tcBorders>
              <w:top w:val="nil"/>
              <w:left w:val="nil"/>
              <w:bottom w:val="nil"/>
              <w:right w:val="nil"/>
            </w:tcBorders>
          </w:tcPr>
          <w:p w:rsidR="00B67279" w:rsidRDefault="00B67279" w:rsidP="00B67279">
            <w:pPr>
              <w:widowControl w:val="0"/>
              <w:tabs>
                <w:tab w:val="decimal" w:pos="690"/>
              </w:tabs>
              <w:autoSpaceDE w:val="0"/>
              <w:autoSpaceDN w:val="0"/>
              <w:adjustRightInd w:val="0"/>
              <w:spacing w:after="0"/>
              <w:rPr>
                <w:sz w:val="20"/>
                <w:szCs w:val="24"/>
              </w:rPr>
            </w:pPr>
            <w:r w:rsidRPr="00611E19">
              <w:rPr>
                <w:sz w:val="20"/>
                <w:szCs w:val="24"/>
              </w:rPr>
              <w:t>(0.032)</w:t>
            </w:r>
          </w:p>
        </w:tc>
        <w:tc>
          <w:tcPr>
            <w:tcW w:w="1350" w:type="dxa"/>
            <w:tcBorders>
              <w:top w:val="nil"/>
              <w:left w:val="nil"/>
              <w:bottom w:val="nil"/>
              <w:right w:val="nil"/>
            </w:tcBorders>
          </w:tcPr>
          <w:p w:rsidR="00B67279" w:rsidRDefault="00B67279" w:rsidP="00B67279">
            <w:pPr>
              <w:widowControl w:val="0"/>
              <w:tabs>
                <w:tab w:val="decimal" w:pos="510"/>
              </w:tabs>
              <w:autoSpaceDE w:val="0"/>
              <w:autoSpaceDN w:val="0"/>
              <w:adjustRightInd w:val="0"/>
              <w:spacing w:after="0"/>
              <w:rPr>
                <w:sz w:val="20"/>
                <w:szCs w:val="24"/>
              </w:rPr>
            </w:pPr>
            <w:r w:rsidRPr="00611E19">
              <w:rPr>
                <w:sz w:val="20"/>
                <w:szCs w:val="24"/>
              </w:rPr>
              <w:t>(0.030)</w:t>
            </w:r>
          </w:p>
        </w:tc>
        <w:tc>
          <w:tcPr>
            <w:tcW w:w="1170" w:type="dxa"/>
            <w:tcBorders>
              <w:top w:val="nil"/>
              <w:left w:val="nil"/>
              <w:bottom w:val="nil"/>
              <w:right w:val="nil"/>
            </w:tcBorders>
          </w:tcPr>
          <w:p w:rsidR="00B67279" w:rsidRDefault="00B67279" w:rsidP="00B67279">
            <w:pPr>
              <w:widowControl w:val="0"/>
              <w:tabs>
                <w:tab w:val="decimal" w:pos="420"/>
              </w:tabs>
              <w:autoSpaceDE w:val="0"/>
              <w:autoSpaceDN w:val="0"/>
              <w:adjustRightInd w:val="0"/>
              <w:spacing w:after="0"/>
              <w:rPr>
                <w:sz w:val="20"/>
                <w:szCs w:val="24"/>
              </w:rPr>
            </w:pPr>
            <w:r w:rsidRPr="00611E19">
              <w:rPr>
                <w:sz w:val="20"/>
                <w:szCs w:val="24"/>
              </w:rPr>
              <w:t>(0.031)</w:t>
            </w:r>
          </w:p>
        </w:tc>
      </w:tr>
      <w:tr w:rsidR="00B67279" w:rsidTr="00B67279">
        <w:tc>
          <w:tcPr>
            <w:tcW w:w="3078" w:type="dxa"/>
            <w:tcBorders>
              <w:top w:val="nil"/>
              <w:left w:val="nil"/>
              <w:bottom w:val="nil"/>
              <w:right w:val="nil"/>
            </w:tcBorders>
            <w:vAlign w:val="bottom"/>
          </w:tcPr>
          <w:p w:rsidR="00B67279" w:rsidRPr="00A642DD" w:rsidRDefault="00B67279" w:rsidP="00B67279">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HOME_RPS</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B67279" w:rsidRDefault="00B67279" w:rsidP="00B67279">
            <w:pPr>
              <w:widowControl w:val="0"/>
              <w:tabs>
                <w:tab w:val="decimal" w:pos="432"/>
              </w:tabs>
              <w:autoSpaceDE w:val="0"/>
              <w:autoSpaceDN w:val="0"/>
              <w:adjustRightInd w:val="0"/>
              <w:spacing w:after="0"/>
              <w:rPr>
                <w:sz w:val="20"/>
                <w:szCs w:val="24"/>
              </w:rPr>
            </w:pPr>
            <w:r>
              <w:rPr>
                <w:sz w:val="20"/>
                <w:szCs w:val="24"/>
              </w:rPr>
              <w:t>1.763</w:t>
            </w:r>
            <w:r w:rsidRPr="00611E19">
              <w:rPr>
                <w:sz w:val="20"/>
                <w:szCs w:val="24"/>
                <w:vertAlign w:val="superscript"/>
              </w:rPr>
              <w:t>***</w:t>
            </w:r>
          </w:p>
        </w:tc>
        <w:tc>
          <w:tcPr>
            <w:tcW w:w="1710" w:type="dxa"/>
            <w:tcBorders>
              <w:top w:val="nil"/>
              <w:left w:val="nil"/>
              <w:bottom w:val="nil"/>
              <w:right w:val="nil"/>
            </w:tcBorders>
          </w:tcPr>
          <w:p w:rsidR="00B67279" w:rsidRDefault="00B67279" w:rsidP="00B67279">
            <w:pPr>
              <w:widowControl w:val="0"/>
              <w:tabs>
                <w:tab w:val="decimal" w:pos="690"/>
              </w:tabs>
              <w:autoSpaceDE w:val="0"/>
              <w:autoSpaceDN w:val="0"/>
              <w:adjustRightInd w:val="0"/>
              <w:spacing w:after="0"/>
              <w:rPr>
                <w:sz w:val="20"/>
                <w:szCs w:val="24"/>
              </w:rPr>
            </w:pPr>
            <w:r w:rsidRPr="00611E19">
              <w:rPr>
                <w:sz w:val="20"/>
                <w:szCs w:val="24"/>
              </w:rPr>
              <w:t>1.517</w:t>
            </w:r>
            <w:r w:rsidRPr="00611E19">
              <w:rPr>
                <w:sz w:val="20"/>
                <w:szCs w:val="24"/>
                <w:vertAlign w:val="superscript"/>
              </w:rPr>
              <w:t>***</w:t>
            </w:r>
          </w:p>
        </w:tc>
        <w:tc>
          <w:tcPr>
            <w:tcW w:w="1350" w:type="dxa"/>
            <w:tcBorders>
              <w:top w:val="nil"/>
              <w:left w:val="nil"/>
              <w:bottom w:val="nil"/>
              <w:right w:val="nil"/>
            </w:tcBorders>
          </w:tcPr>
          <w:p w:rsidR="00B67279" w:rsidRDefault="00B67279" w:rsidP="00B67279">
            <w:pPr>
              <w:widowControl w:val="0"/>
              <w:tabs>
                <w:tab w:val="decimal" w:pos="510"/>
              </w:tabs>
              <w:autoSpaceDE w:val="0"/>
              <w:autoSpaceDN w:val="0"/>
              <w:adjustRightInd w:val="0"/>
              <w:spacing w:after="0"/>
              <w:rPr>
                <w:sz w:val="20"/>
                <w:szCs w:val="24"/>
              </w:rPr>
            </w:pPr>
            <w:r w:rsidRPr="00611E19">
              <w:rPr>
                <w:sz w:val="20"/>
                <w:szCs w:val="24"/>
              </w:rPr>
              <w:t>1.671</w:t>
            </w:r>
            <w:r w:rsidRPr="00611E19">
              <w:rPr>
                <w:sz w:val="20"/>
                <w:szCs w:val="24"/>
                <w:vertAlign w:val="superscript"/>
              </w:rPr>
              <w:t>***</w:t>
            </w:r>
          </w:p>
        </w:tc>
        <w:tc>
          <w:tcPr>
            <w:tcW w:w="1170" w:type="dxa"/>
            <w:tcBorders>
              <w:top w:val="nil"/>
              <w:left w:val="nil"/>
              <w:bottom w:val="nil"/>
              <w:right w:val="nil"/>
            </w:tcBorders>
          </w:tcPr>
          <w:p w:rsidR="00B67279" w:rsidRDefault="00B67279" w:rsidP="00B67279">
            <w:pPr>
              <w:widowControl w:val="0"/>
              <w:tabs>
                <w:tab w:val="decimal" w:pos="420"/>
              </w:tabs>
              <w:autoSpaceDE w:val="0"/>
              <w:autoSpaceDN w:val="0"/>
              <w:adjustRightInd w:val="0"/>
              <w:spacing w:after="0"/>
              <w:rPr>
                <w:sz w:val="20"/>
                <w:szCs w:val="24"/>
              </w:rPr>
            </w:pPr>
            <w:r w:rsidRPr="00611E19">
              <w:rPr>
                <w:sz w:val="20"/>
                <w:szCs w:val="24"/>
              </w:rPr>
              <w:t>1.564</w:t>
            </w:r>
            <w:r w:rsidRPr="00611E19">
              <w:rPr>
                <w:sz w:val="20"/>
                <w:szCs w:val="24"/>
                <w:vertAlign w:val="superscript"/>
              </w:rPr>
              <w:t>***</w:t>
            </w:r>
          </w:p>
        </w:tc>
      </w:tr>
      <w:tr w:rsidR="00B67279" w:rsidTr="00B67279">
        <w:tc>
          <w:tcPr>
            <w:tcW w:w="3078" w:type="dxa"/>
            <w:tcBorders>
              <w:top w:val="nil"/>
              <w:left w:val="nil"/>
              <w:bottom w:val="nil"/>
              <w:right w:val="nil"/>
            </w:tcBorders>
            <w:vAlign w:val="bottom"/>
          </w:tcPr>
          <w:p w:rsidR="00B67279" w:rsidRPr="00A642DD" w:rsidRDefault="00B67279" w:rsidP="00B67279">
            <w:pPr>
              <w:spacing w:after="0"/>
              <w:rPr>
                <w:rFonts w:eastAsia="Times New Roman"/>
                <w:color w:val="000000"/>
                <w:sz w:val="20"/>
                <w:szCs w:val="16"/>
                <w:lang w:val="en-CA" w:eastAsia="en-CA"/>
              </w:rPr>
            </w:pPr>
          </w:p>
        </w:tc>
        <w:tc>
          <w:tcPr>
            <w:tcW w:w="1182" w:type="dxa"/>
            <w:tcBorders>
              <w:top w:val="nil"/>
              <w:left w:val="nil"/>
              <w:bottom w:val="nil"/>
              <w:right w:val="nil"/>
            </w:tcBorders>
          </w:tcPr>
          <w:p w:rsidR="00B67279" w:rsidRDefault="00B67279" w:rsidP="00B67279">
            <w:pPr>
              <w:widowControl w:val="0"/>
              <w:tabs>
                <w:tab w:val="decimal" w:pos="432"/>
              </w:tabs>
              <w:autoSpaceDE w:val="0"/>
              <w:autoSpaceDN w:val="0"/>
              <w:adjustRightInd w:val="0"/>
              <w:spacing w:after="0"/>
              <w:rPr>
                <w:sz w:val="20"/>
                <w:szCs w:val="24"/>
              </w:rPr>
            </w:pPr>
            <w:r w:rsidRPr="00611E19">
              <w:rPr>
                <w:sz w:val="20"/>
                <w:szCs w:val="24"/>
              </w:rPr>
              <w:t>(0.200)</w:t>
            </w:r>
          </w:p>
        </w:tc>
        <w:tc>
          <w:tcPr>
            <w:tcW w:w="1710" w:type="dxa"/>
            <w:tcBorders>
              <w:top w:val="nil"/>
              <w:left w:val="nil"/>
              <w:bottom w:val="nil"/>
              <w:right w:val="nil"/>
            </w:tcBorders>
          </w:tcPr>
          <w:p w:rsidR="00B67279" w:rsidRDefault="00B67279" w:rsidP="00B67279">
            <w:pPr>
              <w:widowControl w:val="0"/>
              <w:tabs>
                <w:tab w:val="decimal" w:pos="690"/>
              </w:tabs>
              <w:autoSpaceDE w:val="0"/>
              <w:autoSpaceDN w:val="0"/>
              <w:adjustRightInd w:val="0"/>
              <w:spacing w:after="0"/>
              <w:rPr>
                <w:sz w:val="20"/>
                <w:szCs w:val="24"/>
              </w:rPr>
            </w:pPr>
            <w:r w:rsidRPr="00611E19">
              <w:rPr>
                <w:sz w:val="20"/>
                <w:szCs w:val="24"/>
              </w:rPr>
              <w:t>(0.191)</w:t>
            </w:r>
          </w:p>
        </w:tc>
        <w:tc>
          <w:tcPr>
            <w:tcW w:w="1350" w:type="dxa"/>
            <w:tcBorders>
              <w:top w:val="nil"/>
              <w:left w:val="nil"/>
              <w:bottom w:val="nil"/>
              <w:right w:val="nil"/>
            </w:tcBorders>
          </w:tcPr>
          <w:p w:rsidR="00B67279" w:rsidRDefault="00B67279" w:rsidP="00B67279">
            <w:pPr>
              <w:widowControl w:val="0"/>
              <w:tabs>
                <w:tab w:val="decimal" w:pos="510"/>
              </w:tabs>
              <w:autoSpaceDE w:val="0"/>
              <w:autoSpaceDN w:val="0"/>
              <w:adjustRightInd w:val="0"/>
              <w:spacing w:after="0"/>
              <w:rPr>
                <w:rFonts w:eastAsiaTheme="majorEastAsia" w:cstheme="majorBidi"/>
                <w:b/>
                <w:bCs/>
                <w:color w:val="4F81BD" w:themeColor="accent1"/>
                <w:sz w:val="20"/>
                <w:szCs w:val="24"/>
              </w:rPr>
            </w:pPr>
            <w:r w:rsidRPr="00611E19">
              <w:rPr>
                <w:sz w:val="20"/>
                <w:szCs w:val="24"/>
              </w:rPr>
              <w:t>(0.201)</w:t>
            </w:r>
          </w:p>
        </w:tc>
        <w:tc>
          <w:tcPr>
            <w:tcW w:w="1170" w:type="dxa"/>
            <w:tcBorders>
              <w:top w:val="nil"/>
              <w:left w:val="nil"/>
              <w:bottom w:val="nil"/>
              <w:right w:val="nil"/>
            </w:tcBorders>
          </w:tcPr>
          <w:p w:rsidR="00B67279" w:rsidRDefault="00B67279" w:rsidP="00B67279">
            <w:pPr>
              <w:widowControl w:val="0"/>
              <w:tabs>
                <w:tab w:val="decimal" w:pos="420"/>
              </w:tabs>
              <w:autoSpaceDE w:val="0"/>
              <w:autoSpaceDN w:val="0"/>
              <w:adjustRightInd w:val="0"/>
              <w:spacing w:after="0"/>
              <w:rPr>
                <w:rFonts w:eastAsiaTheme="majorEastAsia" w:cstheme="majorBidi"/>
                <w:b/>
                <w:bCs/>
                <w:color w:val="4F81BD" w:themeColor="accent1"/>
                <w:sz w:val="20"/>
                <w:szCs w:val="24"/>
              </w:rPr>
            </w:pPr>
            <w:r w:rsidRPr="00611E19">
              <w:rPr>
                <w:sz w:val="20"/>
                <w:szCs w:val="24"/>
              </w:rPr>
              <w:t>(0.193)</w:t>
            </w:r>
          </w:p>
        </w:tc>
      </w:tr>
      <w:tr w:rsidR="00B67279" w:rsidTr="00B67279">
        <w:tc>
          <w:tcPr>
            <w:tcW w:w="3078" w:type="dxa"/>
            <w:tcBorders>
              <w:top w:val="nil"/>
              <w:left w:val="nil"/>
              <w:bottom w:val="nil"/>
              <w:right w:val="nil"/>
            </w:tcBorders>
            <w:vAlign w:val="bottom"/>
          </w:tcPr>
          <w:p w:rsidR="00B67279" w:rsidRPr="00A642DD" w:rsidRDefault="00B67279" w:rsidP="00B67279">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OPERATIONAL_CAPABILITY</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B67279" w:rsidRDefault="00B67279" w:rsidP="00B67279">
            <w:pPr>
              <w:widowControl w:val="0"/>
              <w:tabs>
                <w:tab w:val="decimal" w:pos="432"/>
              </w:tabs>
              <w:autoSpaceDE w:val="0"/>
              <w:autoSpaceDN w:val="0"/>
              <w:adjustRightInd w:val="0"/>
              <w:spacing w:after="0"/>
              <w:rPr>
                <w:rFonts w:eastAsiaTheme="majorEastAsia" w:cstheme="majorBidi"/>
                <w:b/>
                <w:bCs/>
                <w:color w:val="4F81BD" w:themeColor="accent1"/>
                <w:sz w:val="20"/>
                <w:szCs w:val="24"/>
              </w:rPr>
            </w:pPr>
            <w:r>
              <w:rPr>
                <w:sz w:val="20"/>
                <w:szCs w:val="24"/>
              </w:rPr>
              <w:t>7.301</w:t>
            </w:r>
            <w:r w:rsidRPr="00611E19">
              <w:rPr>
                <w:sz w:val="20"/>
                <w:szCs w:val="24"/>
                <w:vertAlign w:val="superscript"/>
              </w:rPr>
              <w:t>***</w:t>
            </w:r>
          </w:p>
        </w:tc>
        <w:tc>
          <w:tcPr>
            <w:tcW w:w="1710" w:type="dxa"/>
            <w:tcBorders>
              <w:top w:val="nil"/>
              <w:left w:val="nil"/>
              <w:bottom w:val="nil"/>
              <w:right w:val="nil"/>
            </w:tcBorders>
          </w:tcPr>
          <w:p w:rsidR="00B67279" w:rsidRDefault="00B67279" w:rsidP="00B67279">
            <w:pPr>
              <w:widowControl w:val="0"/>
              <w:tabs>
                <w:tab w:val="decimal" w:pos="690"/>
              </w:tabs>
              <w:autoSpaceDE w:val="0"/>
              <w:autoSpaceDN w:val="0"/>
              <w:adjustRightInd w:val="0"/>
              <w:spacing w:after="0"/>
              <w:rPr>
                <w:rFonts w:eastAsiaTheme="majorEastAsia" w:cstheme="majorBidi"/>
                <w:b/>
                <w:bCs/>
                <w:color w:val="4F81BD" w:themeColor="accent1"/>
                <w:sz w:val="20"/>
                <w:szCs w:val="24"/>
              </w:rPr>
            </w:pPr>
            <w:r w:rsidRPr="00611E19">
              <w:rPr>
                <w:sz w:val="20"/>
                <w:szCs w:val="24"/>
              </w:rPr>
              <w:t>7.067</w:t>
            </w:r>
            <w:r w:rsidRPr="00611E19">
              <w:rPr>
                <w:sz w:val="20"/>
                <w:szCs w:val="24"/>
                <w:vertAlign w:val="superscript"/>
              </w:rPr>
              <w:t>***</w:t>
            </w:r>
          </w:p>
        </w:tc>
        <w:tc>
          <w:tcPr>
            <w:tcW w:w="1350" w:type="dxa"/>
            <w:tcBorders>
              <w:top w:val="nil"/>
              <w:left w:val="nil"/>
              <w:bottom w:val="nil"/>
              <w:right w:val="nil"/>
            </w:tcBorders>
          </w:tcPr>
          <w:p w:rsidR="00B67279" w:rsidRDefault="00B67279" w:rsidP="00B67279">
            <w:pPr>
              <w:widowControl w:val="0"/>
              <w:tabs>
                <w:tab w:val="decimal" w:pos="510"/>
              </w:tabs>
              <w:autoSpaceDE w:val="0"/>
              <w:autoSpaceDN w:val="0"/>
              <w:adjustRightInd w:val="0"/>
              <w:spacing w:after="0"/>
              <w:rPr>
                <w:rFonts w:eastAsiaTheme="majorEastAsia" w:cstheme="majorBidi"/>
                <w:b/>
                <w:bCs/>
                <w:color w:val="4F81BD" w:themeColor="accent1"/>
                <w:sz w:val="20"/>
                <w:szCs w:val="24"/>
              </w:rPr>
            </w:pPr>
            <w:r w:rsidRPr="00611E19">
              <w:rPr>
                <w:sz w:val="20"/>
                <w:szCs w:val="24"/>
              </w:rPr>
              <w:t>7.278</w:t>
            </w:r>
            <w:r w:rsidRPr="00611E19">
              <w:rPr>
                <w:sz w:val="20"/>
                <w:szCs w:val="24"/>
                <w:vertAlign w:val="superscript"/>
              </w:rPr>
              <w:t>***</w:t>
            </w:r>
          </w:p>
        </w:tc>
        <w:tc>
          <w:tcPr>
            <w:tcW w:w="1170" w:type="dxa"/>
            <w:tcBorders>
              <w:top w:val="nil"/>
              <w:left w:val="nil"/>
              <w:bottom w:val="nil"/>
              <w:right w:val="nil"/>
            </w:tcBorders>
          </w:tcPr>
          <w:p w:rsidR="00B67279" w:rsidRDefault="00B67279" w:rsidP="00B67279">
            <w:pPr>
              <w:widowControl w:val="0"/>
              <w:tabs>
                <w:tab w:val="decimal" w:pos="420"/>
              </w:tabs>
              <w:autoSpaceDE w:val="0"/>
              <w:autoSpaceDN w:val="0"/>
              <w:adjustRightInd w:val="0"/>
              <w:spacing w:after="0"/>
              <w:rPr>
                <w:rFonts w:eastAsiaTheme="majorEastAsia" w:cstheme="majorBidi"/>
                <w:b/>
                <w:bCs/>
                <w:color w:val="4F81BD" w:themeColor="accent1"/>
                <w:sz w:val="20"/>
                <w:szCs w:val="24"/>
              </w:rPr>
            </w:pPr>
            <w:r w:rsidRPr="00611E19">
              <w:rPr>
                <w:sz w:val="20"/>
                <w:szCs w:val="24"/>
              </w:rPr>
              <w:t>7.041</w:t>
            </w:r>
            <w:r w:rsidRPr="00611E19">
              <w:rPr>
                <w:sz w:val="20"/>
                <w:szCs w:val="24"/>
                <w:vertAlign w:val="superscript"/>
              </w:rPr>
              <w:t>***</w:t>
            </w:r>
          </w:p>
        </w:tc>
      </w:tr>
      <w:tr w:rsidR="00B67279" w:rsidTr="00B67279">
        <w:tc>
          <w:tcPr>
            <w:tcW w:w="3078" w:type="dxa"/>
            <w:tcBorders>
              <w:top w:val="nil"/>
              <w:left w:val="nil"/>
              <w:bottom w:val="nil"/>
              <w:right w:val="nil"/>
            </w:tcBorders>
            <w:vAlign w:val="bottom"/>
          </w:tcPr>
          <w:p w:rsidR="00B67279" w:rsidRPr="00A642DD" w:rsidRDefault="00B67279" w:rsidP="00B67279">
            <w:pPr>
              <w:spacing w:after="0"/>
              <w:rPr>
                <w:rFonts w:eastAsia="Times New Roman"/>
                <w:color w:val="000000"/>
                <w:sz w:val="20"/>
                <w:szCs w:val="16"/>
                <w:lang w:val="en-CA" w:eastAsia="en-CA"/>
              </w:rPr>
            </w:pPr>
          </w:p>
        </w:tc>
        <w:tc>
          <w:tcPr>
            <w:tcW w:w="1182" w:type="dxa"/>
            <w:tcBorders>
              <w:top w:val="nil"/>
              <w:left w:val="nil"/>
              <w:bottom w:val="nil"/>
              <w:right w:val="nil"/>
            </w:tcBorders>
          </w:tcPr>
          <w:p w:rsidR="00B67279" w:rsidRDefault="00B67279" w:rsidP="00B67279">
            <w:pPr>
              <w:widowControl w:val="0"/>
              <w:tabs>
                <w:tab w:val="decimal" w:pos="432"/>
              </w:tabs>
              <w:autoSpaceDE w:val="0"/>
              <w:autoSpaceDN w:val="0"/>
              <w:adjustRightInd w:val="0"/>
              <w:spacing w:after="0"/>
              <w:rPr>
                <w:rFonts w:eastAsiaTheme="majorEastAsia" w:cstheme="majorBidi"/>
                <w:b/>
                <w:bCs/>
                <w:color w:val="4F81BD" w:themeColor="accent1"/>
                <w:sz w:val="20"/>
                <w:szCs w:val="24"/>
              </w:rPr>
            </w:pPr>
            <w:r w:rsidRPr="00611E19">
              <w:rPr>
                <w:sz w:val="20"/>
                <w:szCs w:val="24"/>
              </w:rPr>
              <w:t>(0.444)</w:t>
            </w:r>
          </w:p>
        </w:tc>
        <w:tc>
          <w:tcPr>
            <w:tcW w:w="1710" w:type="dxa"/>
            <w:tcBorders>
              <w:top w:val="nil"/>
              <w:left w:val="nil"/>
              <w:bottom w:val="nil"/>
              <w:right w:val="nil"/>
            </w:tcBorders>
          </w:tcPr>
          <w:p w:rsidR="00B67279" w:rsidRDefault="00B67279" w:rsidP="00B67279">
            <w:pPr>
              <w:widowControl w:val="0"/>
              <w:tabs>
                <w:tab w:val="decimal" w:pos="690"/>
              </w:tabs>
              <w:autoSpaceDE w:val="0"/>
              <w:autoSpaceDN w:val="0"/>
              <w:adjustRightInd w:val="0"/>
              <w:spacing w:after="0"/>
              <w:rPr>
                <w:rFonts w:eastAsiaTheme="majorEastAsia" w:cstheme="majorBidi"/>
                <w:b/>
                <w:bCs/>
                <w:color w:val="4F81BD" w:themeColor="accent1"/>
                <w:sz w:val="20"/>
                <w:szCs w:val="24"/>
              </w:rPr>
            </w:pPr>
            <w:r w:rsidRPr="00611E19">
              <w:rPr>
                <w:sz w:val="20"/>
                <w:szCs w:val="24"/>
              </w:rPr>
              <w:t>(0.459)</w:t>
            </w:r>
          </w:p>
        </w:tc>
        <w:tc>
          <w:tcPr>
            <w:tcW w:w="1350" w:type="dxa"/>
            <w:tcBorders>
              <w:top w:val="nil"/>
              <w:left w:val="nil"/>
              <w:bottom w:val="nil"/>
              <w:right w:val="nil"/>
            </w:tcBorders>
          </w:tcPr>
          <w:p w:rsidR="00B67279" w:rsidRDefault="00B67279" w:rsidP="00B67279">
            <w:pPr>
              <w:widowControl w:val="0"/>
              <w:tabs>
                <w:tab w:val="decimal" w:pos="510"/>
              </w:tabs>
              <w:autoSpaceDE w:val="0"/>
              <w:autoSpaceDN w:val="0"/>
              <w:adjustRightInd w:val="0"/>
              <w:spacing w:after="0"/>
              <w:rPr>
                <w:rFonts w:eastAsiaTheme="majorEastAsia" w:cstheme="majorBidi"/>
                <w:b/>
                <w:bCs/>
                <w:color w:val="4F81BD" w:themeColor="accent1"/>
                <w:sz w:val="20"/>
                <w:szCs w:val="24"/>
              </w:rPr>
            </w:pPr>
            <w:r w:rsidRPr="00611E19">
              <w:rPr>
                <w:sz w:val="20"/>
                <w:szCs w:val="24"/>
              </w:rPr>
              <w:t>(0.437)</w:t>
            </w:r>
          </w:p>
        </w:tc>
        <w:tc>
          <w:tcPr>
            <w:tcW w:w="1170" w:type="dxa"/>
            <w:tcBorders>
              <w:top w:val="nil"/>
              <w:left w:val="nil"/>
              <w:bottom w:val="nil"/>
              <w:right w:val="nil"/>
            </w:tcBorders>
          </w:tcPr>
          <w:p w:rsidR="00B67279" w:rsidRDefault="00B67279" w:rsidP="00B67279">
            <w:pPr>
              <w:widowControl w:val="0"/>
              <w:tabs>
                <w:tab w:val="decimal" w:pos="420"/>
              </w:tabs>
              <w:autoSpaceDE w:val="0"/>
              <w:autoSpaceDN w:val="0"/>
              <w:adjustRightInd w:val="0"/>
              <w:spacing w:after="0"/>
              <w:rPr>
                <w:rFonts w:eastAsiaTheme="majorEastAsia" w:cstheme="majorBidi"/>
                <w:b/>
                <w:bCs/>
                <w:color w:val="4F81BD" w:themeColor="accent1"/>
                <w:sz w:val="20"/>
                <w:szCs w:val="24"/>
              </w:rPr>
            </w:pPr>
            <w:r w:rsidRPr="00611E19">
              <w:rPr>
                <w:sz w:val="20"/>
                <w:szCs w:val="24"/>
              </w:rPr>
              <w:t>(0.445)</w:t>
            </w:r>
          </w:p>
        </w:tc>
      </w:tr>
      <w:tr w:rsidR="00B67279" w:rsidTr="00B67279">
        <w:trPr>
          <w:trHeight w:val="162"/>
        </w:trPr>
        <w:tc>
          <w:tcPr>
            <w:tcW w:w="3078" w:type="dxa"/>
            <w:tcBorders>
              <w:top w:val="nil"/>
              <w:left w:val="nil"/>
              <w:bottom w:val="nil"/>
              <w:right w:val="nil"/>
            </w:tcBorders>
            <w:vAlign w:val="bottom"/>
          </w:tcPr>
          <w:p w:rsidR="00B67279" w:rsidRPr="00A642DD" w:rsidRDefault="00B67279" w:rsidP="00B67279">
            <w:pPr>
              <w:spacing w:after="0"/>
              <w:rPr>
                <w:rFonts w:eastAsia="Times New Roman"/>
                <w:color w:val="000000"/>
                <w:sz w:val="20"/>
                <w:szCs w:val="16"/>
                <w:lang w:val="en-CA" w:eastAsia="en-CA"/>
              </w:rPr>
            </w:pPr>
            <w:r w:rsidRPr="00A642DD">
              <w:rPr>
                <w:sz w:val="20"/>
                <w:szCs w:val="16"/>
              </w:rPr>
              <w:t>(</w:t>
            </w:r>
            <w:proofErr w:type="spellStart"/>
            <w:r w:rsidRPr="00A642DD">
              <w:rPr>
                <w:sz w:val="20"/>
                <w:szCs w:val="16"/>
              </w:rPr>
              <w:t>HOME_RPS</w:t>
            </w:r>
            <w:r w:rsidRPr="00A642DD">
              <w:rPr>
                <w:sz w:val="20"/>
                <w:szCs w:val="16"/>
                <w:vertAlign w:val="subscript"/>
              </w:rPr>
              <w:t>it</w:t>
            </w:r>
            <w:proofErr w:type="spellEnd"/>
            <w:r w:rsidRPr="00A642DD">
              <w:rPr>
                <w:sz w:val="20"/>
                <w:szCs w:val="16"/>
              </w:rPr>
              <w:t>)*(</w:t>
            </w:r>
            <w:proofErr w:type="spellStart"/>
            <w:r w:rsidRPr="00A642DD">
              <w:rPr>
                <w:sz w:val="20"/>
                <w:szCs w:val="16"/>
              </w:rPr>
              <w:t>OPERATIONAL_CAPABILITY</w:t>
            </w:r>
            <w:r w:rsidRPr="00A642DD">
              <w:rPr>
                <w:sz w:val="20"/>
                <w:szCs w:val="16"/>
                <w:vertAlign w:val="subscript"/>
              </w:rPr>
              <w:t>it</w:t>
            </w:r>
            <w:proofErr w:type="spellEnd"/>
            <w:r w:rsidRPr="00A642DD">
              <w:rPr>
                <w:sz w:val="20"/>
                <w:szCs w:val="16"/>
              </w:rPr>
              <w:t>)</w:t>
            </w:r>
          </w:p>
        </w:tc>
        <w:tc>
          <w:tcPr>
            <w:tcW w:w="1182" w:type="dxa"/>
            <w:tcBorders>
              <w:top w:val="nil"/>
              <w:left w:val="nil"/>
              <w:right w:val="nil"/>
            </w:tcBorders>
          </w:tcPr>
          <w:p w:rsidR="00B67279" w:rsidRDefault="00B67279" w:rsidP="00B67279">
            <w:pPr>
              <w:widowControl w:val="0"/>
              <w:tabs>
                <w:tab w:val="decimal" w:pos="432"/>
              </w:tabs>
              <w:autoSpaceDE w:val="0"/>
              <w:autoSpaceDN w:val="0"/>
              <w:adjustRightInd w:val="0"/>
              <w:spacing w:after="0"/>
              <w:rPr>
                <w:rFonts w:eastAsiaTheme="majorEastAsia" w:cstheme="majorBidi"/>
                <w:b/>
                <w:bCs/>
                <w:color w:val="4F81BD" w:themeColor="accent1"/>
                <w:sz w:val="20"/>
                <w:szCs w:val="24"/>
              </w:rPr>
            </w:pPr>
            <w:r>
              <w:rPr>
                <w:sz w:val="20"/>
                <w:szCs w:val="24"/>
              </w:rPr>
              <w:t>0.186</w:t>
            </w:r>
            <w:r w:rsidRPr="00611E19">
              <w:rPr>
                <w:sz w:val="20"/>
                <w:szCs w:val="24"/>
                <w:vertAlign w:val="superscript"/>
              </w:rPr>
              <w:t>***</w:t>
            </w:r>
          </w:p>
          <w:p w:rsidR="00B67279" w:rsidRDefault="00B67279" w:rsidP="00B67279">
            <w:pPr>
              <w:widowControl w:val="0"/>
              <w:tabs>
                <w:tab w:val="decimal" w:pos="432"/>
              </w:tabs>
              <w:autoSpaceDE w:val="0"/>
              <w:autoSpaceDN w:val="0"/>
              <w:adjustRightInd w:val="0"/>
              <w:rPr>
                <w:rFonts w:eastAsiaTheme="majorEastAsia" w:cstheme="majorBidi"/>
                <w:b/>
                <w:bCs/>
                <w:color w:val="4F81BD" w:themeColor="accent1"/>
                <w:sz w:val="20"/>
                <w:szCs w:val="24"/>
              </w:rPr>
            </w:pPr>
            <w:r w:rsidRPr="00611E19">
              <w:rPr>
                <w:sz w:val="20"/>
                <w:szCs w:val="24"/>
              </w:rPr>
              <w:t>(0.022)</w:t>
            </w:r>
          </w:p>
        </w:tc>
        <w:tc>
          <w:tcPr>
            <w:tcW w:w="1710" w:type="dxa"/>
            <w:tcBorders>
              <w:top w:val="nil"/>
              <w:left w:val="nil"/>
              <w:right w:val="nil"/>
            </w:tcBorders>
          </w:tcPr>
          <w:p w:rsidR="00B67279" w:rsidRDefault="00B67279" w:rsidP="00B67279">
            <w:pPr>
              <w:widowControl w:val="0"/>
              <w:tabs>
                <w:tab w:val="decimal" w:pos="690"/>
              </w:tabs>
              <w:autoSpaceDE w:val="0"/>
              <w:autoSpaceDN w:val="0"/>
              <w:adjustRightInd w:val="0"/>
              <w:spacing w:after="0"/>
              <w:rPr>
                <w:rFonts w:eastAsiaTheme="majorEastAsia" w:cstheme="majorBidi"/>
                <w:b/>
                <w:bCs/>
                <w:color w:val="4F81BD" w:themeColor="accent1"/>
                <w:sz w:val="20"/>
                <w:szCs w:val="24"/>
              </w:rPr>
            </w:pPr>
            <w:r w:rsidRPr="00611E19">
              <w:rPr>
                <w:sz w:val="20"/>
                <w:szCs w:val="24"/>
              </w:rPr>
              <w:t>0.183</w:t>
            </w:r>
            <w:r w:rsidRPr="00611E19">
              <w:rPr>
                <w:sz w:val="20"/>
                <w:szCs w:val="24"/>
                <w:vertAlign w:val="superscript"/>
              </w:rPr>
              <w:t>***</w:t>
            </w:r>
          </w:p>
          <w:p w:rsidR="00B67279" w:rsidRDefault="00B67279" w:rsidP="00B67279">
            <w:pPr>
              <w:widowControl w:val="0"/>
              <w:tabs>
                <w:tab w:val="decimal" w:pos="690"/>
              </w:tabs>
              <w:autoSpaceDE w:val="0"/>
              <w:autoSpaceDN w:val="0"/>
              <w:adjustRightInd w:val="0"/>
              <w:rPr>
                <w:rFonts w:eastAsiaTheme="majorEastAsia" w:cstheme="majorBidi"/>
                <w:b/>
                <w:bCs/>
                <w:color w:val="4F81BD" w:themeColor="accent1"/>
                <w:sz w:val="20"/>
                <w:szCs w:val="24"/>
              </w:rPr>
            </w:pPr>
            <w:r w:rsidRPr="00611E19">
              <w:rPr>
                <w:sz w:val="20"/>
                <w:szCs w:val="24"/>
              </w:rPr>
              <w:t>(0.023)</w:t>
            </w:r>
          </w:p>
        </w:tc>
        <w:tc>
          <w:tcPr>
            <w:tcW w:w="1350" w:type="dxa"/>
            <w:tcBorders>
              <w:top w:val="nil"/>
              <w:left w:val="nil"/>
              <w:right w:val="nil"/>
            </w:tcBorders>
          </w:tcPr>
          <w:p w:rsidR="00B67279" w:rsidRDefault="00B67279" w:rsidP="00B67279">
            <w:pPr>
              <w:widowControl w:val="0"/>
              <w:tabs>
                <w:tab w:val="decimal" w:pos="510"/>
              </w:tabs>
              <w:autoSpaceDE w:val="0"/>
              <w:autoSpaceDN w:val="0"/>
              <w:adjustRightInd w:val="0"/>
              <w:spacing w:after="0"/>
              <w:rPr>
                <w:rFonts w:eastAsiaTheme="majorEastAsia" w:cstheme="majorBidi"/>
                <w:b/>
                <w:bCs/>
                <w:color w:val="4F81BD" w:themeColor="accent1"/>
                <w:sz w:val="20"/>
                <w:szCs w:val="24"/>
              </w:rPr>
            </w:pPr>
            <w:r w:rsidRPr="00611E19">
              <w:rPr>
                <w:sz w:val="20"/>
                <w:szCs w:val="24"/>
              </w:rPr>
              <w:t>0.180</w:t>
            </w:r>
            <w:r w:rsidRPr="00611E19">
              <w:rPr>
                <w:sz w:val="20"/>
                <w:szCs w:val="24"/>
                <w:vertAlign w:val="superscript"/>
              </w:rPr>
              <w:t>***</w:t>
            </w:r>
          </w:p>
          <w:p w:rsidR="00B67279" w:rsidRDefault="00B67279" w:rsidP="00B67279">
            <w:pPr>
              <w:widowControl w:val="0"/>
              <w:tabs>
                <w:tab w:val="decimal" w:pos="510"/>
              </w:tabs>
              <w:autoSpaceDE w:val="0"/>
              <w:autoSpaceDN w:val="0"/>
              <w:adjustRightInd w:val="0"/>
              <w:rPr>
                <w:rFonts w:eastAsiaTheme="majorEastAsia" w:cstheme="majorBidi"/>
                <w:b/>
                <w:bCs/>
                <w:color w:val="4F81BD" w:themeColor="accent1"/>
                <w:sz w:val="20"/>
                <w:szCs w:val="24"/>
              </w:rPr>
            </w:pPr>
            <w:r w:rsidRPr="00611E19">
              <w:rPr>
                <w:sz w:val="20"/>
                <w:szCs w:val="24"/>
              </w:rPr>
              <w:t>(0.022)</w:t>
            </w:r>
          </w:p>
        </w:tc>
        <w:tc>
          <w:tcPr>
            <w:tcW w:w="1170" w:type="dxa"/>
            <w:tcBorders>
              <w:top w:val="nil"/>
              <w:left w:val="nil"/>
              <w:right w:val="nil"/>
            </w:tcBorders>
          </w:tcPr>
          <w:p w:rsidR="00B67279" w:rsidRDefault="00B67279" w:rsidP="00B67279">
            <w:pPr>
              <w:widowControl w:val="0"/>
              <w:tabs>
                <w:tab w:val="decimal" w:pos="420"/>
              </w:tabs>
              <w:autoSpaceDE w:val="0"/>
              <w:autoSpaceDN w:val="0"/>
              <w:adjustRightInd w:val="0"/>
              <w:spacing w:after="0"/>
              <w:rPr>
                <w:rFonts w:eastAsiaTheme="majorEastAsia" w:cstheme="majorBidi"/>
                <w:b/>
                <w:bCs/>
                <w:color w:val="4F81BD" w:themeColor="accent1"/>
                <w:sz w:val="20"/>
                <w:szCs w:val="24"/>
              </w:rPr>
            </w:pPr>
            <w:r w:rsidRPr="00611E19">
              <w:rPr>
                <w:sz w:val="20"/>
                <w:szCs w:val="24"/>
              </w:rPr>
              <w:t>0.189</w:t>
            </w:r>
            <w:r w:rsidRPr="00611E19">
              <w:rPr>
                <w:sz w:val="20"/>
                <w:szCs w:val="24"/>
                <w:vertAlign w:val="superscript"/>
              </w:rPr>
              <w:t>***</w:t>
            </w:r>
          </w:p>
          <w:p w:rsidR="00B67279" w:rsidRDefault="00B67279" w:rsidP="00B67279">
            <w:pPr>
              <w:widowControl w:val="0"/>
              <w:tabs>
                <w:tab w:val="decimal" w:pos="420"/>
              </w:tabs>
              <w:autoSpaceDE w:val="0"/>
              <w:autoSpaceDN w:val="0"/>
              <w:adjustRightInd w:val="0"/>
              <w:rPr>
                <w:rFonts w:eastAsiaTheme="majorEastAsia" w:cstheme="majorBidi"/>
                <w:b/>
                <w:bCs/>
                <w:color w:val="4F81BD" w:themeColor="accent1"/>
                <w:sz w:val="20"/>
                <w:szCs w:val="24"/>
              </w:rPr>
            </w:pPr>
            <w:r w:rsidRPr="00611E19">
              <w:rPr>
                <w:sz w:val="20"/>
                <w:szCs w:val="24"/>
              </w:rPr>
              <w:t>(0.023)</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RESIDENTIAL_SALES</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0.596</w:t>
            </w:r>
            <w:r w:rsidR="006E4374" w:rsidRPr="00611E19">
              <w:rPr>
                <w:sz w:val="20"/>
                <w:szCs w:val="24"/>
                <w:vertAlign w:val="superscript"/>
              </w:rPr>
              <w:t>**</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0.415</w:t>
            </w:r>
            <w:r w:rsidR="006E4374" w:rsidRPr="00611E19">
              <w:rPr>
                <w:sz w:val="20"/>
                <w:szCs w:val="24"/>
                <w:vertAlign w:val="superscript"/>
              </w:rPr>
              <w:t>*</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0.598</w:t>
            </w:r>
            <w:r w:rsidR="006E4374" w:rsidRPr="00611E19">
              <w:rPr>
                <w:sz w:val="20"/>
                <w:szCs w:val="24"/>
                <w:vertAlign w:val="superscript"/>
              </w:rPr>
              <w:t>**</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0.409</w:t>
            </w:r>
            <w:r w:rsidR="006E4374" w:rsidRPr="00611E19">
              <w:rPr>
                <w:sz w:val="20"/>
                <w:szCs w:val="24"/>
                <w:vertAlign w:val="superscript"/>
              </w:rPr>
              <w:t>*</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(0.241)</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(0.226)</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(0.243)</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(0.231)</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INDUSTRIAL_SALES</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0.071</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0.056</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0.070</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0.053</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(0.083)</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(0.081)</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(0.082)</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(0.079)</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MANUFACTURERS</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7.606</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10.095</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2.606</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22.489</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(75.430)</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(78.192)</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(75.826)</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(80.524)</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FIRM_SIZE</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0.180</w:t>
            </w:r>
            <w:r w:rsidR="006E4374" w:rsidRPr="00611E19">
              <w:rPr>
                <w:sz w:val="20"/>
                <w:szCs w:val="24"/>
                <w:vertAlign w:val="superscript"/>
              </w:rPr>
              <w:t>**</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0.139</w:t>
            </w:r>
            <w:r w:rsidR="006E4374" w:rsidRPr="00611E19">
              <w:rPr>
                <w:sz w:val="20"/>
                <w:szCs w:val="24"/>
                <w:vertAlign w:val="superscript"/>
              </w:rPr>
              <w:t>*</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0.180</w:t>
            </w:r>
            <w:r w:rsidR="006E4374" w:rsidRPr="00611E19">
              <w:rPr>
                <w:sz w:val="20"/>
                <w:szCs w:val="24"/>
                <w:vertAlign w:val="superscript"/>
              </w:rPr>
              <w:t>**</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0.13</w:t>
            </w:r>
            <w:r w:rsidR="006E4374">
              <w:rPr>
                <w:sz w:val="20"/>
                <w:szCs w:val="24"/>
              </w:rPr>
              <w:t>9</w:t>
            </w:r>
            <w:r w:rsidR="006E4374" w:rsidRPr="00611E19">
              <w:rPr>
                <w:sz w:val="20"/>
                <w:szCs w:val="24"/>
                <w:vertAlign w:val="superscript"/>
              </w:rPr>
              <w:t>*</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(0.090)</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(0.084)</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(0.089)</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(0.084)</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DEREGULATION</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4.762</w:t>
            </w:r>
            <w:r w:rsidRPr="00611E19">
              <w:rPr>
                <w:sz w:val="20"/>
                <w:szCs w:val="24"/>
                <w:vertAlign w:val="superscript"/>
              </w:rPr>
              <w:t>***</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4.773</w:t>
            </w:r>
            <w:r w:rsidRPr="00611E19">
              <w:rPr>
                <w:sz w:val="20"/>
                <w:szCs w:val="24"/>
                <w:vertAlign w:val="superscript"/>
              </w:rPr>
              <w:t>***</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4.847</w:t>
            </w:r>
            <w:r w:rsidRPr="00611E19">
              <w:rPr>
                <w:sz w:val="20"/>
                <w:szCs w:val="24"/>
                <w:vertAlign w:val="superscript"/>
              </w:rPr>
              <w:t>***</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4.700</w:t>
            </w:r>
            <w:r w:rsidRPr="00611E19">
              <w:rPr>
                <w:sz w:val="20"/>
                <w:szCs w:val="24"/>
                <w:vertAlign w:val="superscript"/>
              </w:rPr>
              <w:t>***</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(1.504)</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(1.485)</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(1.483)</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(1.452)</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VOLUNTARY_REPORTING</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1.249</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1.337</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1.298</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1.412</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(1.275)</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(1.259)</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(1.253)</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(1.250)</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INVOLUNTARY_REPORTING</w:t>
            </w:r>
            <w:r w:rsidRPr="00A642DD">
              <w:rPr>
                <w:rFonts w:eastAsia="Times New Roman"/>
                <w:color w:val="000000"/>
                <w:sz w:val="20"/>
                <w:szCs w:val="16"/>
                <w:vertAlign w:val="subscript"/>
                <w:lang w:eastAsia="en-CA"/>
              </w:rPr>
              <w:t>it</w:t>
            </w:r>
            <w:proofErr w:type="spellEnd"/>
            <w:r w:rsidRPr="00A642DD">
              <w:rPr>
                <w:rFonts w:eastAsia="Times New Roman"/>
                <w:color w:val="000000"/>
                <w:sz w:val="20"/>
                <w:szCs w:val="16"/>
                <w:lang w:eastAsia="en-CA"/>
              </w:rPr>
              <w:t xml:space="preserve"> </w:t>
            </w:r>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0.172</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0.163</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0.181</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0.124</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(0.402)</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(0.417)</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(0.400)</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(0.413)</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r w:rsidRPr="00A642DD">
              <w:rPr>
                <w:rFonts w:eastAsia="Times New Roman"/>
                <w:color w:val="000000"/>
                <w:sz w:val="20"/>
                <w:szCs w:val="16"/>
                <w:lang w:eastAsia="en-CA"/>
              </w:rPr>
              <w:t>CO2_EMISSIONS</w:t>
            </w:r>
            <w:r w:rsidRPr="00A642DD">
              <w:rPr>
                <w:rFonts w:eastAsia="Times New Roman"/>
                <w:color w:val="000000"/>
                <w:sz w:val="20"/>
                <w:szCs w:val="16"/>
                <w:vertAlign w:val="subscript"/>
                <w:lang w:eastAsia="en-CA"/>
              </w:rPr>
              <w:t>it</w:t>
            </w:r>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0.008</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0.007</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0.003</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0.019</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(0.068)</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(0.070)</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(0.069)</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(0.073)</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SIERRA_CLUB</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0.102</w:t>
            </w:r>
            <w:r w:rsidRPr="00611E19">
              <w:rPr>
                <w:sz w:val="20"/>
                <w:szCs w:val="24"/>
                <w:vertAlign w:val="superscript"/>
              </w:rPr>
              <w:t>***</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0.074</w:t>
            </w:r>
            <w:r w:rsidRPr="00611E19">
              <w:rPr>
                <w:sz w:val="20"/>
                <w:szCs w:val="24"/>
                <w:vertAlign w:val="superscript"/>
              </w:rPr>
              <w:t>***</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0.105</w:t>
            </w:r>
            <w:r w:rsidRPr="00611E19">
              <w:rPr>
                <w:sz w:val="20"/>
                <w:szCs w:val="24"/>
                <w:vertAlign w:val="superscript"/>
              </w:rPr>
              <w:t>***</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0.083</w:t>
            </w:r>
            <w:r w:rsidRPr="00611E19">
              <w:rPr>
                <w:sz w:val="20"/>
                <w:szCs w:val="24"/>
                <w:vertAlign w:val="superscript"/>
              </w:rPr>
              <w:t>***</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(0.028)</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(0.028)</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(0.028)</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(0.028)</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NUCLEAR_MORATORIUM</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9.535</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7.812</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9.471</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7.519</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(6.893)</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(6.171)</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(6.932)</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(6.146)</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DEMOCRATS</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0.241</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0.391</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0.256</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0.481</w:t>
            </w:r>
            <w:r w:rsidRPr="00611E19">
              <w:rPr>
                <w:sz w:val="20"/>
                <w:szCs w:val="24"/>
                <w:vertAlign w:val="superscript"/>
              </w:rPr>
              <w:t>**</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(0.253)</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(0.248)</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(0.239)</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(0.237)</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BUDGET</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13.875</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1.770</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14.039</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0.641</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(16.538)</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(14.019)</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(16.549)</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(14.151)</w:t>
            </w:r>
          </w:p>
        </w:tc>
      </w:tr>
      <w:tr w:rsidR="006E4374" w:rsidTr="00BC04D2">
        <w:tc>
          <w:tcPr>
            <w:tcW w:w="3078"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PUC_TENURE</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0.029</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0.011</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0.029</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0.005</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(0.027)</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(0.027)</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(0.027)</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(0.027)</w:t>
            </w:r>
          </w:p>
        </w:tc>
      </w:tr>
      <w:tr w:rsidR="006E4374" w:rsidTr="00BC04D2">
        <w:tc>
          <w:tcPr>
            <w:tcW w:w="3078"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ELECT_PUC</w:t>
            </w:r>
            <w:r w:rsidRPr="00A642DD">
              <w:rPr>
                <w:rFonts w:eastAsia="Times New Roman"/>
                <w:color w:val="000000"/>
                <w:sz w:val="20"/>
                <w:szCs w:val="16"/>
                <w:vertAlign w:val="subscript"/>
                <w:lang w:eastAsia="en-CA"/>
              </w:rPr>
              <w:t>it</w:t>
            </w:r>
            <w:proofErr w:type="spellEnd"/>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3.322</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0.057</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2.020</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2.306</w:t>
            </w:r>
          </w:p>
        </w:tc>
      </w:tr>
      <w:tr w:rsidR="006E4374" w:rsidTr="00BC04D2">
        <w:tc>
          <w:tcPr>
            <w:tcW w:w="3078" w:type="dxa"/>
            <w:tcBorders>
              <w:top w:val="nil"/>
              <w:left w:val="nil"/>
              <w:bottom w:val="nil"/>
              <w:right w:val="nil"/>
            </w:tcBorders>
          </w:tcPr>
          <w:p w:rsidR="006E4374" w:rsidRPr="00611E19" w:rsidRDefault="006E4374" w:rsidP="00BC04D2">
            <w:pPr>
              <w:widowControl w:val="0"/>
              <w:autoSpaceDE w:val="0"/>
              <w:autoSpaceDN w:val="0"/>
              <w:adjustRightInd w:val="0"/>
              <w:spacing w:after="0"/>
              <w:rPr>
                <w:sz w:val="20"/>
                <w:szCs w:val="24"/>
              </w:rPr>
            </w:pP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(20.046)</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(25.219)</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(20.370)</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(25.352)</w:t>
            </w:r>
          </w:p>
        </w:tc>
      </w:tr>
      <w:tr w:rsidR="006E4374" w:rsidTr="00BC04D2">
        <w:tc>
          <w:tcPr>
            <w:tcW w:w="3078" w:type="dxa"/>
            <w:tcBorders>
              <w:top w:val="single" w:sz="4" w:space="0" w:color="auto"/>
              <w:left w:val="nil"/>
              <w:bottom w:val="nil"/>
              <w:right w:val="nil"/>
            </w:tcBorders>
          </w:tcPr>
          <w:p w:rsidR="006E4374" w:rsidRPr="00611E19" w:rsidRDefault="006E4374" w:rsidP="00BC04D2">
            <w:pPr>
              <w:widowControl w:val="0"/>
              <w:autoSpaceDE w:val="0"/>
              <w:autoSpaceDN w:val="0"/>
              <w:adjustRightInd w:val="0"/>
              <w:spacing w:after="0"/>
              <w:rPr>
                <w:sz w:val="20"/>
                <w:szCs w:val="24"/>
              </w:rPr>
            </w:pPr>
            <w:r w:rsidRPr="00611E19">
              <w:rPr>
                <w:sz w:val="20"/>
                <w:szCs w:val="24"/>
              </w:rPr>
              <w:t>Observations</w:t>
            </w:r>
          </w:p>
        </w:tc>
        <w:tc>
          <w:tcPr>
            <w:tcW w:w="1182" w:type="dxa"/>
            <w:tcBorders>
              <w:top w:val="single" w:sz="4" w:space="0" w:color="auto"/>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762</w:t>
            </w:r>
          </w:p>
        </w:tc>
        <w:tc>
          <w:tcPr>
            <w:tcW w:w="1710" w:type="dxa"/>
            <w:tcBorders>
              <w:top w:val="single" w:sz="4" w:space="0" w:color="auto"/>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762</w:t>
            </w:r>
          </w:p>
        </w:tc>
        <w:tc>
          <w:tcPr>
            <w:tcW w:w="1350" w:type="dxa"/>
            <w:tcBorders>
              <w:top w:val="single" w:sz="4" w:space="0" w:color="auto"/>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762</w:t>
            </w:r>
          </w:p>
        </w:tc>
        <w:tc>
          <w:tcPr>
            <w:tcW w:w="1170" w:type="dxa"/>
            <w:tcBorders>
              <w:top w:val="single" w:sz="4" w:space="0" w:color="auto"/>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762</w:t>
            </w:r>
          </w:p>
        </w:tc>
      </w:tr>
      <w:tr w:rsidR="006E4374" w:rsidTr="00BC04D2">
        <w:tc>
          <w:tcPr>
            <w:tcW w:w="3078" w:type="dxa"/>
            <w:tcBorders>
              <w:top w:val="nil"/>
              <w:left w:val="nil"/>
              <w:bottom w:val="nil"/>
              <w:right w:val="nil"/>
            </w:tcBorders>
          </w:tcPr>
          <w:p w:rsidR="006E4374" w:rsidRPr="00611E19" w:rsidRDefault="006E4374" w:rsidP="00BC04D2">
            <w:pPr>
              <w:widowControl w:val="0"/>
              <w:autoSpaceDE w:val="0"/>
              <w:autoSpaceDN w:val="0"/>
              <w:adjustRightInd w:val="0"/>
              <w:spacing w:after="0"/>
              <w:rPr>
                <w:sz w:val="20"/>
                <w:szCs w:val="24"/>
              </w:rPr>
            </w:pPr>
            <w:r>
              <w:rPr>
                <w:sz w:val="20"/>
                <w:szCs w:val="24"/>
              </w:rPr>
              <w:t>Chi</w:t>
            </w:r>
            <w:r w:rsidR="00EC47DA">
              <w:rPr>
                <w:sz w:val="20"/>
                <w:szCs w:val="24"/>
              </w:rPr>
              <w:t>–</w:t>
            </w:r>
            <w:r>
              <w:rPr>
                <w:sz w:val="20"/>
                <w:szCs w:val="24"/>
              </w:rPr>
              <w:t>Square</w:t>
            </w: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Pr>
                <w:sz w:val="20"/>
                <w:szCs w:val="24"/>
              </w:rPr>
              <w:t>8363.03</w:t>
            </w:r>
            <w:r w:rsidRPr="00A642DD">
              <w:rPr>
                <w:sz w:val="20"/>
                <w:szCs w:val="24"/>
                <w:vertAlign w:val="superscript"/>
              </w:rPr>
              <w:t>***</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Pr>
                <w:sz w:val="20"/>
                <w:szCs w:val="24"/>
              </w:rPr>
              <w:t>8839.37</w:t>
            </w:r>
            <w:r w:rsidRPr="00A642DD">
              <w:rPr>
                <w:sz w:val="20"/>
                <w:szCs w:val="24"/>
                <w:vertAlign w:val="superscript"/>
              </w:rPr>
              <w:t>***</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8428.11</w:t>
            </w:r>
            <w:r w:rsidRPr="00A642DD">
              <w:rPr>
                <w:sz w:val="20"/>
                <w:szCs w:val="24"/>
                <w:vertAlign w:val="superscript"/>
              </w:rPr>
              <w:t>***</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Pr>
                <w:sz w:val="20"/>
                <w:szCs w:val="24"/>
              </w:rPr>
              <w:t>9253.96</w:t>
            </w:r>
            <w:r w:rsidRPr="00A642DD">
              <w:rPr>
                <w:sz w:val="20"/>
                <w:szCs w:val="24"/>
                <w:vertAlign w:val="superscript"/>
              </w:rPr>
              <w:t>***</w:t>
            </w:r>
          </w:p>
        </w:tc>
      </w:tr>
      <w:tr w:rsidR="006E4374" w:rsidTr="00BC04D2">
        <w:tc>
          <w:tcPr>
            <w:tcW w:w="3078" w:type="dxa"/>
            <w:tcBorders>
              <w:top w:val="nil"/>
              <w:left w:val="nil"/>
              <w:bottom w:val="nil"/>
              <w:right w:val="nil"/>
            </w:tcBorders>
          </w:tcPr>
          <w:p w:rsidR="006E4374" w:rsidRPr="00611E19" w:rsidRDefault="006E4374" w:rsidP="00BC04D2">
            <w:pPr>
              <w:widowControl w:val="0"/>
              <w:autoSpaceDE w:val="0"/>
              <w:autoSpaceDN w:val="0"/>
              <w:adjustRightInd w:val="0"/>
              <w:spacing w:after="0"/>
              <w:rPr>
                <w:sz w:val="20"/>
                <w:szCs w:val="24"/>
              </w:rPr>
            </w:pPr>
            <w:r>
              <w:rPr>
                <w:sz w:val="20"/>
                <w:szCs w:val="24"/>
              </w:rPr>
              <w:t>Instruments</w:t>
            </w:r>
          </w:p>
        </w:tc>
        <w:tc>
          <w:tcPr>
            <w:tcW w:w="1182" w:type="dxa"/>
            <w:tcBorders>
              <w:top w:val="nil"/>
              <w:left w:val="nil"/>
              <w:bottom w:val="nil"/>
              <w:right w:val="nil"/>
            </w:tcBorders>
          </w:tcPr>
          <w:p w:rsidR="006331AC" w:rsidRDefault="006E4374" w:rsidP="006331AC">
            <w:pPr>
              <w:widowControl w:val="0"/>
              <w:tabs>
                <w:tab w:val="decimal" w:pos="432"/>
              </w:tabs>
              <w:autoSpaceDE w:val="0"/>
              <w:autoSpaceDN w:val="0"/>
              <w:adjustRightInd w:val="0"/>
              <w:spacing w:after="0"/>
              <w:rPr>
                <w:sz w:val="20"/>
                <w:szCs w:val="24"/>
              </w:rPr>
            </w:pPr>
            <w:r>
              <w:rPr>
                <w:sz w:val="20"/>
                <w:szCs w:val="24"/>
              </w:rPr>
              <w:t>54</w:t>
            </w:r>
          </w:p>
        </w:tc>
        <w:tc>
          <w:tcPr>
            <w:tcW w:w="1710" w:type="dxa"/>
            <w:tcBorders>
              <w:top w:val="nil"/>
              <w:left w:val="nil"/>
              <w:bottom w:val="nil"/>
              <w:right w:val="nil"/>
            </w:tcBorders>
          </w:tcPr>
          <w:p w:rsidR="006331AC" w:rsidRDefault="006E4374" w:rsidP="006331AC">
            <w:pPr>
              <w:widowControl w:val="0"/>
              <w:tabs>
                <w:tab w:val="decimal" w:pos="690"/>
              </w:tabs>
              <w:autoSpaceDE w:val="0"/>
              <w:autoSpaceDN w:val="0"/>
              <w:adjustRightInd w:val="0"/>
              <w:spacing w:after="0"/>
              <w:rPr>
                <w:sz w:val="20"/>
                <w:szCs w:val="24"/>
              </w:rPr>
            </w:pPr>
            <w:r>
              <w:rPr>
                <w:sz w:val="20"/>
                <w:szCs w:val="24"/>
              </w:rPr>
              <w:t>55</w:t>
            </w:r>
          </w:p>
        </w:tc>
        <w:tc>
          <w:tcPr>
            <w:tcW w:w="1350" w:type="dxa"/>
            <w:tcBorders>
              <w:top w:val="nil"/>
              <w:left w:val="nil"/>
              <w:bottom w:val="nil"/>
              <w:right w:val="nil"/>
            </w:tcBorders>
          </w:tcPr>
          <w:p w:rsidR="006331AC" w:rsidRDefault="006E4374" w:rsidP="006331AC">
            <w:pPr>
              <w:widowControl w:val="0"/>
              <w:tabs>
                <w:tab w:val="decimal" w:pos="510"/>
              </w:tabs>
              <w:autoSpaceDE w:val="0"/>
              <w:autoSpaceDN w:val="0"/>
              <w:adjustRightInd w:val="0"/>
              <w:spacing w:after="0"/>
              <w:rPr>
                <w:sz w:val="20"/>
                <w:szCs w:val="24"/>
              </w:rPr>
            </w:pPr>
            <w:r>
              <w:rPr>
                <w:sz w:val="20"/>
                <w:szCs w:val="24"/>
              </w:rPr>
              <w:t>55</w:t>
            </w:r>
          </w:p>
        </w:tc>
        <w:tc>
          <w:tcPr>
            <w:tcW w:w="1170" w:type="dxa"/>
            <w:tcBorders>
              <w:top w:val="nil"/>
              <w:left w:val="nil"/>
              <w:bottom w:val="nil"/>
              <w:right w:val="nil"/>
            </w:tcBorders>
          </w:tcPr>
          <w:p w:rsidR="006331AC" w:rsidRDefault="006E4374" w:rsidP="006331AC">
            <w:pPr>
              <w:widowControl w:val="0"/>
              <w:tabs>
                <w:tab w:val="decimal" w:pos="420"/>
              </w:tabs>
              <w:autoSpaceDE w:val="0"/>
              <w:autoSpaceDN w:val="0"/>
              <w:adjustRightInd w:val="0"/>
              <w:spacing w:after="0"/>
              <w:rPr>
                <w:sz w:val="20"/>
                <w:szCs w:val="24"/>
              </w:rPr>
            </w:pPr>
            <w:r>
              <w:rPr>
                <w:sz w:val="20"/>
                <w:szCs w:val="24"/>
              </w:rPr>
              <w:t>56</w:t>
            </w:r>
          </w:p>
        </w:tc>
      </w:tr>
      <w:tr w:rsidR="006E4374" w:rsidTr="00BC04D2">
        <w:tc>
          <w:tcPr>
            <w:tcW w:w="3078" w:type="dxa"/>
            <w:tcBorders>
              <w:top w:val="nil"/>
              <w:left w:val="nil"/>
              <w:bottom w:val="nil"/>
              <w:right w:val="nil"/>
            </w:tcBorders>
          </w:tcPr>
          <w:p w:rsidR="006E4374" w:rsidRPr="00611E19" w:rsidRDefault="006E4374" w:rsidP="00BC04D2">
            <w:pPr>
              <w:widowControl w:val="0"/>
              <w:autoSpaceDE w:val="0"/>
              <w:autoSpaceDN w:val="0"/>
              <w:adjustRightInd w:val="0"/>
              <w:spacing w:after="0"/>
              <w:rPr>
                <w:sz w:val="20"/>
                <w:szCs w:val="24"/>
              </w:rPr>
            </w:pPr>
            <w:r>
              <w:rPr>
                <w:sz w:val="20"/>
                <w:szCs w:val="24"/>
              </w:rPr>
              <w:t>AR(</w:t>
            </w:r>
            <w:r w:rsidRPr="00611E19">
              <w:rPr>
                <w:sz w:val="20"/>
                <w:szCs w:val="24"/>
              </w:rPr>
              <w:t>1</w:t>
            </w:r>
            <w:r>
              <w:rPr>
                <w:sz w:val="20"/>
                <w:szCs w:val="24"/>
              </w:rPr>
              <w:t>)</w:t>
            </w:r>
          </w:p>
        </w:tc>
        <w:tc>
          <w:tcPr>
            <w:tcW w:w="1182" w:type="dxa"/>
            <w:tcBorders>
              <w:top w:val="nil"/>
              <w:left w:val="nil"/>
              <w:bottom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1.350</w:t>
            </w:r>
          </w:p>
        </w:tc>
        <w:tc>
          <w:tcPr>
            <w:tcW w:w="1710" w:type="dxa"/>
            <w:tcBorders>
              <w:top w:val="nil"/>
              <w:left w:val="nil"/>
              <w:bottom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1.382</w:t>
            </w:r>
          </w:p>
        </w:tc>
        <w:tc>
          <w:tcPr>
            <w:tcW w:w="1350" w:type="dxa"/>
            <w:tcBorders>
              <w:top w:val="nil"/>
              <w:left w:val="nil"/>
              <w:bottom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1.349</w:t>
            </w:r>
          </w:p>
        </w:tc>
        <w:tc>
          <w:tcPr>
            <w:tcW w:w="1170" w:type="dxa"/>
            <w:tcBorders>
              <w:top w:val="nil"/>
              <w:left w:val="nil"/>
              <w:bottom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1.383</w:t>
            </w:r>
          </w:p>
        </w:tc>
      </w:tr>
      <w:tr w:rsidR="006E4374" w:rsidTr="00BC04D2">
        <w:tc>
          <w:tcPr>
            <w:tcW w:w="3078" w:type="dxa"/>
            <w:tcBorders>
              <w:top w:val="nil"/>
              <w:left w:val="nil"/>
              <w:right w:val="nil"/>
            </w:tcBorders>
          </w:tcPr>
          <w:p w:rsidR="006E4374" w:rsidRPr="00611E19" w:rsidRDefault="006E4374" w:rsidP="00BC04D2">
            <w:pPr>
              <w:widowControl w:val="0"/>
              <w:autoSpaceDE w:val="0"/>
              <w:autoSpaceDN w:val="0"/>
              <w:adjustRightInd w:val="0"/>
              <w:spacing w:after="0"/>
              <w:rPr>
                <w:sz w:val="20"/>
                <w:szCs w:val="24"/>
              </w:rPr>
            </w:pPr>
            <w:r>
              <w:rPr>
                <w:sz w:val="20"/>
                <w:szCs w:val="24"/>
              </w:rPr>
              <w:t>AR(</w:t>
            </w:r>
            <w:r w:rsidRPr="00611E19">
              <w:rPr>
                <w:sz w:val="20"/>
                <w:szCs w:val="24"/>
              </w:rPr>
              <w:t>2</w:t>
            </w:r>
            <w:r>
              <w:rPr>
                <w:sz w:val="20"/>
                <w:szCs w:val="24"/>
              </w:rPr>
              <w:t>)</w:t>
            </w:r>
          </w:p>
        </w:tc>
        <w:tc>
          <w:tcPr>
            <w:tcW w:w="1182" w:type="dxa"/>
            <w:tcBorders>
              <w:top w:val="nil"/>
              <w:left w:val="nil"/>
              <w:right w:val="nil"/>
            </w:tcBorders>
          </w:tcPr>
          <w:p w:rsidR="006331AC" w:rsidRDefault="00EC47DA" w:rsidP="006331AC">
            <w:pPr>
              <w:widowControl w:val="0"/>
              <w:tabs>
                <w:tab w:val="decimal" w:pos="432"/>
              </w:tabs>
              <w:autoSpaceDE w:val="0"/>
              <w:autoSpaceDN w:val="0"/>
              <w:adjustRightInd w:val="0"/>
              <w:spacing w:after="0"/>
              <w:rPr>
                <w:sz w:val="20"/>
                <w:szCs w:val="24"/>
              </w:rPr>
            </w:pPr>
            <w:r>
              <w:rPr>
                <w:sz w:val="20"/>
                <w:szCs w:val="24"/>
              </w:rPr>
              <w:t>–</w:t>
            </w:r>
            <w:r w:rsidR="006E4374" w:rsidRPr="00611E19">
              <w:rPr>
                <w:sz w:val="20"/>
                <w:szCs w:val="24"/>
              </w:rPr>
              <w:t>0.234</w:t>
            </w:r>
          </w:p>
        </w:tc>
        <w:tc>
          <w:tcPr>
            <w:tcW w:w="1710" w:type="dxa"/>
            <w:tcBorders>
              <w:top w:val="nil"/>
              <w:left w:val="nil"/>
              <w:right w:val="nil"/>
            </w:tcBorders>
          </w:tcPr>
          <w:p w:rsidR="006331AC" w:rsidRDefault="00EC47DA" w:rsidP="006331AC">
            <w:pPr>
              <w:widowControl w:val="0"/>
              <w:tabs>
                <w:tab w:val="decimal" w:pos="690"/>
              </w:tabs>
              <w:autoSpaceDE w:val="0"/>
              <w:autoSpaceDN w:val="0"/>
              <w:adjustRightInd w:val="0"/>
              <w:spacing w:after="0"/>
              <w:rPr>
                <w:sz w:val="20"/>
                <w:szCs w:val="24"/>
              </w:rPr>
            </w:pPr>
            <w:r>
              <w:rPr>
                <w:sz w:val="20"/>
                <w:szCs w:val="24"/>
              </w:rPr>
              <w:t>–</w:t>
            </w:r>
            <w:r w:rsidR="006E4374" w:rsidRPr="00611E19">
              <w:rPr>
                <w:sz w:val="20"/>
                <w:szCs w:val="24"/>
              </w:rPr>
              <w:t>0.019</w:t>
            </w:r>
          </w:p>
        </w:tc>
        <w:tc>
          <w:tcPr>
            <w:tcW w:w="1350" w:type="dxa"/>
            <w:tcBorders>
              <w:top w:val="nil"/>
              <w:left w:val="nil"/>
              <w:right w:val="nil"/>
            </w:tcBorders>
          </w:tcPr>
          <w:p w:rsidR="006331AC" w:rsidRDefault="00EC47DA" w:rsidP="006331AC">
            <w:pPr>
              <w:widowControl w:val="0"/>
              <w:tabs>
                <w:tab w:val="decimal" w:pos="510"/>
              </w:tabs>
              <w:autoSpaceDE w:val="0"/>
              <w:autoSpaceDN w:val="0"/>
              <w:adjustRightInd w:val="0"/>
              <w:spacing w:after="0"/>
              <w:rPr>
                <w:sz w:val="20"/>
                <w:szCs w:val="24"/>
              </w:rPr>
            </w:pPr>
            <w:r>
              <w:rPr>
                <w:sz w:val="20"/>
                <w:szCs w:val="24"/>
              </w:rPr>
              <w:t>–</w:t>
            </w:r>
            <w:r w:rsidR="006E4374" w:rsidRPr="00611E19">
              <w:rPr>
                <w:sz w:val="20"/>
                <w:szCs w:val="24"/>
              </w:rPr>
              <w:t>0.239</w:t>
            </w:r>
          </w:p>
        </w:tc>
        <w:tc>
          <w:tcPr>
            <w:tcW w:w="1170" w:type="dxa"/>
            <w:tcBorders>
              <w:top w:val="nil"/>
              <w:left w:val="nil"/>
              <w:right w:val="nil"/>
            </w:tcBorders>
          </w:tcPr>
          <w:p w:rsidR="006331AC" w:rsidRDefault="00EC47DA" w:rsidP="006331AC">
            <w:pPr>
              <w:widowControl w:val="0"/>
              <w:tabs>
                <w:tab w:val="decimal" w:pos="420"/>
              </w:tabs>
              <w:autoSpaceDE w:val="0"/>
              <w:autoSpaceDN w:val="0"/>
              <w:adjustRightInd w:val="0"/>
              <w:spacing w:after="0"/>
              <w:rPr>
                <w:sz w:val="20"/>
                <w:szCs w:val="24"/>
              </w:rPr>
            </w:pPr>
            <w:r>
              <w:rPr>
                <w:sz w:val="20"/>
                <w:szCs w:val="24"/>
              </w:rPr>
              <w:t>–</w:t>
            </w:r>
            <w:r w:rsidR="006E4374" w:rsidRPr="00611E19">
              <w:rPr>
                <w:sz w:val="20"/>
                <w:szCs w:val="24"/>
              </w:rPr>
              <w:t>0.018</w:t>
            </w:r>
          </w:p>
        </w:tc>
      </w:tr>
      <w:tr w:rsidR="006E4374" w:rsidTr="00BC04D2">
        <w:tc>
          <w:tcPr>
            <w:tcW w:w="3078" w:type="dxa"/>
            <w:tcBorders>
              <w:top w:val="nil"/>
              <w:left w:val="nil"/>
              <w:bottom w:val="single" w:sz="4" w:space="0" w:color="auto"/>
              <w:right w:val="nil"/>
            </w:tcBorders>
          </w:tcPr>
          <w:p w:rsidR="006E4374" w:rsidRPr="00611E19" w:rsidRDefault="006E4374" w:rsidP="00BC04D2">
            <w:pPr>
              <w:widowControl w:val="0"/>
              <w:autoSpaceDE w:val="0"/>
              <w:autoSpaceDN w:val="0"/>
              <w:adjustRightInd w:val="0"/>
              <w:spacing w:after="0"/>
              <w:rPr>
                <w:sz w:val="20"/>
                <w:szCs w:val="24"/>
              </w:rPr>
            </w:pPr>
            <w:r>
              <w:rPr>
                <w:sz w:val="20"/>
                <w:szCs w:val="24"/>
              </w:rPr>
              <w:t>H</w:t>
            </w:r>
            <w:r w:rsidRPr="00611E19">
              <w:rPr>
                <w:sz w:val="20"/>
                <w:szCs w:val="24"/>
              </w:rPr>
              <w:t>ansen</w:t>
            </w:r>
            <w:r>
              <w:rPr>
                <w:sz w:val="20"/>
                <w:szCs w:val="24"/>
              </w:rPr>
              <w:t xml:space="preserve"> J Test</w:t>
            </w:r>
          </w:p>
        </w:tc>
        <w:tc>
          <w:tcPr>
            <w:tcW w:w="1182" w:type="dxa"/>
            <w:tcBorders>
              <w:top w:val="nil"/>
              <w:left w:val="nil"/>
              <w:bottom w:val="single" w:sz="4" w:space="0" w:color="auto"/>
              <w:right w:val="nil"/>
            </w:tcBorders>
          </w:tcPr>
          <w:p w:rsidR="006331AC" w:rsidRDefault="006E4374" w:rsidP="006331AC">
            <w:pPr>
              <w:widowControl w:val="0"/>
              <w:tabs>
                <w:tab w:val="decimal" w:pos="432"/>
              </w:tabs>
              <w:autoSpaceDE w:val="0"/>
              <w:autoSpaceDN w:val="0"/>
              <w:adjustRightInd w:val="0"/>
              <w:spacing w:after="0"/>
              <w:rPr>
                <w:sz w:val="20"/>
                <w:szCs w:val="24"/>
              </w:rPr>
            </w:pPr>
            <w:r w:rsidRPr="00611E19">
              <w:rPr>
                <w:sz w:val="20"/>
                <w:szCs w:val="24"/>
              </w:rPr>
              <w:t>24.670</w:t>
            </w:r>
          </w:p>
        </w:tc>
        <w:tc>
          <w:tcPr>
            <w:tcW w:w="1710" w:type="dxa"/>
            <w:tcBorders>
              <w:top w:val="nil"/>
              <w:left w:val="nil"/>
              <w:bottom w:val="single" w:sz="4" w:space="0" w:color="auto"/>
              <w:right w:val="nil"/>
            </w:tcBorders>
          </w:tcPr>
          <w:p w:rsidR="006331AC" w:rsidRDefault="006E4374" w:rsidP="006331AC">
            <w:pPr>
              <w:widowControl w:val="0"/>
              <w:tabs>
                <w:tab w:val="decimal" w:pos="690"/>
              </w:tabs>
              <w:autoSpaceDE w:val="0"/>
              <w:autoSpaceDN w:val="0"/>
              <w:adjustRightInd w:val="0"/>
              <w:spacing w:after="0"/>
              <w:rPr>
                <w:sz w:val="20"/>
                <w:szCs w:val="24"/>
              </w:rPr>
            </w:pPr>
            <w:r w:rsidRPr="00611E19">
              <w:rPr>
                <w:sz w:val="20"/>
                <w:szCs w:val="24"/>
              </w:rPr>
              <w:t>25.985</w:t>
            </w:r>
          </w:p>
        </w:tc>
        <w:tc>
          <w:tcPr>
            <w:tcW w:w="1350" w:type="dxa"/>
            <w:tcBorders>
              <w:top w:val="nil"/>
              <w:left w:val="nil"/>
              <w:bottom w:val="single" w:sz="4" w:space="0" w:color="auto"/>
              <w:right w:val="nil"/>
            </w:tcBorders>
          </w:tcPr>
          <w:p w:rsidR="006331AC" w:rsidRDefault="006E4374" w:rsidP="006331AC">
            <w:pPr>
              <w:widowControl w:val="0"/>
              <w:tabs>
                <w:tab w:val="decimal" w:pos="510"/>
              </w:tabs>
              <w:autoSpaceDE w:val="0"/>
              <w:autoSpaceDN w:val="0"/>
              <w:adjustRightInd w:val="0"/>
              <w:spacing w:after="0"/>
              <w:rPr>
                <w:sz w:val="20"/>
                <w:szCs w:val="24"/>
              </w:rPr>
            </w:pPr>
            <w:r w:rsidRPr="00611E19">
              <w:rPr>
                <w:sz w:val="20"/>
                <w:szCs w:val="24"/>
              </w:rPr>
              <w:t>24.884</w:t>
            </w:r>
          </w:p>
        </w:tc>
        <w:tc>
          <w:tcPr>
            <w:tcW w:w="1170" w:type="dxa"/>
            <w:tcBorders>
              <w:top w:val="nil"/>
              <w:left w:val="nil"/>
              <w:bottom w:val="single" w:sz="4" w:space="0" w:color="auto"/>
              <w:right w:val="nil"/>
            </w:tcBorders>
          </w:tcPr>
          <w:p w:rsidR="006331AC" w:rsidRDefault="006E4374" w:rsidP="006331AC">
            <w:pPr>
              <w:widowControl w:val="0"/>
              <w:tabs>
                <w:tab w:val="decimal" w:pos="420"/>
              </w:tabs>
              <w:autoSpaceDE w:val="0"/>
              <w:autoSpaceDN w:val="0"/>
              <w:adjustRightInd w:val="0"/>
              <w:spacing w:after="0"/>
              <w:rPr>
                <w:sz w:val="20"/>
                <w:szCs w:val="24"/>
              </w:rPr>
            </w:pPr>
            <w:r w:rsidRPr="00611E19">
              <w:rPr>
                <w:sz w:val="20"/>
                <w:szCs w:val="24"/>
              </w:rPr>
              <w:t>27.020</w:t>
            </w:r>
          </w:p>
        </w:tc>
      </w:tr>
    </w:tbl>
    <w:p w:rsidR="00992C66" w:rsidRDefault="00992C66" w:rsidP="006E4374">
      <w:pPr>
        <w:widowControl w:val="0"/>
        <w:autoSpaceDE w:val="0"/>
        <w:autoSpaceDN w:val="0"/>
        <w:adjustRightInd w:val="0"/>
        <w:spacing w:after="0"/>
        <w:rPr>
          <w:sz w:val="20"/>
          <w:szCs w:val="20"/>
        </w:rPr>
      </w:pPr>
      <w:r>
        <w:rPr>
          <w:sz w:val="20"/>
          <w:szCs w:val="20"/>
        </w:rPr>
        <w:t>Notes:</w:t>
      </w:r>
    </w:p>
    <w:p w:rsidR="006E4374" w:rsidRDefault="006E4374" w:rsidP="006E4374">
      <w:pPr>
        <w:widowControl w:val="0"/>
        <w:autoSpaceDE w:val="0"/>
        <w:autoSpaceDN w:val="0"/>
        <w:adjustRightInd w:val="0"/>
        <w:spacing w:after="0"/>
        <w:rPr>
          <w:sz w:val="20"/>
          <w:szCs w:val="20"/>
        </w:rPr>
      </w:pPr>
      <w:r>
        <w:rPr>
          <w:sz w:val="20"/>
          <w:szCs w:val="20"/>
        </w:rPr>
        <w:t>Standard errors in parentheses</w:t>
      </w:r>
    </w:p>
    <w:p w:rsidR="006E4374" w:rsidRDefault="006E4374" w:rsidP="006E4374">
      <w:pPr>
        <w:widowControl w:val="0"/>
        <w:autoSpaceDE w:val="0"/>
        <w:autoSpaceDN w:val="0"/>
        <w:adjustRightInd w:val="0"/>
        <w:spacing w:after="0"/>
        <w:rPr>
          <w:sz w:val="20"/>
          <w:szCs w:val="20"/>
        </w:rPr>
      </w:pPr>
      <w:r>
        <w:rPr>
          <w:sz w:val="20"/>
          <w:szCs w:val="20"/>
          <w:vertAlign w:val="superscript"/>
        </w:rPr>
        <w:t>*</w:t>
      </w:r>
      <w:r>
        <w:rPr>
          <w:sz w:val="20"/>
          <w:szCs w:val="20"/>
        </w:rPr>
        <w:t xml:space="preserve"> </w:t>
      </w:r>
      <w:proofErr w:type="gramStart"/>
      <w:r>
        <w:rPr>
          <w:i/>
          <w:iCs/>
          <w:sz w:val="20"/>
          <w:szCs w:val="20"/>
        </w:rPr>
        <w:t>p</w:t>
      </w:r>
      <w:proofErr w:type="gramEnd"/>
      <w:r>
        <w:rPr>
          <w:sz w:val="20"/>
          <w:szCs w:val="20"/>
        </w:rPr>
        <w:t xml:space="preserve"> &lt; 0.10, </w:t>
      </w: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w:t>
      </w:r>
    </w:p>
    <w:p w:rsidR="006E4374" w:rsidRDefault="006E4374" w:rsidP="006E4374">
      <w:pPr>
        <w:spacing w:after="0"/>
        <w:rPr>
          <w:sz w:val="22"/>
        </w:rPr>
      </w:pPr>
      <w:r>
        <w:rPr>
          <w:sz w:val="22"/>
        </w:rPr>
        <w:br w:type="page"/>
      </w:r>
    </w:p>
    <w:p w:rsidR="006E4374" w:rsidRDefault="006331AC" w:rsidP="006E4374">
      <w:pPr>
        <w:pStyle w:val="NoSpacing"/>
      </w:pPr>
      <w:r w:rsidRPr="006331AC">
        <w:lastRenderedPageBreak/>
        <w:t>Table 4</w:t>
      </w:r>
      <w:r w:rsidR="00992C66">
        <w:t>.</w:t>
      </w:r>
      <w:r w:rsidR="00992C66">
        <w:tab/>
      </w:r>
      <w:r w:rsidR="006E4374">
        <w:t xml:space="preserve">GMM </w:t>
      </w:r>
      <w:r w:rsidR="00992C66">
        <w:t>r</w:t>
      </w:r>
      <w:r w:rsidR="006E4374">
        <w:t xml:space="preserve">egression </w:t>
      </w:r>
      <w:r w:rsidR="00992C66">
        <w:t>m</w:t>
      </w:r>
      <w:r w:rsidR="006E4374">
        <w:t xml:space="preserve">odels </w:t>
      </w:r>
      <w:r w:rsidR="00992C66">
        <w:t>i</w:t>
      </w:r>
      <w:r w:rsidR="006E4374">
        <w:t xml:space="preserve">dentifying </w:t>
      </w:r>
      <w:r w:rsidR="00992C66">
        <w:t>s</w:t>
      </w:r>
      <w:r w:rsidR="006E4374">
        <w:t xml:space="preserve">ource of </w:t>
      </w:r>
      <w:r w:rsidR="00992C66">
        <w:t>r</w:t>
      </w:r>
      <w:r w:rsidR="006E4374">
        <w:t xml:space="preserve">egulatory </w:t>
      </w:r>
      <w:r w:rsidR="00992C66">
        <w:t>e</w:t>
      </w:r>
      <w:r w:rsidR="006E4374">
        <w:t>xternality</w:t>
      </w:r>
    </w:p>
    <w:tbl>
      <w:tblPr>
        <w:tblW w:w="0" w:type="auto"/>
        <w:tblLayout w:type="fixed"/>
        <w:tblLook w:val="0000" w:firstRow="0" w:lastRow="0" w:firstColumn="0" w:lastColumn="0" w:noHBand="0" w:noVBand="0"/>
      </w:tblPr>
      <w:tblGrid>
        <w:gridCol w:w="4608"/>
        <w:gridCol w:w="1530"/>
      </w:tblGrid>
      <w:tr w:rsidR="006E4374" w:rsidRPr="00024927" w:rsidTr="000D31DC">
        <w:tc>
          <w:tcPr>
            <w:tcW w:w="4608" w:type="dxa"/>
            <w:tcBorders>
              <w:top w:val="single" w:sz="4" w:space="0" w:color="auto"/>
              <w:left w:val="nil"/>
              <w:bottom w:val="single" w:sz="4" w:space="0" w:color="auto"/>
              <w:right w:val="nil"/>
            </w:tcBorders>
            <w:vAlign w:val="bottom"/>
          </w:tcPr>
          <w:p w:rsidR="006E4374" w:rsidRPr="005B140C" w:rsidRDefault="006E4374" w:rsidP="00BC04D2">
            <w:pPr>
              <w:spacing w:after="0"/>
              <w:rPr>
                <w:rFonts w:eastAsia="Times New Roman"/>
                <w:color w:val="000000"/>
                <w:sz w:val="20"/>
                <w:szCs w:val="20"/>
                <w:lang w:eastAsia="en-CA"/>
              </w:rPr>
            </w:pPr>
          </w:p>
        </w:tc>
        <w:tc>
          <w:tcPr>
            <w:tcW w:w="1530" w:type="dxa"/>
            <w:tcBorders>
              <w:top w:val="single" w:sz="4" w:space="0" w:color="auto"/>
              <w:left w:val="nil"/>
              <w:bottom w:val="single" w:sz="4" w:space="0" w:color="auto"/>
              <w:right w:val="nil"/>
            </w:tcBorders>
          </w:tcPr>
          <w:p w:rsidR="006E4374" w:rsidRPr="005B140C" w:rsidRDefault="006E4374" w:rsidP="00BC04D2">
            <w:pPr>
              <w:widowControl w:val="0"/>
              <w:autoSpaceDE w:val="0"/>
              <w:autoSpaceDN w:val="0"/>
              <w:adjustRightInd w:val="0"/>
              <w:spacing w:after="0"/>
              <w:jc w:val="center"/>
              <w:rPr>
                <w:sz w:val="20"/>
                <w:szCs w:val="20"/>
              </w:rPr>
            </w:pPr>
            <w:r>
              <w:rPr>
                <w:sz w:val="20"/>
                <w:szCs w:val="20"/>
              </w:rPr>
              <w:t>(5)</w:t>
            </w:r>
          </w:p>
        </w:tc>
      </w:tr>
      <w:tr w:rsidR="000D31DC" w:rsidRPr="00024927" w:rsidTr="000D31DC">
        <w:tc>
          <w:tcPr>
            <w:tcW w:w="4608" w:type="dxa"/>
            <w:tcBorders>
              <w:top w:val="single" w:sz="4" w:space="0" w:color="auto"/>
              <w:left w:val="nil"/>
              <w:bottom w:val="nil"/>
              <w:right w:val="nil"/>
            </w:tcBorders>
            <w:vAlign w:val="bottom"/>
          </w:tcPr>
          <w:p w:rsidR="000D31DC" w:rsidRPr="005B140C" w:rsidRDefault="000D31DC" w:rsidP="00F916F2">
            <w:pPr>
              <w:spacing w:after="0"/>
              <w:rPr>
                <w:rFonts w:eastAsia="Times New Roman"/>
                <w:color w:val="000000"/>
                <w:sz w:val="20"/>
                <w:szCs w:val="20"/>
                <w:lang w:val="en-CA" w:eastAsia="en-CA"/>
              </w:rPr>
            </w:pPr>
            <w:r w:rsidRPr="005B140C">
              <w:rPr>
                <w:rFonts w:eastAsia="Times New Roman"/>
                <w:color w:val="000000"/>
                <w:sz w:val="20"/>
                <w:szCs w:val="20"/>
                <w:lang w:eastAsia="en-CA"/>
              </w:rPr>
              <w:t>NEIGHBOR _</w:t>
            </w:r>
            <w:proofErr w:type="spellStart"/>
            <w:r w:rsidRPr="005B140C">
              <w:rPr>
                <w:rFonts w:eastAsia="Times New Roman"/>
                <w:color w:val="000000"/>
                <w:sz w:val="20"/>
                <w:szCs w:val="20"/>
                <w:lang w:eastAsia="en-CA"/>
              </w:rPr>
              <w:t>EFFECT</w:t>
            </w:r>
            <w:r w:rsidRPr="005B140C">
              <w:rPr>
                <w:rFonts w:eastAsia="Times New Roman"/>
                <w:color w:val="000000"/>
                <w:sz w:val="20"/>
                <w:szCs w:val="20"/>
                <w:vertAlign w:val="subscript"/>
                <w:lang w:eastAsia="en-CA"/>
              </w:rPr>
              <w:t>it</w:t>
            </w:r>
            <w:proofErr w:type="spellEnd"/>
          </w:p>
        </w:tc>
        <w:tc>
          <w:tcPr>
            <w:tcW w:w="1530" w:type="dxa"/>
            <w:tcBorders>
              <w:top w:val="single" w:sz="4" w:space="0" w:color="auto"/>
              <w:left w:val="nil"/>
              <w:bottom w:val="nil"/>
              <w:right w:val="nil"/>
            </w:tcBorders>
          </w:tcPr>
          <w:p w:rsidR="000D31DC" w:rsidRDefault="000D31DC" w:rsidP="00F916F2">
            <w:pPr>
              <w:widowControl w:val="0"/>
              <w:tabs>
                <w:tab w:val="decimal" w:pos="522"/>
              </w:tabs>
              <w:autoSpaceDE w:val="0"/>
              <w:autoSpaceDN w:val="0"/>
              <w:adjustRightInd w:val="0"/>
              <w:spacing w:after="0"/>
              <w:rPr>
                <w:sz w:val="20"/>
                <w:szCs w:val="20"/>
              </w:rPr>
            </w:pPr>
            <w:r>
              <w:rPr>
                <w:sz w:val="20"/>
                <w:szCs w:val="20"/>
              </w:rPr>
              <w:t>–</w:t>
            </w:r>
            <w:r w:rsidRPr="005B140C">
              <w:rPr>
                <w:sz w:val="20"/>
                <w:szCs w:val="20"/>
              </w:rPr>
              <w:t>0.028</w:t>
            </w:r>
          </w:p>
        </w:tc>
      </w:tr>
      <w:tr w:rsidR="000D31DC" w:rsidRPr="00024927" w:rsidTr="00F916F2">
        <w:tc>
          <w:tcPr>
            <w:tcW w:w="4608" w:type="dxa"/>
            <w:tcBorders>
              <w:top w:val="nil"/>
              <w:left w:val="nil"/>
              <w:bottom w:val="nil"/>
              <w:right w:val="nil"/>
            </w:tcBorders>
            <w:vAlign w:val="bottom"/>
          </w:tcPr>
          <w:p w:rsidR="000D31DC" w:rsidRPr="005B140C" w:rsidRDefault="000D31DC" w:rsidP="00F916F2">
            <w:pPr>
              <w:spacing w:after="0"/>
              <w:rPr>
                <w:rFonts w:eastAsia="Times New Roman"/>
                <w:color w:val="000000"/>
                <w:sz w:val="20"/>
                <w:szCs w:val="20"/>
                <w:lang w:val="en-CA" w:eastAsia="en-CA"/>
              </w:rPr>
            </w:pPr>
          </w:p>
        </w:tc>
        <w:tc>
          <w:tcPr>
            <w:tcW w:w="1530" w:type="dxa"/>
            <w:tcBorders>
              <w:top w:val="nil"/>
              <w:left w:val="nil"/>
              <w:bottom w:val="nil"/>
              <w:right w:val="nil"/>
            </w:tcBorders>
          </w:tcPr>
          <w:p w:rsidR="000D31DC" w:rsidRDefault="000D31DC" w:rsidP="00F916F2">
            <w:pPr>
              <w:widowControl w:val="0"/>
              <w:tabs>
                <w:tab w:val="decimal" w:pos="522"/>
              </w:tabs>
              <w:autoSpaceDE w:val="0"/>
              <w:autoSpaceDN w:val="0"/>
              <w:adjustRightInd w:val="0"/>
              <w:spacing w:after="0"/>
              <w:rPr>
                <w:sz w:val="20"/>
                <w:szCs w:val="20"/>
              </w:rPr>
            </w:pPr>
            <w:r w:rsidRPr="005B140C">
              <w:rPr>
                <w:sz w:val="20"/>
                <w:szCs w:val="20"/>
              </w:rPr>
              <w:t>(0.028)</w:t>
            </w:r>
          </w:p>
        </w:tc>
      </w:tr>
      <w:tr w:rsidR="000D31DC" w:rsidRPr="00024927" w:rsidTr="00F916F2">
        <w:tc>
          <w:tcPr>
            <w:tcW w:w="4608" w:type="dxa"/>
            <w:tcBorders>
              <w:top w:val="nil"/>
              <w:left w:val="nil"/>
              <w:bottom w:val="nil"/>
              <w:right w:val="nil"/>
            </w:tcBorders>
            <w:vAlign w:val="bottom"/>
          </w:tcPr>
          <w:p w:rsidR="000D31DC" w:rsidRPr="005B140C" w:rsidRDefault="000D31DC" w:rsidP="00F916F2">
            <w:pPr>
              <w:spacing w:after="0"/>
              <w:rPr>
                <w:rFonts w:eastAsia="Times New Roman"/>
                <w:color w:val="000000"/>
                <w:sz w:val="20"/>
                <w:szCs w:val="20"/>
                <w:lang w:val="en-CA" w:eastAsia="en-CA"/>
              </w:rPr>
            </w:pPr>
            <w:r w:rsidRPr="005B140C">
              <w:rPr>
                <w:rFonts w:eastAsia="Times New Roman"/>
                <w:color w:val="000000"/>
                <w:sz w:val="20"/>
                <w:szCs w:val="20"/>
                <w:lang w:eastAsia="en-CA"/>
              </w:rPr>
              <w:t>PEER _</w:t>
            </w:r>
            <w:proofErr w:type="spellStart"/>
            <w:r w:rsidRPr="005B140C">
              <w:rPr>
                <w:rFonts w:eastAsia="Times New Roman"/>
                <w:color w:val="000000"/>
                <w:sz w:val="20"/>
                <w:szCs w:val="20"/>
                <w:lang w:eastAsia="en-CA"/>
              </w:rPr>
              <w:t>EFFECT</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0D31DC" w:rsidRDefault="000D31DC" w:rsidP="00F916F2">
            <w:pPr>
              <w:widowControl w:val="0"/>
              <w:tabs>
                <w:tab w:val="decimal" w:pos="522"/>
              </w:tabs>
              <w:autoSpaceDE w:val="0"/>
              <w:autoSpaceDN w:val="0"/>
              <w:adjustRightInd w:val="0"/>
              <w:spacing w:after="0"/>
              <w:rPr>
                <w:sz w:val="20"/>
                <w:szCs w:val="20"/>
              </w:rPr>
            </w:pPr>
            <w:r w:rsidRPr="005B140C">
              <w:rPr>
                <w:sz w:val="20"/>
                <w:szCs w:val="20"/>
              </w:rPr>
              <w:t>0.142</w:t>
            </w:r>
            <w:r w:rsidRPr="005B140C">
              <w:rPr>
                <w:sz w:val="20"/>
                <w:szCs w:val="20"/>
                <w:vertAlign w:val="superscript"/>
              </w:rPr>
              <w:t>*</w:t>
            </w:r>
          </w:p>
        </w:tc>
      </w:tr>
      <w:tr w:rsidR="000D31DC" w:rsidRPr="00024927" w:rsidTr="00F916F2">
        <w:tc>
          <w:tcPr>
            <w:tcW w:w="4608" w:type="dxa"/>
            <w:tcBorders>
              <w:top w:val="nil"/>
              <w:left w:val="nil"/>
              <w:bottom w:val="nil"/>
              <w:right w:val="nil"/>
            </w:tcBorders>
            <w:vAlign w:val="bottom"/>
          </w:tcPr>
          <w:p w:rsidR="000D31DC" w:rsidRPr="005B140C" w:rsidRDefault="000D31DC" w:rsidP="00F916F2">
            <w:pPr>
              <w:spacing w:after="0"/>
              <w:rPr>
                <w:rFonts w:eastAsia="Times New Roman"/>
                <w:color w:val="000000"/>
                <w:sz w:val="20"/>
                <w:szCs w:val="20"/>
                <w:lang w:val="en-CA" w:eastAsia="en-CA"/>
              </w:rPr>
            </w:pPr>
          </w:p>
        </w:tc>
        <w:tc>
          <w:tcPr>
            <w:tcW w:w="1530" w:type="dxa"/>
            <w:tcBorders>
              <w:top w:val="nil"/>
              <w:left w:val="nil"/>
              <w:bottom w:val="nil"/>
              <w:right w:val="nil"/>
            </w:tcBorders>
          </w:tcPr>
          <w:p w:rsidR="000D31DC" w:rsidRDefault="000D31DC" w:rsidP="00F916F2">
            <w:pPr>
              <w:widowControl w:val="0"/>
              <w:tabs>
                <w:tab w:val="decimal" w:pos="522"/>
              </w:tabs>
              <w:autoSpaceDE w:val="0"/>
              <w:autoSpaceDN w:val="0"/>
              <w:adjustRightInd w:val="0"/>
              <w:spacing w:after="0"/>
              <w:rPr>
                <w:sz w:val="20"/>
                <w:szCs w:val="20"/>
              </w:rPr>
            </w:pPr>
            <w:r w:rsidRPr="005B140C">
              <w:rPr>
                <w:sz w:val="20"/>
                <w:szCs w:val="20"/>
              </w:rPr>
              <w:t>(0.073)</w:t>
            </w:r>
          </w:p>
        </w:tc>
      </w:tr>
      <w:tr w:rsidR="000D31DC" w:rsidRPr="00024927" w:rsidTr="00F916F2">
        <w:tc>
          <w:tcPr>
            <w:tcW w:w="4608" w:type="dxa"/>
            <w:tcBorders>
              <w:top w:val="nil"/>
              <w:left w:val="nil"/>
              <w:bottom w:val="nil"/>
              <w:right w:val="nil"/>
            </w:tcBorders>
            <w:vAlign w:val="bottom"/>
          </w:tcPr>
          <w:p w:rsidR="000D31DC" w:rsidRPr="005B140C" w:rsidRDefault="000D31DC" w:rsidP="00F916F2">
            <w:pPr>
              <w:spacing w:after="0"/>
              <w:rPr>
                <w:rFonts w:eastAsia="Times New Roman"/>
                <w:color w:val="000000"/>
                <w:sz w:val="20"/>
                <w:szCs w:val="20"/>
                <w:lang w:val="en-CA" w:eastAsia="en-CA"/>
              </w:rPr>
            </w:pPr>
            <w:r w:rsidRPr="005B140C">
              <w:rPr>
                <w:sz w:val="20"/>
                <w:szCs w:val="20"/>
              </w:rPr>
              <w:t>NEIG</w:t>
            </w:r>
            <w:r>
              <w:rPr>
                <w:sz w:val="20"/>
                <w:szCs w:val="20"/>
              </w:rPr>
              <w:t>H</w:t>
            </w:r>
            <w:r w:rsidRPr="005B140C">
              <w:rPr>
                <w:sz w:val="20"/>
                <w:szCs w:val="20"/>
              </w:rPr>
              <w:t>BOR_RPS&gt;</w:t>
            </w:r>
            <w:proofErr w:type="spellStart"/>
            <w:r w:rsidRPr="005B140C">
              <w:rPr>
                <w:sz w:val="20"/>
                <w:szCs w:val="20"/>
              </w:rPr>
              <w:t>FOCAL_RPS</w:t>
            </w:r>
            <w:r w:rsidRPr="005B140C">
              <w:rPr>
                <w:sz w:val="20"/>
                <w:szCs w:val="20"/>
                <w:vertAlign w:val="subscript"/>
              </w:rPr>
              <w:t>it</w:t>
            </w:r>
            <w:proofErr w:type="spellEnd"/>
          </w:p>
        </w:tc>
        <w:tc>
          <w:tcPr>
            <w:tcW w:w="1530" w:type="dxa"/>
            <w:tcBorders>
              <w:top w:val="nil"/>
              <w:left w:val="nil"/>
              <w:bottom w:val="nil"/>
              <w:right w:val="nil"/>
            </w:tcBorders>
          </w:tcPr>
          <w:p w:rsidR="000D31DC" w:rsidRDefault="000D31DC" w:rsidP="00F916F2">
            <w:pPr>
              <w:widowControl w:val="0"/>
              <w:tabs>
                <w:tab w:val="decimal" w:pos="522"/>
              </w:tabs>
              <w:autoSpaceDE w:val="0"/>
              <w:autoSpaceDN w:val="0"/>
              <w:adjustRightInd w:val="0"/>
              <w:spacing w:after="0"/>
              <w:rPr>
                <w:sz w:val="20"/>
                <w:szCs w:val="20"/>
              </w:rPr>
            </w:pPr>
            <w:r>
              <w:rPr>
                <w:sz w:val="20"/>
                <w:szCs w:val="20"/>
              </w:rPr>
              <w:t>–</w:t>
            </w:r>
            <w:r w:rsidRPr="000A59E2">
              <w:rPr>
                <w:sz w:val="20"/>
                <w:szCs w:val="20"/>
              </w:rPr>
              <w:t>0.722</w:t>
            </w:r>
            <w:r w:rsidRPr="000A59E2">
              <w:rPr>
                <w:sz w:val="20"/>
                <w:szCs w:val="20"/>
                <w:vertAlign w:val="superscript"/>
              </w:rPr>
              <w:t>***</w:t>
            </w:r>
          </w:p>
        </w:tc>
      </w:tr>
      <w:tr w:rsidR="000D31DC" w:rsidRPr="00024927" w:rsidTr="00F916F2">
        <w:tc>
          <w:tcPr>
            <w:tcW w:w="4608" w:type="dxa"/>
            <w:tcBorders>
              <w:top w:val="nil"/>
              <w:left w:val="nil"/>
              <w:bottom w:val="nil"/>
              <w:right w:val="nil"/>
            </w:tcBorders>
            <w:vAlign w:val="bottom"/>
          </w:tcPr>
          <w:p w:rsidR="000D31DC" w:rsidRPr="005B140C" w:rsidRDefault="000D31DC" w:rsidP="00F916F2">
            <w:pPr>
              <w:spacing w:after="0"/>
              <w:rPr>
                <w:rFonts w:eastAsia="Times New Roman"/>
                <w:color w:val="000000"/>
                <w:sz w:val="20"/>
                <w:szCs w:val="20"/>
                <w:lang w:val="en-CA" w:eastAsia="en-CA"/>
              </w:rPr>
            </w:pPr>
          </w:p>
        </w:tc>
        <w:tc>
          <w:tcPr>
            <w:tcW w:w="1530" w:type="dxa"/>
            <w:tcBorders>
              <w:top w:val="nil"/>
              <w:left w:val="nil"/>
              <w:bottom w:val="nil"/>
              <w:right w:val="nil"/>
            </w:tcBorders>
          </w:tcPr>
          <w:p w:rsidR="000D31DC" w:rsidRDefault="000D31DC" w:rsidP="00F916F2">
            <w:pPr>
              <w:widowControl w:val="0"/>
              <w:tabs>
                <w:tab w:val="decimal" w:pos="522"/>
              </w:tabs>
              <w:autoSpaceDE w:val="0"/>
              <w:autoSpaceDN w:val="0"/>
              <w:adjustRightInd w:val="0"/>
              <w:spacing w:after="0"/>
              <w:rPr>
                <w:sz w:val="20"/>
                <w:szCs w:val="20"/>
              </w:rPr>
            </w:pPr>
            <w:r w:rsidRPr="000A59E2">
              <w:rPr>
                <w:sz w:val="20"/>
                <w:szCs w:val="20"/>
              </w:rPr>
              <w:t>(0.274)</w:t>
            </w:r>
          </w:p>
        </w:tc>
      </w:tr>
      <w:tr w:rsidR="000D31DC" w:rsidRPr="00024927" w:rsidTr="00F916F2">
        <w:tc>
          <w:tcPr>
            <w:tcW w:w="4608" w:type="dxa"/>
            <w:tcBorders>
              <w:top w:val="nil"/>
              <w:left w:val="nil"/>
              <w:bottom w:val="nil"/>
              <w:right w:val="nil"/>
            </w:tcBorders>
            <w:vAlign w:val="bottom"/>
          </w:tcPr>
          <w:p w:rsidR="000D31DC" w:rsidRPr="005B140C" w:rsidRDefault="000D31DC" w:rsidP="00F916F2">
            <w:pPr>
              <w:spacing w:after="0"/>
              <w:rPr>
                <w:rFonts w:eastAsia="Times New Roman"/>
                <w:color w:val="000000"/>
                <w:sz w:val="20"/>
                <w:szCs w:val="20"/>
                <w:lang w:val="en-CA" w:eastAsia="en-CA"/>
              </w:rPr>
            </w:pPr>
            <w:r w:rsidRPr="005B140C">
              <w:rPr>
                <w:sz w:val="20"/>
                <w:szCs w:val="20"/>
              </w:rPr>
              <w:t>PEER_RPS&gt;</w:t>
            </w:r>
            <w:proofErr w:type="spellStart"/>
            <w:r w:rsidRPr="005B140C">
              <w:rPr>
                <w:sz w:val="20"/>
                <w:szCs w:val="20"/>
              </w:rPr>
              <w:t>FOCAL_RPS</w:t>
            </w:r>
            <w:r w:rsidRPr="005B140C">
              <w:rPr>
                <w:sz w:val="20"/>
                <w:szCs w:val="20"/>
                <w:vertAlign w:val="subscript"/>
              </w:rPr>
              <w:t>it</w:t>
            </w:r>
            <w:proofErr w:type="spellEnd"/>
          </w:p>
        </w:tc>
        <w:tc>
          <w:tcPr>
            <w:tcW w:w="1530" w:type="dxa"/>
            <w:tcBorders>
              <w:top w:val="nil"/>
              <w:left w:val="nil"/>
              <w:bottom w:val="nil"/>
              <w:right w:val="nil"/>
            </w:tcBorders>
          </w:tcPr>
          <w:p w:rsidR="000D31DC" w:rsidRDefault="000D31DC" w:rsidP="00F916F2">
            <w:pPr>
              <w:widowControl w:val="0"/>
              <w:tabs>
                <w:tab w:val="decimal" w:pos="522"/>
              </w:tabs>
              <w:autoSpaceDE w:val="0"/>
              <w:autoSpaceDN w:val="0"/>
              <w:adjustRightInd w:val="0"/>
              <w:spacing w:after="0"/>
              <w:rPr>
                <w:sz w:val="20"/>
                <w:szCs w:val="20"/>
              </w:rPr>
            </w:pPr>
            <w:r w:rsidRPr="000A59E2">
              <w:rPr>
                <w:sz w:val="20"/>
                <w:szCs w:val="20"/>
              </w:rPr>
              <w:t>1.326</w:t>
            </w:r>
            <w:r w:rsidRPr="000A59E2">
              <w:rPr>
                <w:sz w:val="20"/>
                <w:szCs w:val="20"/>
                <w:vertAlign w:val="superscript"/>
              </w:rPr>
              <w:t>***</w:t>
            </w:r>
          </w:p>
        </w:tc>
      </w:tr>
      <w:tr w:rsidR="000D31DC" w:rsidRPr="00024927" w:rsidTr="000D31DC">
        <w:tc>
          <w:tcPr>
            <w:tcW w:w="4608" w:type="dxa"/>
            <w:tcBorders>
              <w:top w:val="nil"/>
              <w:left w:val="nil"/>
              <w:right w:val="nil"/>
            </w:tcBorders>
            <w:vAlign w:val="bottom"/>
          </w:tcPr>
          <w:p w:rsidR="000D31DC" w:rsidRPr="005B140C" w:rsidRDefault="000D31DC" w:rsidP="00F916F2">
            <w:pPr>
              <w:spacing w:after="0"/>
              <w:rPr>
                <w:rFonts w:eastAsia="Times New Roman"/>
                <w:color w:val="000000"/>
                <w:sz w:val="20"/>
                <w:szCs w:val="20"/>
                <w:lang w:val="en-CA" w:eastAsia="en-CA"/>
              </w:rPr>
            </w:pPr>
          </w:p>
        </w:tc>
        <w:tc>
          <w:tcPr>
            <w:tcW w:w="1530" w:type="dxa"/>
            <w:tcBorders>
              <w:top w:val="nil"/>
              <w:left w:val="nil"/>
              <w:right w:val="nil"/>
            </w:tcBorders>
          </w:tcPr>
          <w:p w:rsidR="000D31DC" w:rsidRDefault="000D31DC" w:rsidP="00F916F2">
            <w:pPr>
              <w:widowControl w:val="0"/>
              <w:tabs>
                <w:tab w:val="decimal" w:pos="522"/>
              </w:tabs>
              <w:autoSpaceDE w:val="0"/>
              <w:autoSpaceDN w:val="0"/>
              <w:adjustRightInd w:val="0"/>
              <w:spacing w:after="0"/>
              <w:rPr>
                <w:sz w:val="20"/>
                <w:szCs w:val="20"/>
              </w:rPr>
            </w:pPr>
            <w:r w:rsidRPr="005B140C">
              <w:rPr>
                <w:sz w:val="20"/>
                <w:szCs w:val="20"/>
              </w:rPr>
              <w:t>(0.491)</w:t>
            </w:r>
          </w:p>
        </w:tc>
      </w:tr>
      <w:tr w:rsidR="006E4374" w:rsidRPr="00024927" w:rsidTr="000D31DC">
        <w:tc>
          <w:tcPr>
            <w:tcW w:w="4608" w:type="dxa"/>
            <w:tcBorders>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r w:rsidRPr="005B140C">
              <w:rPr>
                <w:rFonts w:eastAsia="Times New Roman"/>
                <w:color w:val="000000"/>
                <w:sz w:val="20"/>
                <w:szCs w:val="20"/>
                <w:lang w:eastAsia="en-CA"/>
              </w:rPr>
              <w:t>PERCENT_RENEWABLES</w:t>
            </w:r>
            <w:r w:rsidRPr="005B140C">
              <w:rPr>
                <w:rFonts w:eastAsia="Times New Roman"/>
                <w:color w:val="000000"/>
                <w:sz w:val="20"/>
                <w:szCs w:val="20"/>
                <w:vertAlign w:val="subscript"/>
                <w:lang w:eastAsia="en-CA"/>
              </w:rPr>
              <w:t>it</w:t>
            </w:r>
            <w:r w:rsidR="00EC47DA">
              <w:rPr>
                <w:rFonts w:eastAsia="Times New Roman"/>
                <w:color w:val="000000"/>
                <w:sz w:val="20"/>
                <w:szCs w:val="20"/>
                <w:vertAlign w:val="subscript"/>
                <w:lang w:eastAsia="en-CA"/>
              </w:rPr>
              <w:t>–</w:t>
            </w:r>
            <w:r w:rsidRPr="005B140C">
              <w:rPr>
                <w:rFonts w:eastAsia="Times New Roman"/>
                <w:color w:val="000000"/>
                <w:sz w:val="20"/>
                <w:szCs w:val="20"/>
                <w:vertAlign w:val="subscript"/>
                <w:lang w:eastAsia="en-CA"/>
              </w:rPr>
              <w:t>1</w:t>
            </w:r>
          </w:p>
        </w:tc>
        <w:tc>
          <w:tcPr>
            <w:tcW w:w="1530" w:type="dxa"/>
            <w:tcBorders>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0.245</w:t>
            </w:r>
            <w:r w:rsidRPr="005B140C">
              <w:rPr>
                <w:sz w:val="20"/>
                <w:szCs w:val="20"/>
                <w:vertAlign w:val="superscript"/>
              </w:rPr>
              <w:t>***</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(0.031)</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roofErr w:type="spellStart"/>
            <w:r w:rsidRPr="005B140C">
              <w:rPr>
                <w:rFonts w:eastAsia="Times New Roman"/>
                <w:color w:val="000000"/>
                <w:sz w:val="20"/>
                <w:szCs w:val="20"/>
                <w:lang w:eastAsia="en-CA"/>
              </w:rPr>
              <w:t>HOME_RPS</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1.629</w:t>
            </w:r>
            <w:r w:rsidRPr="005B140C">
              <w:rPr>
                <w:sz w:val="20"/>
                <w:szCs w:val="20"/>
                <w:vertAlign w:val="superscript"/>
              </w:rPr>
              <w:t>***</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(0.204)</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roofErr w:type="spellStart"/>
            <w:r w:rsidRPr="005B140C">
              <w:rPr>
                <w:rFonts w:eastAsia="Times New Roman"/>
                <w:color w:val="000000"/>
                <w:sz w:val="20"/>
                <w:szCs w:val="20"/>
                <w:lang w:eastAsia="en-CA"/>
              </w:rPr>
              <w:t>OPERATIONAL_CAPABILITY</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7.078</w:t>
            </w:r>
            <w:r w:rsidRPr="005B140C">
              <w:rPr>
                <w:sz w:val="20"/>
                <w:szCs w:val="20"/>
                <w:vertAlign w:val="superscript"/>
              </w:rPr>
              <w:t>***</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(0.433)</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r w:rsidRPr="005B140C">
              <w:rPr>
                <w:sz w:val="20"/>
                <w:szCs w:val="20"/>
              </w:rPr>
              <w:t>(</w:t>
            </w:r>
            <w:proofErr w:type="spellStart"/>
            <w:r w:rsidRPr="005B140C">
              <w:rPr>
                <w:sz w:val="20"/>
                <w:szCs w:val="20"/>
              </w:rPr>
              <w:t>HOME_RPS</w:t>
            </w:r>
            <w:r w:rsidRPr="005B140C">
              <w:rPr>
                <w:sz w:val="20"/>
                <w:szCs w:val="20"/>
                <w:vertAlign w:val="subscript"/>
              </w:rPr>
              <w:t>it</w:t>
            </w:r>
            <w:proofErr w:type="spellEnd"/>
            <w:r w:rsidRPr="005B140C">
              <w:rPr>
                <w:sz w:val="20"/>
                <w:szCs w:val="20"/>
              </w:rPr>
              <w:t>)*(</w:t>
            </w:r>
            <w:proofErr w:type="spellStart"/>
            <w:r w:rsidRPr="005B140C">
              <w:rPr>
                <w:sz w:val="20"/>
                <w:szCs w:val="20"/>
              </w:rPr>
              <w:t>OPERATIONAL_CAPABILITY</w:t>
            </w:r>
            <w:r w:rsidRPr="005B140C">
              <w:rPr>
                <w:sz w:val="20"/>
                <w:szCs w:val="20"/>
                <w:vertAlign w:val="subscript"/>
              </w:rPr>
              <w:t>it</w:t>
            </w:r>
            <w:proofErr w:type="spellEnd"/>
            <w:r w:rsidRPr="005B140C">
              <w:rPr>
                <w:sz w:val="20"/>
                <w:szCs w:val="20"/>
              </w:rPr>
              <w:t>)</w:t>
            </w: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0.190</w:t>
            </w:r>
            <w:r w:rsidRPr="005B140C">
              <w:rPr>
                <w:sz w:val="20"/>
                <w:szCs w:val="20"/>
                <w:vertAlign w:val="superscript"/>
              </w:rPr>
              <w:t>***</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(0.024)</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roofErr w:type="spellStart"/>
            <w:r w:rsidRPr="005B140C">
              <w:rPr>
                <w:rFonts w:eastAsia="Times New Roman"/>
                <w:color w:val="000000"/>
                <w:sz w:val="20"/>
                <w:szCs w:val="20"/>
                <w:lang w:eastAsia="en-CA"/>
              </w:rPr>
              <w:t>RESIDENTIAL_SALES</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0.342</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(0.221)</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roofErr w:type="spellStart"/>
            <w:r w:rsidRPr="005B140C">
              <w:rPr>
                <w:rFonts w:eastAsia="Times New Roman"/>
                <w:color w:val="000000"/>
                <w:sz w:val="20"/>
                <w:szCs w:val="20"/>
                <w:lang w:eastAsia="en-CA"/>
              </w:rPr>
              <w:t>INDUSTRIAL_SALES</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0.007</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(0.069)</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roofErr w:type="spellStart"/>
            <w:r w:rsidRPr="005B140C">
              <w:rPr>
                <w:rFonts w:eastAsia="Times New Roman"/>
                <w:color w:val="000000"/>
                <w:sz w:val="20"/>
                <w:szCs w:val="20"/>
                <w:lang w:eastAsia="en-CA"/>
              </w:rPr>
              <w:t>MANUFACTURERS</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6.812</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(78.570)</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roofErr w:type="spellStart"/>
            <w:r w:rsidRPr="005B140C">
              <w:rPr>
                <w:rFonts w:eastAsia="Times New Roman"/>
                <w:color w:val="000000"/>
                <w:sz w:val="20"/>
                <w:szCs w:val="20"/>
                <w:lang w:eastAsia="en-CA"/>
              </w:rPr>
              <w:t>FIRM_SIZE</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0.134</w:t>
            </w:r>
            <w:r w:rsidR="006E4374" w:rsidRPr="005B140C">
              <w:rPr>
                <w:sz w:val="20"/>
                <w:szCs w:val="20"/>
                <w:vertAlign w:val="superscript"/>
              </w:rPr>
              <w:t>*</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(0.081)</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roofErr w:type="spellStart"/>
            <w:r w:rsidRPr="005B140C">
              <w:rPr>
                <w:rFonts w:eastAsia="Times New Roman"/>
                <w:color w:val="000000"/>
                <w:sz w:val="20"/>
                <w:szCs w:val="20"/>
                <w:lang w:eastAsia="en-CA"/>
              </w:rPr>
              <w:t>DEREGULATION</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4.279</w:t>
            </w:r>
            <w:r w:rsidRPr="005B140C">
              <w:rPr>
                <w:sz w:val="20"/>
                <w:szCs w:val="20"/>
                <w:vertAlign w:val="superscript"/>
              </w:rPr>
              <w:t>***</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(1.418)</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roofErr w:type="spellStart"/>
            <w:r w:rsidRPr="005B140C">
              <w:rPr>
                <w:rFonts w:eastAsia="Times New Roman"/>
                <w:color w:val="000000"/>
                <w:sz w:val="20"/>
                <w:szCs w:val="20"/>
                <w:lang w:eastAsia="en-CA"/>
              </w:rPr>
              <w:t>VOLUNTARY_REPORTING</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1.336</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(1.179)</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roofErr w:type="spellStart"/>
            <w:r w:rsidRPr="005B140C">
              <w:rPr>
                <w:rFonts w:eastAsia="Times New Roman"/>
                <w:color w:val="000000"/>
                <w:sz w:val="20"/>
                <w:szCs w:val="20"/>
                <w:lang w:eastAsia="en-CA"/>
              </w:rPr>
              <w:t>INVOLUNTARY_REPORTING</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0.193</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(0.381)</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r w:rsidRPr="005B140C">
              <w:rPr>
                <w:rFonts w:eastAsia="Times New Roman"/>
                <w:color w:val="000000"/>
                <w:sz w:val="20"/>
                <w:szCs w:val="20"/>
                <w:lang w:eastAsia="en-CA"/>
              </w:rPr>
              <w:t>CO2_EMISSIONS</w:t>
            </w:r>
            <w:r w:rsidRPr="005B140C">
              <w:rPr>
                <w:rFonts w:eastAsia="Times New Roman"/>
                <w:color w:val="000000"/>
                <w:sz w:val="20"/>
                <w:szCs w:val="20"/>
                <w:vertAlign w:val="subscript"/>
                <w:lang w:eastAsia="en-CA"/>
              </w:rPr>
              <w:t>it</w:t>
            </w: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0.006</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(0.071)</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roofErr w:type="spellStart"/>
            <w:r w:rsidRPr="005B140C">
              <w:rPr>
                <w:rFonts w:eastAsia="Times New Roman"/>
                <w:color w:val="000000"/>
                <w:sz w:val="20"/>
                <w:szCs w:val="20"/>
                <w:lang w:eastAsia="en-CA"/>
              </w:rPr>
              <w:t>SIERRA_CLUB</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0.090</w:t>
            </w:r>
            <w:r w:rsidRPr="005B140C">
              <w:rPr>
                <w:sz w:val="20"/>
                <w:szCs w:val="20"/>
                <w:vertAlign w:val="superscript"/>
              </w:rPr>
              <w:t>***</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(0.032)</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roofErr w:type="spellStart"/>
            <w:r w:rsidRPr="005B140C">
              <w:rPr>
                <w:rFonts w:eastAsia="Times New Roman"/>
                <w:color w:val="000000"/>
                <w:sz w:val="20"/>
                <w:szCs w:val="20"/>
                <w:lang w:eastAsia="en-CA"/>
              </w:rPr>
              <w:t>NUCLEAR_MORATORIUM</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8.407</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(6.211)</w:t>
            </w:r>
          </w:p>
        </w:tc>
      </w:tr>
      <w:tr w:rsidR="006E4374" w:rsidRPr="00024927" w:rsidTr="00BC04D2">
        <w:tc>
          <w:tcPr>
            <w:tcW w:w="4608" w:type="dxa"/>
            <w:tcBorders>
              <w:top w:val="nil"/>
              <w:left w:val="nil"/>
              <w:bottom w:val="nil"/>
              <w:right w:val="nil"/>
            </w:tcBorders>
            <w:vAlign w:val="bottom"/>
          </w:tcPr>
          <w:p w:rsidR="006E4374" w:rsidRPr="005B140C" w:rsidRDefault="006E4374" w:rsidP="00BC04D2">
            <w:pPr>
              <w:spacing w:after="0"/>
              <w:rPr>
                <w:rFonts w:eastAsia="Times New Roman"/>
                <w:color w:val="000000"/>
                <w:sz w:val="20"/>
                <w:szCs w:val="20"/>
                <w:lang w:val="en-CA" w:eastAsia="en-CA"/>
              </w:rPr>
            </w:pPr>
            <w:proofErr w:type="spellStart"/>
            <w:r w:rsidRPr="005B140C">
              <w:rPr>
                <w:rFonts w:eastAsia="Times New Roman"/>
                <w:color w:val="000000"/>
                <w:sz w:val="20"/>
                <w:szCs w:val="20"/>
                <w:lang w:eastAsia="en-CA"/>
              </w:rPr>
              <w:t>DEMOCRATS</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0.422</w:t>
            </w:r>
            <w:r w:rsidRPr="005B140C">
              <w:rPr>
                <w:sz w:val="20"/>
                <w:szCs w:val="20"/>
                <w:vertAlign w:val="superscript"/>
              </w:rPr>
              <w:t>*</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(0.227)</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roofErr w:type="spellStart"/>
            <w:r w:rsidRPr="005B140C">
              <w:rPr>
                <w:rFonts w:eastAsia="Times New Roman"/>
                <w:color w:val="000000"/>
                <w:sz w:val="20"/>
                <w:szCs w:val="20"/>
                <w:lang w:eastAsia="en-CA"/>
              </w:rPr>
              <w:t>BUDGET</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6.195</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jc w:val="center"/>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(15.078)</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roofErr w:type="spellStart"/>
            <w:r w:rsidRPr="005B140C">
              <w:rPr>
                <w:rFonts w:eastAsia="Times New Roman"/>
                <w:color w:val="000000"/>
                <w:sz w:val="20"/>
                <w:szCs w:val="20"/>
                <w:lang w:eastAsia="en-CA"/>
              </w:rPr>
              <w:t>PUC_TENURE</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0.019</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jc w:val="center"/>
              <w:rPr>
                <w:sz w:val="20"/>
                <w:szCs w:val="20"/>
              </w:rPr>
            </w:pP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(0.027)</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proofErr w:type="spellStart"/>
            <w:r w:rsidRPr="005B140C">
              <w:rPr>
                <w:rFonts w:eastAsia="Times New Roman"/>
                <w:color w:val="000000"/>
                <w:sz w:val="20"/>
                <w:szCs w:val="20"/>
                <w:lang w:eastAsia="en-CA"/>
              </w:rPr>
              <w:t>ELECT_PUC</w:t>
            </w:r>
            <w:r w:rsidRPr="005B140C">
              <w:rPr>
                <w:rFonts w:eastAsia="Times New Roman"/>
                <w:color w:val="000000"/>
                <w:sz w:val="20"/>
                <w:szCs w:val="20"/>
                <w:vertAlign w:val="subscript"/>
                <w:lang w:eastAsia="en-CA"/>
              </w:rPr>
              <w:t>it</w:t>
            </w:r>
            <w:proofErr w:type="spellEnd"/>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7.347</w:t>
            </w:r>
          </w:p>
        </w:tc>
      </w:tr>
      <w:tr w:rsidR="006E4374" w:rsidRPr="00024927" w:rsidTr="00BC04D2">
        <w:tc>
          <w:tcPr>
            <w:tcW w:w="4608" w:type="dxa"/>
            <w:tcBorders>
              <w:top w:val="nil"/>
              <w:left w:val="nil"/>
              <w:bottom w:val="single" w:sz="4" w:space="0" w:color="auto"/>
              <w:right w:val="nil"/>
            </w:tcBorders>
          </w:tcPr>
          <w:p w:rsidR="006E4374" w:rsidRPr="005B140C" w:rsidRDefault="006E4374" w:rsidP="00BC04D2">
            <w:pPr>
              <w:widowControl w:val="0"/>
              <w:autoSpaceDE w:val="0"/>
              <w:autoSpaceDN w:val="0"/>
              <w:adjustRightInd w:val="0"/>
              <w:spacing w:after="0"/>
              <w:jc w:val="center"/>
              <w:rPr>
                <w:sz w:val="20"/>
                <w:szCs w:val="20"/>
              </w:rPr>
            </w:pPr>
          </w:p>
        </w:tc>
        <w:tc>
          <w:tcPr>
            <w:tcW w:w="1530" w:type="dxa"/>
            <w:tcBorders>
              <w:top w:val="nil"/>
              <w:left w:val="nil"/>
              <w:bottom w:val="single" w:sz="4" w:space="0" w:color="auto"/>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(20.476)</w:t>
            </w:r>
          </w:p>
        </w:tc>
      </w:tr>
      <w:tr w:rsidR="006E4374" w:rsidRPr="00024927" w:rsidTr="00BC04D2">
        <w:tc>
          <w:tcPr>
            <w:tcW w:w="4608" w:type="dxa"/>
            <w:tcBorders>
              <w:top w:val="single" w:sz="4" w:space="0" w:color="auto"/>
              <w:left w:val="nil"/>
              <w:bottom w:val="nil"/>
              <w:right w:val="nil"/>
            </w:tcBorders>
          </w:tcPr>
          <w:p w:rsidR="006E4374" w:rsidRPr="005B140C" w:rsidRDefault="006E4374" w:rsidP="00BC04D2">
            <w:pPr>
              <w:widowControl w:val="0"/>
              <w:autoSpaceDE w:val="0"/>
              <w:autoSpaceDN w:val="0"/>
              <w:adjustRightInd w:val="0"/>
              <w:spacing w:after="0"/>
              <w:rPr>
                <w:sz w:val="20"/>
                <w:szCs w:val="20"/>
              </w:rPr>
            </w:pPr>
            <w:r w:rsidRPr="005B140C">
              <w:rPr>
                <w:sz w:val="20"/>
                <w:szCs w:val="20"/>
              </w:rPr>
              <w:t>Observations</w:t>
            </w:r>
          </w:p>
        </w:tc>
        <w:tc>
          <w:tcPr>
            <w:tcW w:w="1530" w:type="dxa"/>
            <w:tcBorders>
              <w:top w:val="single" w:sz="4" w:space="0" w:color="auto"/>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762</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r>
              <w:rPr>
                <w:sz w:val="20"/>
                <w:szCs w:val="20"/>
              </w:rPr>
              <w:t>Chi-Square</w:t>
            </w: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10130.10</w:t>
            </w:r>
            <w:r w:rsidRPr="005B140C">
              <w:rPr>
                <w:sz w:val="20"/>
                <w:szCs w:val="20"/>
                <w:vertAlign w:val="superscript"/>
              </w:rPr>
              <w:t>***</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r>
              <w:rPr>
                <w:sz w:val="20"/>
                <w:szCs w:val="20"/>
              </w:rPr>
              <w:t>Instruments</w:t>
            </w:r>
          </w:p>
        </w:tc>
        <w:tc>
          <w:tcPr>
            <w:tcW w:w="1530" w:type="dxa"/>
            <w:tcBorders>
              <w:top w:val="nil"/>
              <w:left w:val="nil"/>
              <w:bottom w:val="nil"/>
              <w:right w:val="nil"/>
            </w:tcBorders>
          </w:tcPr>
          <w:p w:rsidR="006331AC" w:rsidRDefault="006E4374" w:rsidP="006331AC">
            <w:pPr>
              <w:widowControl w:val="0"/>
              <w:tabs>
                <w:tab w:val="decimal" w:pos="522"/>
              </w:tabs>
              <w:autoSpaceDE w:val="0"/>
              <w:autoSpaceDN w:val="0"/>
              <w:adjustRightInd w:val="0"/>
              <w:spacing w:after="0"/>
              <w:rPr>
                <w:sz w:val="20"/>
                <w:szCs w:val="20"/>
              </w:rPr>
            </w:pPr>
            <w:r>
              <w:rPr>
                <w:sz w:val="20"/>
                <w:szCs w:val="20"/>
              </w:rPr>
              <w:t>58</w:t>
            </w:r>
          </w:p>
        </w:tc>
      </w:tr>
      <w:tr w:rsidR="006E4374" w:rsidRPr="00024927" w:rsidTr="00BC04D2">
        <w:tc>
          <w:tcPr>
            <w:tcW w:w="4608" w:type="dxa"/>
            <w:tcBorders>
              <w:top w:val="nil"/>
              <w:left w:val="nil"/>
              <w:bottom w:val="nil"/>
              <w:right w:val="nil"/>
            </w:tcBorders>
          </w:tcPr>
          <w:p w:rsidR="006E4374" w:rsidRPr="005B140C" w:rsidRDefault="006E4374" w:rsidP="00BC04D2">
            <w:pPr>
              <w:widowControl w:val="0"/>
              <w:autoSpaceDE w:val="0"/>
              <w:autoSpaceDN w:val="0"/>
              <w:adjustRightInd w:val="0"/>
              <w:spacing w:after="0"/>
              <w:rPr>
                <w:sz w:val="20"/>
                <w:szCs w:val="20"/>
              </w:rPr>
            </w:pPr>
            <w:r>
              <w:rPr>
                <w:sz w:val="20"/>
                <w:szCs w:val="20"/>
              </w:rPr>
              <w:t>AR(1)</w:t>
            </w:r>
          </w:p>
        </w:tc>
        <w:tc>
          <w:tcPr>
            <w:tcW w:w="1530" w:type="dxa"/>
            <w:tcBorders>
              <w:top w:val="nil"/>
              <w:left w:val="nil"/>
              <w:bottom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1.390</w:t>
            </w:r>
          </w:p>
        </w:tc>
      </w:tr>
      <w:tr w:rsidR="006E4374" w:rsidRPr="00024927" w:rsidTr="00BC04D2">
        <w:tc>
          <w:tcPr>
            <w:tcW w:w="4608" w:type="dxa"/>
            <w:tcBorders>
              <w:top w:val="nil"/>
              <w:left w:val="nil"/>
              <w:right w:val="nil"/>
            </w:tcBorders>
          </w:tcPr>
          <w:p w:rsidR="006E4374" w:rsidRPr="005B140C" w:rsidRDefault="006E4374" w:rsidP="00BC04D2">
            <w:pPr>
              <w:widowControl w:val="0"/>
              <w:autoSpaceDE w:val="0"/>
              <w:autoSpaceDN w:val="0"/>
              <w:adjustRightInd w:val="0"/>
              <w:spacing w:after="0"/>
              <w:rPr>
                <w:sz w:val="20"/>
                <w:szCs w:val="20"/>
              </w:rPr>
            </w:pPr>
            <w:r>
              <w:rPr>
                <w:sz w:val="20"/>
                <w:szCs w:val="20"/>
              </w:rPr>
              <w:t>AR(2)</w:t>
            </w:r>
          </w:p>
        </w:tc>
        <w:tc>
          <w:tcPr>
            <w:tcW w:w="1530" w:type="dxa"/>
            <w:tcBorders>
              <w:top w:val="nil"/>
              <w:left w:val="nil"/>
              <w:right w:val="nil"/>
            </w:tcBorders>
          </w:tcPr>
          <w:p w:rsidR="006331AC" w:rsidRDefault="00EC47DA" w:rsidP="006331AC">
            <w:pPr>
              <w:widowControl w:val="0"/>
              <w:tabs>
                <w:tab w:val="decimal" w:pos="522"/>
              </w:tabs>
              <w:autoSpaceDE w:val="0"/>
              <w:autoSpaceDN w:val="0"/>
              <w:adjustRightInd w:val="0"/>
              <w:spacing w:after="0"/>
              <w:rPr>
                <w:sz w:val="20"/>
                <w:szCs w:val="20"/>
              </w:rPr>
            </w:pPr>
            <w:r>
              <w:rPr>
                <w:sz w:val="20"/>
                <w:szCs w:val="20"/>
              </w:rPr>
              <w:t>–</w:t>
            </w:r>
            <w:r w:rsidR="006E4374" w:rsidRPr="005B140C">
              <w:rPr>
                <w:sz w:val="20"/>
                <w:szCs w:val="20"/>
              </w:rPr>
              <w:t>0.056</w:t>
            </w:r>
          </w:p>
        </w:tc>
      </w:tr>
      <w:tr w:rsidR="006E4374" w:rsidRPr="00024927" w:rsidTr="00BC04D2">
        <w:tc>
          <w:tcPr>
            <w:tcW w:w="4608" w:type="dxa"/>
            <w:tcBorders>
              <w:top w:val="nil"/>
              <w:left w:val="nil"/>
              <w:bottom w:val="single" w:sz="4" w:space="0" w:color="auto"/>
              <w:right w:val="nil"/>
            </w:tcBorders>
          </w:tcPr>
          <w:p w:rsidR="006E4374" w:rsidRPr="00611E19" w:rsidRDefault="006E4374" w:rsidP="00BC04D2">
            <w:pPr>
              <w:widowControl w:val="0"/>
              <w:autoSpaceDE w:val="0"/>
              <w:autoSpaceDN w:val="0"/>
              <w:adjustRightInd w:val="0"/>
              <w:spacing w:after="0"/>
              <w:rPr>
                <w:sz w:val="20"/>
                <w:szCs w:val="24"/>
              </w:rPr>
            </w:pPr>
            <w:r>
              <w:rPr>
                <w:sz w:val="20"/>
                <w:szCs w:val="24"/>
              </w:rPr>
              <w:t>H</w:t>
            </w:r>
            <w:r w:rsidRPr="00611E19">
              <w:rPr>
                <w:sz w:val="20"/>
                <w:szCs w:val="24"/>
              </w:rPr>
              <w:t>ansen</w:t>
            </w:r>
            <w:r>
              <w:rPr>
                <w:sz w:val="20"/>
                <w:szCs w:val="24"/>
              </w:rPr>
              <w:t xml:space="preserve"> J Test</w:t>
            </w:r>
          </w:p>
        </w:tc>
        <w:tc>
          <w:tcPr>
            <w:tcW w:w="1530" w:type="dxa"/>
            <w:tcBorders>
              <w:top w:val="nil"/>
              <w:left w:val="nil"/>
              <w:bottom w:val="single" w:sz="4" w:space="0" w:color="auto"/>
              <w:right w:val="nil"/>
            </w:tcBorders>
          </w:tcPr>
          <w:p w:rsidR="006331AC" w:rsidRDefault="006E4374" w:rsidP="006331AC">
            <w:pPr>
              <w:widowControl w:val="0"/>
              <w:tabs>
                <w:tab w:val="decimal" w:pos="522"/>
              </w:tabs>
              <w:autoSpaceDE w:val="0"/>
              <w:autoSpaceDN w:val="0"/>
              <w:adjustRightInd w:val="0"/>
              <w:spacing w:after="0"/>
              <w:rPr>
                <w:sz w:val="20"/>
                <w:szCs w:val="20"/>
              </w:rPr>
            </w:pPr>
            <w:r w:rsidRPr="005B140C">
              <w:rPr>
                <w:sz w:val="20"/>
                <w:szCs w:val="20"/>
              </w:rPr>
              <w:t>26.561</w:t>
            </w:r>
          </w:p>
        </w:tc>
      </w:tr>
    </w:tbl>
    <w:p w:rsidR="00992C66" w:rsidRDefault="00992C66" w:rsidP="006E4374">
      <w:pPr>
        <w:widowControl w:val="0"/>
        <w:autoSpaceDE w:val="0"/>
        <w:autoSpaceDN w:val="0"/>
        <w:adjustRightInd w:val="0"/>
        <w:spacing w:after="0"/>
        <w:rPr>
          <w:sz w:val="20"/>
          <w:szCs w:val="20"/>
        </w:rPr>
      </w:pPr>
      <w:r>
        <w:rPr>
          <w:sz w:val="20"/>
          <w:szCs w:val="20"/>
        </w:rPr>
        <w:t>Notes:</w:t>
      </w:r>
    </w:p>
    <w:p w:rsidR="006E4374" w:rsidRDefault="006E4374" w:rsidP="006E4374">
      <w:pPr>
        <w:widowControl w:val="0"/>
        <w:autoSpaceDE w:val="0"/>
        <w:autoSpaceDN w:val="0"/>
        <w:adjustRightInd w:val="0"/>
        <w:spacing w:after="0"/>
        <w:rPr>
          <w:sz w:val="20"/>
          <w:szCs w:val="20"/>
        </w:rPr>
      </w:pPr>
      <w:r>
        <w:rPr>
          <w:sz w:val="20"/>
          <w:szCs w:val="20"/>
        </w:rPr>
        <w:t>Standard errors in parentheses</w:t>
      </w:r>
    </w:p>
    <w:p w:rsidR="006E4374" w:rsidRDefault="006E4374" w:rsidP="006E4374">
      <w:pPr>
        <w:widowControl w:val="0"/>
        <w:autoSpaceDE w:val="0"/>
        <w:autoSpaceDN w:val="0"/>
        <w:adjustRightInd w:val="0"/>
        <w:spacing w:after="0"/>
        <w:rPr>
          <w:sz w:val="20"/>
          <w:szCs w:val="20"/>
        </w:rPr>
      </w:pPr>
      <w:r>
        <w:rPr>
          <w:sz w:val="20"/>
          <w:szCs w:val="20"/>
          <w:vertAlign w:val="superscript"/>
        </w:rPr>
        <w:t>*</w:t>
      </w:r>
      <w:r>
        <w:rPr>
          <w:sz w:val="20"/>
          <w:szCs w:val="20"/>
        </w:rPr>
        <w:t xml:space="preserve"> </w:t>
      </w:r>
      <w:proofErr w:type="gramStart"/>
      <w:r>
        <w:rPr>
          <w:i/>
          <w:iCs/>
          <w:sz w:val="20"/>
          <w:szCs w:val="20"/>
        </w:rPr>
        <w:t>p</w:t>
      </w:r>
      <w:proofErr w:type="gramEnd"/>
      <w:r>
        <w:rPr>
          <w:sz w:val="20"/>
          <w:szCs w:val="20"/>
        </w:rPr>
        <w:t xml:space="preserve"> &lt; 0.10, </w:t>
      </w: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w:t>
      </w:r>
    </w:p>
    <w:p w:rsidR="006E4374" w:rsidRDefault="006E4374" w:rsidP="006E4374">
      <w:pPr>
        <w:spacing w:after="0"/>
        <w:rPr>
          <w:b/>
          <w:szCs w:val="20"/>
        </w:rPr>
      </w:pPr>
    </w:p>
    <w:p w:rsidR="006E4374" w:rsidRPr="005B743C" w:rsidRDefault="006331AC" w:rsidP="006E4374">
      <w:pPr>
        <w:spacing w:after="0"/>
        <w:rPr>
          <w:szCs w:val="20"/>
        </w:rPr>
      </w:pPr>
      <w:r w:rsidRPr="006331AC">
        <w:rPr>
          <w:szCs w:val="20"/>
        </w:rPr>
        <w:t>Table 5</w:t>
      </w:r>
      <w:r w:rsidR="00992C66">
        <w:rPr>
          <w:szCs w:val="20"/>
        </w:rPr>
        <w:t>.</w:t>
      </w:r>
      <w:r w:rsidR="00992C66">
        <w:rPr>
          <w:szCs w:val="20"/>
        </w:rPr>
        <w:tab/>
      </w:r>
      <w:r w:rsidR="006E4374" w:rsidRPr="005B743C">
        <w:rPr>
          <w:szCs w:val="20"/>
        </w:rPr>
        <w:t xml:space="preserve">GMM </w:t>
      </w:r>
      <w:r w:rsidR="00992C66">
        <w:rPr>
          <w:szCs w:val="20"/>
        </w:rPr>
        <w:t>r</w:t>
      </w:r>
      <w:r w:rsidR="006E4374" w:rsidRPr="005B743C">
        <w:rPr>
          <w:szCs w:val="20"/>
        </w:rPr>
        <w:t xml:space="preserve">egression </w:t>
      </w:r>
      <w:r w:rsidR="00992C66">
        <w:rPr>
          <w:szCs w:val="20"/>
        </w:rPr>
        <w:t>m</w:t>
      </w:r>
      <w:r w:rsidR="006E4374" w:rsidRPr="005B743C">
        <w:rPr>
          <w:szCs w:val="20"/>
        </w:rPr>
        <w:t xml:space="preserve">odels of </w:t>
      </w:r>
      <w:r w:rsidR="00992C66">
        <w:rPr>
          <w:szCs w:val="20"/>
        </w:rPr>
        <w:t>r</w:t>
      </w:r>
      <w:r w:rsidR="006E4374" w:rsidRPr="005B743C">
        <w:rPr>
          <w:szCs w:val="20"/>
        </w:rPr>
        <w:t xml:space="preserve">enewable </w:t>
      </w:r>
      <w:r w:rsidR="00992C66">
        <w:rPr>
          <w:szCs w:val="20"/>
        </w:rPr>
        <w:t>e</w:t>
      </w:r>
      <w:r w:rsidR="006E4374" w:rsidRPr="005B743C">
        <w:rPr>
          <w:szCs w:val="20"/>
        </w:rPr>
        <w:t xml:space="preserve">nergy </w:t>
      </w:r>
      <w:r w:rsidR="00992C66">
        <w:rPr>
          <w:szCs w:val="20"/>
        </w:rPr>
        <w:t>p</w:t>
      </w:r>
      <w:r w:rsidR="006E4374" w:rsidRPr="005B743C">
        <w:rPr>
          <w:szCs w:val="20"/>
        </w:rPr>
        <w:t>urchases</w:t>
      </w:r>
    </w:p>
    <w:tbl>
      <w:tblPr>
        <w:tblW w:w="5687" w:type="dxa"/>
        <w:tblLayout w:type="fixed"/>
        <w:tblLook w:val="0000" w:firstRow="0" w:lastRow="0" w:firstColumn="0" w:lastColumn="0" w:noHBand="0" w:noVBand="0"/>
      </w:tblPr>
      <w:tblGrid>
        <w:gridCol w:w="4561"/>
        <w:gridCol w:w="1126"/>
      </w:tblGrid>
      <w:tr w:rsidR="006E4374" w:rsidRPr="00AF76B8" w:rsidTr="000D31DC">
        <w:tc>
          <w:tcPr>
            <w:tcW w:w="4561" w:type="dxa"/>
            <w:tcBorders>
              <w:top w:val="single" w:sz="4" w:space="0" w:color="auto"/>
              <w:left w:val="nil"/>
              <w:bottom w:val="single" w:sz="4" w:space="0" w:color="auto"/>
              <w:right w:val="nil"/>
            </w:tcBorders>
          </w:tcPr>
          <w:p w:rsidR="006E4374" w:rsidRDefault="006E4374" w:rsidP="00BC04D2">
            <w:pPr>
              <w:widowControl w:val="0"/>
              <w:autoSpaceDE w:val="0"/>
              <w:autoSpaceDN w:val="0"/>
              <w:adjustRightInd w:val="0"/>
              <w:spacing w:after="0"/>
              <w:jc w:val="center"/>
              <w:rPr>
                <w:sz w:val="20"/>
                <w:szCs w:val="24"/>
              </w:rPr>
            </w:pPr>
          </w:p>
        </w:tc>
        <w:tc>
          <w:tcPr>
            <w:tcW w:w="1126" w:type="dxa"/>
            <w:tcBorders>
              <w:top w:val="single" w:sz="4" w:space="0" w:color="auto"/>
              <w:left w:val="nil"/>
              <w:bottom w:val="single" w:sz="4" w:space="0" w:color="auto"/>
              <w:right w:val="nil"/>
            </w:tcBorders>
          </w:tcPr>
          <w:p w:rsidR="006E4374" w:rsidRPr="00AF76B8" w:rsidRDefault="006E4374" w:rsidP="00BC04D2">
            <w:pPr>
              <w:widowControl w:val="0"/>
              <w:autoSpaceDE w:val="0"/>
              <w:autoSpaceDN w:val="0"/>
              <w:adjustRightInd w:val="0"/>
              <w:spacing w:after="0"/>
              <w:jc w:val="center"/>
              <w:rPr>
                <w:sz w:val="20"/>
                <w:szCs w:val="24"/>
              </w:rPr>
            </w:pPr>
            <w:r>
              <w:rPr>
                <w:sz w:val="20"/>
                <w:szCs w:val="24"/>
              </w:rPr>
              <w:t>(6</w:t>
            </w:r>
            <w:r w:rsidRPr="00AF76B8">
              <w:rPr>
                <w:sz w:val="20"/>
                <w:szCs w:val="24"/>
              </w:rPr>
              <w:t>)</w:t>
            </w:r>
          </w:p>
        </w:tc>
      </w:tr>
      <w:tr w:rsidR="000D31DC" w:rsidRPr="00AF76B8" w:rsidTr="000D31DC">
        <w:tc>
          <w:tcPr>
            <w:tcW w:w="4561" w:type="dxa"/>
            <w:tcBorders>
              <w:top w:val="single" w:sz="4" w:space="0" w:color="auto"/>
              <w:left w:val="nil"/>
              <w:bottom w:val="nil"/>
              <w:right w:val="nil"/>
            </w:tcBorders>
            <w:vAlign w:val="bottom"/>
          </w:tcPr>
          <w:p w:rsidR="000D31DC" w:rsidRPr="00A642DD" w:rsidRDefault="000D31DC" w:rsidP="00F916F2">
            <w:pPr>
              <w:spacing w:after="0"/>
              <w:rPr>
                <w:rFonts w:eastAsia="Times New Roman"/>
                <w:color w:val="000000"/>
                <w:sz w:val="20"/>
                <w:szCs w:val="16"/>
                <w:lang w:eastAsia="en-CA"/>
              </w:rPr>
            </w:pPr>
            <w:r w:rsidRPr="00A642DD">
              <w:rPr>
                <w:rFonts w:eastAsia="Times New Roman"/>
                <w:color w:val="000000"/>
                <w:sz w:val="20"/>
                <w:szCs w:val="16"/>
                <w:lang w:eastAsia="en-CA"/>
              </w:rPr>
              <w:t>NEIGHBOR _</w:t>
            </w:r>
            <w:proofErr w:type="spellStart"/>
            <w:r w:rsidRPr="00A642DD">
              <w:rPr>
                <w:rFonts w:eastAsia="Times New Roman"/>
                <w:color w:val="000000"/>
                <w:sz w:val="20"/>
                <w:szCs w:val="16"/>
                <w:lang w:eastAsia="en-CA"/>
              </w:rPr>
              <w:t>EFFECT</w:t>
            </w:r>
            <w:r w:rsidRPr="00A642DD">
              <w:rPr>
                <w:rFonts w:eastAsia="Times New Roman"/>
                <w:color w:val="000000"/>
                <w:sz w:val="20"/>
                <w:szCs w:val="16"/>
                <w:vertAlign w:val="subscript"/>
                <w:lang w:eastAsia="en-CA"/>
              </w:rPr>
              <w:t>it</w:t>
            </w:r>
            <w:proofErr w:type="spellEnd"/>
          </w:p>
        </w:tc>
        <w:tc>
          <w:tcPr>
            <w:tcW w:w="1126" w:type="dxa"/>
            <w:tcBorders>
              <w:top w:val="single" w:sz="4" w:space="0" w:color="auto"/>
              <w:left w:val="nil"/>
              <w:bottom w:val="nil"/>
              <w:right w:val="nil"/>
            </w:tcBorders>
          </w:tcPr>
          <w:p w:rsidR="000D31DC" w:rsidRDefault="000D31DC" w:rsidP="00F916F2">
            <w:pPr>
              <w:widowControl w:val="0"/>
              <w:tabs>
                <w:tab w:val="decimal" w:pos="389"/>
              </w:tabs>
              <w:autoSpaceDE w:val="0"/>
              <w:autoSpaceDN w:val="0"/>
              <w:adjustRightInd w:val="0"/>
              <w:spacing w:after="0"/>
              <w:rPr>
                <w:sz w:val="20"/>
                <w:szCs w:val="24"/>
              </w:rPr>
            </w:pPr>
            <w:r>
              <w:rPr>
                <w:sz w:val="20"/>
                <w:szCs w:val="24"/>
              </w:rPr>
              <w:t>–</w:t>
            </w:r>
            <w:r w:rsidRPr="00AF76B8">
              <w:rPr>
                <w:sz w:val="20"/>
                <w:szCs w:val="24"/>
              </w:rPr>
              <w:t>0.004</w:t>
            </w:r>
          </w:p>
        </w:tc>
      </w:tr>
      <w:tr w:rsidR="000D31DC" w:rsidRPr="00AF76B8" w:rsidTr="00F916F2">
        <w:tc>
          <w:tcPr>
            <w:tcW w:w="4561" w:type="dxa"/>
            <w:tcBorders>
              <w:top w:val="nil"/>
              <w:left w:val="nil"/>
              <w:bottom w:val="nil"/>
              <w:right w:val="nil"/>
            </w:tcBorders>
            <w:vAlign w:val="bottom"/>
          </w:tcPr>
          <w:p w:rsidR="000D31DC" w:rsidRPr="00A642DD" w:rsidRDefault="000D31DC" w:rsidP="00F916F2">
            <w:pPr>
              <w:spacing w:after="0"/>
              <w:rPr>
                <w:rFonts w:eastAsia="Times New Roman"/>
                <w:color w:val="000000"/>
                <w:sz w:val="20"/>
                <w:szCs w:val="16"/>
                <w:lang w:eastAsia="en-CA"/>
              </w:rPr>
            </w:pPr>
          </w:p>
        </w:tc>
        <w:tc>
          <w:tcPr>
            <w:tcW w:w="1126" w:type="dxa"/>
            <w:tcBorders>
              <w:top w:val="nil"/>
              <w:left w:val="nil"/>
              <w:bottom w:val="nil"/>
              <w:right w:val="nil"/>
            </w:tcBorders>
          </w:tcPr>
          <w:p w:rsidR="000D31DC" w:rsidRDefault="000D31DC" w:rsidP="00F916F2">
            <w:pPr>
              <w:widowControl w:val="0"/>
              <w:tabs>
                <w:tab w:val="decimal" w:pos="389"/>
              </w:tabs>
              <w:autoSpaceDE w:val="0"/>
              <w:autoSpaceDN w:val="0"/>
              <w:adjustRightInd w:val="0"/>
              <w:spacing w:after="0"/>
              <w:rPr>
                <w:sz w:val="20"/>
                <w:szCs w:val="24"/>
              </w:rPr>
            </w:pPr>
            <w:r w:rsidRPr="00AF76B8">
              <w:rPr>
                <w:sz w:val="20"/>
                <w:szCs w:val="24"/>
              </w:rPr>
              <w:t>(0.062)</w:t>
            </w:r>
          </w:p>
        </w:tc>
      </w:tr>
      <w:tr w:rsidR="000D31DC" w:rsidRPr="00AF76B8" w:rsidTr="00F916F2">
        <w:tc>
          <w:tcPr>
            <w:tcW w:w="4561" w:type="dxa"/>
            <w:tcBorders>
              <w:top w:val="nil"/>
              <w:left w:val="nil"/>
              <w:bottom w:val="nil"/>
              <w:right w:val="nil"/>
            </w:tcBorders>
            <w:vAlign w:val="bottom"/>
          </w:tcPr>
          <w:p w:rsidR="000D31DC" w:rsidRPr="00A642DD" w:rsidRDefault="000D31DC" w:rsidP="00F916F2">
            <w:pPr>
              <w:spacing w:after="0"/>
              <w:rPr>
                <w:rFonts w:eastAsia="Times New Roman"/>
                <w:color w:val="000000"/>
                <w:sz w:val="20"/>
                <w:szCs w:val="16"/>
                <w:lang w:val="en-CA" w:eastAsia="en-CA"/>
              </w:rPr>
            </w:pPr>
            <w:r w:rsidRPr="00A642DD">
              <w:rPr>
                <w:rFonts w:eastAsia="Times New Roman"/>
                <w:color w:val="000000"/>
                <w:sz w:val="20"/>
                <w:szCs w:val="16"/>
                <w:lang w:eastAsia="en-CA"/>
              </w:rPr>
              <w:t>PEER _</w:t>
            </w:r>
            <w:proofErr w:type="spellStart"/>
            <w:r w:rsidRPr="00A642DD">
              <w:rPr>
                <w:rFonts w:eastAsia="Times New Roman"/>
                <w:color w:val="000000"/>
                <w:sz w:val="20"/>
                <w:szCs w:val="16"/>
                <w:lang w:eastAsia="en-CA"/>
              </w:rPr>
              <w:t>EFFECT</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0D31DC" w:rsidRDefault="000D31DC" w:rsidP="00F916F2">
            <w:pPr>
              <w:widowControl w:val="0"/>
              <w:tabs>
                <w:tab w:val="decimal" w:pos="389"/>
              </w:tabs>
              <w:autoSpaceDE w:val="0"/>
              <w:autoSpaceDN w:val="0"/>
              <w:adjustRightInd w:val="0"/>
              <w:spacing w:after="0"/>
              <w:rPr>
                <w:sz w:val="20"/>
                <w:szCs w:val="24"/>
              </w:rPr>
            </w:pPr>
            <w:r w:rsidRPr="00AF76B8">
              <w:rPr>
                <w:sz w:val="20"/>
                <w:szCs w:val="24"/>
              </w:rPr>
              <w:t>0.055</w:t>
            </w:r>
          </w:p>
        </w:tc>
      </w:tr>
      <w:tr w:rsidR="000D31DC" w:rsidRPr="00AF76B8" w:rsidTr="000D31DC">
        <w:tc>
          <w:tcPr>
            <w:tcW w:w="4561" w:type="dxa"/>
            <w:tcBorders>
              <w:top w:val="nil"/>
              <w:left w:val="nil"/>
              <w:right w:val="nil"/>
            </w:tcBorders>
            <w:vAlign w:val="bottom"/>
          </w:tcPr>
          <w:p w:rsidR="000D31DC" w:rsidRPr="00A642DD" w:rsidRDefault="000D31DC" w:rsidP="00F916F2">
            <w:pPr>
              <w:spacing w:after="0"/>
              <w:rPr>
                <w:rFonts w:eastAsia="Times New Roman"/>
                <w:color w:val="000000"/>
                <w:sz w:val="20"/>
                <w:szCs w:val="16"/>
                <w:lang w:val="en-CA" w:eastAsia="en-CA"/>
              </w:rPr>
            </w:pPr>
          </w:p>
        </w:tc>
        <w:tc>
          <w:tcPr>
            <w:tcW w:w="1126" w:type="dxa"/>
            <w:tcBorders>
              <w:top w:val="nil"/>
              <w:left w:val="nil"/>
              <w:right w:val="nil"/>
            </w:tcBorders>
          </w:tcPr>
          <w:p w:rsidR="000D31DC" w:rsidRDefault="000D31DC" w:rsidP="00F916F2">
            <w:pPr>
              <w:widowControl w:val="0"/>
              <w:tabs>
                <w:tab w:val="decimal" w:pos="389"/>
              </w:tabs>
              <w:autoSpaceDE w:val="0"/>
              <w:autoSpaceDN w:val="0"/>
              <w:adjustRightInd w:val="0"/>
              <w:spacing w:after="0"/>
              <w:rPr>
                <w:sz w:val="20"/>
                <w:szCs w:val="24"/>
              </w:rPr>
            </w:pPr>
            <w:r w:rsidRPr="00AF76B8">
              <w:rPr>
                <w:sz w:val="20"/>
                <w:szCs w:val="24"/>
              </w:rPr>
              <w:t>(0.040)</w:t>
            </w:r>
          </w:p>
        </w:tc>
      </w:tr>
      <w:tr w:rsidR="000D31DC" w:rsidRPr="00AF76B8" w:rsidTr="000D31DC">
        <w:tc>
          <w:tcPr>
            <w:tcW w:w="4561" w:type="dxa"/>
            <w:tcBorders>
              <w:left w:val="nil"/>
              <w:bottom w:val="nil"/>
              <w:right w:val="nil"/>
            </w:tcBorders>
            <w:vAlign w:val="bottom"/>
          </w:tcPr>
          <w:p w:rsidR="000D31DC" w:rsidRPr="00A642DD" w:rsidRDefault="000D31DC" w:rsidP="00BC04D2">
            <w:pPr>
              <w:spacing w:after="0"/>
              <w:rPr>
                <w:rFonts w:eastAsia="Times New Roman"/>
                <w:color w:val="000000"/>
                <w:sz w:val="20"/>
                <w:szCs w:val="16"/>
                <w:lang w:eastAsia="en-CA"/>
              </w:rPr>
            </w:pPr>
          </w:p>
        </w:tc>
        <w:tc>
          <w:tcPr>
            <w:tcW w:w="1126" w:type="dxa"/>
            <w:tcBorders>
              <w:left w:val="nil"/>
              <w:bottom w:val="nil"/>
              <w:right w:val="nil"/>
            </w:tcBorders>
          </w:tcPr>
          <w:p w:rsidR="000D31DC" w:rsidRPr="00AF76B8" w:rsidRDefault="000D31DC" w:rsidP="006331AC">
            <w:pPr>
              <w:widowControl w:val="0"/>
              <w:tabs>
                <w:tab w:val="decimal" w:pos="389"/>
              </w:tabs>
              <w:autoSpaceDE w:val="0"/>
              <w:autoSpaceDN w:val="0"/>
              <w:adjustRightInd w:val="0"/>
              <w:spacing w:after="0"/>
              <w:jc w:val="center"/>
              <w:rPr>
                <w:sz w:val="20"/>
                <w:szCs w:val="24"/>
              </w:rPr>
            </w:pPr>
          </w:p>
        </w:tc>
      </w:tr>
      <w:tr w:rsidR="006E4374" w:rsidRPr="00AF76B8" w:rsidTr="000D31DC">
        <w:tc>
          <w:tcPr>
            <w:tcW w:w="4561" w:type="dxa"/>
            <w:tcBorders>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r w:rsidRPr="00A642DD">
              <w:rPr>
                <w:rFonts w:eastAsia="Times New Roman"/>
                <w:color w:val="000000"/>
                <w:sz w:val="20"/>
                <w:szCs w:val="16"/>
                <w:lang w:eastAsia="en-CA"/>
              </w:rPr>
              <w:t>PERCENT_RENEWABLE</w:t>
            </w:r>
            <w:r>
              <w:rPr>
                <w:rFonts w:eastAsia="Times New Roman"/>
                <w:color w:val="000000"/>
                <w:sz w:val="20"/>
                <w:szCs w:val="16"/>
                <w:lang w:eastAsia="en-CA"/>
              </w:rPr>
              <w:t>_PURCHASES</w:t>
            </w:r>
            <w:r w:rsidRPr="00A642DD">
              <w:rPr>
                <w:rFonts w:eastAsia="Times New Roman"/>
                <w:color w:val="000000"/>
                <w:sz w:val="20"/>
                <w:szCs w:val="16"/>
                <w:vertAlign w:val="subscript"/>
                <w:lang w:eastAsia="en-CA"/>
              </w:rPr>
              <w:t>it</w:t>
            </w:r>
            <w:r w:rsidR="00EC47DA">
              <w:rPr>
                <w:rFonts w:eastAsia="Times New Roman"/>
                <w:color w:val="000000"/>
                <w:sz w:val="20"/>
                <w:szCs w:val="16"/>
                <w:vertAlign w:val="subscript"/>
                <w:lang w:eastAsia="en-CA"/>
              </w:rPr>
              <w:t>–</w:t>
            </w:r>
            <w:r w:rsidRPr="00A642DD">
              <w:rPr>
                <w:rFonts w:eastAsia="Times New Roman"/>
                <w:color w:val="000000"/>
                <w:sz w:val="20"/>
                <w:szCs w:val="16"/>
                <w:vertAlign w:val="subscript"/>
                <w:lang w:eastAsia="en-CA"/>
              </w:rPr>
              <w:t>1</w:t>
            </w:r>
          </w:p>
        </w:tc>
        <w:tc>
          <w:tcPr>
            <w:tcW w:w="1126" w:type="dxa"/>
            <w:tcBorders>
              <w:left w:val="nil"/>
              <w:bottom w:val="nil"/>
              <w:right w:val="nil"/>
            </w:tcBorders>
          </w:tcPr>
          <w:p w:rsidR="006331AC" w:rsidRDefault="006E4374" w:rsidP="006331AC">
            <w:pPr>
              <w:widowControl w:val="0"/>
              <w:tabs>
                <w:tab w:val="decimal" w:pos="389"/>
              </w:tabs>
              <w:autoSpaceDE w:val="0"/>
              <w:autoSpaceDN w:val="0"/>
              <w:adjustRightInd w:val="0"/>
              <w:spacing w:after="0"/>
              <w:jc w:val="center"/>
              <w:rPr>
                <w:sz w:val="20"/>
                <w:szCs w:val="24"/>
              </w:rPr>
            </w:pPr>
            <w:r w:rsidRPr="00AF76B8">
              <w:rPr>
                <w:sz w:val="20"/>
                <w:szCs w:val="24"/>
              </w:rPr>
              <w:t>0.284</w:t>
            </w:r>
            <w:r w:rsidRPr="00AF76B8">
              <w:rPr>
                <w:sz w:val="20"/>
                <w:szCs w:val="24"/>
                <w:vertAlign w:val="superscript"/>
              </w:rPr>
              <w:t>***</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jc w:val="center"/>
              <w:rPr>
                <w:sz w:val="20"/>
                <w:szCs w:val="24"/>
              </w:rPr>
            </w:pPr>
            <w:r w:rsidRPr="00AF76B8">
              <w:rPr>
                <w:sz w:val="20"/>
                <w:szCs w:val="24"/>
              </w:rPr>
              <w:t>(0.031)</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HOME_RPS</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jc w:val="center"/>
              <w:rPr>
                <w:sz w:val="20"/>
                <w:szCs w:val="24"/>
              </w:rPr>
            </w:pPr>
            <w:r w:rsidRPr="00AF76B8">
              <w:rPr>
                <w:sz w:val="20"/>
                <w:szCs w:val="24"/>
              </w:rPr>
              <w:t>0.788</w:t>
            </w:r>
            <w:r w:rsidRPr="00AF76B8">
              <w:rPr>
                <w:sz w:val="20"/>
                <w:szCs w:val="24"/>
                <w:vertAlign w:val="superscript"/>
              </w:rPr>
              <w:t>***</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jc w:val="center"/>
              <w:rPr>
                <w:sz w:val="20"/>
                <w:szCs w:val="24"/>
              </w:rPr>
            </w:pPr>
            <w:r w:rsidRPr="00AF76B8">
              <w:rPr>
                <w:sz w:val="20"/>
                <w:szCs w:val="24"/>
              </w:rPr>
              <w:t>(0.163)</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OPERATIONAL_CAPABILITY</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jc w:val="center"/>
              <w:rPr>
                <w:sz w:val="20"/>
                <w:szCs w:val="24"/>
              </w:rPr>
            </w:pPr>
            <w:r w:rsidRPr="00AF76B8">
              <w:rPr>
                <w:sz w:val="20"/>
                <w:szCs w:val="24"/>
              </w:rPr>
              <w:t>5.823</w:t>
            </w:r>
            <w:r w:rsidRPr="00AF76B8">
              <w:rPr>
                <w:sz w:val="20"/>
                <w:szCs w:val="24"/>
                <w:vertAlign w:val="superscript"/>
              </w:rPr>
              <w:t>***</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jc w:val="center"/>
              <w:rPr>
                <w:sz w:val="20"/>
                <w:szCs w:val="24"/>
              </w:rPr>
            </w:pPr>
            <w:r w:rsidRPr="00AF76B8">
              <w:rPr>
                <w:sz w:val="20"/>
                <w:szCs w:val="24"/>
              </w:rPr>
              <w:t>(0.390)</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r w:rsidRPr="00A642DD">
              <w:rPr>
                <w:sz w:val="20"/>
                <w:szCs w:val="16"/>
              </w:rPr>
              <w:t>(</w:t>
            </w:r>
            <w:proofErr w:type="spellStart"/>
            <w:r w:rsidRPr="00A642DD">
              <w:rPr>
                <w:sz w:val="20"/>
                <w:szCs w:val="16"/>
              </w:rPr>
              <w:t>HOME_RPS</w:t>
            </w:r>
            <w:r w:rsidRPr="00A642DD">
              <w:rPr>
                <w:sz w:val="20"/>
                <w:szCs w:val="16"/>
                <w:vertAlign w:val="subscript"/>
              </w:rPr>
              <w:t>it</w:t>
            </w:r>
            <w:proofErr w:type="spellEnd"/>
            <w:r w:rsidRPr="00A642DD">
              <w:rPr>
                <w:sz w:val="20"/>
                <w:szCs w:val="16"/>
              </w:rPr>
              <w:t>)*(</w:t>
            </w:r>
            <w:proofErr w:type="spellStart"/>
            <w:r w:rsidRPr="00A642DD">
              <w:rPr>
                <w:sz w:val="20"/>
                <w:szCs w:val="16"/>
              </w:rPr>
              <w:t>OPERATIONAL_CAPABILITY</w:t>
            </w:r>
            <w:r w:rsidRPr="00A642DD">
              <w:rPr>
                <w:sz w:val="20"/>
                <w:szCs w:val="16"/>
                <w:vertAlign w:val="subscript"/>
              </w:rPr>
              <w:t>it</w:t>
            </w:r>
            <w:proofErr w:type="spellEnd"/>
            <w:r w:rsidRPr="00A642DD">
              <w:rPr>
                <w:sz w:val="20"/>
                <w:szCs w:val="16"/>
              </w:rPr>
              <w:t>)</w:t>
            </w:r>
          </w:p>
        </w:tc>
        <w:tc>
          <w:tcPr>
            <w:tcW w:w="1126" w:type="dxa"/>
            <w:vMerge w:val="restart"/>
            <w:tcBorders>
              <w:top w:val="nil"/>
              <w:left w:val="nil"/>
            </w:tcBorders>
          </w:tcPr>
          <w:p w:rsidR="006331AC" w:rsidRPr="000D31DC" w:rsidRDefault="006E4374" w:rsidP="006331AC">
            <w:pPr>
              <w:widowControl w:val="0"/>
              <w:tabs>
                <w:tab w:val="decimal" w:pos="389"/>
              </w:tabs>
              <w:autoSpaceDE w:val="0"/>
              <w:autoSpaceDN w:val="0"/>
              <w:adjustRightInd w:val="0"/>
              <w:spacing w:after="0"/>
              <w:jc w:val="center"/>
              <w:rPr>
                <w:sz w:val="20"/>
                <w:szCs w:val="24"/>
              </w:rPr>
            </w:pPr>
            <w:r w:rsidRPr="000D31DC">
              <w:rPr>
                <w:sz w:val="20"/>
                <w:szCs w:val="24"/>
              </w:rPr>
              <w:t>0.094</w:t>
            </w:r>
            <w:r w:rsidRPr="000D31DC">
              <w:rPr>
                <w:sz w:val="20"/>
                <w:szCs w:val="24"/>
                <w:vertAlign w:val="superscript"/>
              </w:rPr>
              <w:t>***</w:t>
            </w:r>
          </w:p>
          <w:p w:rsidR="006331AC" w:rsidRDefault="006E4374" w:rsidP="006331AC">
            <w:pPr>
              <w:widowControl w:val="0"/>
              <w:tabs>
                <w:tab w:val="decimal" w:pos="389"/>
              </w:tabs>
              <w:autoSpaceDE w:val="0"/>
              <w:autoSpaceDN w:val="0"/>
              <w:adjustRightInd w:val="0"/>
              <w:jc w:val="center"/>
              <w:rPr>
                <w:sz w:val="20"/>
                <w:szCs w:val="24"/>
              </w:rPr>
            </w:pPr>
            <w:r w:rsidRPr="000D31DC">
              <w:rPr>
                <w:sz w:val="20"/>
                <w:szCs w:val="24"/>
              </w:rPr>
              <w:t>(0.019)</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26" w:type="dxa"/>
            <w:vMerge/>
            <w:tcBorders>
              <w:left w:val="nil"/>
              <w:bottom w:val="nil"/>
            </w:tcBorders>
          </w:tcPr>
          <w:p w:rsidR="006331AC" w:rsidRDefault="006331AC" w:rsidP="006331AC">
            <w:pPr>
              <w:widowControl w:val="0"/>
              <w:tabs>
                <w:tab w:val="decimal" w:pos="389"/>
              </w:tabs>
              <w:autoSpaceDE w:val="0"/>
              <w:autoSpaceDN w:val="0"/>
              <w:adjustRightInd w:val="0"/>
              <w:spacing w:after="0"/>
              <w:jc w:val="center"/>
              <w:rPr>
                <w:sz w:val="20"/>
                <w:szCs w:val="24"/>
              </w:rPr>
            </w:pP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RESIDENTIAL_SALES</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0.903</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(21.069)</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INDUSTRIAL_SALES</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13.893</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(9.200)</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MANUFACTURERS</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EC47DA" w:rsidP="006331AC">
            <w:pPr>
              <w:widowControl w:val="0"/>
              <w:tabs>
                <w:tab w:val="decimal" w:pos="389"/>
              </w:tabs>
              <w:autoSpaceDE w:val="0"/>
              <w:autoSpaceDN w:val="0"/>
              <w:adjustRightInd w:val="0"/>
              <w:spacing w:after="0"/>
              <w:rPr>
                <w:sz w:val="20"/>
                <w:szCs w:val="24"/>
              </w:rPr>
            </w:pPr>
            <w:r>
              <w:rPr>
                <w:sz w:val="20"/>
                <w:szCs w:val="24"/>
              </w:rPr>
              <w:t>–</w:t>
            </w:r>
            <w:r w:rsidR="006E4374" w:rsidRPr="00AF76B8">
              <w:rPr>
                <w:sz w:val="20"/>
                <w:szCs w:val="24"/>
              </w:rPr>
              <w:t>45.353</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(68.612)</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FIRM_SIZE</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EC47DA" w:rsidP="006331AC">
            <w:pPr>
              <w:widowControl w:val="0"/>
              <w:tabs>
                <w:tab w:val="decimal" w:pos="389"/>
              </w:tabs>
              <w:autoSpaceDE w:val="0"/>
              <w:autoSpaceDN w:val="0"/>
              <w:adjustRightInd w:val="0"/>
              <w:spacing w:after="0"/>
              <w:rPr>
                <w:sz w:val="20"/>
                <w:szCs w:val="24"/>
              </w:rPr>
            </w:pPr>
            <w:r>
              <w:rPr>
                <w:sz w:val="20"/>
                <w:szCs w:val="24"/>
              </w:rPr>
              <w:t>–</w:t>
            </w:r>
            <w:r w:rsidR="006E4374" w:rsidRPr="00AF76B8">
              <w:rPr>
                <w:sz w:val="20"/>
                <w:szCs w:val="24"/>
              </w:rPr>
              <w:t>0.062</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(0.085)</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DEREGULATION</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1.830</w:t>
            </w:r>
            <w:r w:rsidRPr="00AF76B8">
              <w:rPr>
                <w:sz w:val="20"/>
                <w:szCs w:val="24"/>
                <w:vertAlign w:val="superscript"/>
              </w:rPr>
              <w:t>**</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(0.807)</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VOLUNTARY_REPORTING</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EC47DA" w:rsidP="006331AC">
            <w:pPr>
              <w:widowControl w:val="0"/>
              <w:tabs>
                <w:tab w:val="decimal" w:pos="389"/>
              </w:tabs>
              <w:autoSpaceDE w:val="0"/>
              <w:autoSpaceDN w:val="0"/>
              <w:adjustRightInd w:val="0"/>
              <w:spacing w:after="0"/>
              <w:rPr>
                <w:sz w:val="20"/>
                <w:szCs w:val="24"/>
              </w:rPr>
            </w:pPr>
            <w:r>
              <w:rPr>
                <w:sz w:val="20"/>
                <w:szCs w:val="24"/>
              </w:rPr>
              <w:t>–</w:t>
            </w:r>
            <w:r w:rsidR="006E4374" w:rsidRPr="00AF76B8">
              <w:rPr>
                <w:sz w:val="20"/>
                <w:szCs w:val="24"/>
              </w:rPr>
              <w:t>1.848</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(1.639)</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INVOLUNTARY_REPORTING</w:t>
            </w:r>
            <w:r w:rsidRPr="00A642DD">
              <w:rPr>
                <w:rFonts w:eastAsia="Times New Roman"/>
                <w:color w:val="000000"/>
                <w:sz w:val="20"/>
                <w:szCs w:val="16"/>
                <w:vertAlign w:val="subscript"/>
                <w:lang w:eastAsia="en-CA"/>
              </w:rPr>
              <w:t>it</w:t>
            </w:r>
            <w:proofErr w:type="spellEnd"/>
            <w:r w:rsidRPr="00A642DD">
              <w:rPr>
                <w:rFonts w:eastAsia="Times New Roman"/>
                <w:color w:val="000000"/>
                <w:sz w:val="20"/>
                <w:szCs w:val="16"/>
                <w:lang w:eastAsia="en-CA"/>
              </w:rPr>
              <w:t xml:space="preserve"> </w:t>
            </w:r>
          </w:p>
        </w:tc>
        <w:tc>
          <w:tcPr>
            <w:tcW w:w="1126" w:type="dxa"/>
            <w:tcBorders>
              <w:top w:val="nil"/>
              <w:left w:val="nil"/>
              <w:bottom w:val="nil"/>
              <w:right w:val="nil"/>
            </w:tcBorders>
          </w:tcPr>
          <w:p w:rsidR="006331AC" w:rsidRDefault="00EC47DA" w:rsidP="006331AC">
            <w:pPr>
              <w:widowControl w:val="0"/>
              <w:tabs>
                <w:tab w:val="decimal" w:pos="389"/>
              </w:tabs>
              <w:autoSpaceDE w:val="0"/>
              <w:autoSpaceDN w:val="0"/>
              <w:adjustRightInd w:val="0"/>
              <w:spacing w:after="0"/>
              <w:rPr>
                <w:sz w:val="20"/>
                <w:szCs w:val="24"/>
              </w:rPr>
            </w:pPr>
            <w:r>
              <w:rPr>
                <w:sz w:val="20"/>
                <w:szCs w:val="24"/>
              </w:rPr>
              <w:t>–</w:t>
            </w:r>
            <w:r w:rsidR="006E4374" w:rsidRPr="00AF76B8">
              <w:rPr>
                <w:sz w:val="20"/>
                <w:szCs w:val="24"/>
              </w:rPr>
              <w:t>0.803</w:t>
            </w:r>
            <w:r w:rsidR="006E4374" w:rsidRPr="00AF76B8">
              <w:rPr>
                <w:sz w:val="20"/>
                <w:szCs w:val="24"/>
                <w:vertAlign w:val="superscript"/>
              </w:rPr>
              <w:t>**</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(0.328)</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r w:rsidRPr="00A642DD">
              <w:rPr>
                <w:rFonts w:eastAsia="Times New Roman"/>
                <w:color w:val="000000"/>
                <w:sz w:val="20"/>
                <w:szCs w:val="16"/>
                <w:lang w:eastAsia="en-CA"/>
              </w:rPr>
              <w:t>CO2_EMISSIONS</w:t>
            </w:r>
            <w:r w:rsidRPr="00A642DD">
              <w:rPr>
                <w:rFonts w:eastAsia="Times New Roman"/>
                <w:color w:val="000000"/>
                <w:sz w:val="20"/>
                <w:szCs w:val="16"/>
                <w:vertAlign w:val="subscript"/>
                <w:lang w:eastAsia="en-CA"/>
              </w:rPr>
              <w:t>it</w:t>
            </w: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0.033</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(0.061)</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SIERRA_CLUB</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0.181</w:t>
            </w:r>
            <w:r w:rsidRPr="00AF76B8">
              <w:rPr>
                <w:sz w:val="20"/>
                <w:szCs w:val="24"/>
                <w:vertAlign w:val="superscript"/>
              </w:rPr>
              <w:t>***</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(0.037)</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NUCLEAR_MORATORIUM</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5.614</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(7.646)</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DEMOCRATS</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0.384</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(0.259)</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BUDGET</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9.201</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(14.438)</w:t>
            </w:r>
          </w:p>
        </w:tc>
      </w:tr>
      <w:tr w:rsidR="006E4374" w:rsidRPr="00AF76B8" w:rsidTr="00BC04D2">
        <w:tc>
          <w:tcPr>
            <w:tcW w:w="4561" w:type="dxa"/>
            <w:tcBorders>
              <w:top w:val="nil"/>
              <w:left w:val="nil"/>
              <w:bottom w:val="nil"/>
              <w:right w:val="nil"/>
            </w:tcBorders>
            <w:vAlign w:val="bottom"/>
          </w:tcPr>
          <w:p w:rsidR="006E4374" w:rsidRPr="00A642DD" w:rsidRDefault="006E4374" w:rsidP="00BC04D2">
            <w:pPr>
              <w:spacing w:after="0"/>
              <w:rPr>
                <w:rFonts w:eastAsia="Times New Roman"/>
                <w:color w:val="000000"/>
                <w:sz w:val="20"/>
                <w:szCs w:val="16"/>
                <w:lang w:val="en-CA" w:eastAsia="en-CA"/>
              </w:rPr>
            </w:pPr>
            <w:proofErr w:type="spellStart"/>
            <w:r w:rsidRPr="00A642DD">
              <w:rPr>
                <w:rFonts w:eastAsia="Times New Roman"/>
                <w:color w:val="000000"/>
                <w:sz w:val="20"/>
                <w:szCs w:val="16"/>
                <w:lang w:eastAsia="en-CA"/>
              </w:rPr>
              <w:t>PUC_TENURE</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EC47DA" w:rsidP="006331AC">
            <w:pPr>
              <w:widowControl w:val="0"/>
              <w:tabs>
                <w:tab w:val="decimal" w:pos="389"/>
              </w:tabs>
              <w:autoSpaceDE w:val="0"/>
              <w:autoSpaceDN w:val="0"/>
              <w:adjustRightInd w:val="0"/>
              <w:spacing w:after="0"/>
              <w:rPr>
                <w:sz w:val="20"/>
                <w:szCs w:val="24"/>
              </w:rPr>
            </w:pPr>
            <w:r>
              <w:rPr>
                <w:sz w:val="20"/>
                <w:szCs w:val="24"/>
              </w:rPr>
              <w:t>–</w:t>
            </w:r>
            <w:r w:rsidR="006E4374" w:rsidRPr="00AF76B8">
              <w:rPr>
                <w:sz w:val="20"/>
                <w:szCs w:val="24"/>
              </w:rPr>
              <w:t>0.033</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(0.030)</w:t>
            </w:r>
          </w:p>
        </w:tc>
      </w:tr>
      <w:tr w:rsidR="006E4374" w:rsidRPr="00AF76B8" w:rsidTr="00BC04D2">
        <w:tc>
          <w:tcPr>
            <w:tcW w:w="4561" w:type="dxa"/>
            <w:tcBorders>
              <w:top w:val="nil"/>
              <w:left w:val="nil"/>
              <w:bottom w:val="nil"/>
              <w:right w:val="nil"/>
            </w:tcBorders>
          </w:tcPr>
          <w:p w:rsidR="006E4374" w:rsidRPr="00A642DD" w:rsidRDefault="006E4374" w:rsidP="00BC04D2">
            <w:pPr>
              <w:widowControl w:val="0"/>
              <w:autoSpaceDE w:val="0"/>
              <w:autoSpaceDN w:val="0"/>
              <w:adjustRightInd w:val="0"/>
              <w:spacing w:after="0"/>
              <w:rPr>
                <w:sz w:val="20"/>
                <w:szCs w:val="24"/>
              </w:rPr>
            </w:pPr>
            <w:proofErr w:type="spellStart"/>
            <w:r w:rsidRPr="00A642DD">
              <w:rPr>
                <w:rFonts w:eastAsia="Times New Roman"/>
                <w:color w:val="000000"/>
                <w:sz w:val="20"/>
                <w:szCs w:val="16"/>
                <w:lang w:eastAsia="en-CA"/>
              </w:rPr>
              <w:t>ELECT_PUC</w:t>
            </w:r>
            <w:r w:rsidRPr="00A642DD">
              <w:rPr>
                <w:rFonts w:eastAsia="Times New Roman"/>
                <w:color w:val="000000"/>
                <w:sz w:val="20"/>
                <w:szCs w:val="16"/>
                <w:vertAlign w:val="subscript"/>
                <w:lang w:eastAsia="en-CA"/>
              </w:rPr>
              <w:t>it</w:t>
            </w:r>
            <w:proofErr w:type="spellEnd"/>
          </w:p>
        </w:tc>
        <w:tc>
          <w:tcPr>
            <w:tcW w:w="1126" w:type="dxa"/>
            <w:tcBorders>
              <w:top w:val="nil"/>
              <w:left w:val="nil"/>
              <w:bottom w:val="nil"/>
              <w:right w:val="nil"/>
            </w:tcBorders>
          </w:tcPr>
          <w:p w:rsidR="006331AC" w:rsidRDefault="00EC47DA" w:rsidP="006331AC">
            <w:pPr>
              <w:widowControl w:val="0"/>
              <w:tabs>
                <w:tab w:val="decimal" w:pos="389"/>
              </w:tabs>
              <w:autoSpaceDE w:val="0"/>
              <w:autoSpaceDN w:val="0"/>
              <w:adjustRightInd w:val="0"/>
              <w:spacing w:after="0"/>
              <w:rPr>
                <w:sz w:val="20"/>
                <w:szCs w:val="24"/>
              </w:rPr>
            </w:pPr>
            <w:r>
              <w:rPr>
                <w:sz w:val="20"/>
                <w:szCs w:val="24"/>
              </w:rPr>
              <w:t>–</w:t>
            </w:r>
            <w:r w:rsidR="006E4374" w:rsidRPr="00AF76B8">
              <w:rPr>
                <w:sz w:val="20"/>
                <w:szCs w:val="24"/>
              </w:rPr>
              <w:t>25.187</w:t>
            </w:r>
          </w:p>
        </w:tc>
      </w:tr>
      <w:tr w:rsidR="006E4374" w:rsidRPr="00AF76B8" w:rsidTr="00BC04D2">
        <w:tc>
          <w:tcPr>
            <w:tcW w:w="4561" w:type="dxa"/>
            <w:tcBorders>
              <w:top w:val="nil"/>
              <w:left w:val="nil"/>
              <w:bottom w:val="nil"/>
              <w:right w:val="nil"/>
            </w:tcBorders>
          </w:tcPr>
          <w:p w:rsidR="006E4374" w:rsidRPr="00611E19" w:rsidRDefault="006E4374" w:rsidP="00BC04D2">
            <w:pPr>
              <w:widowControl w:val="0"/>
              <w:autoSpaceDE w:val="0"/>
              <w:autoSpaceDN w:val="0"/>
              <w:adjustRightInd w:val="0"/>
              <w:spacing w:after="0"/>
              <w:rPr>
                <w:sz w:val="20"/>
                <w:szCs w:val="24"/>
              </w:rPr>
            </w:pP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(42.266)</w:t>
            </w:r>
          </w:p>
        </w:tc>
      </w:tr>
      <w:tr w:rsidR="006E4374" w:rsidRPr="00AF76B8" w:rsidTr="00BC04D2">
        <w:tc>
          <w:tcPr>
            <w:tcW w:w="4561" w:type="dxa"/>
            <w:tcBorders>
              <w:top w:val="single" w:sz="4" w:space="0" w:color="auto"/>
              <w:left w:val="nil"/>
              <w:bottom w:val="nil"/>
              <w:right w:val="nil"/>
            </w:tcBorders>
          </w:tcPr>
          <w:p w:rsidR="006E4374" w:rsidRPr="00AF76B8" w:rsidRDefault="006E4374" w:rsidP="00BC04D2">
            <w:pPr>
              <w:widowControl w:val="0"/>
              <w:autoSpaceDE w:val="0"/>
              <w:autoSpaceDN w:val="0"/>
              <w:adjustRightInd w:val="0"/>
              <w:spacing w:after="0"/>
              <w:rPr>
                <w:sz w:val="20"/>
                <w:szCs w:val="24"/>
              </w:rPr>
            </w:pPr>
            <w:r w:rsidRPr="00AF76B8">
              <w:rPr>
                <w:sz w:val="20"/>
                <w:szCs w:val="24"/>
              </w:rPr>
              <w:t>Observations</w:t>
            </w:r>
          </w:p>
        </w:tc>
        <w:tc>
          <w:tcPr>
            <w:tcW w:w="1126" w:type="dxa"/>
            <w:tcBorders>
              <w:top w:val="single" w:sz="4" w:space="0" w:color="auto"/>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762</w:t>
            </w:r>
          </w:p>
        </w:tc>
      </w:tr>
      <w:tr w:rsidR="006E4374" w:rsidRPr="00AF76B8" w:rsidTr="00BC04D2">
        <w:tc>
          <w:tcPr>
            <w:tcW w:w="4561" w:type="dxa"/>
            <w:tcBorders>
              <w:top w:val="nil"/>
              <w:left w:val="nil"/>
              <w:bottom w:val="nil"/>
              <w:right w:val="nil"/>
            </w:tcBorders>
          </w:tcPr>
          <w:p w:rsidR="006E4374" w:rsidRPr="00AF76B8" w:rsidRDefault="006E4374" w:rsidP="00BC04D2">
            <w:pPr>
              <w:widowControl w:val="0"/>
              <w:autoSpaceDE w:val="0"/>
              <w:autoSpaceDN w:val="0"/>
              <w:adjustRightInd w:val="0"/>
              <w:spacing w:after="0"/>
              <w:rPr>
                <w:sz w:val="20"/>
                <w:szCs w:val="24"/>
              </w:rPr>
            </w:pPr>
            <w:r>
              <w:rPr>
                <w:sz w:val="20"/>
                <w:szCs w:val="24"/>
              </w:rPr>
              <w:t>Chi Square</w:t>
            </w:r>
          </w:p>
        </w:tc>
        <w:tc>
          <w:tcPr>
            <w:tcW w:w="1126" w:type="dxa"/>
            <w:tcBorders>
              <w:top w:val="nil"/>
              <w:left w:val="nil"/>
              <w:bottom w:val="nil"/>
              <w:right w:val="nil"/>
            </w:tcBorders>
          </w:tcPr>
          <w:p w:rsidR="006331AC" w:rsidRDefault="006E4374" w:rsidP="006331AC">
            <w:pPr>
              <w:widowControl w:val="0"/>
              <w:tabs>
                <w:tab w:val="decimal" w:pos="389"/>
              </w:tabs>
              <w:autoSpaceDE w:val="0"/>
              <w:autoSpaceDN w:val="0"/>
              <w:adjustRightInd w:val="0"/>
              <w:spacing w:after="0"/>
              <w:rPr>
                <w:sz w:val="20"/>
                <w:szCs w:val="24"/>
                <w:vertAlign w:val="superscript"/>
              </w:rPr>
            </w:pPr>
            <w:r w:rsidRPr="00AF76B8">
              <w:rPr>
                <w:sz w:val="20"/>
                <w:szCs w:val="24"/>
              </w:rPr>
              <w:t>5316.08</w:t>
            </w:r>
            <w:r>
              <w:rPr>
                <w:sz w:val="20"/>
                <w:szCs w:val="24"/>
                <w:vertAlign w:val="superscript"/>
              </w:rPr>
              <w:t>***</w:t>
            </w:r>
          </w:p>
        </w:tc>
      </w:tr>
      <w:tr w:rsidR="006E4374" w:rsidRPr="00AF76B8" w:rsidTr="00BC04D2">
        <w:tc>
          <w:tcPr>
            <w:tcW w:w="4561" w:type="dxa"/>
            <w:tcBorders>
              <w:top w:val="nil"/>
              <w:left w:val="nil"/>
              <w:bottom w:val="nil"/>
              <w:right w:val="nil"/>
            </w:tcBorders>
          </w:tcPr>
          <w:p w:rsidR="006E4374" w:rsidRPr="00AF76B8" w:rsidRDefault="006E4374" w:rsidP="00BC04D2">
            <w:pPr>
              <w:widowControl w:val="0"/>
              <w:autoSpaceDE w:val="0"/>
              <w:autoSpaceDN w:val="0"/>
              <w:adjustRightInd w:val="0"/>
              <w:spacing w:after="0"/>
              <w:rPr>
                <w:sz w:val="20"/>
                <w:szCs w:val="24"/>
              </w:rPr>
            </w:pPr>
            <w:r>
              <w:rPr>
                <w:sz w:val="20"/>
                <w:szCs w:val="24"/>
              </w:rPr>
              <w:t>Instruments</w:t>
            </w:r>
          </w:p>
        </w:tc>
        <w:tc>
          <w:tcPr>
            <w:tcW w:w="1126" w:type="dxa"/>
            <w:tcBorders>
              <w:top w:val="nil"/>
              <w:left w:val="nil"/>
              <w:bottom w:val="nil"/>
              <w:right w:val="nil"/>
            </w:tcBorders>
          </w:tcPr>
          <w:p w:rsidR="006331AC" w:rsidRDefault="00BB526E" w:rsidP="006331AC">
            <w:pPr>
              <w:widowControl w:val="0"/>
              <w:tabs>
                <w:tab w:val="decimal" w:pos="389"/>
              </w:tabs>
              <w:autoSpaceDE w:val="0"/>
              <w:autoSpaceDN w:val="0"/>
              <w:adjustRightInd w:val="0"/>
              <w:spacing w:after="0"/>
              <w:rPr>
                <w:sz w:val="20"/>
                <w:szCs w:val="24"/>
              </w:rPr>
            </w:pPr>
            <w:r>
              <w:rPr>
                <w:sz w:val="20"/>
                <w:szCs w:val="24"/>
              </w:rPr>
              <w:t>56</w:t>
            </w:r>
          </w:p>
        </w:tc>
      </w:tr>
      <w:tr w:rsidR="006E4374" w:rsidRPr="00AF76B8" w:rsidTr="00BC04D2">
        <w:tc>
          <w:tcPr>
            <w:tcW w:w="4561" w:type="dxa"/>
            <w:tcBorders>
              <w:top w:val="nil"/>
              <w:left w:val="nil"/>
              <w:bottom w:val="nil"/>
              <w:right w:val="nil"/>
            </w:tcBorders>
          </w:tcPr>
          <w:p w:rsidR="006E4374" w:rsidRPr="00AF76B8" w:rsidRDefault="006E4374" w:rsidP="00BC04D2">
            <w:pPr>
              <w:widowControl w:val="0"/>
              <w:autoSpaceDE w:val="0"/>
              <w:autoSpaceDN w:val="0"/>
              <w:adjustRightInd w:val="0"/>
              <w:spacing w:after="0"/>
              <w:rPr>
                <w:sz w:val="20"/>
                <w:szCs w:val="24"/>
              </w:rPr>
            </w:pPr>
            <w:r>
              <w:rPr>
                <w:sz w:val="20"/>
                <w:szCs w:val="24"/>
              </w:rPr>
              <w:t>AR(</w:t>
            </w:r>
            <w:r w:rsidRPr="00AF76B8">
              <w:rPr>
                <w:sz w:val="20"/>
                <w:szCs w:val="24"/>
              </w:rPr>
              <w:t>1</w:t>
            </w:r>
            <w:r>
              <w:rPr>
                <w:sz w:val="20"/>
                <w:szCs w:val="24"/>
              </w:rPr>
              <w:t>)</w:t>
            </w:r>
          </w:p>
        </w:tc>
        <w:tc>
          <w:tcPr>
            <w:tcW w:w="1126" w:type="dxa"/>
            <w:tcBorders>
              <w:top w:val="nil"/>
              <w:left w:val="nil"/>
              <w:bottom w:val="nil"/>
              <w:right w:val="nil"/>
            </w:tcBorders>
          </w:tcPr>
          <w:p w:rsidR="006331AC" w:rsidRDefault="00EC47DA" w:rsidP="006331AC">
            <w:pPr>
              <w:widowControl w:val="0"/>
              <w:tabs>
                <w:tab w:val="decimal" w:pos="389"/>
              </w:tabs>
              <w:autoSpaceDE w:val="0"/>
              <w:autoSpaceDN w:val="0"/>
              <w:adjustRightInd w:val="0"/>
              <w:spacing w:after="0"/>
              <w:rPr>
                <w:sz w:val="20"/>
                <w:szCs w:val="24"/>
              </w:rPr>
            </w:pPr>
            <w:r>
              <w:rPr>
                <w:sz w:val="20"/>
                <w:szCs w:val="24"/>
              </w:rPr>
              <w:t>–</w:t>
            </w:r>
            <w:r w:rsidR="006E4374" w:rsidRPr="00AF76B8">
              <w:rPr>
                <w:sz w:val="20"/>
                <w:szCs w:val="24"/>
              </w:rPr>
              <w:t>1.813</w:t>
            </w:r>
          </w:p>
        </w:tc>
      </w:tr>
      <w:tr w:rsidR="006E4374" w:rsidRPr="00AF76B8" w:rsidTr="00BC04D2">
        <w:tc>
          <w:tcPr>
            <w:tcW w:w="4561" w:type="dxa"/>
            <w:tcBorders>
              <w:top w:val="nil"/>
              <w:left w:val="nil"/>
              <w:right w:val="nil"/>
            </w:tcBorders>
          </w:tcPr>
          <w:p w:rsidR="006E4374" w:rsidRPr="00AF76B8" w:rsidRDefault="006E4374" w:rsidP="00BC04D2">
            <w:pPr>
              <w:widowControl w:val="0"/>
              <w:autoSpaceDE w:val="0"/>
              <w:autoSpaceDN w:val="0"/>
              <w:adjustRightInd w:val="0"/>
              <w:spacing w:after="0"/>
              <w:rPr>
                <w:sz w:val="20"/>
                <w:szCs w:val="24"/>
              </w:rPr>
            </w:pPr>
            <w:r w:rsidRPr="00AF76B8">
              <w:rPr>
                <w:sz w:val="20"/>
                <w:szCs w:val="24"/>
              </w:rPr>
              <w:t>A</w:t>
            </w:r>
            <w:r>
              <w:rPr>
                <w:sz w:val="20"/>
                <w:szCs w:val="24"/>
              </w:rPr>
              <w:t>R(</w:t>
            </w:r>
            <w:r w:rsidRPr="00AF76B8">
              <w:rPr>
                <w:sz w:val="20"/>
                <w:szCs w:val="24"/>
              </w:rPr>
              <w:t>2</w:t>
            </w:r>
            <w:r>
              <w:rPr>
                <w:sz w:val="20"/>
                <w:szCs w:val="24"/>
              </w:rPr>
              <w:t>)</w:t>
            </w:r>
          </w:p>
        </w:tc>
        <w:tc>
          <w:tcPr>
            <w:tcW w:w="1126" w:type="dxa"/>
            <w:tcBorders>
              <w:top w:val="nil"/>
              <w:left w:val="nil"/>
              <w:right w:val="nil"/>
            </w:tcBorders>
          </w:tcPr>
          <w:p w:rsidR="006331AC" w:rsidRDefault="00EC47DA" w:rsidP="006331AC">
            <w:pPr>
              <w:widowControl w:val="0"/>
              <w:tabs>
                <w:tab w:val="decimal" w:pos="389"/>
              </w:tabs>
              <w:autoSpaceDE w:val="0"/>
              <w:autoSpaceDN w:val="0"/>
              <w:adjustRightInd w:val="0"/>
              <w:spacing w:after="0"/>
              <w:rPr>
                <w:sz w:val="20"/>
                <w:szCs w:val="24"/>
              </w:rPr>
            </w:pPr>
            <w:r>
              <w:rPr>
                <w:sz w:val="20"/>
                <w:szCs w:val="24"/>
              </w:rPr>
              <w:t>–</w:t>
            </w:r>
            <w:r w:rsidR="006E4374" w:rsidRPr="00AF76B8">
              <w:rPr>
                <w:sz w:val="20"/>
                <w:szCs w:val="24"/>
              </w:rPr>
              <w:t>0.143</w:t>
            </w:r>
          </w:p>
        </w:tc>
      </w:tr>
      <w:tr w:rsidR="006E4374" w:rsidRPr="00AF76B8" w:rsidTr="00BC04D2">
        <w:tc>
          <w:tcPr>
            <w:tcW w:w="4561" w:type="dxa"/>
            <w:tcBorders>
              <w:top w:val="nil"/>
              <w:left w:val="nil"/>
              <w:bottom w:val="single" w:sz="4" w:space="0" w:color="auto"/>
              <w:right w:val="nil"/>
            </w:tcBorders>
          </w:tcPr>
          <w:p w:rsidR="006E4374" w:rsidRPr="00AF76B8" w:rsidRDefault="006E4374" w:rsidP="00BC04D2">
            <w:pPr>
              <w:widowControl w:val="0"/>
              <w:autoSpaceDE w:val="0"/>
              <w:autoSpaceDN w:val="0"/>
              <w:adjustRightInd w:val="0"/>
              <w:spacing w:after="0"/>
              <w:rPr>
                <w:sz w:val="20"/>
                <w:szCs w:val="24"/>
              </w:rPr>
            </w:pPr>
            <w:r>
              <w:rPr>
                <w:sz w:val="20"/>
                <w:szCs w:val="24"/>
              </w:rPr>
              <w:t>H</w:t>
            </w:r>
            <w:r w:rsidRPr="00AF76B8">
              <w:rPr>
                <w:sz w:val="20"/>
                <w:szCs w:val="24"/>
              </w:rPr>
              <w:t>ansen</w:t>
            </w:r>
            <w:r>
              <w:rPr>
                <w:sz w:val="20"/>
                <w:szCs w:val="24"/>
              </w:rPr>
              <w:t xml:space="preserve"> J Test</w:t>
            </w:r>
          </w:p>
        </w:tc>
        <w:tc>
          <w:tcPr>
            <w:tcW w:w="1126" w:type="dxa"/>
            <w:tcBorders>
              <w:top w:val="nil"/>
              <w:left w:val="nil"/>
              <w:bottom w:val="single" w:sz="4" w:space="0" w:color="auto"/>
              <w:right w:val="nil"/>
            </w:tcBorders>
          </w:tcPr>
          <w:p w:rsidR="006331AC" w:rsidRDefault="006E4374" w:rsidP="006331AC">
            <w:pPr>
              <w:widowControl w:val="0"/>
              <w:tabs>
                <w:tab w:val="decimal" w:pos="389"/>
              </w:tabs>
              <w:autoSpaceDE w:val="0"/>
              <w:autoSpaceDN w:val="0"/>
              <w:adjustRightInd w:val="0"/>
              <w:spacing w:after="0"/>
              <w:rPr>
                <w:sz w:val="20"/>
                <w:szCs w:val="24"/>
              </w:rPr>
            </w:pPr>
            <w:r w:rsidRPr="00AF76B8">
              <w:rPr>
                <w:sz w:val="20"/>
                <w:szCs w:val="24"/>
              </w:rPr>
              <w:t>25.029</w:t>
            </w:r>
          </w:p>
        </w:tc>
      </w:tr>
    </w:tbl>
    <w:p w:rsidR="00992C66" w:rsidRDefault="00992C66" w:rsidP="006E4374">
      <w:pPr>
        <w:widowControl w:val="0"/>
        <w:autoSpaceDE w:val="0"/>
        <w:autoSpaceDN w:val="0"/>
        <w:adjustRightInd w:val="0"/>
        <w:spacing w:after="0"/>
        <w:rPr>
          <w:sz w:val="20"/>
          <w:szCs w:val="20"/>
        </w:rPr>
      </w:pPr>
      <w:r>
        <w:rPr>
          <w:sz w:val="20"/>
          <w:szCs w:val="20"/>
        </w:rPr>
        <w:t>Notes:</w:t>
      </w:r>
    </w:p>
    <w:p w:rsidR="006E4374" w:rsidRDefault="006E4374" w:rsidP="006E4374">
      <w:pPr>
        <w:widowControl w:val="0"/>
        <w:autoSpaceDE w:val="0"/>
        <w:autoSpaceDN w:val="0"/>
        <w:adjustRightInd w:val="0"/>
        <w:spacing w:after="0"/>
        <w:rPr>
          <w:sz w:val="20"/>
          <w:szCs w:val="20"/>
        </w:rPr>
      </w:pPr>
      <w:r>
        <w:rPr>
          <w:sz w:val="20"/>
          <w:szCs w:val="20"/>
        </w:rPr>
        <w:t>Standard errors in parentheses</w:t>
      </w:r>
    </w:p>
    <w:p w:rsidR="006E4374" w:rsidRDefault="006E4374" w:rsidP="006E4374">
      <w:pPr>
        <w:widowControl w:val="0"/>
        <w:autoSpaceDE w:val="0"/>
        <w:autoSpaceDN w:val="0"/>
        <w:adjustRightInd w:val="0"/>
        <w:spacing w:after="0"/>
        <w:rPr>
          <w:sz w:val="20"/>
          <w:szCs w:val="20"/>
        </w:rPr>
      </w:pPr>
      <w:r>
        <w:rPr>
          <w:sz w:val="20"/>
          <w:szCs w:val="20"/>
          <w:vertAlign w:val="superscript"/>
        </w:rPr>
        <w:t>*</w:t>
      </w:r>
      <w:r>
        <w:rPr>
          <w:sz w:val="20"/>
          <w:szCs w:val="20"/>
        </w:rPr>
        <w:t xml:space="preserve"> </w:t>
      </w:r>
      <w:proofErr w:type="gramStart"/>
      <w:r>
        <w:rPr>
          <w:i/>
          <w:iCs/>
          <w:sz w:val="20"/>
          <w:szCs w:val="20"/>
        </w:rPr>
        <w:t>p</w:t>
      </w:r>
      <w:proofErr w:type="gramEnd"/>
      <w:r>
        <w:rPr>
          <w:sz w:val="20"/>
          <w:szCs w:val="20"/>
        </w:rPr>
        <w:t xml:space="preserve"> &lt; 0.10, </w:t>
      </w: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w:t>
      </w:r>
    </w:p>
    <w:p w:rsidR="006E4374" w:rsidRPr="00CD3EC2" w:rsidRDefault="006E4374" w:rsidP="006E4374">
      <w:pPr>
        <w:spacing w:after="0"/>
        <w:rPr>
          <w:sz w:val="20"/>
          <w:szCs w:val="20"/>
        </w:rPr>
      </w:pPr>
    </w:p>
    <w:sectPr w:rsidR="006E4374" w:rsidRPr="00CD3EC2" w:rsidSect="002460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F2" w:rsidRDefault="00F916F2" w:rsidP="0024609E">
      <w:pPr>
        <w:spacing w:after="0"/>
      </w:pPr>
      <w:r>
        <w:separator/>
      </w:r>
    </w:p>
  </w:endnote>
  <w:endnote w:type="continuationSeparator" w:id="0">
    <w:p w:rsidR="00F916F2" w:rsidRDefault="00F916F2" w:rsidP="00246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F2" w:rsidRDefault="00F916F2" w:rsidP="0024609E">
      <w:pPr>
        <w:spacing w:after="0"/>
      </w:pPr>
      <w:r>
        <w:separator/>
      </w:r>
    </w:p>
  </w:footnote>
  <w:footnote w:type="continuationSeparator" w:id="0">
    <w:p w:rsidR="00F916F2" w:rsidRDefault="00F916F2" w:rsidP="0024609E">
      <w:pPr>
        <w:spacing w:after="0"/>
      </w:pPr>
      <w:r>
        <w:continuationSeparator/>
      </w:r>
    </w:p>
  </w:footnote>
  <w:footnote w:id="1">
    <w:p w:rsidR="00F916F2" w:rsidRPr="00055AEF" w:rsidRDefault="00F916F2">
      <w:pPr>
        <w:pStyle w:val="FootnoteText"/>
        <w:rPr>
          <w:lang w:val="en-CA"/>
        </w:rPr>
      </w:pPr>
      <w:r>
        <w:rPr>
          <w:rStyle w:val="FootnoteReference"/>
        </w:rPr>
        <w:footnoteRef/>
      </w:r>
      <w:r>
        <w:t xml:space="preserve"> </w:t>
      </w:r>
      <w:r>
        <w:rPr>
          <w:lang w:val="en-CA"/>
        </w:rPr>
        <w:t>RPS policies generally state a final objective date with a series of milestones at periodic intervals throughout the life of the policy.</w:t>
      </w:r>
    </w:p>
  </w:footnote>
  <w:footnote w:id="2">
    <w:p w:rsidR="00F916F2" w:rsidRDefault="00F916F2">
      <w:pPr>
        <w:pStyle w:val="FootnoteText"/>
      </w:pPr>
      <w:r>
        <w:rPr>
          <w:rStyle w:val="FootnoteReference"/>
        </w:rPr>
        <w:footnoteRef/>
      </w:r>
      <w:r>
        <w:t xml:space="preserve"> A number of related studies have examined the development of the renewable energy sector in the United States. For example, Delmas </w:t>
      </w:r>
      <w:r w:rsidRPr="006331AC">
        <w:rPr>
          <w:i/>
        </w:rPr>
        <w:t>et al.</w:t>
      </w:r>
      <w:r>
        <w:t xml:space="preserve"> (2007) analyzed the potential for market deregulation as an opportunity for product differentiation into renewable energy generation. Several other studies have focused on the early growth of the independent power producer (IPP) sector in the 1980s (Russo, 2001, 2003; Sine, David, and </w:t>
      </w:r>
      <w:proofErr w:type="spellStart"/>
      <w:r>
        <w:t>Mitsuhashi</w:t>
      </w:r>
      <w:proofErr w:type="spellEnd"/>
      <w:r>
        <w:t>, 2007; Sine and Lee, 2009), which now plays an important role as a source for renewable power bought and distributed by IOUs.</w:t>
      </w:r>
    </w:p>
  </w:footnote>
  <w:footnote w:id="3">
    <w:p w:rsidR="00F916F2" w:rsidRPr="002E4A43" w:rsidRDefault="00F916F2">
      <w:pPr>
        <w:pStyle w:val="FootnoteText"/>
        <w:rPr>
          <w:lang w:val="en-CA"/>
        </w:rPr>
      </w:pPr>
      <w:r>
        <w:rPr>
          <w:rStyle w:val="FootnoteReference"/>
        </w:rPr>
        <w:footnoteRef/>
      </w:r>
      <w:r>
        <w:t xml:space="preserve"> Entrepreneurial ventures in this sector occur at two levels. First, significant entrepreneurial activity has occurred at the IPP level, where project developers build merchant plants and sell power to IOUs by contract. Second, some deregulated states have seen, at the retail level, the entry of niche competitors who compete with IOUs for the distribution of electricity to final customers.</w:t>
      </w:r>
    </w:p>
  </w:footnote>
  <w:footnote w:id="4">
    <w:p w:rsidR="00F916F2" w:rsidRPr="004B05E7" w:rsidRDefault="00F916F2">
      <w:pPr>
        <w:pStyle w:val="FootnoteText"/>
        <w:rPr>
          <w:lang w:val="en-CA"/>
        </w:rPr>
      </w:pPr>
      <w:r>
        <w:rPr>
          <w:rStyle w:val="FootnoteReference"/>
        </w:rPr>
        <w:footnoteRef/>
      </w:r>
      <w:r>
        <w:t xml:space="preserve"> </w:t>
      </w:r>
      <w:r>
        <w:rPr>
          <w:lang w:val="en-CA"/>
        </w:rPr>
        <w:t xml:space="preserve">Sales to commercial customers, the remaining customer </w:t>
      </w:r>
      <w:proofErr w:type="gramStart"/>
      <w:r>
        <w:rPr>
          <w:lang w:val="en-CA"/>
        </w:rPr>
        <w:t>class,</w:t>
      </w:r>
      <w:proofErr w:type="gramEnd"/>
      <w:r>
        <w:rPr>
          <w:lang w:val="en-CA"/>
        </w:rPr>
        <w:t xml:space="preserve"> has been omitted to avoid a linear combination of these variables.</w:t>
      </w:r>
    </w:p>
  </w:footnote>
  <w:footnote w:id="5">
    <w:p w:rsidR="00F916F2" w:rsidRDefault="00F916F2" w:rsidP="009F0493">
      <w:pPr>
        <w:pStyle w:val="FootnoteText"/>
      </w:pPr>
      <w:r>
        <w:rPr>
          <w:rStyle w:val="FootnoteReference"/>
        </w:rPr>
        <w:footnoteRef/>
      </w:r>
      <w:r>
        <w:t xml:space="preserve"> Many renewable energy–generating technologies involve multi-stage investments where a portion of the generation will come online each year for two or three years. For instance, utility-scale wind farms generally have two or three stages that are completed over a period of time.</w:t>
      </w:r>
    </w:p>
  </w:footnote>
  <w:footnote w:id="6">
    <w:p w:rsidR="00F916F2" w:rsidRDefault="00F916F2">
      <w:pPr>
        <w:pStyle w:val="FootnoteText"/>
      </w:pPr>
      <w:r>
        <w:rPr>
          <w:rStyle w:val="FootnoteReference"/>
        </w:rPr>
        <w:footnoteRef/>
      </w:r>
      <w:r>
        <w:t xml:space="preserve"> Recall OPERATIONAL_CAPABILITY takes the values –10 to –1.</w:t>
      </w:r>
    </w:p>
  </w:footnote>
  <w:footnote w:id="7">
    <w:p w:rsidR="00F916F2" w:rsidRPr="00526489" w:rsidRDefault="00F916F2" w:rsidP="0096000E">
      <w:pPr>
        <w:pStyle w:val="FootnoteText"/>
        <w:rPr>
          <w:b/>
          <w:lang w:val="en-CA"/>
        </w:rPr>
      </w:pPr>
      <w:r>
        <w:rPr>
          <w:rStyle w:val="FootnoteReference"/>
        </w:rPr>
        <w:footnoteRef/>
      </w:r>
      <w:r>
        <w:t xml:space="preserve"> The results of a Levin, Lin, and Chu panel unit root test indicate that we can reject the null hypothesis (</w:t>
      </w:r>
      <w:r w:rsidRPr="005B58CF">
        <w:rPr>
          <w:i/>
        </w:rPr>
        <w:t>p</w:t>
      </w:r>
      <w:r>
        <w:t xml:space="preserve"> &lt; </w:t>
      </w:r>
      <w:r w:rsidRPr="00657BBC">
        <w:t>0.01</w:t>
      </w:r>
      <w:r>
        <w:t>) that the dependent variable is non-stationary and further supporting the expectation of a dynamic process.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904"/>
      <w:docPartObj>
        <w:docPartGallery w:val="Page Numbers (Top of Page)"/>
        <w:docPartUnique/>
      </w:docPartObj>
    </w:sdtPr>
    <w:sdtEndPr/>
    <w:sdtContent>
      <w:p w:rsidR="00F916F2" w:rsidRDefault="00C531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916F2" w:rsidRDefault="00F916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994"/>
    <w:multiLevelType w:val="hybridMultilevel"/>
    <w:tmpl w:val="DF601D70"/>
    <w:lvl w:ilvl="0" w:tplc="B1848138">
      <w:start w:val="1"/>
      <w:numFmt w:val="bullet"/>
      <w:lvlText w:val="•"/>
      <w:lvlJc w:val="left"/>
      <w:pPr>
        <w:tabs>
          <w:tab w:val="num" w:pos="720"/>
        </w:tabs>
        <w:ind w:left="720" w:hanging="360"/>
      </w:pPr>
      <w:rPr>
        <w:rFonts w:ascii="Arial" w:hAnsi="Arial" w:hint="default"/>
      </w:rPr>
    </w:lvl>
    <w:lvl w:ilvl="1" w:tplc="B8E840D4">
      <w:start w:val="2886"/>
      <w:numFmt w:val="bullet"/>
      <w:lvlText w:val="–"/>
      <w:lvlJc w:val="left"/>
      <w:pPr>
        <w:tabs>
          <w:tab w:val="num" w:pos="1440"/>
        </w:tabs>
        <w:ind w:left="1440" w:hanging="360"/>
      </w:pPr>
      <w:rPr>
        <w:rFonts w:ascii="Arial" w:hAnsi="Arial" w:hint="default"/>
      </w:rPr>
    </w:lvl>
    <w:lvl w:ilvl="2" w:tplc="75B078CE" w:tentative="1">
      <w:start w:val="1"/>
      <w:numFmt w:val="bullet"/>
      <w:lvlText w:val="•"/>
      <w:lvlJc w:val="left"/>
      <w:pPr>
        <w:tabs>
          <w:tab w:val="num" w:pos="2160"/>
        </w:tabs>
        <w:ind w:left="2160" w:hanging="360"/>
      </w:pPr>
      <w:rPr>
        <w:rFonts w:ascii="Arial" w:hAnsi="Arial" w:hint="default"/>
      </w:rPr>
    </w:lvl>
    <w:lvl w:ilvl="3" w:tplc="035E980A" w:tentative="1">
      <w:start w:val="1"/>
      <w:numFmt w:val="bullet"/>
      <w:lvlText w:val="•"/>
      <w:lvlJc w:val="left"/>
      <w:pPr>
        <w:tabs>
          <w:tab w:val="num" w:pos="2880"/>
        </w:tabs>
        <w:ind w:left="2880" w:hanging="360"/>
      </w:pPr>
      <w:rPr>
        <w:rFonts w:ascii="Arial" w:hAnsi="Arial" w:hint="default"/>
      </w:rPr>
    </w:lvl>
    <w:lvl w:ilvl="4" w:tplc="399EAA2E" w:tentative="1">
      <w:start w:val="1"/>
      <w:numFmt w:val="bullet"/>
      <w:lvlText w:val="•"/>
      <w:lvlJc w:val="left"/>
      <w:pPr>
        <w:tabs>
          <w:tab w:val="num" w:pos="3600"/>
        </w:tabs>
        <w:ind w:left="3600" w:hanging="360"/>
      </w:pPr>
      <w:rPr>
        <w:rFonts w:ascii="Arial" w:hAnsi="Arial" w:hint="default"/>
      </w:rPr>
    </w:lvl>
    <w:lvl w:ilvl="5" w:tplc="13784ED8" w:tentative="1">
      <w:start w:val="1"/>
      <w:numFmt w:val="bullet"/>
      <w:lvlText w:val="•"/>
      <w:lvlJc w:val="left"/>
      <w:pPr>
        <w:tabs>
          <w:tab w:val="num" w:pos="4320"/>
        </w:tabs>
        <w:ind w:left="4320" w:hanging="360"/>
      </w:pPr>
      <w:rPr>
        <w:rFonts w:ascii="Arial" w:hAnsi="Arial" w:hint="default"/>
      </w:rPr>
    </w:lvl>
    <w:lvl w:ilvl="6" w:tplc="4720FF24" w:tentative="1">
      <w:start w:val="1"/>
      <w:numFmt w:val="bullet"/>
      <w:lvlText w:val="•"/>
      <w:lvlJc w:val="left"/>
      <w:pPr>
        <w:tabs>
          <w:tab w:val="num" w:pos="5040"/>
        </w:tabs>
        <w:ind w:left="5040" w:hanging="360"/>
      </w:pPr>
      <w:rPr>
        <w:rFonts w:ascii="Arial" w:hAnsi="Arial" w:hint="default"/>
      </w:rPr>
    </w:lvl>
    <w:lvl w:ilvl="7" w:tplc="9D16F4F6" w:tentative="1">
      <w:start w:val="1"/>
      <w:numFmt w:val="bullet"/>
      <w:lvlText w:val="•"/>
      <w:lvlJc w:val="left"/>
      <w:pPr>
        <w:tabs>
          <w:tab w:val="num" w:pos="5760"/>
        </w:tabs>
        <w:ind w:left="5760" w:hanging="360"/>
      </w:pPr>
      <w:rPr>
        <w:rFonts w:ascii="Arial" w:hAnsi="Arial" w:hint="default"/>
      </w:rPr>
    </w:lvl>
    <w:lvl w:ilvl="8" w:tplc="14B02AD8" w:tentative="1">
      <w:start w:val="1"/>
      <w:numFmt w:val="bullet"/>
      <w:lvlText w:val="•"/>
      <w:lvlJc w:val="left"/>
      <w:pPr>
        <w:tabs>
          <w:tab w:val="num" w:pos="6480"/>
        </w:tabs>
        <w:ind w:left="6480" w:hanging="360"/>
      </w:pPr>
      <w:rPr>
        <w:rFonts w:ascii="Arial" w:hAnsi="Arial" w:hint="default"/>
      </w:rPr>
    </w:lvl>
  </w:abstractNum>
  <w:abstractNum w:abstractNumId="1">
    <w:nsid w:val="129B7B31"/>
    <w:multiLevelType w:val="hybridMultilevel"/>
    <w:tmpl w:val="ADAC3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500150"/>
    <w:multiLevelType w:val="hybridMultilevel"/>
    <w:tmpl w:val="013CC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B53AA0"/>
    <w:multiLevelType w:val="hybridMultilevel"/>
    <w:tmpl w:val="753CF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DF0293A"/>
    <w:multiLevelType w:val="hybridMultilevel"/>
    <w:tmpl w:val="2B1A0A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B6E1D8E"/>
    <w:multiLevelType w:val="hybridMultilevel"/>
    <w:tmpl w:val="AF5E4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2C89"/>
    <w:rsid w:val="00005C71"/>
    <w:rsid w:val="00011EF6"/>
    <w:rsid w:val="00024F6A"/>
    <w:rsid w:val="00025827"/>
    <w:rsid w:val="00025829"/>
    <w:rsid w:val="00030D36"/>
    <w:rsid w:val="00032C89"/>
    <w:rsid w:val="00035DED"/>
    <w:rsid w:val="0004143C"/>
    <w:rsid w:val="00041748"/>
    <w:rsid w:val="000434E9"/>
    <w:rsid w:val="00043E85"/>
    <w:rsid w:val="000459CF"/>
    <w:rsid w:val="000459EA"/>
    <w:rsid w:val="00046579"/>
    <w:rsid w:val="00046A93"/>
    <w:rsid w:val="00050EEA"/>
    <w:rsid w:val="00051988"/>
    <w:rsid w:val="0005471B"/>
    <w:rsid w:val="00055AEF"/>
    <w:rsid w:val="0006041F"/>
    <w:rsid w:val="00060FE4"/>
    <w:rsid w:val="00064D6A"/>
    <w:rsid w:val="00066BC3"/>
    <w:rsid w:val="0006734D"/>
    <w:rsid w:val="000678B0"/>
    <w:rsid w:val="000705DD"/>
    <w:rsid w:val="00071ABB"/>
    <w:rsid w:val="00073792"/>
    <w:rsid w:val="00075399"/>
    <w:rsid w:val="000753C9"/>
    <w:rsid w:val="0008018D"/>
    <w:rsid w:val="00080F6D"/>
    <w:rsid w:val="00082AA3"/>
    <w:rsid w:val="0008433F"/>
    <w:rsid w:val="00087B1F"/>
    <w:rsid w:val="00090428"/>
    <w:rsid w:val="00093962"/>
    <w:rsid w:val="00094423"/>
    <w:rsid w:val="000A0322"/>
    <w:rsid w:val="000A0368"/>
    <w:rsid w:val="000A0853"/>
    <w:rsid w:val="000A0927"/>
    <w:rsid w:val="000A3A42"/>
    <w:rsid w:val="000A3FD5"/>
    <w:rsid w:val="000A539A"/>
    <w:rsid w:val="000A5778"/>
    <w:rsid w:val="000A59E2"/>
    <w:rsid w:val="000A5AF4"/>
    <w:rsid w:val="000B0A6F"/>
    <w:rsid w:val="000B3199"/>
    <w:rsid w:val="000B506A"/>
    <w:rsid w:val="000C10CB"/>
    <w:rsid w:val="000C206A"/>
    <w:rsid w:val="000C2288"/>
    <w:rsid w:val="000C2E9A"/>
    <w:rsid w:val="000C3C46"/>
    <w:rsid w:val="000C6784"/>
    <w:rsid w:val="000C7773"/>
    <w:rsid w:val="000D05F4"/>
    <w:rsid w:val="000D1B17"/>
    <w:rsid w:val="000D31DC"/>
    <w:rsid w:val="000D3328"/>
    <w:rsid w:val="000D5C17"/>
    <w:rsid w:val="000D6590"/>
    <w:rsid w:val="000D6AA3"/>
    <w:rsid w:val="000E3892"/>
    <w:rsid w:val="000E4DF1"/>
    <w:rsid w:val="000E719C"/>
    <w:rsid w:val="000E7BCC"/>
    <w:rsid w:val="000F3C7B"/>
    <w:rsid w:val="000F6251"/>
    <w:rsid w:val="00102061"/>
    <w:rsid w:val="0010456A"/>
    <w:rsid w:val="00105CAE"/>
    <w:rsid w:val="001076F8"/>
    <w:rsid w:val="00110386"/>
    <w:rsid w:val="001104B2"/>
    <w:rsid w:val="00111335"/>
    <w:rsid w:val="001137CA"/>
    <w:rsid w:val="00117D1E"/>
    <w:rsid w:val="00120E27"/>
    <w:rsid w:val="00122E46"/>
    <w:rsid w:val="00125567"/>
    <w:rsid w:val="00125A9B"/>
    <w:rsid w:val="00126D4D"/>
    <w:rsid w:val="00135DF5"/>
    <w:rsid w:val="00143238"/>
    <w:rsid w:val="00145520"/>
    <w:rsid w:val="00146B59"/>
    <w:rsid w:val="00147076"/>
    <w:rsid w:val="0015028E"/>
    <w:rsid w:val="0015054D"/>
    <w:rsid w:val="00150C4C"/>
    <w:rsid w:val="0015174D"/>
    <w:rsid w:val="001529FB"/>
    <w:rsid w:val="00155062"/>
    <w:rsid w:val="0016091D"/>
    <w:rsid w:val="00160B31"/>
    <w:rsid w:val="00161FDD"/>
    <w:rsid w:val="00162F22"/>
    <w:rsid w:val="001633C2"/>
    <w:rsid w:val="00173E72"/>
    <w:rsid w:val="00176DE1"/>
    <w:rsid w:val="00182CD0"/>
    <w:rsid w:val="0018439A"/>
    <w:rsid w:val="001848D8"/>
    <w:rsid w:val="0018594D"/>
    <w:rsid w:val="00191D8C"/>
    <w:rsid w:val="00191F3A"/>
    <w:rsid w:val="001932D3"/>
    <w:rsid w:val="001971FF"/>
    <w:rsid w:val="001A05C1"/>
    <w:rsid w:val="001A202E"/>
    <w:rsid w:val="001B0ED6"/>
    <w:rsid w:val="001B1574"/>
    <w:rsid w:val="001B3054"/>
    <w:rsid w:val="001B37E8"/>
    <w:rsid w:val="001B7FEB"/>
    <w:rsid w:val="001C0EAF"/>
    <w:rsid w:val="001C219C"/>
    <w:rsid w:val="001C2A90"/>
    <w:rsid w:val="001C6C9C"/>
    <w:rsid w:val="001D322D"/>
    <w:rsid w:val="001D3861"/>
    <w:rsid w:val="001D4362"/>
    <w:rsid w:val="001D4A16"/>
    <w:rsid w:val="001D59D4"/>
    <w:rsid w:val="001D74A9"/>
    <w:rsid w:val="001E1513"/>
    <w:rsid w:val="001E3A5B"/>
    <w:rsid w:val="001E7F11"/>
    <w:rsid w:val="001F190A"/>
    <w:rsid w:val="001F1D6C"/>
    <w:rsid w:val="001F229E"/>
    <w:rsid w:val="002000ED"/>
    <w:rsid w:val="00200A88"/>
    <w:rsid w:val="00203B04"/>
    <w:rsid w:val="00206811"/>
    <w:rsid w:val="00207138"/>
    <w:rsid w:val="002105B3"/>
    <w:rsid w:val="00211985"/>
    <w:rsid w:val="00211C69"/>
    <w:rsid w:val="002130C3"/>
    <w:rsid w:val="00217894"/>
    <w:rsid w:val="002201FE"/>
    <w:rsid w:val="0022120C"/>
    <w:rsid w:val="00221B65"/>
    <w:rsid w:val="002233AA"/>
    <w:rsid w:val="00231F93"/>
    <w:rsid w:val="00233D0F"/>
    <w:rsid w:val="00237FA0"/>
    <w:rsid w:val="002409D0"/>
    <w:rsid w:val="00240C0E"/>
    <w:rsid w:val="00240C9C"/>
    <w:rsid w:val="00243D41"/>
    <w:rsid w:val="002446C0"/>
    <w:rsid w:val="00245A1C"/>
    <w:rsid w:val="0024609E"/>
    <w:rsid w:val="00246646"/>
    <w:rsid w:val="00252772"/>
    <w:rsid w:val="002603D0"/>
    <w:rsid w:val="002608FB"/>
    <w:rsid w:val="002622D3"/>
    <w:rsid w:val="00263352"/>
    <w:rsid w:val="00264EA6"/>
    <w:rsid w:val="00272B74"/>
    <w:rsid w:val="00274A73"/>
    <w:rsid w:val="0028007A"/>
    <w:rsid w:val="00281E45"/>
    <w:rsid w:val="00282FF5"/>
    <w:rsid w:val="0028303A"/>
    <w:rsid w:val="0028351C"/>
    <w:rsid w:val="00283BE3"/>
    <w:rsid w:val="00284E4B"/>
    <w:rsid w:val="0028706B"/>
    <w:rsid w:val="0028742A"/>
    <w:rsid w:val="00290702"/>
    <w:rsid w:val="00297AAB"/>
    <w:rsid w:val="00297C3F"/>
    <w:rsid w:val="002A5D6F"/>
    <w:rsid w:val="002A6BAD"/>
    <w:rsid w:val="002A7113"/>
    <w:rsid w:val="002A73BB"/>
    <w:rsid w:val="002A764C"/>
    <w:rsid w:val="002B02C5"/>
    <w:rsid w:val="002B05A3"/>
    <w:rsid w:val="002B44DA"/>
    <w:rsid w:val="002C1471"/>
    <w:rsid w:val="002C2312"/>
    <w:rsid w:val="002C306D"/>
    <w:rsid w:val="002C6070"/>
    <w:rsid w:val="002C7F4F"/>
    <w:rsid w:val="002D24B5"/>
    <w:rsid w:val="002E1F07"/>
    <w:rsid w:val="002E434D"/>
    <w:rsid w:val="002E4A43"/>
    <w:rsid w:val="002E75A0"/>
    <w:rsid w:val="002E7DA2"/>
    <w:rsid w:val="002F28B1"/>
    <w:rsid w:val="002F4BF0"/>
    <w:rsid w:val="002F592B"/>
    <w:rsid w:val="00300109"/>
    <w:rsid w:val="003017D7"/>
    <w:rsid w:val="00301F8C"/>
    <w:rsid w:val="003030C3"/>
    <w:rsid w:val="003034E5"/>
    <w:rsid w:val="00307872"/>
    <w:rsid w:val="00310DCE"/>
    <w:rsid w:val="00310EF1"/>
    <w:rsid w:val="003110B6"/>
    <w:rsid w:val="00311547"/>
    <w:rsid w:val="00322E85"/>
    <w:rsid w:val="00323064"/>
    <w:rsid w:val="00323227"/>
    <w:rsid w:val="0032325C"/>
    <w:rsid w:val="00323619"/>
    <w:rsid w:val="003240FC"/>
    <w:rsid w:val="003259E8"/>
    <w:rsid w:val="00326EDE"/>
    <w:rsid w:val="003276FA"/>
    <w:rsid w:val="00327969"/>
    <w:rsid w:val="003318DF"/>
    <w:rsid w:val="00332CE4"/>
    <w:rsid w:val="00342042"/>
    <w:rsid w:val="00345373"/>
    <w:rsid w:val="00346D5A"/>
    <w:rsid w:val="00346E11"/>
    <w:rsid w:val="003504AB"/>
    <w:rsid w:val="00350FC5"/>
    <w:rsid w:val="00352B22"/>
    <w:rsid w:val="00355A9E"/>
    <w:rsid w:val="00355EEC"/>
    <w:rsid w:val="003573FC"/>
    <w:rsid w:val="003611F2"/>
    <w:rsid w:val="00361829"/>
    <w:rsid w:val="00362919"/>
    <w:rsid w:val="003630A7"/>
    <w:rsid w:val="00366650"/>
    <w:rsid w:val="00366FF1"/>
    <w:rsid w:val="00367B5D"/>
    <w:rsid w:val="003747BB"/>
    <w:rsid w:val="00380B7D"/>
    <w:rsid w:val="00382784"/>
    <w:rsid w:val="0038293E"/>
    <w:rsid w:val="00382B99"/>
    <w:rsid w:val="00383018"/>
    <w:rsid w:val="003925D6"/>
    <w:rsid w:val="00394676"/>
    <w:rsid w:val="0039640A"/>
    <w:rsid w:val="00396963"/>
    <w:rsid w:val="003979C5"/>
    <w:rsid w:val="00397AB8"/>
    <w:rsid w:val="003A140E"/>
    <w:rsid w:val="003A227E"/>
    <w:rsid w:val="003A2854"/>
    <w:rsid w:val="003A2C67"/>
    <w:rsid w:val="003A4013"/>
    <w:rsid w:val="003A6D8F"/>
    <w:rsid w:val="003A739D"/>
    <w:rsid w:val="003A74A5"/>
    <w:rsid w:val="003A74CB"/>
    <w:rsid w:val="003B01AA"/>
    <w:rsid w:val="003B09BA"/>
    <w:rsid w:val="003B213A"/>
    <w:rsid w:val="003B2BDC"/>
    <w:rsid w:val="003B4A5C"/>
    <w:rsid w:val="003B5EF3"/>
    <w:rsid w:val="003B67D1"/>
    <w:rsid w:val="003C2A97"/>
    <w:rsid w:val="003C2CBD"/>
    <w:rsid w:val="003D021D"/>
    <w:rsid w:val="003D1F32"/>
    <w:rsid w:val="003D26BD"/>
    <w:rsid w:val="003E055C"/>
    <w:rsid w:val="003E2ACB"/>
    <w:rsid w:val="003E648F"/>
    <w:rsid w:val="003E7890"/>
    <w:rsid w:val="003F325D"/>
    <w:rsid w:val="003F4389"/>
    <w:rsid w:val="00400F47"/>
    <w:rsid w:val="00403628"/>
    <w:rsid w:val="00404338"/>
    <w:rsid w:val="00406085"/>
    <w:rsid w:val="004111C0"/>
    <w:rsid w:val="00411BDF"/>
    <w:rsid w:val="00413197"/>
    <w:rsid w:val="004210AF"/>
    <w:rsid w:val="004225B5"/>
    <w:rsid w:val="0042366C"/>
    <w:rsid w:val="00426F0A"/>
    <w:rsid w:val="00427701"/>
    <w:rsid w:val="004311A4"/>
    <w:rsid w:val="00434750"/>
    <w:rsid w:val="00434947"/>
    <w:rsid w:val="00435449"/>
    <w:rsid w:val="00435BA9"/>
    <w:rsid w:val="00437ABD"/>
    <w:rsid w:val="0044029E"/>
    <w:rsid w:val="00456330"/>
    <w:rsid w:val="00457F7A"/>
    <w:rsid w:val="00460A88"/>
    <w:rsid w:val="00461767"/>
    <w:rsid w:val="00462473"/>
    <w:rsid w:val="00465FCB"/>
    <w:rsid w:val="00471067"/>
    <w:rsid w:val="00472CE1"/>
    <w:rsid w:val="00474ADC"/>
    <w:rsid w:val="00474E09"/>
    <w:rsid w:val="0048200B"/>
    <w:rsid w:val="00484BDC"/>
    <w:rsid w:val="00487315"/>
    <w:rsid w:val="0049388F"/>
    <w:rsid w:val="00494150"/>
    <w:rsid w:val="00494383"/>
    <w:rsid w:val="004A2111"/>
    <w:rsid w:val="004A64E0"/>
    <w:rsid w:val="004A7492"/>
    <w:rsid w:val="004B05E7"/>
    <w:rsid w:val="004B13F4"/>
    <w:rsid w:val="004B2D5C"/>
    <w:rsid w:val="004B6217"/>
    <w:rsid w:val="004C1538"/>
    <w:rsid w:val="004C1C35"/>
    <w:rsid w:val="004C455B"/>
    <w:rsid w:val="004C5CC3"/>
    <w:rsid w:val="004C64BC"/>
    <w:rsid w:val="004D09C5"/>
    <w:rsid w:val="004D3C4C"/>
    <w:rsid w:val="004E399F"/>
    <w:rsid w:val="004E40D0"/>
    <w:rsid w:val="004E5873"/>
    <w:rsid w:val="004F1463"/>
    <w:rsid w:val="004F1771"/>
    <w:rsid w:val="004F182F"/>
    <w:rsid w:val="004F3456"/>
    <w:rsid w:val="004F60D3"/>
    <w:rsid w:val="004F691B"/>
    <w:rsid w:val="0050007B"/>
    <w:rsid w:val="00504E9B"/>
    <w:rsid w:val="00505250"/>
    <w:rsid w:val="00505351"/>
    <w:rsid w:val="0050571B"/>
    <w:rsid w:val="00507179"/>
    <w:rsid w:val="00513CB5"/>
    <w:rsid w:val="005143D9"/>
    <w:rsid w:val="0051570A"/>
    <w:rsid w:val="005163D9"/>
    <w:rsid w:val="005172DA"/>
    <w:rsid w:val="00522515"/>
    <w:rsid w:val="00524F62"/>
    <w:rsid w:val="0052579E"/>
    <w:rsid w:val="00526489"/>
    <w:rsid w:val="005273A5"/>
    <w:rsid w:val="005311CF"/>
    <w:rsid w:val="00533B7A"/>
    <w:rsid w:val="00533DB4"/>
    <w:rsid w:val="00540596"/>
    <w:rsid w:val="00540CA8"/>
    <w:rsid w:val="005423EC"/>
    <w:rsid w:val="00542F27"/>
    <w:rsid w:val="0054617D"/>
    <w:rsid w:val="005462A4"/>
    <w:rsid w:val="005526BE"/>
    <w:rsid w:val="0055476B"/>
    <w:rsid w:val="00556E37"/>
    <w:rsid w:val="005614D5"/>
    <w:rsid w:val="00562013"/>
    <w:rsid w:val="0056402F"/>
    <w:rsid w:val="005667BD"/>
    <w:rsid w:val="00577CBB"/>
    <w:rsid w:val="0058320E"/>
    <w:rsid w:val="005942E9"/>
    <w:rsid w:val="00595676"/>
    <w:rsid w:val="00597A2F"/>
    <w:rsid w:val="005A7E9A"/>
    <w:rsid w:val="005B0590"/>
    <w:rsid w:val="005B1056"/>
    <w:rsid w:val="005B2360"/>
    <w:rsid w:val="005B40A6"/>
    <w:rsid w:val="005B58CF"/>
    <w:rsid w:val="005B7864"/>
    <w:rsid w:val="005B7F4C"/>
    <w:rsid w:val="005C3F68"/>
    <w:rsid w:val="005C461D"/>
    <w:rsid w:val="005C5B89"/>
    <w:rsid w:val="005C5CB7"/>
    <w:rsid w:val="005C6631"/>
    <w:rsid w:val="005D2D96"/>
    <w:rsid w:val="005D459F"/>
    <w:rsid w:val="005D55A4"/>
    <w:rsid w:val="005E0EB6"/>
    <w:rsid w:val="005E112A"/>
    <w:rsid w:val="005E1994"/>
    <w:rsid w:val="005E41E9"/>
    <w:rsid w:val="005E47D9"/>
    <w:rsid w:val="005E6885"/>
    <w:rsid w:val="005E7AD7"/>
    <w:rsid w:val="005F233D"/>
    <w:rsid w:val="005F315F"/>
    <w:rsid w:val="005F5D3B"/>
    <w:rsid w:val="005F697D"/>
    <w:rsid w:val="00600A1A"/>
    <w:rsid w:val="00603AB5"/>
    <w:rsid w:val="00603B7A"/>
    <w:rsid w:val="00611266"/>
    <w:rsid w:val="006121B5"/>
    <w:rsid w:val="00612881"/>
    <w:rsid w:val="006179A5"/>
    <w:rsid w:val="006200BE"/>
    <w:rsid w:val="006213FA"/>
    <w:rsid w:val="00622ED5"/>
    <w:rsid w:val="00625970"/>
    <w:rsid w:val="006331AC"/>
    <w:rsid w:val="00633404"/>
    <w:rsid w:val="0063525B"/>
    <w:rsid w:val="006374C3"/>
    <w:rsid w:val="00640E44"/>
    <w:rsid w:val="00644B1D"/>
    <w:rsid w:val="00645F4E"/>
    <w:rsid w:val="00651276"/>
    <w:rsid w:val="00652F21"/>
    <w:rsid w:val="00657069"/>
    <w:rsid w:val="00657BBC"/>
    <w:rsid w:val="006601FF"/>
    <w:rsid w:val="00663955"/>
    <w:rsid w:val="00663BA5"/>
    <w:rsid w:val="00665DEE"/>
    <w:rsid w:val="0067087B"/>
    <w:rsid w:val="00671502"/>
    <w:rsid w:val="00672EB6"/>
    <w:rsid w:val="00673AA1"/>
    <w:rsid w:val="00675794"/>
    <w:rsid w:val="00675A85"/>
    <w:rsid w:val="00676DB9"/>
    <w:rsid w:val="00677777"/>
    <w:rsid w:val="00685BA7"/>
    <w:rsid w:val="00685C00"/>
    <w:rsid w:val="00690C5F"/>
    <w:rsid w:val="00690DC5"/>
    <w:rsid w:val="006935A7"/>
    <w:rsid w:val="00696532"/>
    <w:rsid w:val="00697B66"/>
    <w:rsid w:val="006A0025"/>
    <w:rsid w:val="006A11E8"/>
    <w:rsid w:val="006A2EC7"/>
    <w:rsid w:val="006A4503"/>
    <w:rsid w:val="006B4629"/>
    <w:rsid w:val="006B5380"/>
    <w:rsid w:val="006B5EDC"/>
    <w:rsid w:val="006B7186"/>
    <w:rsid w:val="006B7A68"/>
    <w:rsid w:val="006C0AF1"/>
    <w:rsid w:val="006C2547"/>
    <w:rsid w:val="006C30AC"/>
    <w:rsid w:val="006C56C0"/>
    <w:rsid w:val="006D0BA6"/>
    <w:rsid w:val="006D2628"/>
    <w:rsid w:val="006D2882"/>
    <w:rsid w:val="006D28B1"/>
    <w:rsid w:val="006D7C83"/>
    <w:rsid w:val="006E0092"/>
    <w:rsid w:val="006E1089"/>
    <w:rsid w:val="006E1BD3"/>
    <w:rsid w:val="006E4374"/>
    <w:rsid w:val="006E5EFE"/>
    <w:rsid w:val="006F00E2"/>
    <w:rsid w:val="006F0F08"/>
    <w:rsid w:val="006F29FC"/>
    <w:rsid w:val="006F40F0"/>
    <w:rsid w:val="006F7ADE"/>
    <w:rsid w:val="007019A4"/>
    <w:rsid w:val="00701A00"/>
    <w:rsid w:val="00701C2E"/>
    <w:rsid w:val="0070488E"/>
    <w:rsid w:val="00705E9B"/>
    <w:rsid w:val="00706471"/>
    <w:rsid w:val="0071276C"/>
    <w:rsid w:val="00712A63"/>
    <w:rsid w:val="0072113A"/>
    <w:rsid w:val="00723F83"/>
    <w:rsid w:val="00725C22"/>
    <w:rsid w:val="00725DC7"/>
    <w:rsid w:val="0072605A"/>
    <w:rsid w:val="00731CBD"/>
    <w:rsid w:val="00735E35"/>
    <w:rsid w:val="007368C4"/>
    <w:rsid w:val="00737D66"/>
    <w:rsid w:val="0074020B"/>
    <w:rsid w:val="00740347"/>
    <w:rsid w:val="00743472"/>
    <w:rsid w:val="007435A4"/>
    <w:rsid w:val="00743A64"/>
    <w:rsid w:val="00745802"/>
    <w:rsid w:val="0074624A"/>
    <w:rsid w:val="00750422"/>
    <w:rsid w:val="007505E2"/>
    <w:rsid w:val="00753948"/>
    <w:rsid w:val="00753CE0"/>
    <w:rsid w:val="00753E84"/>
    <w:rsid w:val="00754810"/>
    <w:rsid w:val="007608C6"/>
    <w:rsid w:val="00762802"/>
    <w:rsid w:val="00762FA9"/>
    <w:rsid w:val="00764059"/>
    <w:rsid w:val="0077098D"/>
    <w:rsid w:val="00770AF3"/>
    <w:rsid w:val="007758AB"/>
    <w:rsid w:val="00776A69"/>
    <w:rsid w:val="00776CD4"/>
    <w:rsid w:val="007846E9"/>
    <w:rsid w:val="007906D1"/>
    <w:rsid w:val="00790DFB"/>
    <w:rsid w:val="00791FD8"/>
    <w:rsid w:val="007920CE"/>
    <w:rsid w:val="007923C5"/>
    <w:rsid w:val="0079256E"/>
    <w:rsid w:val="00793E48"/>
    <w:rsid w:val="00795994"/>
    <w:rsid w:val="007A1593"/>
    <w:rsid w:val="007A1730"/>
    <w:rsid w:val="007A3842"/>
    <w:rsid w:val="007A5F23"/>
    <w:rsid w:val="007A7E69"/>
    <w:rsid w:val="007B2414"/>
    <w:rsid w:val="007B3801"/>
    <w:rsid w:val="007B3E31"/>
    <w:rsid w:val="007B4183"/>
    <w:rsid w:val="007B42FD"/>
    <w:rsid w:val="007B54A2"/>
    <w:rsid w:val="007B75E1"/>
    <w:rsid w:val="007B7B5E"/>
    <w:rsid w:val="007C568B"/>
    <w:rsid w:val="007C7252"/>
    <w:rsid w:val="007D2616"/>
    <w:rsid w:val="007D33F5"/>
    <w:rsid w:val="007D3E8F"/>
    <w:rsid w:val="007D581B"/>
    <w:rsid w:val="007D67BA"/>
    <w:rsid w:val="007E0EC1"/>
    <w:rsid w:val="007E2270"/>
    <w:rsid w:val="007E2B8C"/>
    <w:rsid w:val="007E3497"/>
    <w:rsid w:val="007F0A2D"/>
    <w:rsid w:val="007F0A72"/>
    <w:rsid w:val="007F0B11"/>
    <w:rsid w:val="007F1062"/>
    <w:rsid w:val="007F1226"/>
    <w:rsid w:val="007F177A"/>
    <w:rsid w:val="007F2EAF"/>
    <w:rsid w:val="007F4C5D"/>
    <w:rsid w:val="007F7DE1"/>
    <w:rsid w:val="00800143"/>
    <w:rsid w:val="0080095A"/>
    <w:rsid w:val="0080766A"/>
    <w:rsid w:val="00810FEA"/>
    <w:rsid w:val="008112AF"/>
    <w:rsid w:val="00811F5B"/>
    <w:rsid w:val="00812164"/>
    <w:rsid w:val="008221B8"/>
    <w:rsid w:val="008242F6"/>
    <w:rsid w:val="008246E4"/>
    <w:rsid w:val="00825970"/>
    <w:rsid w:val="008267BE"/>
    <w:rsid w:val="008307F8"/>
    <w:rsid w:val="00833C03"/>
    <w:rsid w:val="00834677"/>
    <w:rsid w:val="00837678"/>
    <w:rsid w:val="00850698"/>
    <w:rsid w:val="00852157"/>
    <w:rsid w:val="00852BE9"/>
    <w:rsid w:val="00853118"/>
    <w:rsid w:val="008536C6"/>
    <w:rsid w:val="00854697"/>
    <w:rsid w:val="00855B40"/>
    <w:rsid w:val="00860AAA"/>
    <w:rsid w:val="0086127B"/>
    <w:rsid w:val="008629F4"/>
    <w:rsid w:val="00865EF8"/>
    <w:rsid w:val="00873A29"/>
    <w:rsid w:val="0088424F"/>
    <w:rsid w:val="00885859"/>
    <w:rsid w:val="00887BAE"/>
    <w:rsid w:val="00890C8E"/>
    <w:rsid w:val="0089130F"/>
    <w:rsid w:val="00892E57"/>
    <w:rsid w:val="00893BF8"/>
    <w:rsid w:val="008976AD"/>
    <w:rsid w:val="008A2783"/>
    <w:rsid w:val="008A2AD5"/>
    <w:rsid w:val="008A2FC7"/>
    <w:rsid w:val="008A73F1"/>
    <w:rsid w:val="008B7847"/>
    <w:rsid w:val="008C0781"/>
    <w:rsid w:val="008C11DB"/>
    <w:rsid w:val="008C6DB6"/>
    <w:rsid w:val="008D1B7F"/>
    <w:rsid w:val="008D51A1"/>
    <w:rsid w:val="008E06D4"/>
    <w:rsid w:val="008E0CA2"/>
    <w:rsid w:val="008E33D4"/>
    <w:rsid w:val="008E368F"/>
    <w:rsid w:val="008F4E60"/>
    <w:rsid w:val="008F6AF7"/>
    <w:rsid w:val="008F71BF"/>
    <w:rsid w:val="00901678"/>
    <w:rsid w:val="00903784"/>
    <w:rsid w:val="00903B55"/>
    <w:rsid w:val="00907087"/>
    <w:rsid w:val="00910820"/>
    <w:rsid w:val="009113A2"/>
    <w:rsid w:val="00917D57"/>
    <w:rsid w:val="0092187C"/>
    <w:rsid w:val="00925ACD"/>
    <w:rsid w:val="00926097"/>
    <w:rsid w:val="00930639"/>
    <w:rsid w:val="00930B77"/>
    <w:rsid w:val="009379C0"/>
    <w:rsid w:val="00941919"/>
    <w:rsid w:val="00941952"/>
    <w:rsid w:val="009422A0"/>
    <w:rsid w:val="00944AD3"/>
    <w:rsid w:val="009477AE"/>
    <w:rsid w:val="009528FB"/>
    <w:rsid w:val="00952A42"/>
    <w:rsid w:val="00957EB7"/>
    <w:rsid w:val="00957F26"/>
    <w:rsid w:val="0096000E"/>
    <w:rsid w:val="009600DB"/>
    <w:rsid w:val="009602FE"/>
    <w:rsid w:val="009616FB"/>
    <w:rsid w:val="00962812"/>
    <w:rsid w:val="0096367D"/>
    <w:rsid w:val="00964D27"/>
    <w:rsid w:val="00966AC8"/>
    <w:rsid w:val="00967A35"/>
    <w:rsid w:val="009709B6"/>
    <w:rsid w:val="00971630"/>
    <w:rsid w:val="00971967"/>
    <w:rsid w:val="009757FD"/>
    <w:rsid w:val="00976A7C"/>
    <w:rsid w:val="0097756D"/>
    <w:rsid w:val="00981B8D"/>
    <w:rsid w:val="00981BC6"/>
    <w:rsid w:val="00982479"/>
    <w:rsid w:val="0098569B"/>
    <w:rsid w:val="0098767C"/>
    <w:rsid w:val="00992C66"/>
    <w:rsid w:val="00997167"/>
    <w:rsid w:val="00997C1A"/>
    <w:rsid w:val="009A0299"/>
    <w:rsid w:val="009A6296"/>
    <w:rsid w:val="009A65FA"/>
    <w:rsid w:val="009B191E"/>
    <w:rsid w:val="009B369B"/>
    <w:rsid w:val="009B3A29"/>
    <w:rsid w:val="009B405B"/>
    <w:rsid w:val="009B7187"/>
    <w:rsid w:val="009C0358"/>
    <w:rsid w:val="009C1EC3"/>
    <w:rsid w:val="009C34DB"/>
    <w:rsid w:val="009C399B"/>
    <w:rsid w:val="009D27E3"/>
    <w:rsid w:val="009D290A"/>
    <w:rsid w:val="009D36D8"/>
    <w:rsid w:val="009D6B8F"/>
    <w:rsid w:val="009D6FEF"/>
    <w:rsid w:val="009D7FB4"/>
    <w:rsid w:val="009E070D"/>
    <w:rsid w:val="009E1318"/>
    <w:rsid w:val="009E2009"/>
    <w:rsid w:val="009E4BBA"/>
    <w:rsid w:val="009E6C0D"/>
    <w:rsid w:val="009E7209"/>
    <w:rsid w:val="009E74A0"/>
    <w:rsid w:val="009E75B3"/>
    <w:rsid w:val="009F0493"/>
    <w:rsid w:val="009F4292"/>
    <w:rsid w:val="009F492F"/>
    <w:rsid w:val="00A0021B"/>
    <w:rsid w:val="00A036C4"/>
    <w:rsid w:val="00A04F5F"/>
    <w:rsid w:val="00A05645"/>
    <w:rsid w:val="00A06CC4"/>
    <w:rsid w:val="00A07051"/>
    <w:rsid w:val="00A125E3"/>
    <w:rsid w:val="00A21CC7"/>
    <w:rsid w:val="00A222ED"/>
    <w:rsid w:val="00A27536"/>
    <w:rsid w:val="00A30DD1"/>
    <w:rsid w:val="00A31F58"/>
    <w:rsid w:val="00A32F1A"/>
    <w:rsid w:val="00A337B7"/>
    <w:rsid w:val="00A3431E"/>
    <w:rsid w:val="00A3685D"/>
    <w:rsid w:val="00A411C0"/>
    <w:rsid w:val="00A46C7C"/>
    <w:rsid w:val="00A47680"/>
    <w:rsid w:val="00A560F8"/>
    <w:rsid w:val="00A56D62"/>
    <w:rsid w:val="00A6342E"/>
    <w:rsid w:val="00A655EE"/>
    <w:rsid w:val="00A74621"/>
    <w:rsid w:val="00A758A2"/>
    <w:rsid w:val="00A75C06"/>
    <w:rsid w:val="00A7787C"/>
    <w:rsid w:val="00A80081"/>
    <w:rsid w:val="00A81DFF"/>
    <w:rsid w:val="00A823D0"/>
    <w:rsid w:val="00A838E6"/>
    <w:rsid w:val="00A83991"/>
    <w:rsid w:val="00A844C6"/>
    <w:rsid w:val="00A85615"/>
    <w:rsid w:val="00A870F6"/>
    <w:rsid w:val="00A935E4"/>
    <w:rsid w:val="00AA3D86"/>
    <w:rsid w:val="00AA4984"/>
    <w:rsid w:val="00AA5203"/>
    <w:rsid w:val="00AB69BA"/>
    <w:rsid w:val="00AC32B7"/>
    <w:rsid w:val="00AD088A"/>
    <w:rsid w:val="00AD3CC9"/>
    <w:rsid w:val="00AD445C"/>
    <w:rsid w:val="00AD4A75"/>
    <w:rsid w:val="00AD7019"/>
    <w:rsid w:val="00AD7766"/>
    <w:rsid w:val="00AE154B"/>
    <w:rsid w:val="00AE15E4"/>
    <w:rsid w:val="00AE1BDD"/>
    <w:rsid w:val="00AE31E1"/>
    <w:rsid w:val="00AE3EC8"/>
    <w:rsid w:val="00AE4794"/>
    <w:rsid w:val="00AE4DF8"/>
    <w:rsid w:val="00B007A9"/>
    <w:rsid w:val="00B00A6F"/>
    <w:rsid w:val="00B034E9"/>
    <w:rsid w:val="00B03940"/>
    <w:rsid w:val="00B042FA"/>
    <w:rsid w:val="00B042FB"/>
    <w:rsid w:val="00B053DE"/>
    <w:rsid w:val="00B05CFF"/>
    <w:rsid w:val="00B1158D"/>
    <w:rsid w:val="00B12235"/>
    <w:rsid w:val="00B136F8"/>
    <w:rsid w:val="00B15836"/>
    <w:rsid w:val="00B177EA"/>
    <w:rsid w:val="00B17962"/>
    <w:rsid w:val="00B24AE1"/>
    <w:rsid w:val="00B27561"/>
    <w:rsid w:val="00B32DA3"/>
    <w:rsid w:val="00B3693A"/>
    <w:rsid w:val="00B3721C"/>
    <w:rsid w:val="00B45CAB"/>
    <w:rsid w:val="00B46F19"/>
    <w:rsid w:val="00B4742E"/>
    <w:rsid w:val="00B5038B"/>
    <w:rsid w:val="00B618E1"/>
    <w:rsid w:val="00B638B2"/>
    <w:rsid w:val="00B65C80"/>
    <w:rsid w:val="00B67269"/>
    <w:rsid w:val="00B67279"/>
    <w:rsid w:val="00B679A1"/>
    <w:rsid w:val="00B702DD"/>
    <w:rsid w:val="00B738F4"/>
    <w:rsid w:val="00B7403C"/>
    <w:rsid w:val="00B81BFB"/>
    <w:rsid w:val="00B82C90"/>
    <w:rsid w:val="00B86057"/>
    <w:rsid w:val="00B90D03"/>
    <w:rsid w:val="00B91818"/>
    <w:rsid w:val="00B94584"/>
    <w:rsid w:val="00B9467F"/>
    <w:rsid w:val="00B96D98"/>
    <w:rsid w:val="00BA021F"/>
    <w:rsid w:val="00BA1480"/>
    <w:rsid w:val="00BA2028"/>
    <w:rsid w:val="00BA353B"/>
    <w:rsid w:val="00BA63A5"/>
    <w:rsid w:val="00BB0CFA"/>
    <w:rsid w:val="00BB1536"/>
    <w:rsid w:val="00BB39A1"/>
    <w:rsid w:val="00BB526E"/>
    <w:rsid w:val="00BB6DDA"/>
    <w:rsid w:val="00BC0290"/>
    <w:rsid w:val="00BC04D2"/>
    <w:rsid w:val="00BC1190"/>
    <w:rsid w:val="00BC2C02"/>
    <w:rsid w:val="00BC5BB2"/>
    <w:rsid w:val="00BC60B4"/>
    <w:rsid w:val="00BC7136"/>
    <w:rsid w:val="00BC7629"/>
    <w:rsid w:val="00BD16D2"/>
    <w:rsid w:val="00BD2883"/>
    <w:rsid w:val="00BD310B"/>
    <w:rsid w:val="00BD3679"/>
    <w:rsid w:val="00BD4298"/>
    <w:rsid w:val="00BD580A"/>
    <w:rsid w:val="00BD6752"/>
    <w:rsid w:val="00BD7774"/>
    <w:rsid w:val="00BE2854"/>
    <w:rsid w:val="00BE5329"/>
    <w:rsid w:val="00BF079C"/>
    <w:rsid w:val="00BF08BB"/>
    <w:rsid w:val="00BF21DD"/>
    <w:rsid w:val="00BF362A"/>
    <w:rsid w:val="00BF5E11"/>
    <w:rsid w:val="00BF6AC1"/>
    <w:rsid w:val="00C0124B"/>
    <w:rsid w:val="00C05641"/>
    <w:rsid w:val="00C11A39"/>
    <w:rsid w:val="00C14787"/>
    <w:rsid w:val="00C163C5"/>
    <w:rsid w:val="00C16B2F"/>
    <w:rsid w:val="00C16B36"/>
    <w:rsid w:val="00C3050E"/>
    <w:rsid w:val="00C305B5"/>
    <w:rsid w:val="00C31D57"/>
    <w:rsid w:val="00C34EC6"/>
    <w:rsid w:val="00C35324"/>
    <w:rsid w:val="00C36C19"/>
    <w:rsid w:val="00C370AE"/>
    <w:rsid w:val="00C37A1F"/>
    <w:rsid w:val="00C43306"/>
    <w:rsid w:val="00C438FC"/>
    <w:rsid w:val="00C4790D"/>
    <w:rsid w:val="00C53137"/>
    <w:rsid w:val="00C53AF4"/>
    <w:rsid w:val="00C55372"/>
    <w:rsid w:val="00C607C7"/>
    <w:rsid w:val="00C61BF5"/>
    <w:rsid w:val="00C62738"/>
    <w:rsid w:val="00C666BD"/>
    <w:rsid w:val="00C6701B"/>
    <w:rsid w:val="00C73B14"/>
    <w:rsid w:val="00C73BA1"/>
    <w:rsid w:val="00C749D7"/>
    <w:rsid w:val="00C76551"/>
    <w:rsid w:val="00C76C9B"/>
    <w:rsid w:val="00C823CF"/>
    <w:rsid w:val="00C82913"/>
    <w:rsid w:val="00C82C07"/>
    <w:rsid w:val="00C839C4"/>
    <w:rsid w:val="00C84574"/>
    <w:rsid w:val="00C859C7"/>
    <w:rsid w:val="00C867F8"/>
    <w:rsid w:val="00C868EB"/>
    <w:rsid w:val="00C9199D"/>
    <w:rsid w:val="00C9226B"/>
    <w:rsid w:val="00C9351F"/>
    <w:rsid w:val="00C944C9"/>
    <w:rsid w:val="00C97707"/>
    <w:rsid w:val="00CA65D6"/>
    <w:rsid w:val="00CA6646"/>
    <w:rsid w:val="00CA6B93"/>
    <w:rsid w:val="00CB3945"/>
    <w:rsid w:val="00CB3C9B"/>
    <w:rsid w:val="00CB409B"/>
    <w:rsid w:val="00CB41D3"/>
    <w:rsid w:val="00CB5E49"/>
    <w:rsid w:val="00CB73C7"/>
    <w:rsid w:val="00CC0CE1"/>
    <w:rsid w:val="00CC1DD8"/>
    <w:rsid w:val="00CC2B3C"/>
    <w:rsid w:val="00CC4C4E"/>
    <w:rsid w:val="00CC4D5E"/>
    <w:rsid w:val="00CC7E91"/>
    <w:rsid w:val="00CD15B5"/>
    <w:rsid w:val="00CD3408"/>
    <w:rsid w:val="00CD79E0"/>
    <w:rsid w:val="00CE1998"/>
    <w:rsid w:val="00CE1E5D"/>
    <w:rsid w:val="00CE3630"/>
    <w:rsid w:val="00CE5C60"/>
    <w:rsid w:val="00CE704E"/>
    <w:rsid w:val="00CF146E"/>
    <w:rsid w:val="00CF17B5"/>
    <w:rsid w:val="00CF20DE"/>
    <w:rsid w:val="00CF2F83"/>
    <w:rsid w:val="00CF3EF1"/>
    <w:rsid w:val="00CF4B8B"/>
    <w:rsid w:val="00CF7303"/>
    <w:rsid w:val="00D00100"/>
    <w:rsid w:val="00D00675"/>
    <w:rsid w:val="00D03705"/>
    <w:rsid w:val="00D03CC7"/>
    <w:rsid w:val="00D04920"/>
    <w:rsid w:val="00D105AC"/>
    <w:rsid w:val="00D116CD"/>
    <w:rsid w:val="00D14485"/>
    <w:rsid w:val="00D14F62"/>
    <w:rsid w:val="00D15122"/>
    <w:rsid w:val="00D15B7B"/>
    <w:rsid w:val="00D219D7"/>
    <w:rsid w:val="00D23613"/>
    <w:rsid w:val="00D24AB0"/>
    <w:rsid w:val="00D25889"/>
    <w:rsid w:val="00D25E8C"/>
    <w:rsid w:val="00D32C52"/>
    <w:rsid w:val="00D33428"/>
    <w:rsid w:val="00D33D7D"/>
    <w:rsid w:val="00D429D1"/>
    <w:rsid w:val="00D4397C"/>
    <w:rsid w:val="00D4454A"/>
    <w:rsid w:val="00D459DD"/>
    <w:rsid w:val="00D51B93"/>
    <w:rsid w:val="00D5404A"/>
    <w:rsid w:val="00D61CAF"/>
    <w:rsid w:val="00D635A6"/>
    <w:rsid w:val="00D63760"/>
    <w:rsid w:val="00D6519E"/>
    <w:rsid w:val="00D651BA"/>
    <w:rsid w:val="00D77A4C"/>
    <w:rsid w:val="00D80748"/>
    <w:rsid w:val="00D91996"/>
    <w:rsid w:val="00D91B5C"/>
    <w:rsid w:val="00D9238B"/>
    <w:rsid w:val="00D92D25"/>
    <w:rsid w:val="00DA06C3"/>
    <w:rsid w:val="00DA1EA7"/>
    <w:rsid w:val="00DA2981"/>
    <w:rsid w:val="00DA375A"/>
    <w:rsid w:val="00DA5867"/>
    <w:rsid w:val="00DA705C"/>
    <w:rsid w:val="00DB0915"/>
    <w:rsid w:val="00DB61C6"/>
    <w:rsid w:val="00DB6612"/>
    <w:rsid w:val="00DB73F9"/>
    <w:rsid w:val="00DC2356"/>
    <w:rsid w:val="00DC3876"/>
    <w:rsid w:val="00DC49D5"/>
    <w:rsid w:val="00DC6222"/>
    <w:rsid w:val="00DC6D23"/>
    <w:rsid w:val="00DD0F62"/>
    <w:rsid w:val="00DD248D"/>
    <w:rsid w:val="00DD338E"/>
    <w:rsid w:val="00DD7C47"/>
    <w:rsid w:val="00DE1129"/>
    <w:rsid w:val="00DE2A7E"/>
    <w:rsid w:val="00DE3DF8"/>
    <w:rsid w:val="00DE630F"/>
    <w:rsid w:val="00DE7367"/>
    <w:rsid w:val="00DF1681"/>
    <w:rsid w:val="00DF1760"/>
    <w:rsid w:val="00DF3BBE"/>
    <w:rsid w:val="00DF40C5"/>
    <w:rsid w:val="00DF6FE1"/>
    <w:rsid w:val="00E02B9A"/>
    <w:rsid w:val="00E03842"/>
    <w:rsid w:val="00E045D0"/>
    <w:rsid w:val="00E046EC"/>
    <w:rsid w:val="00E10690"/>
    <w:rsid w:val="00E10EC6"/>
    <w:rsid w:val="00E11F04"/>
    <w:rsid w:val="00E124A6"/>
    <w:rsid w:val="00E12C49"/>
    <w:rsid w:val="00E13869"/>
    <w:rsid w:val="00E1477F"/>
    <w:rsid w:val="00E14C34"/>
    <w:rsid w:val="00E176AB"/>
    <w:rsid w:val="00E20435"/>
    <w:rsid w:val="00E2158F"/>
    <w:rsid w:val="00E21E82"/>
    <w:rsid w:val="00E3008D"/>
    <w:rsid w:val="00E331D6"/>
    <w:rsid w:val="00E3406A"/>
    <w:rsid w:val="00E3729A"/>
    <w:rsid w:val="00E37423"/>
    <w:rsid w:val="00E41768"/>
    <w:rsid w:val="00E425F7"/>
    <w:rsid w:val="00E42D35"/>
    <w:rsid w:val="00E44E24"/>
    <w:rsid w:val="00E47273"/>
    <w:rsid w:val="00E5076D"/>
    <w:rsid w:val="00E51E02"/>
    <w:rsid w:val="00E54B01"/>
    <w:rsid w:val="00E55665"/>
    <w:rsid w:val="00E622FA"/>
    <w:rsid w:val="00E638BA"/>
    <w:rsid w:val="00E651D9"/>
    <w:rsid w:val="00E67477"/>
    <w:rsid w:val="00E67730"/>
    <w:rsid w:val="00E71BA5"/>
    <w:rsid w:val="00E77A16"/>
    <w:rsid w:val="00E80859"/>
    <w:rsid w:val="00E8325B"/>
    <w:rsid w:val="00E849BF"/>
    <w:rsid w:val="00E85590"/>
    <w:rsid w:val="00E855E4"/>
    <w:rsid w:val="00E9166D"/>
    <w:rsid w:val="00E921B0"/>
    <w:rsid w:val="00E9420B"/>
    <w:rsid w:val="00EA247B"/>
    <w:rsid w:val="00EA42B9"/>
    <w:rsid w:val="00EA54A5"/>
    <w:rsid w:val="00EB2493"/>
    <w:rsid w:val="00EB27F6"/>
    <w:rsid w:val="00EB73F5"/>
    <w:rsid w:val="00EC47DA"/>
    <w:rsid w:val="00EC5659"/>
    <w:rsid w:val="00EC793D"/>
    <w:rsid w:val="00ED100D"/>
    <w:rsid w:val="00ED2768"/>
    <w:rsid w:val="00ED461E"/>
    <w:rsid w:val="00ED557D"/>
    <w:rsid w:val="00ED70E4"/>
    <w:rsid w:val="00EE0983"/>
    <w:rsid w:val="00EF0019"/>
    <w:rsid w:val="00EF107F"/>
    <w:rsid w:val="00EF2ADC"/>
    <w:rsid w:val="00EF2EA2"/>
    <w:rsid w:val="00F01289"/>
    <w:rsid w:val="00F01B77"/>
    <w:rsid w:val="00F02610"/>
    <w:rsid w:val="00F06DA5"/>
    <w:rsid w:val="00F10DE5"/>
    <w:rsid w:val="00F1550E"/>
    <w:rsid w:val="00F1589D"/>
    <w:rsid w:val="00F24275"/>
    <w:rsid w:val="00F330FB"/>
    <w:rsid w:val="00F350C9"/>
    <w:rsid w:val="00F43CE5"/>
    <w:rsid w:val="00F44A28"/>
    <w:rsid w:val="00F45226"/>
    <w:rsid w:val="00F50C6B"/>
    <w:rsid w:val="00F52052"/>
    <w:rsid w:val="00F52BB2"/>
    <w:rsid w:val="00F53769"/>
    <w:rsid w:val="00F544EB"/>
    <w:rsid w:val="00F57E30"/>
    <w:rsid w:val="00F653BF"/>
    <w:rsid w:val="00F6718B"/>
    <w:rsid w:val="00F7028E"/>
    <w:rsid w:val="00F7059B"/>
    <w:rsid w:val="00F70D99"/>
    <w:rsid w:val="00F75DE8"/>
    <w:rsid w:val="00F75DF9"/>
    <w:rsid w:val="00F76F16"/>
    <w:rsid w:val="00F804C3"/>
    <w:rsid w:val="00F83AA2"/>
    <w:rsid w:val="00F84E84"/>
    <w:rsid w:val="00F863D5"/>
    <w:rsid w:val="00F916F2"/>
    <w:rsid w:val="00F928BA"/>
    <w:rsid w:val="00F92EDB"/>
    <w:rsid w:val="00F9719B"/>
    <w:rsid w:val="00FA4F93"/>
    <w:rsid w:val="00FA5FF8"/>
    <w:rsid w:val="00FB2A98"/>
    <w:rsid w:val="00FB2EFD"/>
    <w:rsid w:val="00FB339A"/>
    <w:rsid w:val="00FB5757"/>
    <w:rsid w:val="00FB59D3"/>
    <w:rsid w:val="00FB61CC"/>
    <w:rsid w:val="00FB722B"/>
    <w:rsid w:val="00FB7545"/>
    <w:rsid w:val="00FB7A46"/>
    <w:rsid w:val="00FB7C05"/>
    <w:rsid w:val="00FB7FDE"/>
    <w:rsid w:val="00FC0CF6"/>
    <w:rsid w:val="00FC1C9E"/>
    <w:rsid w:val="00FC1E18"/>
    <w:rsid w:val="00FC20AA"/>
    <w:rsid w:val="00FC2A85"/>
    <w:rsid w:val="00FC329C"/>
    <w:rsid w:val="00FC351E"/>
    <w:rsid w:val="00FC3577"/>
    <w:rsid w:val="00FC4ED7"/>
    <w:rsid w:val="00FC63D0"/>
    <w:rsid w:val="00FD1040"/>
    <w:rsid w:val="00FD379E"/>
    <w:rsid w:val="00FD5128"/>
    <w:rsid w:val="00FD6A04"/>
    <w:rsid w:val="00FD6CFF"/>
    <w:rsid w:val="00FE1695"/>
    <w:rsid w:val="00FF122A"/>
    <w:rsid w:val="00FF47D1"/>
    <w:rsid w:val="00FF4E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04"/>
    <w:pPr>
      <w:spacing w:after="200"/>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971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7F11"/>
    <w:pPr>
      <w:spacing w:before="100" w:beforeAutospacing="1" w:after="100" w:afterAutospacing="1"/>
      <w:outlineLvl w:val="1"/>
    </w:pPr>
    <w:rPr>
      <w:rFonts w:eastAsia="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3A5"/>
    <w:rPr>
      <w:rFonts w:ascii="Times New Roman" w:hAnsi="Times New Roman"/>
      <w:sz w:val="24"/>
      <w:szCs w:val="22"/>
      <w:lang w:val="en-US" w:eastAsia="en-US"/>
    </w:rPr>
  </w:style>
  <w:style w:type="paragraph" w:styleId="FootnoteText">
    <w:name w:val="footnote text"/>
    <w:basedOn w:val="Normal"/>
    <w:link w:val="FootnoteTextChar"/>
    <w:unhideWhenUsed/>
    <w:rsid w:val="00B923A5"/>
    <w:pPr>
      <w:spacing w:after="0"/>
    </w:pPr>
    <w:rPr>
      <w:color w:val="000000"/>
      <w:sz w:val="20"/>
      <w:szCs w:val="20"/>
    </w:rPr>
  </w:style>
  <w:style w:type="character" w:customStyle="1" w:styleId="FootnoteTextChar">
    <w:name w:val="Footnote Text Char"/>
    <w:basedOn w:val="DefaultParagraphFont"/>
    <w:link w:val="FootnoteText"/>
    <w:rsid w:val="00B923A5"/>
    <w:rPr>
      <w:rFonts w:ascii="Times New Roman" w:hAnsi="Times New Roman"/>
      <w:color w:val="000000"/>
      <w:lang w:val="en-US" w:eastAsia="en-US"/>
    </w:rPr>
  </w:style>
  <w:style w:type="character" w:styleId="FootnoteReference">
    <w:name w:val="footnote reference"/>
    <w:basedOn w:val="DefaultParagraphFont"/>
    <w:semiHidden/>
    <w:unhideWhenUsed/>
    <w:rsid w:val="00B923A5"/>
    <w:rPr>
      <w:vertAlign w:val="superscript"/>
    </w:rPr>
  </w:style>
  <w:style w:type="paragraph" w:styleId="BalloonText">
    <w:name w:val="Balloon Text"/>
    <w:basedOn w:val="Normal"/>
    <w:link w:val="BalloonTextChar"/>
    <w:uiPriority w:val="99"/>
    <w:semiHidden/>
    <w:unhideWhenUsed/>
    <w:rsid w:val="0070362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3626"/>
    <w:rPr>
      <w:rFonts w:ascii="Lucida Grande" w:hAnsi="Lucida Grande"/>
      <w:sz w:val="18"/>
      <w:szCs w:val="18"/>
      <w:lang w:val="en-CA"/>
    </w:rPr>
  </w:style>
  <w:style w:type="paragraph" w:customStyle="1" w:styleId="NoteLevel21">
    <w:name w:val="Note Level 21"/>
    <w:qFormat/>
    <w:rsid w:val="00DA06C3"/>
    <w:rPr>
      <w:rFonts w:ascii="Times New Roman" w:hAnsi="Times New Roman"/>
      <w:sz w:val="24"/>
      <w:szCs w:val="22"/>
      <w:lang w:val="en-US" w:eastAsia="en-US"/>
    </w:rPr>
  </w:style>
  <w:style w:type="paragraph" w:styleId="EndnoteText">
    <w:name w:val="endnote text"/>
    <w:basedOn w:val="Normal"/>
    <w:link w:val="EndnoteTextChar"/>
    <w:uiPriority w:val="99"/>
    <w:semiHidden/>
    <w:unhideWhenUsed/>
    <w:rsid w:val="0072605A"/>
    <w:rPr>
      <w:sz w:val="20"/>
      <w:szCs w:val="20"/>
    </w:rPr>
  </w:style>
  <w:style w:type="character" w:customStyle="1" w:styleId="EndnoteTextChar">
    <w:name w:val="Endnote Text Char"/>
    <w:basedOn w:val="DefaultParagraphFont"/>
    <w:link w:val="EndnoteText"/>
    <w:uiPriority w:val="99"/>
    <w:semiHidden/>
    <w:rsid w:val="0072605A"/>
    <w:rPr>
      <w:rFonts w:ascii="Times New Roman" w:hAnsi="Times New Roman"/>
      <w:lang w:eastAsia="en-US"/>
    </w:rPr>
  </w:style>
  <w:style w:type="character" w:styleId="EndnoteReference">
    <w:name w:val="endnote reference"/>
    <w:basedOn w:val="DefaultParagraphFont"/>
    <w:uiPriority w:val="99"/>
    <w:semiHidden/>
    <w:unhideWhenUsed/>
    <w:rsid w:val="0072605A"/>
    <w:rPr>
      <w:vertAlign w:val="superscript"/>
    </w:rPr>
  </w:style>
  <w:style w:type="character" w:styleId="CommentReference">
    <w:name w:val="annotation reference"/>
    <w:basedOn w:val="DefaultParagraphFont"/>
    <w:uiPriority w:val="99"/>
    <w:semiHidden/>
    <w:unhideWhenUsed/>
    <w:rsid w:val="00903B55"/>
    <w:rPr>
      <w:sz w:val="16"/>
      <w:szCs w:val="16"/>
    </w:rPr>
  </w:style>
  <w:style w:type="paragraph" w:styleId="CommentText">
    <w:name w:val="annotation text"/>
    <w:basedOn w:val="Normal"/>
    <w:link w:val="CommentTextChar"/>
    <w:uiPriority w:val="99"/>
    <w:unhideWhenUsed/>
    <w:rsid w:val="00903B55"/>
    <w:rPr>
      <w:sz w:val="20"/>
      <w:szCs w:val="20"/>
    </w:rPr>
  </w:style>
  <w:style w:type="character" w:customStyle="1" w:styleId="CommentTextChar">
    <w:name w:val="Comment Text Char"/>
    <w:basedOn w:val="DefaultParagraphFont"/>
    <w:link w:val="CommentText"/>
    <w:uiPriority w:val="99"/>
    <w:rsid w:val="00903B5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03B55"/>
    <w:rPr>
      <w:b/>
      <w:bCs/>
    </w:rPr>
  </w:style>
  <w:style w:type="character" w:customStyle="1" w:styleId="CommentSubjectChar">
    <w:name w:val="Comment Subject Char"/>
    <w:basedOn w:val="CommentTextChar"/>
    <w:link w:val="CommentSubject"/>
    <w:uiPriority w:val="99"/>
    <w:semiHidden/>
    <w:rsid w:val="00903B55"/>
    <w:rPr>
      <w:rFonts w:ascii="Times New Roman" w:hAnsi="Times New Roman"/>
      <w:b/>
      <w:bCs/>
      <w:lang w:eastAsia="en-US"/>
    </w:rPr>
  </w:style>
  <w:style w:type="character" w:customStyle="1" w:styleId="gsa1">
    <w:name w:val="gs_a1"/>
    <w:basedOn w:val="DefaultParagraphFont"/>
    <w:rsid w:val="00332CE4"/>
    <w:rPr>
      <w:color w:val="008000"/>
    </w:rPr>
  </w:style>
  <w:style w:type="character" w:styleId="Hyperlink">
    <w:name w:val="Hyperlink"/>
    <w:basedOn w:val="DefaultParagraphFont"/>
    <w:uiPriority w:val="99"/>
    <w:unhideWhenUsed/>
    <w:rsid w:val="00887BAE"/>
    <w:rPr>
      <w:color w:val="0000FF"/>
      <w:u w:val="single"/>
    </w:rPr>
  </w:style>
  <w:style w:type="paragraph" w:styleId="Revision">
    <w:name w:val="Revision"/>
    <w:hidden/>
    <w:uiPriority w:val="99"/>
    <w:semiHidden/>
    <w:rsid w:val="006E4374"/>
    <w:rPr>
      <w:rFonts w:ascii="Times New Roman" w:hAnsi="Times New Roman"/>
      <w:sz w:val="24"/>
      <w:szCs w:val="22"/>
      <w:lang w:val="en-US" w:eastAsia="en-US"/>
    </w:rPr>
  </w:style>
  <w:style w:type="paragraph" w:styleId="Header">
    <w:name w:val="header"/>
    <w:basedOn w:val="Normal"/>
    <w:link w:val="HeaderChar"/>
    <w:uiPriority w:val="99"/>
    <w:unhideWhenUsed/>
    <w:rsid w:val="00E849BF"/>
    <w:pPr>
      <w:tabs>
        <w:tab w:val="center" w:pos="4680"/>
        <w:tab w:val="right" w:pos="9360"/>
      </w:tabs>
      <w:spacing w:after="0"/>
    </w:pPr>
  </w:style>
  <w:style w:type="character" w:customStyle="1" w:styleId="HeaderChar">
    <w:name w:val="Header Char"/>
    <w:basedOn w:val="DefaultParagraphFont"/>
    <w:link w:val="Header"/>
    <w:uiPriority w:val="99"/>
    <w:rsid w:val="00E849BF"/>
    <w:rPr>
      <w:rFonts w:ascii="Times New Roman" w:hAnsi="Times New Roman"/>
      <w:sz w:val="24"/>
      <w:szCs w:val="22"/>
      <w:lang w:val="en-US" w:eastAsia="en-US"/>
    </w:rPr>
  </w:style>
  <w:style w:type="paragraph" w:styleId="Footer">
    <w:name w:val="footer"/>
    <w:basedOn w:val="Normal"/>
    <w:link w:val="FooterChar"/>
    <w:uiPriority w:val="99"/>
    <w:semiHidden/>
    <w:unhideWhenUsed/>
    <w:rsid w:val="00E849BF"/>
    <w:pPr>
      <w:tabs>
        <w:tab w:val="center" w:pos="4680"/>
        <w:tab w:val="right" w:pos="9360"/>
      </w:tabs>
      <w:spacing w:after="0"/>
    </w:pPr>
  </w:style>
  <w:style w:type="character" w:customStyle="1" w:styleId="FooterChar">
    <w:name w:val="Footer Char"/>
    <w:basedOn w:val="DefaultParagraphFont"/>
    <w:link w:val="Footer"/>
    <w:uiPriority w:val="99"/>
    <w:semiHidden/>
    <w:rsid w:val="00E849BF"/>
    <w:rPr>
      <w:rFonts w:ascii="Times New Roman" w:hAnsi="Times New Roman"/>
      <w:sz w:val="24"/>
      <w:szCs w:val="22"/>
      <w:lang w:val="en-US" w:eastAsia="en-US"/>
    </w:rPr>
  </w:style>
  <w:style w:type="paragraph" w:customStyle="1" w:styleId="Default">
    <w:name w:val="Default"/>
    <w:rsid w:val="00474E09"/>
    <w:pPr>
      <w:autoSpaceDE w:val="0"/>
      <w:autoSpaceDN w:val="0"/>
      <w:adjustRightInd w:val="0"/>
    </w:pPr>
    <w:rPr>
      <w:rFonts w:ascii="Times New Roman" w:eastAsia="Times" w:hAnsi="Times New Roman"/>
      <w:color w:val="000000"/>
      <w:sz w:val="24"/>
      <w:szCs w:val="24"/>
      <w:lang w:val="en-US" w:eastAsia="en-US"/>
    </w:rPr>
  </w:style>
  <w:style w:type="paragraph" w:styleId="NormalWeb">
    <w:name w:val="Normal (Web)"/>
    <w:basedOn w:val="Default"/>
    <w:next w:val="Default"/>
    <w:rsid w:val="00474E09"/>
    <w:rPr>
      <w:color w:val="auto"/>
    </w:rPr>
  </w:style>
  <w:style w:type="character" w:customStyle="1" w:styleId="artpages">
    <w:name w:val="art_pages"/>
    <w:basedOn w:val="DefaultParagraphFont"/>
    <w:rsid w:val="00474E09"/>
  </w:style>
  <w:style w:type="character" w:customStyle="1" w:styleId="Heading2Char">
    <w:name w:val="Heading 2 Char"/>
    <w:basedOn w:val="DefaultParagraphFont"/>
    <w:link w:val="Heading2"/>
    <w:uiPriority w:val="9"/>
    <w:rsid w:val="001E7F11"/>
    <w:rPr>
      <w:rFonts w:ascii="Times New Roman" w:eastAsia="Times New Roman" w:hAnsi="Times New Roman"/>
      <w:b/>
      <w:bCs/>
      <w:sz w:val="36"/>
      <w:szCs w:val="36"/>
    </w:rPr>
  </w:style>
  <w:style w:type="character" w:customStyle="1" w:styleId="referencetext1">
    <w:name w:val="referencetext1"/>
    <w:basedOn w:val="DefaultParagraphFont"/>
    <w:rsid w:val="00311547"/>
    <w:rPr>
      <w:vanish w:val="0"/>
      <w:webHidden w:val="0"/>
      <w:specVanish w:val="0"/>
    </w:rPr>
  </w:style>
  <w:style w:type="character" w:styleId="Strong">
    <w:name w:val="Strong"/>
    <w:basedOn w:val="DefaultParagraphFont"/>
    <w:uiPriority w:val="22"/>
    <w:qFormat/>
    <w:rsid w:val="00311547"/>
    <w:rPr>
      <w:b/>
      <w:bCs/>
    </w:rPr>
  </w:style>
  <w:style w:type="character" w:customStyle="1" w:styleId="Heading1Char">
    <w:name w:val="Heading 1 Char"/>
    <w:basedOn w:val="DefaultParagraphFont"/>
    <w:link w:val="Heading1"/>
    <w:uiPriority w:val="9"/>
    <w:rsid w:val="00971967"/>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323">
      <w:bodyDiv w:val="1"/>
      <w:marLeft w:val="0"/>
      <w:marRight w:val="0"/>
      <w:marTop w:val="0"/>
      <w:marBottom w:val="0"/>
      <w:divBdr>
        <w:top w:val="none" w:sz="0" w:space="0" w:color="auto"/>
        <w:left w:val="none" w:sz="0" w:space="0" w:color="auto"/>
        <w:bottom w:val="none" w:sz="0" w:space="0" w:color="auto"/>
        <w:right w:val="none" w:sz="0" w:space="0" w:color="auto"/>
      </w:divBdr>
      <w:divsChild>
        <w:div w:id="1757243086">
          <w:marLeft w:val="0"/>
          <w:marRight w:val="63"/>
          <w:marTop w:val="0"/>
          <w:marBottom w:val="0"/>
          <w:divBdr>
            <w:top w:val="none" w:sz="0" w:space="0" w:color="auto"/>
            <w:left w:val="single" w:sz="4" w:space="1" w:color="DDDDDD"/>
            <w:bottom w:val="single" w:sz="4" w:space="2" w:color="DDDDDD"/>
            <w:right w:val="none" w:sz="0" w:space="0" w:color="auto"/>
          </w:divBdr>
          <w:divsChild>
            <w:div w:id="2045784060">
              <w:marLeft w:val="0"/>
              <w:marRight w:val="0"/>
              <w:marTop w:val="0"/>
              <w:marBottom w:val="0"/>
              <w:divBdr>
                <w:top w:val="single" w:sz="4" w:space="6" w:color="A6B5C7"/>
                <w:left w:val="single" w:sz="4" w:space="6" w:color="A6B5C7"/>
                <w:bottom w:val="single" w:sz="4" w:space="6" w:color="A6B5C7"/>
                <w:right w:val="single" w:sz="4" w:space="6" w:color="A6B5C7"/>
              </w:divBdr>
              <w:divsChild>
                <w:div w:id="2072650307">
                  <w:marLeft w:val="0"/>
                  <w:marRight w:val="0"/>
                  <w:marTop w:val="0"/>
                  <w:marBottom w:val="0"/>
                  <w:divBdr>
                    <w:top w:val="single" w:sz="4" w:space="3" w:color="E4E4E4"/>
                    <w:left w:val="single" w:sz="4" w:space="16" w:color="E4E4E4"/>
                    <w:bottom w:val="single" w:sz="4" w:space="6" w:color="E4E4E4"/>
                    <w:right w:val="single" w:sz="4" w:space="13" w:color="E4E4E4"/>
                  </w:divBdr>
                </w:div>
              </w:divsChild>
            </w:div>
          </w:divsChild>
        </w:div>
      </w:divsChild>
    </w:div>
    <w:div w:id="247085624">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1166"/>
          <w:marRight w:val="0"/>
          <w:marTop w:val="134"/>
          <w:marBottom w:val="0"/>
          <w:divBdr>
            <w:top w:val="none" w:sz="0" w:space="0" w:color="auto"/>
            <w:left w:val="none" w:sz="0" w:space="0" w:color="auto"/>
            <w:bottom w:val="none" w:sz="0" w:space="0" w:color="auto"/>
            <w:right w:val="none" w:sz="0" w:space="0" w:color="auto"/>
          </w:divBdr>
        </w:div>
        <w:div w:id="1921714036">
          <w:marLeft w:val="547"/>
          <w:marRight w:val="0"/>
          <w:marTop w:val="154"/>
          <w:marBottom w:val="0"/>
          <w:divBdr>
            <w:top w:val="none" w:sz="0" w:space="0" w:color="auto"/>
            <w:left w:val="none" w:sz="0" w:space="0" w:color="auto"/>
            <w:bottom w:val="none" w:sz="0" w:space="0" w:color="auto"/>
            <w:right w:val="none" w:sz="0" w:space="0" w:color="auto"/>
          </w:divBdr>
        </w:div>
      </w:divsChild>
    </w:div>
    <w:div w:id="968634296">
      <w:bodyDiv w:val="1"/>
      <w:marLeft w:val="-480"/>
      <w:marRight w:val="0"/>
      <w:marTop w:val="0"/>
      <w:marBottom w:val="0"/>
      <w:divBdr>
        <w:top w:val="none" w:sz="0" w:space="0" w:color="auto"/>
        <w:left w:val="none" w:sz="0" w:space="0" w:color="auto"/>
        <w:bottom w:val="none" w:sz="0" w:space="0" w:color="auto"/>
        <w:right w:val="none" w:sz="0" w:space="0" w:color="auto"/>
      </w:divBdr>
      <w:divsChild>
        <w:div w:id="1462726885">
          <w:marLeft w:val="0"/>
          <w:marRight w:val="0"/>
          <w:marTop w:val="0"/>
          <w:marBottom w:val="0"/>
          <w:divBdr>
            <w:top w:val="none" w:sz="0" w:space="0" w:color="auto"/>
            <w:left w:val="none" w:sz="0" w:space="0" w:color="auto"/>
            <w:bottom w:val="none" w:sz="0" w:space="0" w:color="auto"/>
            <w:right w:val="none" w:sz="0" w:space="0" w:color="auto"/>
          </w:divBdr>
          <w:divsChild>
            <w:div w:id="478154392">
              <w:marLeft w:val="0"/>
              <w:marRight w:val="0"/>
              <w:marTop w:val="0"/>
              <w:marBottom w:val="0"/>
              <w:divBdr>
                <w:top w:val="none" w:sz="0" w:space="0" w:color="auto"/>
                <w:left w:val="none" w:sz="0" w:space="0" w:color="auto"/>
                <w:bottom w:val="none" w:sz="0" w:space="0" w:color="auto"/>
                <w:right w:val="none" w:sz="0" w:space="0" w:color="auto"/>
              </w:divBdr>
              <w:divsChild>
                <w:div w:id="1124613749">
                  <w:marLeft w:val="0"/>
                  <w:marRight w:val="0"/>
                  <w:marTop w:val="0"/>
                  <w:marBottom w:val="240"/>
                  <w:divBdr>
                    <w:top w:val="none" w:sz="0" w:space="0" w:color="auto"/>
                    <w:left w:val="none" w:sz="0" w:space="0" w:color="auto"/>
                    <w:bottom w:val="none" w:sz="0" w:space="0" w:color="auto"/>
                    <w:right w:val="none" w:sz="0" w:space="0" w:color="auto"/>
                  </w:divBdr>
                  <w:divsChild>
                    <w:div w:id="1504124842">
                      <w:marLeft w:val="0"/>
                      <w:marRight w:val="0"/>
                      <w:marTop w:val="0"/>
                      <w:marBottom w:val="0"/>
                      <w:divBdr>
                        <w:top w:val="none" w:sz="0" w:space="0" w:color="auto"/>
                        <w:left w:val="none" w:sz="0" w:space="0" w:color="auto"/>
                        <w:bottom w:val="none" w:sz="0" w:space="0" w:color="auto"/>
                        <w:right w:val="none" w:sz="0" w:space="0" w:color="auto"/>
                      </w:divBdr>
                      <w:divsChild>
                        <w:div w:id="1595092927">
                          <w:marLeft w:val="0"/>
                          <w:marRight w:val="0"/>
                          <w:marTop w:val="0"/>
                          <w:marBottom w:val="240"/>
                          <w:divBdr>
                            <w:top w:val="none" w:sz="0" w:space="0" w:color="auto"/>
                            <w:left w:val="none" w:sz="0" w:space="0" w:color="auto"/>
                            <w:bottom w:val="none" w:sz="0" w:space="0" w:color="auto"/>
                            <w:right w:val="none" w:sz="0" w:space="0" w:color="auto"/>
                          </w:divBdr>
                          <w:divsChild>
                            <w:div w:id="1397046122">
                              <w:marLeft w:val="0"/>
                              <w:marRight w:val="0"/>
                              <w:marTop w:val="0"/>
                              <w:marBottom w:val="0"/>
                              <w:divBdr>
                                <w:top w:val="none" w:sz="0" w:space="0" w:color="auto"/>
                                <w:left w:val="none" w:sz="0" w:space="0" w:color="auto"/>
                                <w:bottom w:val="none" w:sz="0" w:space="0" w:color="auto"/>
                                <w:right w:val="none" w:sz="0" w:space="0" w:color="auto"/>
                              </w:divBdr>
                              <w:divsChild>
                                <w:div w:id="1092313347">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027020623">
      <w:bodyDiv w:val="1"/>
      <w:marLeft w:val="0"/>
      <w:marRight w:val="0"/>
      <w:marTop w:val="0"/>
      <w:marBottom w:val="0"/>
      <w:divBdr>
        <w:top w:val="none" w:sz="0" w:space="0" w:color="auto"/>
        <w:left w:val="none" w:sz="0" w:space="0" w:color="auto"/>
        <w:bottom w:val="none" w:sz="0" w:space="0" w:color="auto"/>
        <w:right w:val="none" w:sz="0" w:space="0" w:color="auto"/>
      </w:divBdr>
      <w:divsChild>
        <w:div w:id="1439645605">
          <w:marLeft w:val="0"/>
          <w:marRight w:val="0"/>
          <w:marTop w:val="0"/>
          <w:marBottom w:val="0"/>
          <w:divBdr>
            <w:top w:val="none" w:sz="0" w:space="0" w:color="auto"/>
            <w:left w:val="none" w:sz="0" w:space="0" w:color="auto"/>
            <w:bottom w:val="none" w:sz="0" w:space="0" w:color="auto"/>
            <w:right w:val="none" w:sz="0" w:space="0" w:color="auto"/>
          </w:divBdr>
          <w:divsChild>
            <w:div w:id="321853324">
              <w:marLeft w:val="0"/>
              <w:marRight w:val="0"/>
              <w:marTop w:val="0"/>
              <w:marBottom w:val="0"/>
              <w:divBdr>
                <w:top w:val="none" w:sz="0" w:space="0" w:color="auto"/>
                <w:left w:val="none" w:sz="0" w:space="0" w:color="auto"/>
                <w:bottom w:val="none" w:sz="0" w:space="0" w:color="auto"/>
                <w:right w:val="none" w:sz="0" w:space="0" w:color="auto"/>
              </w:divBdr>
              <w:divsChild>
                <w:div w:id="1778402826">
                  <w:marLeft w:val="0"/>
                  <w:marRight w:val="0"/>
                  <w:marTop w:val="0"/>
                  <w:marBottom w:val="0"/>
                  <w:divBdr>
                    <w:top w:val="none" w:sz="0" w:space="0" w:color="auto"/>
                    <w:left w:val="none" w:sz="0" w:space="0" w:color="auto"/>
                    <w:bottom w:val="none" w:sz="0" w:space="0" w:color="auto"/>
                    <w:right w:val="none" w:sz="0" w:space="0" w:color="auto"/>
                  </w:divBdr>
                  <w:divsChild>
                    <w:div w:id="1593011290">
                      <w:marLeft w:val="0"/>
                      <w:marRight w:val="0"/>
                      <w:marTop w:val="0"/>
                      <w:marBottom w:val="0"/>
                      <w:divBdr>
                        <w:top w:val="single" w:sz="18" w:space="0" w:color="E8E8E8"/>
                        <w:left w:val="none" w:sz="0" w:space="0" w:color="auto"/>
                        <w:bottom w:val="none" w:sz="0" w:space="0" w:color="auto"/>
                        <w:right w:val="none" w:sz="0" w:space="0" w:color="auto"/>
                      </w:divBdr>
                      <w:divsChild>
                        <w:div w:id="1971394210">
                          <w:marLeft w:val="0"/>
                          <w:marRight w:val="4520"/>
                          <w:marTop w:val="0"/>
                          <w:marBottom w:val="0"/>
                          <w:divBdr>
                            <w:top w:val="none" w:sz="0" w:space="0" w:color="auto"/>
                            <w:left w:val="none" w:sz="0" w:space="0" w:color="auto"/>
                            <w:bottom w:val="none" w:sz="0" w:space="0" w:color="auto"/>
                            <w:right w:val="none" w:sz="0" w:space="0" w:color="auto"/>
                          </w:divBdr>
                          <w:divsChild>
                            <w:div w:id="1352493760">
                              <w:marLeft w:val="0"/>
                              <w:marRight w:val="0"/>
                              <w:marTop w:val="0"/>
                              <w:marBottom w:val="0"/>
                              <w:divBdr>
                                <w:top w:val="single" w:sz="4" w:space="0" w:color="9B9B9B"/>
                                <w:left w:val="none" w:sz="0" w:space="0" w:color="auto"/>
                                <w:bottom w:val="none" w:sz="0" w:space="0" w:color="auto"/>
                                <w:right w:val="none" w:sz="0" w:space="0" w:color="auto"/>
                              </w:divBdr>
                              <w:divsChild>
                                <w:div w:id="24209851">
                                  <w:marLeft w:val="0"/>
                                  <w:marRight w:val="0"/>
                                  <w:marTop w:val="0"/>
                                  <w:marBottom w:val="0"/>
                                  <w:divBdr>
                                    <w:top w:val="single" w:sz="4" w:space="0" w:color="FFFFFF"/>
                                    <w:left w:val="none" w:sz="0" w:space="0" w:color="auto"/>
                                    <w:bottom w:val="none" w:sz="0" w:space="0" w:color="auto"/>
                                    <w:right w:val="none" w:sz="0" w:space="0" w:color="auto"/>
                                  </w:divBdr>
                                  <w:divsChild>
                                    <w:div w:id="384179432">
                                      <w:marLeft w:val="0"/>
                                      <w:marRight w:val="0"/>
                                      <w:marTop w:val="0"/>
                                      <w:marBottom w:val="0"/>
                                      <w:divBdr>
                                        <w:top w:val="none" w:sz="0" w:space="0" w:color="auto"/>
                                        <w:left w:val="none" w:sz="0" w:space="0" w:color="auto"/>
                                        <w:bottom w:val="none" w:sz="0" w:space="0" w:color="auto"/>
                                        <w:right w:val="none" w:sz="0" w:space="0" w:color="auto"/>
                                      </w:divBdr>
                                      <w:divsChild>
                                        <w:div w:id="1798373687">
                                          <w:marLeft w:val="0"/>
                                          <w:marRight w:val="0"/>
                                          <w:marTop w:val="0"/>
                                          <w:marBottom w:val="0"/>
                                          <w:divBdr>
                                            <w:top w:val="none" w:sz="0" w:space="0" w:color="auto"/>
                                            <w:left w:val="none" w:sz="0" w:space="0" w:color="auto"/>
                                            <w:bottom w:val="none" w:sz="0" w:space="0" w:color="auto"/>
                                            <w:right w:val="none" w:sz="0" w:space="0" w:color="auto"/>
                                          </w:divBdr>
                                          <w:divsChild>
                                            <w:div w:id="1256746665">
                                              <w:marLeft w:val="0"/>
                                              <w:marRight w:val="0"/>
                                              <w:marTop w:val="0"/>
                                              <w:marBottom w:val="0"/>
                                              <w:divBdr>
                                                <w:top w:val="none" w:sz="0" w:space="0" w:color="auto"/>
                                                <w:left w:val="none" w:sz="0" w:space="0" w:color="auto"/>
                                                <w:bottom w:val="none" w:sz="0" w:space="0" w:color="auto"/>
                                                <w:right w:val="none" w:sz="0" w:space="0" w:color="auto"/>
                                              </w:divBdr>
                                              <w:divsChild>
                                                <w:div w:id="809326763">
                                                  <w:marLeft w:val="38"/>
                                                  <w:marRight w:val="63"/>
                                                  <w:marTop w:val="0"/>
                                                  <w:marBottom w:val="0"/>
                                                  <w:divBdr>
                                                    <w:top w:val="none" w:sz="0" w:space="0" w:color="auto"/>
                                                    <w:left w:val="none" w:sz="0" w:space="0" w:color="auto"/>
                                                    <w:bottom w:val="none" w:sz="0" w:space="0" w:color="auto"/>
                                                    <w:right w:val="none" w:sz="0" w:space="0" w:color="auto"/>
                                                  </w:divBdr>
                                                  <w:divsChild>
                                                    <w:div w:id="1161583900">
                                                      <w:marLeft w:val="0"/>
                                                      <w:marRight w:val="0"/>
                                                      <w:marTop w:val="0"/>
                                                      <w:marBottom w:val="0"/>
                                                      <w:divBdr>
                                                        <w:top w:val="none" w:sz="0" w:space="0" w:color="auto"/>
                                                        <w:left w:val="none" w:sz="0" w:space="0" w:color="auto"/>
                                                        <w:bottom w:val="none" w:sz="0" w:space="0" w:color="auto"/>
                                                        <w:right w:val="none" w:sz="0" w:space="0" w:color="auto"/>
                                                      </w:divBdr>
                                                      <w:divsChild>
                                                        <w:div w:id="1188176196">
                                                          <w:marLeft w:val="0"/>
                                                          <w:marRight w:val="-24000"/>
                                                          <w:marTop w:val="0"/>
                                                          <w:marBottom w:val="0"/>
                                                          <w:divBdr>
                                                            <w:top w:val="none" w:sz="0" w:space="0" w:color="auto"/>
                                                            <w:left w:val="none" w:sz="0" w:space="0" w:color="auto"/>
                                                            <w:bottom w:val="none" w:sz="0" w:space="0" w:color="auto"/>
                                                            <w:right w:val="none" w:sz="0" w:space="0" w:color="auto"/>
                                                          </w:divBdr>
                                                          <w:divsChild>
                                                            <w:div w:id="678040005">
                                                              <w:marLeft w:val="0"/>
                                                              <w:marRight w:val="0"/>
                                                              <w:marTop w:val="0"/>
                                                              <w:marBottom w:val="0"/>
                                                              <w:divBdr>
                                                                <w:top w:val="none" w:sz="0" w:space="0" w:color="auto"/>
                                                                <w:left w:val="none" w:sz="0" w:space="0" w:color="auto"/>
                                                                <w:bottom w:val="none" w:sz="0" w:space="0" w:color="auto"/>
                                                                <w:right w:val="none" w:sz="0" w:space="0" w:color="auto"/>
                                                              </w:divBdr>
                                                              <w:divsChild>
                                                                <w:div w:id="16495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586693">
      <w:bodyDiv w:val="1"/>
      <w:marLeft w:val="0"/>
      <w:marRight w:val="0"/>
      <w:marTop w:val="0"/>
      <w:marBottom w:val="0"/>
      <w:divBdr>
        <w:top w:val="none" w:sz="0" w:space="0" w:color="auto"/>
        <w:left w:val="none" w:sz="0" w:space="0" w:color="auto"/>
        <w:bottom w:val="none" w:sz="0" w:space="0" w:color="auto"/>
        <w:right w:val="none" w:sz="0" w:space="0" w:color="auto"/>
      </w:divBdr>
      <w:divsChild>
        <w:div w:id="1092899517">
          <w:marLeft w:val="1166"/>
          <w:marRight w:val="0"/>
          <w:marTop w:val="134"/>
          <w:marBottom w:val="0"/>
          <w:divBdr>
            <w:top w:val="none" w:sz="0" w:space="0" w:color="auto"/>
            <w:left w:val="none" w:sz="0" w:space="0" w:color="auto"/>
            <w:bottom w:val="none" w:sz="0" w:space="0" w:color="auto"/>
            <w:right w:val="none" w:sz="0" w:space="0" w:color="auto"/>
          </w:divBdr>
        </w:div>
        <w:div w:id="2021657032">
          <w:marLeft w:val="547"/>
          <w:marRight w:val="0"/>
          <w:marTop w:val="154"/>
          <w:marBottom w:val="0"/>
          <w:divBdr>
            <w:top w:val="none" w:sz="0" w:space="0" w:color="auto"/>
            <w:left w:val="none" w:sz="0" w:space="0" w:color="auto"/>
            <w:bottom w:val="none" w:sz="0" w:space="0" w:color="auto"/>
            <w:right w:val="none" w:sz="0" w:space="0" w:color="auto"/>
          </w:divBdr>
        </w:div>
      </w:divsChild>
    </w:div>
    <w:div w:id="1448231526">
      <w:bodyDiv w:val="1"/>
      <w:marLeft w:val="0"/>
      <w:marRight w:val="0"/>
      <w:marTop w:val="0"/>
      <w:marBottom w:val="0"/>
      <w:divBdr>
        <w:top w:val="none" w:sz="0" w:space="0" w:color="auto"/>
        <w:left w:val="none" w:sz="0" w:space="0" w:color="auto"/>
        <w:bottom w:val="none" w:sz="0" w:space="0" w:color="auto"/>
        <w:right w:val="none" w:sz="0" w:space="0" w:color="auto"/>
      </w:divBdr>
      <w:divsChild>
        <w:div w:id="230897426">
          <w:marLeft w:val="0"/>
          <w:marRight w:val="0"/>
          <w:marTop w:val="0"/>
          <w:marBottom w:val="0"/>
          <w:divBdr>
            <w:top w:val="none" w:sz="0" w:space="0" w:color="auto"/>
            <w:left w:val="none" w:sz="0" w:space="0" w:color="auto"/>
            <w:bottom w:val="none" w:sz="0" w:space="0" w:color="auto"/>
            <w:right w:val="none" w:sz="0" w:space="0" w:color="auto"/>
          </w:divBdr>
          <w:divsChild>
            <w:div w:id="1831018552">
              <w:marLeft w:val="0"/>
              <w:marRight w:val="0"/>
              <w:marTop w:val="0"/>
              <w:marBottom w:val="0"/>
              <w:divBdr>
                <w:top w:val="none" w:sz="0" w:space="0" w:color="auto"/>
                <w:left w:val="none" w:sz="0" w:space="0" w:color="auto"/>
                <w:bottom w:val="none" w:sz="0" w:space="0" w:color="auto"/>
                <w:right w:val="none" w:sz="0" w:space="0" w:color="auto"/>
              </w:divBdr>
              <w:divsChild>
                <w:div w:id="1245144688">
                  <w:marLeft w:val="0"/>
                  <w:marRight w:val="0"/>
                  <w:marTop w:val="0"/>
                  <w:marBottom w:val="0"/>
                  <w:divBdr>
                    <w:top w:val="none" w:sz="0" w:space="0" w:color="auto"/>
                    <w:left w:val="none" w:sz="0" w:space="0" w:color="auto"/>
                    <w:bottom w:val="none" w:sz="0" w:space="0" w:color="auto"/>
                    <w:right w:val="none" w:sz="0" w:space="0" w:color="auto"/>
                  </w:divBdr>
                  <w:divsChild>
                    <w:div w:id="1999964529">
                      <w:marLeft w:val="0"/>
                      <w:marRight w:val="0"/>
                      <w:marTop w:val="0"/>
                      <w:marBottom w:val="0"/>
                      <w:divBdr>
                        <w:top w:val="none" w:sz="0" w:space="0" w:color="auto"/>
                        <w:left w:val="none" w:sz="0" w:space="0" w:color="auto"/>
                        <w:bottom w:val="none" w:sz="0" w:space="0" w:color="auto"/>
                        <w:right w:val="none" w:sz="0" w:space="0" w:color="auto"/>
                      </w:divBdr>
                      <w:divsChild>
                        <w:div w:id="1856453299">
                          <w:marLeft w:val="0"/>
                          <w:marRight w:val="0"/>
                          <w:marTop w:val="0"/>
                          <w:marBottom w:val="0"/>
                          <w:divBdr>
                            <w:top w:val="none" w:sz="0" w:space="0" w:color="auto"/>
                            <w:left w:val="none" w:sz="0" w:space="0" w:color="auto"/>
                            <w:bottom w:val="none" w:sz="0" w:space="0" w:color="auto"/>
                            <w:right w:val="none" w:sz="0" w:space="0" w:color="auto"/>
                          </w:divBdr>
                          <w:divsChild>
                            <w:div w:id="166599545">
                              <w:marLeft w:val="0"/>
                              <w:marRight w:val="0"/>
                              <w:marTop w:val="0"/>
                              <w:marBottom w:val="0"/>
                              <w:divBdr>
                                <w:top w:val="none" w:sz="0" w:space="0" w:color="auto"/>
                                <w:left w:val="none" w:sz="0" w:space="0" w:color="auto"/>
                                <w:bottom w:val="none" w:sz="0" w:space="0" w:color="auto"/>
                                <w:right w:val="none" w:sz="0" w:space="0" w:color="auto"/>
                              </w:divBdr>
                              <w:divsChild>
                                <w:div w:id="10165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6DC2-99A8-3741-825E-43C0B514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8705</Words>
  <Characters>49620</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Ivey Business School</Company>
  <LinksUpToDate>false</LinksUpToDate>
  <CharactersWithSpaces>58209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afremeth</dc:creator>
  <cp:lastModifiedBy>Adam Fremeth</cp:lastModifiedBy>
  <cp:revision>2</cp:revision>
  <cp:lastPrinted>2011-02-14T16:50:00Z</cp:lastPrinted>
  <dcterms:created xsi:type="dcterms:W3CDTF">2011-05-02T14:03:00Z</dcterms:created>
  <dcterms:modified xsi:type="dcterms:W3CDTF">2011-05-02T14:03:00Z</dcterms:modified>
</cp:coreProperties>
</file>